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63C" w14:textId="77777777" w:rsidR="007C19D0" w:rsidRDefault="007C19D0" w:rsidP="00256B4E">
      <w:pPr>
        <w:jc w:val="center"/>
        <w:rPr>
          <w:b/>
        </w:rPr>
      </w:pPr>
    </w:p>
    <w:p w14:paraId="132506F4" w14:textId="77777777" w:rsidR="00256B4E" w:rsidRDefault="00256B4E" w:rsidP="00256B4E">
      <w:pPr>
        <w:jc w:val="center"/>
        <w:rPr>
          <w:b/>
        </w:rPr>
      </w:pPr>
      <w:r>
        <w:rPr>
          <w:b/>
        </w:rPr>
        <w:t>BEFORE THE WASHINGTON UTILITIES AND</w:t>
      </w:r>
    </w:p>
    <w:p w14:paraId="0E88793D" w14:textId="77777777" w:rsidR="00256B4E" w:rsidRPr="00C014C3" w:rsidRDefault="00256B4E" w:rsidP="00256B4E">
      <w:pPr>
        <w:jc w:val="center"/>
        <w:rPr>
          <w:b/>
        </w:rPr>
      </w:pPr>
      <w:r>
        <w:rPr>
          <w:b/>
        </w:rPr>
        <w:t xml:space="preserve"> TRANSPORTATION COMMISSION</w:t>
      </w:r>
    </w:p>
    <w:p w14:paraId="249FCE49" w14:textId="77777777" w:rsidR="00256B4E" w:rsidRDefault="00256B4E" w:rsidP="00256B4E"/>
    <w:tbl>
      <w:tblPr>
        <w:tblW w:w="0" w:type="auto"/>
        <w:tblLook w:val="01E0" w:firstRow="1" w:lastRow="1" w:firstColumn="1" w:lastColumn="1" w:noHBand="0" w:noVBand="0"/>
      </w:tblPr>
      <w:tblGrid>
        <w:gridCol w:w="4248"/>
        <w:gridCol w:w="236"/>
        <w:gridCol w:w="4372"/>
      </w:tblGrid>
      <w:tr w:rsidR="00256B4E" w14:paraId="6BCBC9BA" w14:textId="77777777" w:rsidTr="00B60470">
        <w:tc>
          <w:tcPr>
            <w:tcW w:w="4248" w:type="dxa"/>
            <w:tcBorders>
              <w:bottom w:val="single" w:sz="4" w:space="0" w:color="auto"/>
              <w:right w:val="single" w:sz="4" w:space="0" w:color="auto"/>
            </w:tcBorders>
            <w:shd w:val="clear" w:color="auto" w:fill="auto"/>
          </w:tcPr>
          <w:p w14:paraId="21B9980B" w14:textId="77777777" w:rsidR="000608D4" w:rsidRPr="00A77C43" w:rsidRDefault="000608D4" w:rsidP="000608D4">
            <w:pPr>
              <w:snapToGrid w:val="0"/>
              <w:spacing w:line="264" w:lineRule="auto"/>
              <w:rPr>
                <w:bCs/>
              </w:rPr>
            </w:pPr>
            <w:r w:rsidRPr="00A77C43">
              <w:rPr>
                <w:bCs/>
              </w:rPr>
              <w:t>In the Matter of the Petition of:</w:t>
            </w:r>
          </w:p>
          <w:p w14:paraId="680AA972" w14:textId="77777777" w:rsidR="000608D4" w:rsidRPr="00A77C43" w:rsidRDefault="000608D4" w:rsidP="000608D4">
            <w:pPr>
              <w:spacing w:line="264" w:lineRule="auto"/>
              <w:rPr>
                <w:bCs/>
              </w:rPr>
            </w:pPr>
          </w:p>
          <w:p w14:paraId="7C13773E" w14:textId="77777777" w:rsidR="000608D4" w:rsidRPr="00A77C43" w:rsidRDefault="000608D4" w:rsidP="000608D4">
            <w:pPr>
              <w:autoSpaceDE w:val="0"/>
              <w:autoSpaceDN w:val="0"/>
              <w:adjustRightInd w:val="0"/>
            </w:pPr>
            <w:r w:rsidRPr="00A77C43">
              <w:t>SIERRA CLUB, CLIMATE SOLUTIONS, and WASHINGTON ENVIRONMENTAL COUNCIL</w:t>
            </w:r>
          </w:p>
          <w:p w14:paraId="11D276E5" w14:textId="77777777" w:rsidR="000608D4" w:rsidRPr="00A77C43" w:rsidRDefault="000608D4" w:rsidP="000608D4">
            <w:pPr>
              <w:autoSpaceDE w:val="0"/>
              <w:autoSpaceDN w:val="0"/>
              <w:adjustRightInd w:val="0"/>
            </w:pPr>
          </w:p>
          <w:p w14:paraId="5227DBEC" w14:textId="77777777" w:rsidR="000608D4" w:rsidRPr="00A77C43" w:rsidRDefault="000608D4" w:rsidP="000608D4">
            <w:pPr>
              <w:autoSpaceDE w:val="0"/>
              <w:autoSpaceDN w:val="0"/>
              <w:adjustRightInd w:val="0"/>
            </w:pPr>
            <w:r w:rsidRPr="00A77C43">
              <w:t>For an Adjudicatory Proceeding Relating</w:t>
            </w:r>
          </w:p>
          <w:p w14:paraId="5E2CD76E" w14:textId="77777777" w:rsidR="000608D4" w:rsidRPr="00A77C43" w:rsidRDefault="000608D4" w:rsidP="000608D4">
            <w:pPr>
              <w:autoSpaceDE w:val="0"/>
              <w:autoSpaceDN w:val="0"/>
              <w:adjustRightInd w:val="0"/>
            </w:pPr>
            <w:r w:rsidRPr="00A77C43">
              <w:t>to the Prudency of Continued</w:t>
            </w:r>
          </w:p>
          <w:p w14:paraId="795189F9" w14:textId="77777777" w:rsidR="000608D4" w:rsidRPr="00A77C43" w:rsidRDefault="000608D4" w:rsidP="000608D4">
            <w:pPr>
              <w:autoSpaceDE w:val="0"/>
              <w:autoSpaceDN w:val="0"/>
              <w:adjustRightInd w:val="0"/>
            </w:pPr>
            <w:r w:rsidRPr="00A77C43">
              <w:t>Investments in Colstrip Plant Units 1 and</w:t>
            </w:r>
          </w:p>
          <w:p w14:paraId="48270EB1" w14:textId="77777777" w:rsidR="000608D4" w:rsidRPr="00A77C43" w:rsidRDefault="000608D4" w:rsidP="000608D4">
            <w:pPr>
              <w:spacing w:line="264" w:lineRule="auto"/>
              <w:rPr>
                <w:bCs/>
              </w:rPr>
            </w:pPr>
            <w:r w:rsidRPr="00A77C43">
              <w:t>2.</w:t>
            </w:r>
          </w:p>
          <w:p w14:paraId="1D6B723F" w14:textId="77777777" w:rsidR="00256B4E" w:rsidRDefault="00256B4E" w:rsidP="00B60470">
            <w:pPr>
              <w:ind w:left="2160"/>
            </w:pPr>
          </w:p>
        </w:tc>
        <w:tc>
          <w:tcPr>
            <w:tcW w:w="236" w:type="dxa"/>
            <w:tcBorders>
              <w:left w:val="single" w:sz="4" w:space="0" w:color="auto"/>
            </w:tcBorders>
            <w:shd w:val="clear" w:color="auto" w:fill="auto"/>
          </w:tcPr>
          <w:p w14:paraId="3E0A9B7A" w14:textId="77777777" w:rsidR="00256B4E" w:rsidRDefault="00256B4E" w:rsidP="00B60470"/>
        </w:tc>
        <w:tc>
          <w:tcPr>
            <w:tcW w:w="4372" w:type="dxa"/>
            <w:shd w:val="clear" w:color="auto" w:fill="auto"/>
          </w:tcPr>
          <w:p w14:paraId="37FB60D3" w14:textId="77777777" w:rsidR="00256B4E" w:rsidRDefault="00256B4E" w:rsidP="00B60470"/>
          <w:p w14:paraId="41BE5FC2" w14:textId="77777777" w:rsidR="00256B4E" w:rsidRDefault="00256B4E" w:rsidP="00B60470">
            <w:r>
              <w:t xml:space="preserve">Docket </w:t>
            </w:r>
            <w:r w:rsidR="000608D4">
              <w:t>UE-151556</w:t>
            </w:r>
          </w:p>
          <w:p w14:paraId="3F6C7EE7" w14:textId="77777777" w:rsidR="00256B4E" w:rsidRDefault="00256B4E" w:rsidP="00B60470"/>
          <w:p w14:paraId="404D2D33" w14:textId="77777777" w:rsidR="00256B4E" w:rsidRDefault="00256B4E" w:rsidP="000608D4">
            <w:r w:rsidRPr="000608D4">
              <w:t xml:space="preserve">COMMISSION STAFF RESPONSE </w:t>
            </w:r>
            <w:r w:rsidR="000608D4">
              <w:t xml:space="preserve">SUPPORTING PUGET SOUND ENERGY INC.’S MOTION TO DISMISS </w:t>
            </w:r>
          </w:p>
        </w:tc>
      </w:tr>
    </w:tbl>
    <w:p w14:paraId="0406DA5D" w14:textId="77777777" w:rsidR="000F6F8C" w:rsidRDefault="000F6F8C"/>
    <w:p w14:paraId="15F3C395" w14:textId="01DCFFD1" w:rsidR="00256B4E" w:rsidRPr="000608D4" w:rsidRDefault="009C4BFC" w:rsidP="000608D4">
      <w:pPr>
        <w:jc w:val="center"/>
        <w:rPr>
          <w:b/>
        </w:rPr>
      </w:pPr>
      <w:r>
        <w:rPr>
          <w:b/>
        </w:rPr>
        <w:t xml:space="preserve">I.  </w:t>
      </w:r>
      <w:r w:rsidR="00256B4E" w:rsidRPr="000608D4">
        <w:rPr>
          <w:b/>
        </w:rPr>
        <w:t>INTRODUCTION</w:t>
      </w:r>
    </w:p>
    <w:p w14:paraId="43A2DB88" w14:textId="77777777" w:rsidR="00256B4E" w:rsidRDefault="00256B4E" w:rsidP="00256B4E">
      <w:pPr>
        <w:pStyle w:val="ListParagraph"/>
        <w:ind w:left="1080"/>
      </w:pPr>
    </w:p>
    <w:p w14:paraId="59CCD748" w14:textId="03D41986" w:rsidR="00256B4E" w:rsidRDefault="009C4BFC" w:rsidP="009C4BFC">
      <w:pPr>
        <w:pStyle w:val="Numberedbody"/>
        <w:numPr>
          <w:ilvl w:val="0"/>
          <w:numId w:val="11"/>
        </w:numPr>
        <w:tabs>
          <w:tab w:val="left" w:pos="720"/>
        </w:tabs>
        <w:spacing w:after="0" w:line="480" w:lineRule="auto"/>
        <w:rPr>
          <w:szCs w:val="24"/>
        </w:rPr>
      </w:pPr>
      <w:r>
        <w:tab/>
      </w:r>
      <w:r w:rsidR="00256B4E">
        <w:t xml:space="preserve">On July 31, 2015, the Sierra Club, Climate </w:t>
      </w:r>
      <w:r w:rsidR="00256B4E" w:rsidRPr="0023632A">
        <w:t>Solutions</w:t>
      </w:r>
      <w:r w:rsidR="00256B4E">
        <w:t xml:space="preserve">, </w:t>
      </w:r>
      <w:r w:rsidR="00CE14AA">
        <w:t xml:space="preserve">and </w:t>
      </w:r>
      <w:r w:rsidR="00256B4E">
        <w:t xml:space="preserve">Washington Environmental Council </w:t>
      </w:r>
      <w:r w:rsidR="00CF309A">
        <w:t>(</w:t>
      </w:r>
      <w:r w:rsidR="00256B4E">
        <w:t xml:space="preserve">“Joint Petitioners”) </w:t>
      </w:r>
      <w:r w:rsidR="00CF309A">
        <w:t xml:space="preserve">filed a </w:t>
      </w:r>
      <w:r w:rsidR="00256B4E" w:rsidRPr="00990F35">
        <w:rPr>
          <w:szCs w:val="24"/>
        </w:rPr>
        <w:t>petition requesting t</w:t>
      </w:r>
      <w:r w:rsidR="005369DC">
        <w:rPr>
          <w:szCs w:val="24"/>
        </w:rPr>
        <w:t>hat t</w:t>
      </w:r>
      <w:r w:rsidR="00256B4E" w:rsidRPr="00990F35">
        <w:rPr>
          <w:szCs w:val="24"/>
        </w:rPr>
        <w:t>he Washington Utilities and Transportation Commission (</w:t>
      </w:r>
      <w:r w:rsidR="00256B4E">
        <w:rPr>
          <w:szCs w:val="24"/>
        </w:rPr>
        <w:t>“</w:t>
      </w:r>
      <w:r w:rsidR="00256B4E" w:rsidRPr="00990F35">
        <w:rPr>
          <w:szCs w:val="24"/>
        </w:rPr>
        <w:t>Commission</w:t>
      </w:r>
      <w:r w:rsidR="00256B4E">
        <w:rPr>
          <w:szCs w:val="24"/>
        </w:rPr>
        <w:t>”</w:t>
      </w:r>
      <w:r w:rsidR="00256B4E" w:rsidRPr="00990F35">
        <w:rPr>
          <w:szCs w:val="24"/>
        </w:rPr>
        <w:t xml:space="preserve">) commence an adjudicatory proceeding for the purpose of </w:t>
      </w:r>
      <w:r w:rsidR="005369DC">
        <w:rPr>
          <w:szCs w:val="24"/>
        </w:rPr>
        <w:t>pre-</w:t>
      </w:r>
      <w:r w:rsidR="00256B4E" w:rsidRPr="00990F35">
        <w:rPr>
          <w:szCs w:val="24"/>
        </w:rPr>
        <w:t xml:space="preserve">determining the prudency of </w:t>
      </w:r>
      <w:r w:rsidR="00CE14AA">
        <w:rPr>
          <w:szCs w:val="24"/>
        </w:rPr>
        <w:t xml:space="preserve">ongoing and </w:t>
      </w:r>
      <w:r w:rsidR="00256B4E" w:rsidRPr="00990F35">
        <w:rPr>
          <w:szCs w:val="24"/>
        </w:rPr>
        <w:t xml:space="preserve">new </w:t>
      </w:r>
      <w:r w:rsidR="00256B4E">
        <w:rPr>
          <w:szCs w:val="24"/>
        </w:rPr>
        <w:t>capital expen</w:t>
      </w:r>
      <w:r w:rsidR="00CE14AA">
        <w:rPr>
          <w:szCs w:val="24"/>
        </w:rPr>
        <w:t>ditures</w:t>
      </w:r>
      <w:r w:rsidR="00256B4E" w:rsidRPr="00990F35">
        <w:rPr>
          <w:szCs w:val="24"/>
        </w:rPr>
        <w:t xml:space="preserve"> </w:t>
      </w:r>
      <w:r w:rsidR="005369DC">
        <w:rPr>
          <w:szCs w:val="24"/>
        </w:rPr>
        <w:t xml:space="preserve">made </w:t>
      </w:r>
      <w:r w:rsidR="00256B4E" w:rsidRPr="00990F35">
        <w:rPr>
          <w:szCs w:val="24"/>
        </w:rPr>
        <w:t>by Puget Sound Energy (</w:t>
      </w:r>
      <w:r w:rsidR="00256B4E">
        <w:rPr>
          <w:szCs w:val="24"/>
        </w:rPr>
        <w:t>“</w:t>
      </w:r>
      <w:r w:rsidR="00256B4E" w:rsidRPr="00990F35">
        <w:rPr>
          <w:szCs w:val="24"/>
        </w:rPr>
        <w:t>PSE</w:t>
      </w:r>
      <w:r w:rsidR="00256B4E">
        <w:rPr>
          <w:szCs w:val="24"/>
        </w:rPr>
        <w:t>”</w:t>
      </w:r>
      <w:r w:rsidR="00256B4E" w:rsidRPr="00990F35">
        <w:rPr>
          <w:szCs w:val="24"/>
        </w:rPr>
        <w:t xml:space="preserve">) </w:t>
      </w:r>
      <w:r w:rsidR="005369DC">
        <w:rPr>
          <w:szCs w:val="24"/>
        </w:rPr>
        <w:t xml:space="preserve">to support </w:t>
      </w:r>
      <w:r w:rsidR="00256B4E" w:rsidRPr="00990F35">
        <w:rPr>
          <w:szCs w:val="24"/>
        </w:rPr>
        <w:t>the Colstrip coal</w:t>
      </w:r>
      <w:r w:rsidR="00256B4E">
        <w:rPr>
          <w:szCs w:val="24"/>
        </w:rPr>
        <w:t>-fired electric generating facility</w:t>
      </w:r>
      <w:r w:rsidR="00CE6F48">
        <w:rPr>
          <w:szCs w:val="24"/>
        </w:rPr>
        <w:t xml:space="preserve"> (Colstrip Facility)</w:t>
      </w:r>
      <w:r w:rsidR="005369DC">
        <w:rPr>
          <w:szCs w:val="24"/>
        </w:rPr>
        <w:t>.</w:t>
      </w:r>
      <w:r w:rsidR="005369DC">
        <w:rPr>
          <w:rStyle w:val="FootnoteReference"/>
          <w:szCs w:val="24"/>
        </w:rPr>
        <w:footnoteReference w:id="2"/>
      </w:r>
      <w:r w:rsidR="005369DC">
        <w:rPr>
          <w:szCs w:val="24"/>
        </w:rPr>
        <w:t xml:space="preserve"> </w:t>
      </w:r>
      <w:r w:rsidR="00CE6F48">
        <w:rPr>
          <w:szCs w:val="24"/>
        </w:rPr>
        <w:t>Further</w:t>
      </w:r>
      <w:r w:rsidR="000D6C4A">
        <w:rPr>
          <w:szCs w:val="24"/>
        </w:rPr>
        <w:t>, the</w:t>
      </w:r>
      <w:r w:rsidR="005369DC">
        <w:rPr>
          <w:szCs w:val="24"/>
        </w:rPr>
        <w:t xml:space="preserve"> petition seeks to </w:t>
      </w:r>
      <w:r w:rsidR="00256B4E" w:rsidRPr="00990F35">
        <w:rPr>
          <w:szCs w:val="24"/>
        </w:rPr>
        <w:t>establish a closure or partial-closure plan for Colstrip</w:t>
      </w:r>
      <w:r w:rsidR="00256B4E">
        <w:rPr>
          <w:szCs w:val="24"/>
        </w:rPr>
        <w:t xml:space="preserve"> Units 1 and 2.</w:t>
      </w:r>
      <w:r>
        <w:rPr>
          <w:szCs w:val="24"/>
        </w:rPr>
        <w:t xml:space="preserve">  </w:t>
      </w:r>
    </w:p>
    <w:p w14:paraId="226BCE0F" w14:textId="05B93774" w:rsidR="00940093" w:rsidRDefault="00940093" w:rsidP="009C4BFC">
      <w:pPr>
        <w:pStyle w:val="Numberedbody"/>
        <w:numPr>
          <w:ilvl w:val="0"/>
          <w:numId w:val="11"/>
        </w:numPr>
        <w:tabs>
          <w:tab w:val="left" w:pos="720"/>
        </w:tabs>
        <w:spacing w:after="0" w:line="480" w:lineRule="auto"/>
        <w:rPr>
          <w:szCs w:val="24"/>
        </w:rPr>
      </w:pPr>
      <w:r w:rsidRPr="009C4BFC">
        <w:rPr>
          <w:szCs w:val="24"/>
        </w:rPr>
        <w:tab/>
        <w:t xml:space="preserve">PSE responded to the Joint Petitioners’ filing on August 14, 2015, seeking dismissal of the petition. PSE’s Motion to Dismiss relies on several grounds, including the petition’s lack of specificity as to the </w:t>
      </w:r>
      <w:r w:rsidR="00CE6F48" w:rsidRPr="009C4BFC">
        <w:rPr>
          <w:szCs w:val="24"/>
        </w:rPr>
        <w:t xml:space="preserve">capital expenses to be incurred at the Colstrip Facility, the Commission’s lack of authority to order the closure of a facility located in Montana and owned in part by a company outside the Commission’s regulatory authority, the Joint </w:t>
      </w:r>
      <w:r w:rsidR="00C33265" w:rsidRPr="009C4BFC">
        <w:rPr>
          <w:szCs w:val="24"/>
        </w:rPr>
        <w:t xml:space="preserve">Petitioners’ </w:t>
      </w:r>
      <w:r w:rsidR="00CE6F48" w:rsidRPr="009C4BFC">
        <w:rPr>
          <w:szCs w:val="24"/>
        </w:rPr>
        <w:t xml:space="preserve">misplaced use </w:t>
      </w:r>
      <w:r w:rsidR="00B60470">
        <w:rPr>
          <w:szCs w:val="24"/>
        </w:rPr>
        <w:t xml:space="preserve">of </w:t>
      </w:r>
      <w:r w:rsidR="00CE6F48" w:rsidRPr="009C4BFC">
        <w:rPr>
          <w:szCs w:val="24"/>
        </w:rPr>
        <w:lastRenderedPageBreak/>
        <w:t xml:space="preserve">ratemaking principles to force a </w:t>
      </w:r>
      <w:r w:rsidR="0070134E" w:rsidRPr="009C4BFC">
        <w:rPr>
          <w:szCs w:val="24"/>
        </w:rPr>
        <w:t xml:space="preserve">rate change </w:t>
      </w:r>
      <w:r w:rsidR="00CE6F48" w:rsidRPr="009C4BFC">
        <w:rPr>
          <w:szCs w:val="24"/>
        </w:rPr>
        <w:t xml:space="preserve">outside a ratemaking proceeding, and </w:t>
      </w:r>
      <w:r w:rsidR="00165CA6" w:rsidRPr="009C4BFC">
        <w:rPr>
          <w:szCs w:val="24"/>
        </w:rPr>
        <w:t xml:space="preserve">the Commission’s lack of </w:t>
      </w:r>
      <w:r w:rsidR="0070134E" w:rsidRPr="009C4BFC">
        <w:rPr>
          <w:szCs w:val="24"/>
        </w:rPr>
        <w:t xml:space="preserve">specific </w:t>
      </w:r>
      <w:r w:rsidR="00CE6F48" w:rsidRPr="009C4BFC">
        <w:rPr>
          <w:szCs w:val="24"/>
        </w:rPr>
        <w:t xml:space="preserve">authority </w:t>
      </w:r>
      <w:r w:rsidR="00165CA6" w:rsidRPr="009C4BFC">
        <w:rPr>
          <w:szCs w:val="24"/>
        </w:rPr>
        <w:t xml:space="preserve">to close a generating facility because of its impact on the environment. </w:t>
      </w:r>
      <w:r w:rsidR="0070134E" w:rsidRPr="009C4BFC">
        <w:rPr>
          <w:szCs w:val="24"/>
        </w:rPr>
        <w:t xml:space="preserve">Further, PSE cites to the Commission’s </w:t>
      </w:r>
      <w:r w:rsidR="0070134E" w:rsidRPr="009C4BFC">
        <w:rPr>
          <w:bCs/>
          <w:i/>
        </w:rPr>
        <w:t>Investigation of Coal-Fired Generating Unit Decommissioning and Remediation Costs</w:t>
      </w:r>
      <w:r w:rsidR="0070134E" w:rsidRPr="009C4BFC">
        <w:rPr>
          <w:bCs/>
        </w:rPr>
        <w:t xml:space="preserve"> initiated on July 21, 2015, arguing that the Joint Petitioners seek to duplicate the Commission’s own investigation and create confusion and unnecessary work for the Commission and interested parties.</w:t>
      </w:r>
      <w:r w:rsidR="00AA77D0">
        <w:rPr>
          <w:rStyle w:val="FootnoteReference"/>
          <w:bCs/>
        </w:rPr>
        <w:footnoteReference w:id="3"/>
      </w:r>
      <w:r w:rsidR="0070134E" w:rsidRPr="009C4BFC">
        <w:rPr>
          <w:bCs/>
        </w:rPr>
        <w:t xml:space="preserve"> </w:t>
      </w:r>
      <w:r w:rsidR="0070134E" w:rsidRPr="009C4BFC">
        <w:rPr>
          <w:szCs w:val="24"/>
        </w:rPr>
        <w:t xml:space="preserve"> </w:t>
      </w:r>
    </w:p>
    <w:p w14:paraId="1CCCD451" w14:textId="20554385" w:rsidR="004D2C6B" w:rsidRDefault="0070134E" w:rsidP="009C4BFC">
      <w:pPr>
        <w:pStyle w:val="Numberedbody"/>
        <w:numPr>
          <w:ilvl w:val="0"/>
          <w:numId w:val="11"/>
        </w:numPr>
        <w:tabs>
          <w:tab w:val="left" w:pos="720"/>
        </w:tabs>
        <w:spacing w:after="0" w:line="480" w:lineRule="auto"/>
        <w:rPr>
          <w:szCs w:val="24"/>
        </w:rPr>
      </w:pPr>
      <w:r w:rsidRPr="009C4BFC">
        <w:rPr>
          <w:szCs w:val="24"/>
        </w:rPr>
        <w:tab/>
        <w:t xml:space="preserve">Staff supports PSE’s </w:t>
      </w:r>
      <w:r w:rsidR="005A2001" w:rsidRPr="009C4BFC">
        <w:rPr>
          <w:szCs w:val="24"/>
        </w:rPr>
        <w:t>Motion t</w:t>
      </w:r>
      <w:r w:rsidR="000D5B7A" w:rsidRPr="009C4BFC">
        <w:rPr>
          <w:szCs w:val="24"/>
        </w:rPr>
        <w:t>o Dismiss</w:t>
      </w:r>
      <w:r w:rsidR="005A2001" w:rsidRPr="009C4BFC">
        <w:rPr>
          <w:szCs w:val="24"/>
        </w:rPr>
        <w:t xml:space="preserve">, relying upon the </w:t>
      </w:r>
      <w:r w:rsidR="00C33265" w:rsidRPr="009C4BFC">
        <w:rPr>
          <w:szCs w:val="24"/>
        </w:rPr>
        <w:t xml:space="preserve">Commission’s denial of previous requests to initiate an adjudicative proceeding to deal with </w:t>
      </w:r>
      <w:r w:rsidR="009C4BFC">
        <w:rPr>
          <w:szCs w:val="24"/>
        </w:rPr>
        <w:t xml:space="preserve">future Colstrip costs, and the </w:t>
      </w:r>
      <w:r w:rsidR="005A2001" w:rsidRPr="009C4BFC">
        <w:rPr>
          <w:szCs w:val="24"/>
        </w:rPr>
        <w:t>expected substantive and procedural value of the Commission’s own investigation into the issues raised by the Joint Petitioners</w:t>
      </w:r>
      <w:r w:rsidR="00294958" w:rsidRPr="009C4BFC">
        <w:rPr>
          <w:szCs w:val="24"/>
        </w:rPr>
        <w:t xml:space="preserve">. </w:t>
      </w:r>
      <w:r w:rsidR="005A2001" w:rsidRPr="009C4BFC">
        <w:rPr>
          <w:szCs w:val="24"/>
        </w:rPr>
        <w:t xml:space="preserve">Further, Staff agrees with PSE that the petition </w:t>
      </w:r>
      <w:r w:rsidR="00294958" w:rsidRPr="009C4BFC">
        <w:rPr>
          <w:szCs w:val="24"/>
        </w:rPr>
        <w:t xml:space="preserve">raises ratemaking issues and contemplates </w:t>
      </w:r>
      <w:r w:rsidR="005A2001" w:rsidRPr="009C4BFC">
        <w:rPr>
          <w:szCs w:val="24"/>
        </w:rPr>
        <w:t>change</w:t>
      </w:r>
      <w:r w:rsidR="00294958" w:rsidRPr="009C4BFC">
        <w:rPr>
          <w:szCs w:val="24"/>
        </w:rPr>
        <w:t>s</w:t>
      </w:r>
      <w:r w:rsidR="005A2001" w:rsidRPr="009C4BFC">
        <w:rPr>
          <w:szCs w:val="24"/>
        </w:rPr>
        <w:t xml:space="preserve"> in rates </w:t>
      </w:r>
      <w:r w:rsidR="00294958" w:rsidRPr="009C4BFC">
        <w:rPr>
          <w:szCs w:val="24"/>
        </w:rPr>
        <w:t xml:space="preserve">that </w:t>
      </w:r>
      <w:r w:rsidR="005C0B45">
        <w:rPr>
          <w:szCs w:val="24"/>
        </w:rPr>
        <w:t xml:space="preserve">– </w:t>
      </w:r>
      <w:r w:rsidR="00294958" w:rsidRPr="009C4BFC">
        <w:rPr>
          <w:szCs w:val="24"/>
        </w:rPr>
        <w:t>when ripe</w:t>
      </w:r>
      <w:r w:rsidR="005C0B45">
        <w:rPr>
          <w:szCs w:val="24"/>
        </w:rPr>
        <w:t xml:space="preserve"> –</w:t>
      </w:r>
      <w:r w:rsidR="00294958" w:rsidRPr="009C4BFC">
        <w:rPr>
          <w:szCs w:val="24"/>
        </w:rPr>
        <w:t xml:space="preserve"> will </w:t>
      </w:r>
      <w:r w:rsidR="005C0B45">
        <w:rPr>
          <w:szCs w:val="24"/>
        </w:rPr>
        <w:t>come</w:t>
      </w:r>
      <w:r w:rsidR="00294958" w:rsidRPr="009C4BFC">
        <w:rPr>
          <w:szCs w:val="24"/>
        </w:rPr>
        <w:t xml:space="preserve"> before the Commission</w:t>
      </w:r>
      <w:r w:rsidR="004D2C6B" w:rsidRPr="009C4BFC">
        <w:rPr>
          <w:szCs w:val="24"/>
        </w:rPr>
        <w:t xml:space="preserve"> without regard to the petition. W</w:t>
      </w:r>
      <w:r w:rsidR="004B7264" w:rsidRPr="009C4BFC">
        <w:rPr>
          <w:szCs w:val="24"/>
        </w:rPr>
        <w:t>hen ripe for review</w:t>
      </w:r>
      <w:r w:rsidR="00294958" w:rsidRPr="009C4BFC">
        <w:rPr>
          <w:szCs w:val="24"/>
        </w:rPr>
        <w:t>, the Commission will have the opportunity to consider these very issues</w:t>
      </w:r>
      <w:r w:rsidR="004B7264" w:rsidRPr="009C4BFC">
        <w:rPr>
          <w:szCs w:val="24"/>
        </w:rPr>
        <w:t>,</w:t>
      </w:r>
      <w:r w:rsidR="00294958" w:rsidRPr="009C4BFC">
        <w:rPr>
          <w:szCs w:val="24"/>
        </w:rPr>
        <w:t xml:space="preserve"> and can take appropriate action based on a full adjudicative record, involving all interested parties whose rates may </w:t>
      </w:r>
      <w:r w:rsidR="005C0B45">
        <w:rPr>
          <w:szCs w:val="24"/>
        </w:rPr>
        <w:t xml:space="preserve">be affected by the proceeding. </w:t>
      </w:r>
      <w:r w:rsidR="00294958" w:rsidRPr="009C4BFC">
        <w:rPr>
          <w:szCs w:val="24"/>
        </w:rPr>
        <w:t xml:space="preserve">The Joint Petitioners offer no compelling reason </w:t>
      </w:r>
      <w:r w:rsidR="004B7264" w:rsidRPr="009C4BFC">
        <w:rPr>
          <w:szCs w:val="24"/>
        </w:rPr>
        <w:t xml:space="preserve">why the Commission should either </w:t>
      </w:r>
      <w:r w:rsidR="00294958" w:rsidRPr="009C4BFC">
        <w:rPr>
          <w:szCs w:val="24"/>
        </w:rPr>
        <w:t>take up these issues outside the context of a full general rate case</w:t>
      </w:r>
      <w:r w:rsidR="004B7264" w:rsidRPr="009C4BFC">
        <w:rPr>
          <w:szCs w:val="24"/>
        </w:rPr>
        <w:t xml:space="preserve"> or </w:t>
      </w:r>
      <w:r w:rsidR="000608D4" w:rsidRPr="009C4BFC">
        <w:rPr>
          <w:szCs w:val="24"/>
        </w:rPr>
        <w:t xml:space="preserve">effectively quash </w:t>
      </w:r>
      <w:r w:rsidR="004B7264" w:rsidRPr="009C4BFC">
        <w:rPr>
          <w:szCs w:val="24"/>
        </w:rPr>
        <w:t xml:space="preserve">its own investigation in favor of the Joint Petitioners’ desired process. </w:t>
      </w:r>
    </w:p>
    <w:p w14:paraId="78F9EA1C" w14:textId="1E545B6D" w:rsidR="004D2C6B" w:rsidRPr="009C4BFC" w:rsidRDefault="004D2C6B" w:rsidP="009C4BFC">
      <w:pPr>
        <w:pStyle w:val="Numberedbody"/>
        <w:numPr>
          <w:ilvl w:val="0"/>
          <w:numId w:val="11"/>
        </w:numPr>
        <w:tabs>
          <w:tab w:val="left" w:pos="720"/>
        </w:tabs>
        <w:spacing w:after="0" w:line="480" w:lineRule="auto"/>
        <w:rPr>
          <w:szCs w:val="24"/>
        </w:rPr>
      </w:pPr>
      <w:r w:rsidRPr="009C4BFC">
        <w:rPr>
          <w:szCs w:val="24"/>
        </w:rPr>
        <w:tab/>
      </w:r>
      <w:r w:rsidR="004B7264" w:rsidRPr="009C4BFC">
        <w:rPr>
          <w:szCs w:val="24"/>
        </w:rPr>
        <w:t xml:space="preserve">For the reasons stated below, the Commission should recognize the petition’s </w:t>
      </w:r>
      <w:r w:rsidRPr="009C4BFC">
        <w:rPr>
          <w:szCs w:val="24"/>
        </w:rPr>
        <w:t xml:space="preserve">lack of tangible support </w:t>
      </w:r>
      <w:r w:rsidR="004B7264" w:rsidRPr="009C4BFC">
        <w:rPr>
          <w:szCs w:val="24"/>
        </w:rPr>
        <w:t xml:space="preserve">and dismiss the petition. </w:t>
      </w:r>
      <w:r w:rsidRPr="009C4BFC">
        <w:rPr>
          <w:szCs w:val="24"/>
        </w:rPr>
        <w:t>Thus</w:t>
      </w:r>
      <w:r w:rsidR="003D4393">
        <w:rPr>
          <w:szCs w:val="24"/>
        </w:rPr>
        <w:t>,</w:t>
      </w:r>
      <w:r w:rsidRPr="009C4BFC">
        <w:rPr>
          <w:szCs w:val="24"/>
        </w:rPr>
        <w:t xml:space="preserve"> allowing the </w:t>
      </w:r>
      <w:r w:rsidR="005A2001" w:rsidRPr="009C4BFC">
        <w:rPr>
          <w:szCs w:val="24"/>
        </w:rPr>
        <w:t xml:space="preserve">Commission </w:t>
      </w:r>
      <w:r w:rsidRPr="009C4BFC">
        <w:rPr>
          <w:szCs w:val="24"/>
        </w:rPr>
        <w:t xml:space="preserve">to </w:t>
      </w:r>
      <w:r w:rsidR="005A2001" w:rsidRPr="009C4BFC">
        <w:rPr>
          <w:szCs w:val="24"/>
        </w:rPr>
        <w:t xml:space="preserve">perform its </w:t>
      </w:r>
      <w:r w:rsidRPr="009C4BFC">
        <w:rPr>
          <w:szCs w:val="24"/>
        </w:rPr>
        <w:t xml:space="preserve">regulatory </w:t>
      </w:r>
      <w:r w:rsidR="005A2001" w:rsidRPr="009C4BFC">
        <w:rPr>
          <w:szCs w:val="24"/>
        </w:rPr>
        <w:t>responsibilities to investigate</w:t>
      </w:r>
      <w:r w:rsidRPr="009C4BFC">
        <w:rPr>
          <w:szCs w:val="24"/>
        </w:rPr>
        <w:t xml:space="preserve"> </w:t>
      </w:r>
      <w:r w:rsidR="005A2001" w:rsidRPr="009C4BFC">
        <w:rPr>
          <w:szCs w:val="24"/>
        </w:rPr>
        <w:t xml:space="preserve">Colstrip </w:t>
      </w:r>
      <w:r w:rsidRPr="009C4BFC">
        <w:rPr>
          <w:szCs w:val="24"/>
        </w:rPr>
        <w:t xml:space="preserve">Units 1 &amp; 2 as it intended and without burdening it and the parties with the procedural limitations attendant to an adjudication. </w:t>
      </w:r>
    </w:p>
    <w:p w14:paraId="26972757" w14:textId="77777777" w:rsidR="00D377EC" w:rsidRDefault="00D377EC" w:rsidP="000608D4">
      <w:pPr>
        <w:pStyle w:val="Numberedbody"/>
        <w:numPr>
          <w:ilvl w:val="0"/>
          <w:numId w:val="0"/>
        </w:numPr>
        <w:tabs>
          <w:tab w:val="left" w:pos="720"/>
        </w:tabs>
        <w:spacing w:after="0" w:line="480" w:lineRule="auto"/>
        <w:jc w:val="center"/>
        <w:rPr>
          <w:b/>
          <w:szCs w:val="24"/>
        </w:rPr>
      </w:pPr>
    </w:p>
    <w:p w14:paraId="43FE7325" w14:textId="7CE49FAA" w:rsidR="00D377EC" w:rsidRDefault="009C4BFC" w:rsidP="000608D4">
      <w:pPr>
        <w:pStyle w:val="Numberedbody"/>
        <w:numPr>
          <w:ilvl w:val="0"/>
          <w:numId w:val="0"/>
        </w:numPr>
        <w:tabs>
          <w:tab w:val="left" w:pos="720"/>
        </w:tabs>
        <w:spacing w:after="0" w:line="480" w:lineRule="auto"/>
        <w:jc w:val="center"/>
        <w:rPr>
          <w:b/>
          <w:szCs w:val="24"/>
        </w:rPr>
      </w:pPr>
      <w:r>
        <w:rPr>
          <w:b/>
          <w:szCs w:val="24"/>
        </w:rPr>
        <w:t xml:space="preserve">II.  </w:t>
      </w:r>
      <w:r w:rsidR="00D377EC">
        <w:rPr>
          <w:b/>
          <w:szCs w:val="24"/>
        </w:rPr>
        <w:t>ARGUMENT</w:t>
      </w:r>
    </w:p>
    <w:p w14:paraId="13942816" w14:textId="77777777" w:rsidR="00A92B4B" w:rsidRDefault="00A92B4B" w:rsidP="009C4BFC">
      <w:pPr>
        <w:pStyle w:val="Numberedbody"/>
        <w:numPr>
          <w:ilvl w:val="0"/>
          <w:numId w:val="9"/>
        </w:numPr>
        <w:tabs>
          <w:tab w:val="left" w:pos="720"/>
        </w:tabs>
        <w:spacing w:after="0" w:line="240" w:lineRule="auto"/>
        <w:ind w:hanging="720"/>
        <w:rPr>
          <w:b/>
          <w:szCs w:val="24"/>
        </w:rPr>
      </w:pPr>
      <w:r>
        <w:rPr>
          <w:b/>
          <w:szCs w:val="24"/>
        </w:rPr>
        <w:t xml:space="preserve">The Commission Has Previously Considered and Rejected a Sierra Club Request To Initiate an Adjudicatory Proceeding Dealing With Colstrip’s Future Costs </w:t>
      </w:r>
    </w:p>
    <w:p w14:paraId="6EFFA3DC" w14:textId="77777777" w:rsidR="009C4BFC" w:rsidRDefault="009C4BFC" w:rsidP="009C4BFC">
      <w:pPr>
        <w:pStyle w:val="Numberedbody"/>
        <w:numPr>
          <w:ilvl w:val="0"/>
          <w:numId w:val="0"/>
        </w:numPr>
        <w:tabs>
          <w:tab w:val="left" w:pos="720"/>
        </w:tabs>
        <w:spacing w:after="0" w:line="240" w:lineRule="auto"/>
        <w:rPr>
          <w:b/>
          <w:szCs w:val="24"/>
        </w:rPr>
      </w:pPr>
    </w:p>
    <w:p w14:paraId="35D29F12" w14:textId="2AB7B007" w:rsidR="00F25115" w:rsidRDefault="009C4BFC" w:rsidP="009C4BFC">
      <w:pPr>
        <w:pStyle w:val="Numberedbody"/>
        <w:numPr>
          <w:ilvl w:val="0"/>
          <w:numId w:val="11"/>
        </w:numPr>
        <w:tabs>
          <w:tab w:val="left" w:pos="720"/>
        </w:tabs>
        <w:spacing w:after="0" w:line="480" w:lineRule="auto"/>
        <w:rPr>
          <w:rFonts w:ascii="Times New Roman" w:hAnsi="Times New Roman"/>
          <w:sz w:val="25"/>
          <w:szCs w:val="25"/>
        </w:rPr>
      </w:pPr>
      <w:r>
        <w:rPr>
          <w:szCs w:val="24"/>
        </w:rPr>
        <w:tab/>
      </w:r>
      <w:r w:rsidR="00F25115">
        <w:rPr>
          <w:szCs w:val="24"/>
        </w:rPr>
        <w:t>Pursuant to its investigatory authority, t</w:t>
      </w:r>
      <w:r w:rsidR="00F25115">
        <w:t>he Commission intends to “</w:t>
      </w:r>
      <w:r w:rsidR="00F25115">
        <w:rPr>
          <w:rFonts w:ascii="Times New Roman" w:hAnsi="Times New Roman"/>
          <w:sz w:val="25"/>
          <w:szCs w:val="25"/>
        </w:rPr>
        <w:t>examine</w:t>
      </w:r>
      <w:r w:rsidR="00F25115" w:rsidRPr="009F25A0">
        <w:rPr>
          <w:rFonts w:ascii="Times New Roman" w:hAnsi="Times New Roman"/>
          <w:sz w:val="25"/>
          <w:szCs w:val="25"/>
        </w:rPr>
        <w:t xml:space="preserve"> the expected costs of decommissioning </w:t>
      </w:r>
      <w:r w:rsidR="00F25115">
        <w:rPr>
          <w:rFonts w:ascii="Times New Roman" w:hAnsi="Times New Roman"/>
          <w:sz w:val="25"/>
          <w:szCs w:val="25"/>
        </w:rPr>
        <w:t>certain coal-fired generating units … owned by utilities under Commission regulation.”</w:t>
      </w:r>
      <w:r w:rsidR="00F25115">
        <w:rPr>
          <w:rStyle w:val="FootnoteReference"/>
          <w:rFonts w:ascii="Times New Roman" w:hAnsi="Times New Roman"/>
          <w:sz w:val="25"/>
          <w:szCs w:val="25"/>
        </w:rPr>
        <w:footnoteReference w:id="4"/>
      </w:r>
      <w:r w:rsidR="00F25115">
        <w:rPr>
          <w:rFonts w:ascii="Times New Roman" w:hAnsi="Times New Roman"/>
          <w:sz w:val="25"/>
          <w:szCs w:val="25"/>
        </w:rPr>
        <w:t xml:space="preserve"> The Commission will also examine the expected costs of necessary </w:t>
      </w:r>
      <w:r w:rsidR="00F25115" w:rsidRPr="009F25A0">
        <w:rPr>
          <w:rFonts w:ascii="Times New Roman" w:hAnsi="Times New Roman"/>
          <w:sz w:val="25"/>
          <w:szCs w:val="25"/>
        </w:rPr>
        <w:t>environmental remediation</w:t>
      </w:r>
      <w:r w:rsidR="00F25115">
        <w:rPr>
          <w:rFonts w:ascii="Times New Roman" w:hAnsi="Times New Roman"/>
          <w:sz w:val="25"/>
          <w:szCs w:val="25"/>
        </w:rPr>
        <w:t xml:space="preserve"> at the Colstrip site, plant retire</w:t>
      </w:r>
      <w:r w:rsidR="00CE14AA">
        <w:rPr>
          <w:rFonts w:ascii="Times New Roman" w:hAnsi="Times New Roman"/>
          <w:sz w:val="25"/>
          <w:szCs w:val="25"/>
        </w:rPr>
        <w:t>ment</w:t>
      </w:r>
      <w:r w:rsidR="00F25115">
        <w:rPr>
          <w:rFonts w:ascii="Times New Roman" w:hAnsi="Times New Roman"/>
          <w:sz w:val="25"/>
          <w:szCs w:val="25"/>
        </w:rPr>
        <w:t xml:space="preserve"> costs, and the funds accumulated by PSE “for the purpose of decommissioning the affected coal facilities.”</w:t>
      </w:r>
      <w:r w:rsidR="00F25115">
        <w:rPr>
          <w:rStyle w:val="FootnoteReference"/>
          <w:rFonts w:ascii="Times New Roman" w:hAnsi="Times New Roman"/>
          <w:sz w:val="25"/>
          <w:szCs w:val="25"/>
        </w:rPr>
        <w:footnoteReference w:id="5"/>
      </w:r>
      <w:r w:rsidR="00F25115">
        <w:rPr>
          <w:rFonts w:ascii="Times New Roman" w:hAnsi="Times New Roman"/>
          <w:sz w:val="25"/>
          <w:szCs w:val="25"/>
        </w:rPr>
        <w:t xml:space="preserve">  Importantly, the Commission’s investigation was not predicated on an expressed immediate need to approve a plan for the closure of these facilities. Nor does the investigation foreclose this option. At the conclusion of the investigation, the record should be factually sufficient to support the Commission’s next steps with regard to Colstrip 1 &amp; 2. This is Staff’s expectation, and the Joint Petitioners offer nothing to contradict it.</w:t>
      </w:r>
      <w:r>
        <w:rPr>
          <w:rFonts w:ascii="Times New Roman" w:hAnsi="Times New Roman"/>
          <w:sz w:val="25"/>
          <w:szCs w:val="25"/>
        </w:rPr>
        <w:t xml:space="preserve">  </w:t>
      </w:r>
    </w:p>
    <w:p w14:paraId="6C2D4F87" w14:textId="44667D83" w:rsidR="00AC4675" w:rsidRDefault="00F25115" w:rsidP="009C4BFC">
      <w:pPr>
        <w:pStyle w:val="Numberedbody"/>
        <w:numPr>
          <w:ilvl w:val="0"/>
          <w:numId w:val="11"/>
        </w:numPr>
        <w:tabs>
          <w:tab w:val="left" w:pos="720"/>
        </w:tabs>
        <w:spacing w:after="0" w:line="480" w:lineRule="auto"/>
        <w:rPr>
          <w:rFonts w:ascii="Times New Roman" w:hAnsi="Times New Roman"/>
          <w:sz w:val="25"/>
          <w:szCs w:val="25"/>
        </w:rPr>
      </w:pPr>
      <w:r w:rsidRPr="009C4BFC">
        <w:rPr>
          <w:rFonts w:ascii="Times New Roman" w:hAnsi="Times New Roman"/>
          <w:sz w:val="25"/>
          <w:szCs w:val="25"/>
        </w:rPr>
        <w:tab/>
      </w:r>
      <w:r w:rsidR="003D4393">
        <w:rPr>
          <w:rFonts w:ascii="Times New Roman" w:hAnsi="Times New Roman"/>
          <w:sz w:val="25"/>
          <w:szCs w:val="25"/>
        </w:rPr>
        <w:t>The Sierra Club has asked the Commission to revie</w:t>
      </w:r>
      <w:r w:rsidR="00E312DB">
        <w:rPr>
          <w:rFonts w:ascii="Times New Roman" w:hAnsi="Times New Roman"/>
          <w:sz w:val="25"/>
          <w:szCs w:val="25"/>
        </w:rPr>
        <w:t>w the prudence of the Colstrip F</w:t>
      </w:r>
      <w:bookmarkStart w:id="0" w:name="_GoBack"/>
      <w:bookmarkEnd w:id="0"/>
      <w:r w:rsidR="003D4393">
        <w:rPr>
          <w:rFonts w:ascii="Times New Roman" w:hAnsi="Times New Roman"/>
          <w:sz w:val="25"/>
          <w:szCs w:val="25"/>
        </w:rPr>
        <w:t>acility before</w:t>
      </w:r>
      <w:r w:rsidR="00AC4675" w:rsidRPr="009C4BFC">
        <w:rPr>
          <w:rFonts w:ascii="Times New Roman" w:hAnsi="Times New Roman"/>
          <w:sz w:val="25"/>
          <w:szCs w:val="25"/>
        </w:rPr>
        <w:t xml:space="preserve">. This very issue was raised by the Sierra Club in PSE’s 2011 rate case, and later referenced in the Commission’s acknowledgment letter covering PSE’s 2013 IRP, issued on February 6, 2014. </w:t>
      </w:r>
    </w:p>
    <w:p w14:paraId="2150CDA7" w14:textId="5412D628" w:rsidR="00AC4675" w:rsidRPr="003D4393" w:rsidRDefault="00AC4675" w:rsidP="003D4393">
      <w:pPr>
        <w:pStyle w:val="Numberedbody"/>
        <w:numPr>
          <w:ilvl w:val="0"/>
          <w:numId w:val="11"/>
        </w:numPr>
        <w:tabs>
          <w:tab w:val="left" w:pos="720"/>
        </w:tabs>
        <w:spacing w:after="0" w:line="480" w:lineRule="auto"/>
        <w:rPr>
          <w:rFonts w:ascii="Times New Roman" w:hAnsi="Times New Roman"/>
          <w:sz w:val="25"/>
          <w:szCs w:val="25"/>
        </w:rPr>
      </w:pPr>
      <w:r w:rsidRPr="003D4393">
        <w:rPr>
          <w:rFonts w:ascii="Times New Roman" w:hAnsi="Times New Roman"/>
          <w:sz w:val="25"/>
          <w:szCs w:val="25"/>
        </w:rPr>
        <w:tab/>
        <w:t xml:space="preserve">In its </w:t>
      </w:r>
      <w:r w:rsidR="00C9191F" w:rsidRPr="003D4393">
        <w:rPr>
          <w:rFonts w:ascii="Times New Roman" w:hAnsi="Times New Roman"/>
          <w:sz w:val="25"/>
          <w:szCs w:val="25"/>
        </w:rPr>
        <w:t xml:space="preserve">2014 </w:t>
      </w:r>
      <w:r w:rsidRPr="003D4393">
        <w:rPr>
          <w:rFonts w:ascii="Times New Roman" w:hAnsi="Times New Roman"/>
          <w:sz w:val="25"/>
          <w:szCs w:val="25"/>
        </w:rPr>
        <w:t xml:space="preserve">acknowledgment letter, the Commission noted the Sierra Club’s previous request to open a docket outside </w:t>
      </w:r>
      <w:r w:rsidR="00CE14AA">
        <w:rPr>
          <w:rFonts w:ascii="Times New Roman" w:hAnsi="Times New Roman"/>
          <w:sz w:val="25"/>
          <w:szCs w:val="25"/>
        </w:rPr>
        <w:t xml:space="preserve">of </w:t>
      </w:r>
      <w:r w:rsidRPr="003D4393">
        <w:rPr>
          <w:rFonts w:ascii="Times New Roman" w:hAnsi="Times New Roman"/>
          <w:sz w:val="25"/>
          <w:szCs w:val="25"/>
        </w:rPr>
        <w:t xml:space="preserve">a general rate case to review the economics of Colstrip’s continued operation. </w:t>
      </w:r>
      <w:r w:rsidR="00C9191F" w:rsidRPr="003D4393">
        <w:rPr>
          <w:rFonts w:ascii="Times New Roman" w:hAnsi="Times New Roman"/>
          <w:sz w:val="25"/>
          <w:szCs w:val="25"/>
        </w:rPr>
        <w:t>At the time, t</w:t>
      </w:r>
      <w:r w:rsidRPr="003D4393">
        <w:rPr>
          <w:rFonts w:ascii="Times New Roman" w:hAnsi="Times New Roman"/>
          <w:sz w:val="25"/>
          <w:szCs w:val="25"/>
        </w:rPr>
        <w:t xml:space="preserve">he Sierra Club’s new docket would </w:t>
      </w:r>
      <w:r w:rsidR="00C9191F" w:rsidRPr="003D4393">
        <w:rPr>
          <w:rFonts w:ascii="Times New Roman" w:hAnsi="Times New Roman"/>
          <w:sz w:val="25"/>
          <w:szCs w:val="25"/>
        </w:rPr>
        <w:t xml:space="preserve">have </w:t>
      </w:r>
      <w:r w:rsidRPr="003D4393">
        <w:rPr>
          <w:rFonts w:ascii="Times New Roman" w:hAnsi="Times New Roman"/>
          <w:sz w:val="25"/>
          <w:szCs w:val="25"/>
        </w:rPr>
        <w:t>focus</w:t>
      </w:r>
      <w:r w:rsidR="00C9191F" w:rsidRPr="003D4393">
        <w:rPr>
          <w:rFonts w:ascii="Times New Roman" w:hAnsi="Times New Roman"/>
          <w:sz w:val="25"/>
          <w:szCs w:val="25"/>
        </w:rPr>
        <w:t>ed</w:t>
      </w:r>
      <w:r w:rsidRPr="003D4393">
        <w:rPr>
          <w:rFonts w:ascii="Times New Roman" w:hAnsi="Times New Roman"/>
          <w:sz w:val="25"/>
          <w:szCs w:val="25"/>
        </w:rPr>
        <w:t xml:space="preserve"> on a </w:t>
      </w:r>
      <w:r w:rsidR="00C9191F" w:rsidRPr="003D4393">
        <w:rPr>
          <w:rFonts w:ascii="Times New Roman" w:hAnsi="Times New Roman"/>
          <w:sz w:val="25"/>
          <w:szCs w:val="25"/>
        </w:rPr>
        <w:t>proposed s</w:t>
      </w:r>
      <w:r w:rsidRPr="003D4393">
        <w:rPr>
          <w:rFonts w:ascii="Times New Roman" w:hAnsi="Times New Roman"/>
          <w:sz w:val="25"/>
          <w:szCs w:val="25"/>
        </w:rPr>
        <w:t xml:space="preserve">tudy </w:t>
      </w:r>
      <w:r w:rsidR="00C9191F" w:rsidRPr="003D4393">
        <w:rPr>
          <w:rFonts w:ascii="Times New Roman" w:hAnsi="Times New Roman"/>
          <w:sz w:val="25"/>
          <w:szCs w:val="25"/>
        </w:rPr>
        <w:t xml:space="preserve">to </w:t>
      </w:r>
      <w:r w:rsidR="00CE14AA">
        <w:rPr>
          <w:rFonts w:ascii="Times New Roman" w:hAnsi="Times New Roman"/>
          <w:sz w:val="25"/>
          <w:szCs w:val="25"/>
        </w:rPr>
        <w:t xml:space="preserve">be </w:t>
      </w:r>
      <w:r w:rsidRPr="003D4393">
        <w:rPr>
          <w:rFonts w:ascii="Times New Roman" w:hAnsi="Times New Roman"/>
          <w:sz w:val="25"/>
          <w:szCs w:val="25"/>
        </w:rPr>
        <w:t xml:space="preserve">performed by PSE that would </w:t>
      </w:r>
      <w:r w:rsidR="00C9191F" w:rsidRPr="003D4393">
        <w:rPr>
          <w:rFonts w:ascii="Times New Roman" w:hAnsi="Times New Roman"/>
          <w:sz w:val="25"/>
          <w:szCs w:val="25"/>
        </w:rPr>
        <w:t xml:space="preserve">have </w:t>
      </w:r>
      <w:r w:rsidRPr="003D4393">
        <w:rPr>
          <w:rFonts w:ascii="Times New Roman" w:hAnsi="Times New Roman"/>
          <w:sz w:val="25"/>
          <w:szCs w:val="25"/>
        </w:rPr>
        <w:t>include</w:t>
      </w:r>
      <w:r w:rsidR="00C9191F" w:rsidRPr="003D4393">
        <w:rPr>
          <w:rFonts w:ascii="Times New Roman" w:hAnsi="Times New Roman"/>
          <w:sz w:val="25"/>
          <w:szCs w:val="25"/>
        </w:rPr>
        <w:t>d</w:t>
      </w:r>
      <w:r w:rsidRPr="003D4393">
        <w:rPr>
          <w:rFonts w:ascii="Times New Roman" w:hAnsi="Times New Roman"/>
          <w:sz w:val="25"/>
          <w:szCs w:val="25"/>
        </w:rPr>
        <w:t xml:space="preserve">: </w:t>
      </w:r>
    </w:p>
    <w:p w14:paraId="33EE50D1" w14:textId="77777777" w:rsidR="00AC4675" w:rsidRDefault="00AC4675" w:rsidP="00195851">
      <w:pPr>
        <w:spacing w:after="240" w:line="264" w:lineRule="auto"/>
        <w:ind w:left="720"/>
        <w:rPr>
          <w:rFonts w:ascii="Times New Roman" w:hAnsi="Times New Roman"/>
          <w:sz w:val="25"/>
          <w:szCs w:val="25"/>
        </w:rPr>
      </w:pPr>
      <w:r>
        <w:rPr>
          <w:rFonts w:ascii="Times New Roman" w:hAnsi="Times New Roman"/>
          <w:sz w:val="25"/>
          <w:szCs w:val="25"/>
        </w:rPr>
        <w:t>[A]</w:t>
      </w:r>
      <w:r w:rsidRPr="005744C9">
        <w:rPr>
          <w:rFonts w:ascii="Times New Roman" w:hAnsi="Times New Roman"/>
          <w:sz w:val="25"/>
          <w:szCs w:val="25"/>
        </w:rPr>
        <w:t xml:space="preserve"> full analysis of the range of risks for future costs at Colstrip from environmental retrofits due to state and federal regulations, increasing coal prices, costs and risks associated with the rehabilitation, maintenance, expansion, and continued operation of storage ponds for combustion waste, and the risks associated with future carbon emissions costs.</w:t>
      </w:r>
      <w:r w:rsidRPr="005744C9">
        <w:rPr>
          <w:rFonts w:ascii="Times New Roman" w:hAnsi="Times New Roman"/>
          <w:sz w:val="25"/>
          <w:szCs w:val="25"/>
          <w:vertAlign w:val="superscript"/>
        </w:rPr>
        <w:footnoteReference w:id="6"/>
      </w:r>
      <w:r w:rsidRPr="005744C9">
        <w:rPr>
          <w:rFonts w:ascii="Times New Roman" w:hAnsi="Times New Roman"/>
          <w:sz w:val="25"/>
          <w:szCs w:val="25"/>
        </w:rPr>
        <w:t xml:space="preserve"> </w:t>
      </w:r>
    </w:p>
    <w:p w14:paraId="6E23D2A0" w14:textId="0D7F3BE4" w:rsidR="00AC4675" w:rsidRDefault="009C4BFC" w:rsidP="009C4BFC">
      <w:pPr>
        <w:pStyle w:val="Numberedbody"/>
        <w:numPr>
          <w:ilvl w:val="0"/>
          <w:numId w:val="11"/>
        </w:numPr>
        <w:tabs>
          <w:tab w:val="left" w:pos="720"/>
        </w:tabs>
        <w:spacing w:after="0" w:line="480" w:lineRule="auto"/>
      </w:pPr>
      <w:r>
        <w:tab/>
      </w:r>
      <w:r w:rsidR="00AC4675">
        <w:t>The Commission rejected the Sierra Club’s request for a separate study of Colstrip’s future costs, but required PSE to present a like study in its 2013 IRP. Importantly, the Commission also rejected the Sierra Club’s request for a separate docket covering this same subject matter, finding a separate adjudicatory proceeding on the Colstrip issues unnecessary.</w:t>
      </w:r>
      <w:r w:rsidR="00AC4675">
        <w:rPr>
          <w:rStyle w:val="FootnoteReference"/>
        </w:rPr>
        <w:footnoteReference w:id="7"/>
      </w:r>
      <w:r w:rsidR="00AC4675">
        <w:t xml:space="preserve">  </w:t>
      </w:r>
    </w:p>
    <w:p w14:paraId="6F54339E" w14:textId="77777777" w:rsidR="00AC4675" w:rsidRDefault="00AC4675" w:rsidP="009C4BFC">
      <w:pPr>
        <w:pStyle w:val="Numberedbody"/>
        <w:numPr>
          <w:ilvl w:val="0"/>
          <w:numId w:val="11"/>
        </w:numPr>
        <w:tabs>
          <w:tab w:val="left" w:pos="720"/>
        </w:tabs>
        <w:spacing w:after="0" w:line="480" w:lineRule="auto"/>
      </w:pPr>
      <w:r>
        <w:tab/>
        <w:t xml:space="preserve">PSE filed its Colstrip study in its 2013 IRP. In response, the Commission’s </w:t>
      </w:r>
      <w:r w:rsidR="00C9191F">
        <w:t xml:space="preserve">2014 </w:t>
      </w:r>
      <w:r>
        <w:t>acknowledgment letter cited the study and found:</w:t>
      </w:r>
    </w:p>
    <w:p w14:paraId="0C4D1908" w14:textId="77777777" w:rsidR="00AC4675" w:rsidRDefault="00AC4675" w:rsidP="00AC4675">
      <w:pPr>
        <w:pStyle w:val="Numberedbody"/>
        <w:numPr>
          <w:ilvl w:val="0"/>
          <w:numId w:val="0"/>
        </w:numPr>
        <w:tabs>
          <w:tab w:val="left" w:pos="720"/>
        </w:tabs>
        <w:spacing w:after="0" w:line="240" w:lineRule="auto"/>
        <w:rPr>
          <w:rFonts w:ascii="Times New Roman" w:hAnsi="Times New Roman"/>
          <w:szCs w:val="24"/>
        </w:rPr>
      </w:pPr>
      <w:r>
        <w:rPr>
          <w:rFonts w:ascii="Times New Roman" w:hAnsi="Times New Roman"/>
          <w:szCs w:val="24"/>
        </w:rPr>
        <w:tab/>
        <w:t>“</w:t>
      </w:r>
      <w:r w:rsidRPr="00F7311B">
        <w:rPr>
          <w:rFonts w:ascii="Times New Roman" w:hAnsi="Times New Roman"/>
          <w:szCs w:val="24"/>
        </w:rPr>
        <w:t xml:space="preserve">Based on the information presented in the Colstrip study, we are unable to conclude that </w:t>
      </w:r>
      <w:r>
        <w:rPr>
          <w:rFonts w:ascii="Times New Roman" w:hAnsi="Times New Roman"/>
          <w:szCs w:val="24"/>
        </w:rPr>
        <w:tab/>
      </w:r>
      <w:r w:rsidRPr="00F7311B">
        <w:rPr>
          <w:rFonts w:ascii="Times New Roman" w:hAnsi="Times New Roman"/>
          <w:szCs w:val="24"/>
        </w:rPr>
        <w:t xml:space="preserve">continued operation of Colstrip Units 1 and 2 </w:t>
      </w:r>
      <w:r w:rsidRPr="007A350E">
        <w:rPr>
          <w:rFonts w:ascii="Times New Roman" w:hAnsi="Times New Roman"/>
          <w:i/>
          <w:szCs w:val="24"/>
        </w:rPr>
        <w:t>should or should not</w:t>
      </w:r>
      <w:r w:rsidRPr="00F7311B">
        <w:rPr>
          <w:rFonts w:ascii="Times New Roman" w:hAnsi="Times New Roman"/>
          <w:szCs w:val="24"/>
        </w:rPr>
        <w:t xml:space="preserve"> be a component of the </w:t>
      </w:r>
      <w:r>
        <w:rPr>
          <w:rFonts w:ascii="Times New Roman" w:hAnsi="Times New Roman"/>
          <w:szCs w:val="24"/>
        </w:rPr>
        <w:tab/>
      </w:r>
      <w:r w:rsidRPr="00F7311B">
        <w:rPr>
          <w:rFonts w:ascii="Times New Roman" w:hAnsi="Times New Roman"/>
          <w:szCs w:val="24"/>
        </w:rPr>
        <w:t>Selected Resource Plan.</w:t>
      </w:r>
      <w:r>
        <w:rPr>
          <w:rFonts w:ascii="Times New Roman" w:hAnsi="Times New Roman"/>
          <w:szCs w:val="24"/>
        </w:rPr>
        <w:t>”</w:t>
      </w:r>
      <w:r>
        <w:rPr>
          <w:rStyle w:val="FootnoteReference"/>
          <w:rFonts w:ascii="Times New Roman" w:hAnsi="Times New Roman"/>
          <w:szCs w:val="24"/>
        </w:rPr>
        <w:footnoteReference w:id="8"/>
      </w:r>
    </w:p>
    <w:p w14:paraId="04C5F94A" w14:textId="77777777" w:rsidR="00AC4675" w:rsidRDefault="00AC4675" w:rsidP="00AC4675">
      <w:pPr>
        <w:pStyle w:val="Numberedbody"/>
        <w:numPr>
          <w:ilvl w:val="0"/>
          <w:numId w:val="0"/>
        </w:numPr>
        <w:tabs>
          <w:tab w:val="left" w:pos="720"/>
        </w:tabs>
        <w:spacing w:after="0" w:line="240" w:lineRule="auto"/>
        <w:rPr>
          <w:rFonts w:ascii="Times New Roman" w:hAnsi="Times New Roman"/>
          <w:szCs w:val="24"/>
        </w:rPr>
      </w:pPr>
      <w:r>
        <w:rPr>
          <w:rFonts w:ascii="Times New Roman" w:hAnsi="Times New Roman"/>
          <w:szCs w:val="24"/>
        </w:rPr>
        <w:t xml:space="preserve"> </w:t>
      </w:r>
    </w:p>
    <w:p w14:paraId="39F933E5" w14:textId="77777777" w:rsidR="00AC4675" w:rsidRPr="00F7311B" w:rsidRDefault="00AC4675" w:rsidP="00AC4675">
      <w:pPr>
        <w:pStyle w:val="Numberedbody"/>
        <w:numPr>
          <w:ilvl w:val="0"/>
          <w:numId w:val="0"/>
        </w:numPr>
        <w:tabs>
          <w:tab w:val="left" w:pos="720"/>
        </w:tabs>
        <w:spacing w:after="0" w:line="480" w:lineRule="auto"/>
        <w:rPr>
          <w:szCs w:val="24"/>
        </w:rPr>
      </w:pPr>
      <w:r>
        <w:rPr>
          <w:szCs w:val="24"/>
        </w:rPr>
        <w:t xml:space="preserve">In other words, the Commission found that even with </w:t>
      </w:r>
      <w:r>
        <w:t xml:space="preserve">the substantial record presented in the IRP, it could not answer yes or no to the question of whether PSE should continue to invest in Colstrip. </w:t>
      </w:r>
      <w:r>
        <w:rPr>
          <w:szCs w:val="24"/>
        </w:rPr>
        <w:t xml:space="preserve"> </w:t>
      </w:r>
    </w:p>
    <w:p w14:paraId="2848B1E2" w14:textId="2F1C7FD7" w:rsidR="00AC4675" w:rsidRDefault="009C4BFC" w:rsidP="009C4BFC">
      <w:pPr>
        <w:pStyle w:val="Numberedbody"/>
        <w:numPr>
          <w:ilvl w:val="0"/>
          <w:numId w:val="11"/>
        </w:numPr>
        <w:tabs>
          <w:tab w:val="left" w:pos="720"/>
        </w:tabs>
        <w:spacing w:after="0" w:line="480" w:lineRule="auto"/>
      </w:pPr>
      <w:r>
        <w:tab/>
      </w:r>
      <w:r w:rsidR="00AC4675">
        <w:t xml:space="preserve">The Commission’s reluctance to go further with the </w:t>
      </w:r>
      <w:r w:rsidR="00C9191F">
        <w:t xml:space="preserve">2013 IRP’s existing </w:t>
      </w:r>
      <w:r w:rsidR="00AC4675">
        <w:t xml:space="preserve">record does not open the door to further requests for adjudication on substantially similar issues, such as that filed by the Joint Petitioners. </w:t>
      </w:r>
    </w:p>
    <w:p w14:paraId="07DCEED7" w14:textId="59982F2A" w:rsidR="00AC4675" w:rsidRDefault="00AC4675" w:rsidP="009C4BFC">
      <w:pPr>
        <w:pStyle w:val="Numberedbody"/>
        <w:numPr>
          <w:ilvl w:val="0"/>
          <w:numId w:val="11"/>
        </w:numPr>
        <w:tabs>
          <w:tab w:val="left" w:pos="720"/>
        </w:tabs>
        <w:spacing w:after="0" w:line="480" w:lineRule="auto"/>
      </w:pPr>
      <w:r>
        <w:tab/>
        <w:t xml:space="preserve">In sum, the Commission has previously declined the Sierra Club’s invitation to establish a separate adjudicatory process for determining the prudency of PSE’s Colstrip investments. It also refused to require PSE to present a Colstrip cost and risk study outside of its IRP. The Commission’s current investigation is consistent with this prior treatment of the subject matter. </w:t>
      </w:r>
    </w:p>
    <w:p w14:paraId="41C36960" w14:textId="130FAD9D" w:rsidR="00AC4675" w:rsidRDefault="00AC4675" w:rsidP="009C4BFC">
      <w:pPr>
        <w:pStyle w:val="Numberedbody"/>
        <w:numPr>
          <w:ilvl w:val="0"/>
          <w:numId w:val="11"/>
        </w:numPr>
        <w:tabs>
          <w:tab w:val="left" w:pos="720"/>
        </w:tabs>
        <w:spacing w:after="0" w:line="480" w:lineRule="auto"/>
      </w:pPr>
      <w:r>
        <w:tab/>
        <w:t xml:space="preserve">The instant proceeding is an attempt to resuscitate a prior demand and should be rejected. The Joint Petitioners offer no new or changed circumstances to support </w:t>
      </w:r>
      <w:r w:rsidR="00CE14AA">
        <w:t>their</w:t>
      </w:r>
      <w:r>
        <w:t xml:space="preserve"> petition. In fact, the circumstances affecting Colstrip are largely the same at this point in time as they were in 2013. Consistent with the Commission’s precedent on this subject, the Joint Petitioners</w:t>
      </w:r>
      <w:r w:rsidR="00912ABD">
        <w:t xml:space="preserve">’ </w:t>
      </w:r>
      <w:r>
        <w:t xml:space="preserve">request to </w:t>
      </w:r>
      <w:r w:rsidR="00912ABD">
        <w:t xml:space="preserve">initiate an adjudication under these circumstances </w:t>
      </w:r>
      <w:r>
        <w:t xml:space="preserve">should be denied. </w:t>
      </w:r>
    </w:p>
    <w:p w14:paraId="00AE555B" w14:textId="546E730C" w:rsidR="00A92B4B" w:rsidRDefault="00A92B4B" w:rsidP="009C4BFC">
      <w:pPr>
        <w:pStyle w:val="Numberedbody"/>
        <w:numPr>
          <w:ilvl w:val="0"/>
          <w:numId w:val="9"/>
        </w:numPr>
        <w:tabs>
          <w:tab w:val="left" w:pos="720"/>
        </w:tabs>
        <w:spacing w:after="0" w:line="240" w:lineRule="auto"/>
        <w:ind w:hanging="720"/>
        <w:rPr>
          <w:b/>
        </w:rPr>
      </w:pPr>
      <w:r w:rsidRPr="00A121B9">
        <w:rPr>
          <w:b/>
        </w:rPr>
        <w:t>The Joint Petitioners’ Adjudicatory Process Would Impose Unnecessary Administrative Burdens on the Commission and Parties</w:t>
      </w:r>
      <w:r w:rsidR="009C4BFC">
        <w:rPr>
          <w:b/>
        </w:rPr>
        <w:t xml:space="preserve"> </w:t>
      </w:r>
    </w:p>
    <w:p w14:paraId="630F1390" w14:textId="77777777" w:rsidR="009C4BFC" w:rsidRPr="00A121B9" w:rsidRDefault="009C4BFC" w:rsidP="009C4BFC">
      <w:pPr>
        <w:pStyle w:val="Numberedbody"/>
        <w:numPr>
          <w:ilvl w:val="0"/>
          <w:numId w:val="0"/>
        </w:numPr>
        <w:tabs>
          <w:tab w:val="left" w:pos="720"/>
        </w:tabs>
        <w:spacing w:after="0" w:line="240" w:lineRule="auto"/>
        <w:ind w:left="720"/>
        <w:rPr>
          <w:b/>
        </w:rPr>
      </w:pPr>
    </w:p>
    <w:p w14:paraId="3B0D307E" w14:textId="3B4EAC39" w:rsidR="00EF5F6B" w:rsidRDefault="009C4BFC" w:rsidP="009C4BFC">
      <w:pPr>
        <w:pStyle w:val="Numberedbody"/>
        <w:numPr>
          <w:ilvl w:val="0"/>
          <w:numId w:val="11"/>
        </w:numPr>
        <w:tabs>
          <w:tab w:val="left" w:pos="720"/>
        </w:tabs>
        <w:spacing w:after="0" w:line="480" w:lineRule="auto"/>
      </w:pPr>
      <w:r>
        <w:tab/>
      </w:r>
      <w:r w:rsidR="001662CA">
        <w:t>T</w:t>
      </w:r>
      <w:r w:rsidR="001662CA" w:rsidRPr="001662CA">
        <w:t xml:space="preserve">he adjudication requested by the </w:t>
      </w:r>
      <w:r w:rsidR="00912ABD">
        <w:t>J</w:t>
      </w:r>
      <w:r w:rsidR="001662CA" w:rsidRPr="001662CA">
        <w:t xml:space="preserve">oint </w:t>
      </w:r>
      <w:r w:rsidR="00912ABD">
        <w:t>P</w:t>
      </w:r>
      <w:r w:rsidR="001662CA" w:rsidRPr="001662CA">
        <w:t xml:space="preserve">etitioners will impose unnecessary constraints on the </w:t>
      </w:r>
      <w:r w:rsidR="00912ABD">
        <w:t>C</w:t>
      </w:r>
      <w:r w:rsidR="001662CA" w:rsidRPr="001662CA">
        <w:t xml:space="preserve">ommission’s interaction with </w:t>
      </w:r>
      <w:r w:rsidR="00912ABD">
        <w:t xml:space="preserve">Staff and the </w:t>
      </w:r>
      <w:r w:rsidR="001662CA" w:rsidRPr="001662CA">
        <w:t>parties</w:t>
      </w:r>
      <w:r w:rsidR="001662CA">
        <w:t xml:space="preserve">. </w:t>
      </w:r>
      <w:r w:rsidR="00FD051F" w:rsidRPr="00FD051F">
        <w:t xml:space="preserve">The </w:t>
      </w:r>
      <w:r w:rsidR="00FD051F">
        <w:t xml:space="preserve">Colstrip </w:t>
      </w:r>
      <w:r w:rsidR="00FD051F" w:rsidRPr="00FD051F">
        <w:t>investigation</w:t>
      </w:r>
      <w:r w:rsidR="00FD051F">
        <w:t xml:space="preserve"> requires PSE to provide the </w:t>
      </w:r>
      <w:r w:rsidR="00FD051F" w:rsidRPr="00FD051F">
        <w:t>Commission</w:t>
      </w:r>
      <w:r w:rsidR="00FD051F">
        <w:t xml:space="preserve"> </w:t>
      </w:r>
      <w:r w:rsidR="00FD051F" w:rsidRPr="00196FDC">
        <w:rPr>
          <w:i/>
        </w:rPr>
        <w:t>c</w:t>
      </w:r>
      <w:r w:rsidR="00196FDC" w:rsidRPr="00196FDC">
        <w:rPr>
          <w:i/>
        </w:rPr>
        <w:t xml:space="preserve">urrent </w:t>
      </w:r>
      <w:r w:rsidR="00FD051F">
        <w:t xml:space="preserve">information regarding the Company’s expected costs to decommission the facility and remediate its environmental impacts. Consistent with its character, the Commission’s investigation will permit a free exchange of information </w:t>
      </w:r>
      <w:r w:rsidR="00FE7681">
        <w:t xml:space="preserve">and ideas </w:t>
      </w:r>
      <w:r w:rsidR="00CE14AA">
        <w:t>among</w:t>
      </w:r>
      <w:r w:rsidR="00FD051F">
        <w:t xml:space="preserve"> the Commissioners, </w:t>
      </w:r>
      <w:r w:rsidR="00CE14AA">
        <w:t>their</w:t>
      </w:r>
      <w:r w:rsidR="00FD051F">
        <w:t xml:space="preserve"> regulatory and policy staff members, </w:t>
      </w:r>
      <w:r w:rsidR="00FE7681">
        <w:t>interested parties, members of the legislature and its employees, and the public generally.</w:t>
      </w:r>
      <w:r w:rsidR="001662CA">
        <w:t xml:space="preserve"> </w:t>
      </w:r>
      <w:r w:rsidR="00196FDC">
        <w:t xml:space="preserve">In contrast, the adjudication sought </w:t>
      </w:r>
      <w:r w:rsidR="001662CA">
        <w:t xml:space="preserve">by </w:t>
      </w:r>
      <w:r w:rsidR="00196FDC">
        <w:t xml:space="preserve">the Joint Petitioners would </w:t>
      </w:r>
      <w:r w:rsidR="001662CA">
        <w:t>create</w:t>
      </w:r>
      <w:r w:rsidR="00196FDC">
        <w:t xml:space="preserve"> immediate boundaries between the Commission and the parties. The formalities attendant to such a proceeding w</w:t>
      </w:r>
      <w:r w:rsidR="00CE14AA">
        <w:t>ould</w:t>
      </w:r>
      <w:r w:rsidR="00196FDC">
        <w:t xml:space="preserve"> constrict the free flow of information between PSE and the Commission</w:t>
      </w:r>
      <w:r w:rsidR="00D84A5D">
        <w:t xml:space="preserve">, between PSE and the parties, </w:t>
      </w:r>
      <w:r w:rsidR="00196FDC">
        <w:t xml:space="preserve">between the Commission and its own regulatory staff, and between the parties themselves. </w:t>
      </w:r>
      <w:r w:rsidR="00D84A5D">
        <w:t>The investigation contemplated by the Commission avoids these burdens.</w:t>
      </w:r>
      <w:r>
        <w:t xml:space="preserve"> </w:t>
      </w:r>
    </w:p>
    <w:p w14:paraId="040A209A" w14:textId="2715C742" w:rsidR="00D84A5D" w:rsidRDefault="00EF5F6B" w:rsidP="009C4BFC">
      <w:pPr>
        <w:pStyle w:val="Numberedbody"/>
        <w:numPr>
          <w:ilvl w:val="0"/>
          <w:numId w:val="11"/>
        </w:numPr>
        <w:tabs>
          <w:tab w:val="left" w:pos="720"/>
        </w:tabs>
        <w:spacing w:after="0" w:line="480" w:lineRule="auto"/>
      </w:pPr>
      <w:r>
        <w:tab/>
      </w:r>
      <w:r w:rsidR="00D84A5D">
        <w:t xml:space="preserve">Given the </w:t>
      </w:r>
      <w:r w:rsidR="005029C5">
        <w:t xml:space="preserve">range of </w:t>
      </w:r>
      <w:r w:rsidR="00D84A5D">
        <w:t>complex</w:t>
      </w:r>
      <w:r w:rsidR="005029C5">
        <w:t>ities associated with decommissioning Colstrip 1 &amp; 2, the Commission should retain the flexibility to act according to the facts generated by its investigation. By way of an adjudicatory pro</w:t>
      </w:r>
      <w:r w:rsidR="00912ABD">
        <w:t>ceeding</w:t>
      </w:r>
      <w:r w:rsidR="00C9191F">
        <w:t>, the</w:t>
      </w:r>
      <w:r w:rsidR="005029C5">
        <w:t xml:space="preserve"> Commission must </w:t>
      </w:r>
      <w:r>
        <w:t>a</w:t>
      </w:r>
      <w:r w:rsidR="005029C5">
        <w:t xml:space="preserve">ct </w:t>
      </w:r>
      <w:r>
        <w:t xml:space="preserve">consistent with </w:t>
      </w:r>
      <w:r w:rsidR="005029C5">
        <w:t xml:space="preserve">the record before it - largely dependent on the issues brought forward by the parties for adjudication. </w:t>
      </w:r>
      <w:r w:rsidR="00D84A5D">
        <w:t xml:space="preserve">There is value in retaining the informality </w:t>
      </w:r>
      <w:r>
        <w:t xml:space="preserve">and flexibility </w:t>
      </w:r>
      <w:r w:rsidR="00D84A5D">
        <w:t>of an investigation</w:t>
      </w:r>
      <w:r>
        <w:t xml:space="preserve">. The Joint Petitioners see no </w:t>
      </w:r>
      <w:r w:rsidR="00CE14AA">
        <w:t xml:space="preserve">such </w:t>
      </w:r>
      <w:r>
        <w:t xml:space="preserve">value here and seek to quash it. </w:t>
      </w:r>
    </w:p>
    <w:p w14:paraId="1391762F" w14:textId="6378C65A" w:rsidR="005D607E" w:rsidRDefault="00D84A5D" w:rsidP="009C4BFC">
      <w:pPr>
        <w:pStyle w:val="Numberedbody"/>
        <w:numPr>
          <w:ilvl w:val="0"/>
          <w:numId w:val="11"/>
        </w:numPr>
        <w:tabs>
          <w:tab w:val="left" w:pos="720"/>
        </w:tabs>
        <w:spacing w:after="0" w:line="480" w:lineRule="auto"/>
      </w:pPr>
      <w:r>
        <w:tab/>
        <w:t xml:space="preserve">Furthermore, the Joint Petitioners seek an expedited decision with the completion of discovery, briefing and a full evidentiary hearing by early February. This </w:t>
      </w:r>
      <w:r w:rsidR="002F3415">
        <w:t>is</w:t>
      </w:r>
      <w:r>
        <w:t xml:space="preserve"> an unrealistic objective given the importance of the issues in play. </w:t>
      </w:r>
      <w:r w:rsidR="009821C8">
        <w:t>Unless the Commission initiates a complaint against PSE’s rates, t</w:t>
      </w:r>
      <w:r w:rsidR="005D607E">
        <w:t xml:space="preserve">here is no </w:t>
      </w:r>
      <w:r w:rsidR="00C33265">
        <w:t xml:space="preserve">statutory </w:t>
      </w:r>
      <w:r w:rsidR="005D607E">
        <w:t xml:space="preserve">deadline </w:t>
      </w:r>
      <w:r w:rsidR="009821C8">
        <w:t xml:space="preserve">to complete </w:t>
      </w:r>
      <w:r w:rsidR="00C33265">
        <w:t>a case such as th</w:t>
      </w:r>
      <w:r w:rsidR="009821C8">
        <w:t xml:space="preserve">e one presented. </w:t>
      </w:r>
      <w:r w:rsidR="00912ABD">
        <w:t xml:space="preserve">The issues could be adjudicated </w:t>
      </w:r>
      <w:r w:rsidR="009821C8">
        <w:t xml:space="preserve">for </w:t>
      </w:r>
      <w:r w:rsidR="005D607E">
        <w:t xml:space="preserve">a </w:t>
      </w:r>
      <w:r w:rsidR="00072C0A">
        <w:t xml:space="preserve">very </w:t>
      </w:r>
      <w:r w:rsidR="005D607E">
        <w:t>long period.</w:t>
      </w:r>
      <w:r w:rsidR="009821C8">
        <w:t xml:space="preserve"> Staff believes it would </w:t>
      </w:r>
      <w:r w:rsidR="00CF0CFE">
        <w:t xml:space="preserve">be </w:t>
      </w:r>
      <w:r w:rsidR="00C33265">
        <w:t xml:space="preserve">imprudent </w:t>
      </w:r>
      <w:r w:rsidR="005D607E">
        <w:t xml:space="preserve">to think otherwise. An investigation permits the Commission to make progress in areas </w:t>
      </w:r>
      <w:r w:rsidR="00912ABD">
        <w:t xml:space="preserve">it </w:t>
      </w:r>
      <w:r w:rsidR="005D607E">
        <w:t xml:space="preserve">has called out for review. It should not be forced to depend upon the litigants in order to accomplish its objectives.  </w:t>
      </w:r>
    </w:p>
    <w:p w14:paraId="4E6FB26E" w14:textId="7D0F98DB" w:rsidR="00912ABD" w:rsidRPr="00A121B9" w:rsidRDefault="009C4BFC" w:rsidP="009C4BFC">
      <w:pPr>
        <w:pStyle w:val="Numberedbody"/>
        <w:numPr>
          <w:ilvl w:val="0"/>
          <w:numId w:val="0"/>
        </w:numPr>
        <w:spacing w:after="0" w:line="480" w:lineRule="auto"/>
        <w:ind w:left="720" w:hanging="720"/>
        <w:rPr>
          <w:b/>
        </w:rPr>
      </w:pPr>
      <w:r>
        <w:rPr>
          <w:b/>
        </w:rPr>
        <w:t>C.</w:t>
      </w:r>
      <w:r>
        <w:rPr>
          <w:b/>
        </w:rPr>
        <w:tab/>
      </w:r>
      <w:r w:rsidR="00912ABD" w:rsidRPr="00A121B9">
        <w:rPr>
          <w:b/>
        </w:rPr>
        <w:t>The Issues Presented by the Joint Petitioners are not Ripe for Adjudication</w:t>
      </w:r>
    </w:p>
    <w:p w14:paraId="2E1CF922" w14:textId="5C4EC35A" w:rsidR="00912ABD" w:rsidRPr="00A121B9" w:rsidRDefault="009C4BFC" w:rsidP="009C4BFC">
      <w:pPr>
        <w:pStyle w:val="Numberedbody"/>
        <w:numPr>
          <w:ilvl w:val="0"/>
          <w:numId w:val="11"/>
        </w:numPr>
        <w:tabs>
          <w:tab w:val="left" w:pos="720"/>
        </w:tabs>
        <w:spacing w:after="0" w:line="480" w:lineRule="auto"/>
      </w:pPr>
      <w:r>
        <w:tab/>
      </w:r>
      <w:r w:rsidR="00912ABD" w:rsidRPr="00A121B9">
        <w:t xml:space="preserve">The issues raised by the petition are not ripe for an adjudicative proceeding. The </w:t>
      </w:r>
      <w:r w:rsidR="00912ABD">
        <w:t>Joint P</w:t>
      </w:r>
      <w:r w:rsidR="00912ABD" w:rsidRPr="00A121B9">
        <w:t xml:space="preserve">etitioners justify </w:t>
      </w:r>
      <w:r w:rsidR="00CE14AA">
        <w:t>their</w:t>
      </w:r>
      <w:r w:rsidR="00912ABD" w:rsidRPr="00A121B9">
        <w:t xml:space="preserve"> filing </w:t>
      </w:r>
      <w:r w:rsidR="00135700">
        <w:t>with</w:t>
      </w:r>
      <w:r w:rsidR="00935E39">
        <w:t xml:space="preserve"> </w:t>
      </w:r>
      <w:r w:rsidR="00912ABD" w:rsidRPr="00A121B9">
        <w:t xml:space="preserve">a </w:t>
      </w:r>
      <w:r w:rsidR="00912ABD" w:rsidRPr="00A121B9">
        <w:rPr>
          <w:i/>
        </w:rPr>
        <w:t xml:space="preserve">proposed </w:t>
      </w:r>
      <w:r w:rsidR="00912ABD" w:rsidRPr="00A121B9">
        <w:t xml:space="preserve">plan of the Environmental Protection Agency, </w:t>
      </w:r>
      <w:r w:rsidR="00912ABD" w:rsidRPr="00A121B9">
        <w:rPr>
          <w:i/>
        </w:rPr>
        <w:t xml:space="preserve">potential </w:t>
      </w:r>
      <w:r w:rsidR="00912ABD" w:rsidRPr="00A121B9">
        <w:t xml:space="preserve">costs of additional nitrous oxide controls, </w:t>
      </w:r>
      <w:r w:rsidR="00912ABD" w:rsidRPr="00A121B9">
        <w:rPr>
          <w:i/>
        </w:rPr>
        <w:t xml:space="preserve">pending </w:t>
      </w:r>
      <w:r w:rsidR="00912ABD" w:rsidRPr="00A121B9">
        <w:t xml:space="preserve">litigation in Montana, and </w:t>
      </w:r>
      <w:r w:rsidR="00912ABD" w:rsidRPr="00A121B9">
        <w:rPr>
          <w:i/>
        </w:rPr>
        <w:t xml:space="preserve">potential </w:t>
      </w:r>
      <w:r w:rsidR="00912ABD" w:rsidRPr="00A121B9">
        <w:t xml:space="preserve">increased costs and liabilities. These reasons are too tenuous </w:t>
      </w:r>
      <w:r w:rsidR="00935E39">
        <w:t xml:space="preserve">and prospective </w:t>
      </w:r>
      <w:r w:rsidR="00912ABD" w:rsidRPr="00A121B9">
        <w:t xml:space="preserve">to </w:t>
      </w:r>
      <w:r w:rsidR="00935E39">
        <w:t>justify</w:t>
      </w:r>
      <w:r w:rsidR="00C01DFB">
        <w:t xml:space="preserve"> </w:t>
      </w:r>
      <w:r w:rsidR="00912ABD" w:rsidRPr="00A121B9">
        <w:t>an adjudicative proceeding. The final rule for the Clean Power Plan was released by the EPA on August 3, 2015</w:t>
      </w:r>
      <w:r w:rsidR="00CE14AA">
        <w:t>,</w:t>
      </w:r>
      <w:r w:rsidR="00912ABD" w:rsidRPr="00A121B9">
        <w:t xml:space="preserve"> and requires that states submit state plans by September 6, 2016</w:t>
      </w:r>
      <w:r w:rsidR="00CE14AA">
        <w:t>,</w:t>
      </w:r>
      <w:r w:rsidR="00912ABD" w:rsidRPr="00A121B9">
        <w:t xml:space="preserve"> to implement the Clean Power Plan.</w:t>
      </w:r>
      <w:r w:rsidR="00AE532B">
        <w:t xml:space="preserve"> </w:t>
      </w:r>
      <w:r w:rsidR="00912ABD" w:rsidRPr="00A121B9">
        <w:t>Washington currently has no state plan</w:t>
      </w:r>
      <w:r w:rsidR="00AE532B" w:rsidRPr="00A121B9">
        <w:t xml:space="preserve"> implementing the Clean Power Plan </w:t>
      </w:r>
      <w:r w:rsidR="00912ABD" w:rsidRPr="00A121B9">
        <w:t xml:space="preserve">that would impose any obligation upon PSE. This may change in the future, but </w:t>
      </w:r>
      <w:r w:rsidR="00AE532B">
        <w:t>Joint P</w:t>
      </w:r>
      <w:r w:rsidR="00912ABD" w:rsidRPr="00A121B9">
        <w:t>etitioners’ reliance upon such prospective authority is further evidence of the petition’s lack of ripeness.</w:t>
      </w:r>
    </w:p>
    <w:p w14:paraId="288E58A8" w14:textId="7754EB5F" w:rsidR="00C33265" w:rsidRPr="00A121B9" w:rsidRDefault="009C4BFC" w:rsidP="009C4BFC">
      <w:pPr>
        <w:pStyle w:val="Numberedbody"/>
        <w:keepNext/>
        <w:numPr>
          <w:ilvl w:val="0"/>
          <w:numId w:val="0"/>
        </w:numPr>
        <w:tabs>
          <w:tab w:val="left" w:pos="720"/>
        </w:tabs>
        <w:spacing w:after="0" w:line="480" w:lineRule="auto"/>
        <w:ind w:left="360" w:hanging="360"/>
        <w:jc w:val="center"/>
        <w:rPr>
          <w:b/>
        </w:rPr>
      </w:pPr>
      <w:r>
        <w:rPr>
          <w:b/>
        </w:rPr>
        <w:t xml:space="preserve">IV.  </w:t>
      </w:r>
      <w:r w:rsidR="001C0014" w:rsidRPr="00A121B9">
        <w:rPr>
          <w:b/>
        </w:rPr>
        <w:t>SUMMARY</w:t>
      </w:r>
    </w:p>
    <w:p w14:paraId="77EBED8F" w14:textId="2FE597D8" w:rsidR="00FD051F" w:rsidRPr="00FD051F" w:rsidRDefault="009C4BFC" w:rsidP="009C4BFC">
      <w:pPr>
        <w:pStyle w:val="Numberedbody"/>
        <w:numPr>
          <w:ilvl w:val="0"/>
          <w:numId w:val="11"/>
        </w:numPr>
        <w:tabs>
          <w:tab w:val="left" w:pos="720"/>
        </w:tabs>
        <w:spacing w:after="0" w:line="480" w:lineRule="auto"/>
      </w:pPr>
      <w:r>
        <w:tab/>
      </w:r>
      <w:r w:rsidR="009821C8">
        <w:t>For the reasons expressed above, Staff supports PSE’s motion to dismiss the Joint Petitioners</w:t>
      </w:r>
      <w:r w:rsidR="00B32EB8">
        <w:t>’</w:t>
      </w:r>
      <w:r w:rsidR="009821C8">
        <w:t xml:space="preserve"> proposed </w:t>
      </w:r>
      <w:r w:rsidR="00B32EB8">
        <w:t xml:space="preserve">adjudicatory proceeding. </w:t>
      </w:r>
      <w:r w:rsidR="009821C8">
        <w:t>It is untimely, lacks factual support for the outcomes it professes to support, and would effectively quash the Commission’s investigation into the issues presented by Colstrip Units 1 &amp; 2</w:t>
      </w:r>
      <w:r w:rsidR="004A0CDD">
        <w:t>. The Joint Petitioners have sought similar relief before and have not been successful. Staff sees no reason why the Commission should accept the Joint Petitioners</w:t>
      </w:r>
      <w:r w:rsidR="00CE14AA">
        <w:t>’</w:t>
      </w:r>
      <w:r w:rsidR="004A0CDD">
        <w:t xml:space="preserve"> current attempt for relief here. </w:t>
      </w:r>
      <w:r w:rsidR="009821C8">
        <w:t xml:space="preserve"> </w:t>
      </w:r>
    </w:p>
    <w:p w14:paraId="2427D9E0" w14:textId="6C4C8D5D" w:rsidR="003C60F6" w:rsidRPr="003215A3" w:rsidRDefault="003C60F6" w:rsidP="003C60F6">
      <w:pPr>
        <w:pStyle w:val="BodyTextIndent2"/>
        <w:spacing w:line="240" w:lineRule="exact"/>
        <w:ind w:left="0" w:firstLine="720"/>
        <w:rPr>
          <w:rFonts w:ascii="Times New Roman" w:hAnsi="Times New Roman"/>
        </w:rPr>
      </w:pPr>
      <w:r w:rsidRPr="003215A3">
        <w:rPr>
          <w:rFonts w:ascii="Times New Roman" w:hAnsi="Times New Roman"/>
        </w:rPr>
        <w:t xml:space="preserve">Dated this </w:t>
      </w:r>
      <w:r>
        <w:rPr>
          <w:rFonts w:ascii="Times New Roman" w:hAnsi="Times New Roman"/>
        </w:rPr>
        <w:t>2</w:t>
      </w:r>
      <w:r w:rsidR="00286040">
        <w:rPr>
          <w:rFonts w:ascii="Times New Roman" w:hAnsi="Times New Roman"/>
        </w:rPr>
        <w:t>4</w:t>
      </w:r>
      <w:r w:rsidRPr="00CD4BDA">
        <w:rPr>
          <w:rFonts w:ascii="Times New Roman" w:hAnsi="Times New Roman"/>
          <w:vertAlign w:val="superscript"/>
        </w:rPr>
        <w:t>th</w:t>
      </w:r>
      <w:r>
        <w:rPr>
          <w:rFonts w:ascii="Times New Roman" w:hAnsi="Times New Roman"/>
        </w:rPr>
        <w:t xml:space="preserve"> </w:t>
      </w:r>
      <w:r w:rsidRPr="003215A3">
        <w:rPr>
          <w:rFonts w:ascii="Times New Roman" w:hAnsi="Times New Roman"/>
        </w:rPr>
        <w:t xml:space="preserve">day of </w:t>
      </w:r>
      <w:r>
        <w:rPr>
          <w:rFonts w:ascii="Times New Roman" w:hAnsi="Times New Roman"/>
        </w:rPr>
        <w:t>August</w:t>
      </w:r>
      <w:r w:rsidRPr="003215A3">
        <w:rPr>
          <w:rFonts w:ascii="Times New Roman" w:hAnsi="Times New Roman"/>
        </w:rPr>
        <w:t xml:space="preserve"> 201</w:t>
      </w:r>
      <w:r>
        <w:rPr>
          <w:rFonts w:ascii="Times New Roman" w:hAnsi="Times New Roman"/>
        </w:rPr>
        <w:t>5</w:t>
      </w:r>
      <w:r w:rsidRPr="003215A3">
        <w:rPr>
          <w:rFonts w:ascii="Times New Roman" w:hAnsi="Times New Roman"/>
        </w:rPr>
        <w:t xml:space="preserve">.  </w:t>
      </w:r>
    </w:p>
    <w:p w14:paraId="27DE3BF2" w14:textId="77777777" w:rsidR="003C60F6" w:rsidRPr="003215A3" w:rsidRDefault="003C60F6" w:rsidP="003C60F6">
      <w:pPr>
        <w:pStyle w:val="BodyTextIndent2"/>
        <w:spacing w:line="240" w:lineRule="exact"/>
        <w:ind w:left="0"/>
        <w:rPr>
          <w:rFonts w:ascii="Times New Roman" w:hAnsi="Times New Roman"/>
        </w:rPr>
      </w:pPr>
    </w:p>
    <w:p w14:paraId="13AE7707" w14:textId="77777777" w:rsidR="003C60F6" w:rsidRPr="003C60F6" w:rsidRDefault="003C60F6" w:rsidP="003C60F6">
      <w:pPr>
        <w:spacing w:line="240" w:lineRule="exact"/>
        <w:rPr>
          <w:rFonts w:ascii="Times New Roman" w:hAnsi="Times New Roman"/>
        </w:rPr>
      </w:pPr>
      <w:r w:rsidRPr="003C60F6">
        <w:rPr>
          <w:rFonts w:ascii="Times New Roman" w:hAnsi="Times New Roman"/>
        </w:rPr>
        <w:tab/>
      </w:r>
      <w:r w:rsidRPr="003C60F6">
        <w:rPr>
          <w:rFonts w:ascii="Times New Roman" w:hAnsi="Times New Roman"/>
        </w:rPr>
        <w:tab/>
      </w:r>
      <w:r w:rsidRPr="003C60F6">
        <w:rPr>
          <w:rFonts w:ascii="Times New Roman" w:hAnsi="Times New Roman"/>
        </w:rPr>
        <w:tab/>
      </w:r>
      <w:r w:rsidRPr="003C60F6">
        <w:rPr>
          <w:rFonts w:ascii="Times New Roman" w:hAnsi="Times New Roman"/>
        </w:rPr>
        <w:tab/>
      </w:r>
      <w:r w:rsidRPr="003C60F6">
        <w:rPr>
          <w:rFonts w:ascii="Times New Roman" w:hAnsi="Times New Roman"/>
        </w:rPr>
        <w:tab/>
      </w:r>
      <w:r w:rsidRPr="003C60F6">
        <w:rPr>
          <w:rFonts w:ascii="Times New Roman" w:hAnsi="Times New Roman"/>
        </w:rPr>
        <w:tab/>
        <w:t xml:space="preserve">Respectfully submitted, </w:t>
      </w:r>
    </w:p>
    <w:p w14:paraId="2718FF4B" w14:textId="77777777" w:rsidR="003C60F6" w:rsidRPr="003215A3" w:rsidRDefault="003C60F6" w:rsidP="003C60F6">
      <w:pPr>
        <w:pStyle w:val="BodyTextIndent2"/>
        <w:spacing w:line="240" w:lineRule="exact"/>
        <w:ind w:left="4320"/>
        <w:rPr>
          <w:rFonts w:ascii="Times New Roman" w:hAnsi="Times New Roman"/>
        </w:rPr>
      </w:pPr>
    </w:p>
    <w:p w14:paraId="0506991F" w14:textId="77777777" w:rsidR="003C60F6" w:rsidRPr="003C60F6" w:rsidRDefault="003C60F6" w:rsidP="003C60F6">
      <w:pPr>
        <w:spacing w:line="240" w:lineRule="exact"/>
        <w:ind w:left="4320"/>
        <w:jc w:val="both"/>
        <w:rPr>
          <w:rFonts w:ascii="Times New Roman" w:hAnsi="Times New Roman"/>
        </w:rPr>
      </w:pPr>
      <w:r w:rsidRPr="003C60F6">
        <w:rPr>
          <w:rFonts w:ascii="Times New Roman" w:hAnsi="Times New Roman"/>
        </w:rPr>
        <w:t xml:space="preserve">ROBERT W. FERGUSON </w:t>
      </w:r>
    </w:p>
    <w:p w14:paraId="692CE891" w14:textId="77777777" w:rsidR="003C60F6" w:rsidRPr="003C60F6" w:rsidRDefault="003C60F6" w:rsidP="003C60F6">
      <w:pPr>
        <w:spacing w:line="240" w:lineRule="exact"/>
        <w:ind w:left="4320"/>
        <w:jc w:val="both"/>
        <w:rPr>
          <w:rFonts w:ascii="Times New Roman" w:hAnsi="Times New Roman"/>
        </w:rPr>
      </w:pPr>
      <w:r w:rsidRPr="003C60F6">
        <w:rPr>
          <w:rFonts w:ascii="Times New Roman" w:hAnsi="Times New Roman"/>
        </w:rPr>
        <w:t>Attorney General</w:t>
      </w:r>
    </w:p>
    <w:p w14:paraId="7AE2E641" w14:textId="77777777" w:rsidR="003C60F6" w:rsidRPr="003C60F6" w:rsidRDefault="003C60F6" w:rsidP="003C60F6">
      <w:pPr>
        <w:spacing w:line="240" w:lineRule="exact"/>
        <w:ind w:left="4320"/>
        <w:jc w:val="both"/>
        <w:rPr>
          <w:rFonts w:ascii="Times New Roman" w:hAnsi="Times New Roman"/>
        </w:rPr>
      </w:pPr>
    </w:p>
    <w:p w14:paraId="6DA834CF" w14:textId="77777777" w:rsidR="003C60F6" w:rsidRPr="003C60F6" w:rsidRDefault="003C60F6" w:rsidP="003C60F6">
      <w:pPr>
        <w:spacing w:line="240" w:lineRule="exact"/>
        <w:ind w:left="4320"/>
        <w:jc w:val="both"/>
        <w:rPr>
          <w:rFonts w:ascii="Times New Roman" w:hAnsi="Times New Roman"/>
        </w:rPr>
      </w:pPr>
    </w:p>
    <w:p w14:paraId="68FEEA4C" w14:textId="77777777" w:rsidR="003C60F6" w:rsidRPr="003C60F6" w:rsidRDefault="003C60F6" w:rsidP="003C60F6">
      <w:pPr>
        <w:spacing w:line="240" w:lineRule="exact"/>
        <w:ind w:left="4320"/>
        <w:jc w:val="both"/>
        <w:rPr>
          <w:rFonts w:ascii="Times New Roman" w:hAnsi="Times New Roman"/>
        </w:rPr>
      </w:pPr>
      <w:r w:rsidRPr="003C60F6">
        <w:rPr>
          <w:rFonts w:ascii="Times New Roman" w:hAnsi="Times New Roman"/>
        </w:rPr>
        <w:t>______________________________</w:t>
      </w:r>
    </w:p>
    <w:p w14:paraId="166F649E" w14:textId="77777777" w:rsidR="003C60F6" w:rsidRPr="003C60F6" w:rsidRDefault="003C60F6" w:rsidP="003C60F6">
      <w:pPr>
        <w:spacing w:line="240" w:lineRule="exact"/>
        <w:ind w:left="4320"/>
        <w:jc w:val="both"/>
        <w:rPr>
          <w:rFonts w:ascii="Times New Roman" w:hAnsi="Times New Roman"/>
        </w:rPr>
      </w:pPr>
      <w:r w:rsidRPr="003C60F6">
        <w:rPr>
          <w:rFonts w:ascii="Times New Roman" w:hAnsi="Times New Roman"/>
        </w:rPr>
        <w:t>PATRICK J. OSHIE</w:t>
      </w:r>
    </w:p>
    <w:p w14:paraId="4A73B04E" w14:textId="77777777" w:rsidR="003C60F6" w:rsidRPr="003C60F6" w:rsidRDefault="003C60F6" w:rsidP="003C60F6">
      <w:pPr>
        <w:spacing w:line="240" w:lineRule="exact"/>
        <w:ind w:left="4320"/>
        <w:jc w:val="both"/>
        <w:rPr>
          <w:rFonts w:ascii="Times New Roman" w:hAnsi="Times New Roman"/>
        </w:rPr>
      </w:pPr>
      <w:r w:rsidRPr="003C60F6">
        <w:rPr>
          <w:rFonts w:ascii="Times New Roman" w:hAnsi="Times New Roman"/>
        </w:rPr>
        <w:t>Assistant Attorney General</w:t>
      </w:r>
    </w:p>
    <w:p w14:paraId="533F6EEF" w14:textId="77777777" w:rsidR="003C60F6" w:rsidRPr="003C60F6" w:rsidRDefault="003C60F6" w:rsidP="003C60F6">
      <w:pPr>
        <w:spacing w:line="240" w:lineRule="exact"/>
        <w:ind w:left="4320"/>
        <w:jc w:val="both"/>
        <w:rPr>
          <w:rFonts w:ascii="Times New Roman" w:hAnsi="Times New Roman"/>
        </w:rPr>
      </w:pPr>
      <w:r w:rsidRPr="003C60F6">
        <w:rPr>
          <w:rFonts w:ascii="Times New Roman" w:hAnsi="Times New Roman"/>
        </w:rPr>
        <w:t>Counsel for Washington Utilities and</w:t>
      </w:r>
    </w:p>
    <w:p w14:paraId="0FFB5726" w14:textId="6B667E66" w:rsidR="00CE14AA" w:rsidRDefault="003C60F6" w:rsidP="00CE14AA">
      <w:pPr>
        <w:pStyle w:val="Numberedbody"/>
        <w:numPr>
          <w:ilvl w:val="0"/>
          <w:numId w:val="0"/>
        </w:numPr>
        <w:tabs>
          <w:tab w:val="left" w:pos="720"/>
        </w:tabs>
        <w:spacing w:after="0" w:line="240" w:lineRule="auto"/>
        <w:ind w:left="4320"/>
        <w:rPr>
          <w:rFonts w:ascii="Times New Roman" w:hAnsi="Times New Roman"/>
        </w:rPr>
      </w:pPr>
      <w:r w:rsidRPr="003215A3">
        <w:rPr>
          <w:rFonts w:ascii="Times New Roman" w:hAnsi="Times New Roman"/>
        </w:rPr>
        <w:t>Transportation Commission Staff</w:t>
      </w:r>
    </w:p>
    <w:p w14:paraId="786F92FA" w14:textId="77777777" w:rsidR="00CE14AA" w:rsidRDefault="00CE14AA" w:rsidP="00CE14AA">
      <w:pPr>
        <w:pStyle w:val="Numberedbody"/>
        <w:numPr>
          <w:ilvl w:val="0"/>
          <w:numId w:val="0"/>
        </w:numPr>
        <w:tabs>
          <w:tab w:val="left" w:pos="720"/>
        </w:tabs>
        <w:spacing w:after="0" w:line="240" w:lineRule="auto"/>
        <w:ind w:left="4320"/>
        <w:rPr>
          <w:rFonts w:ascii="Times New Roman" w:hAnsi="Times New Roman"/>
        </w:rPr>
      </w:pPr>
    </w:p>
    <w:p w14:paraId="46F60692" w14:textId="77777777" w:rsidR="00CE14AA" w:rsidRDefault="00CE14AA" w:rsidP="00CE14AA">
      <w:pPr>
        <w:pStyle w:val="Numberedbody"/>
        <w:numPr>
          <w:ilvl w:val="0"/>
          <w:numId w:val="0"/>
        </w:numPr>
        <w:tabs>
          <w:tab w:val="left" w:pos="720"/>
        </w:tabs>
        <w:spacing w:after="0" w:line="240" w:lineRule="auto"/>
        <w:ind w:left="4320"/>
        <w:rPr>
          <w:rFonts w:ascii="Times New Roman" w:hAnsi="Times New Roman"/>
        </w:rPr>
      </w:pPr>
    </w:p>
    <w:p w14:paraId="05915CA2" w14:textId="77777777" w:rsidR="00CE14AA" w:rsidRDefault="00CE14AA" w:rsidP="00CE14AA">
      <w:pPr>
        <w:pStyle w:val="Numberedbody"/>
        <w:numPr>
          <w:ilvl w:val="0"/>
          <w:numId w:val="0"/>
        </w:numPr>
        <w:tabs>
          <w:tab w:val="left" w:pos="720"/>
        </w:tabs>
        <w:spacing w:after="0" w:line="240" w:lineRule="auto"/>
        <w:ind w:left="4320"/>
        <w:rPr>
          <w:rFonts w:ascii="Times New Roman" w:hAnsi="Times New Roman"/>
        </w:rPr>
      </w:pPr>
    </w:p>
    <w:p w14:paraId="12D60BB8" w14:textId="7EA89E68" w:rsidR="00CE14AA" w:rsidRDefault="00CE14AA" w:rsidP="00CE14AA">
      <w:pPr>
        <w:pStyle w:val="Numberedbody"/>
        <w:numPr>
          <w:ilvl w:val="0"/>
          <w:numId w:val="0"/>
        </w:numPr>
        <w:tabs>
          <w:tab w:val="left" w:pos="720"/>
        </w:tabs>
        <w:spacing w:after="0" w:line="240" w:lineRule="auto"/>
        <w:ind w:left="4320"/>
        <w:rPr>
          <w:rFonts w:ascii="Times New Roman" w:hAnsi="Times New Roman"/>
        </w:rPr>
      </w:pPr>
      <w:r>
        <w:rPr>
          <w:rFonts w:ascii="Times New Roman" w:hAnsi="Times New Roman"/>
        </w:rPr>
        <w:t>_______________________________</w:t>
      </w:r>
    </w:p>
    <w:p w14:paraId="048F0B14" w14:textId="3F0E2213" w:rsidR="00CE14AA" w:rsidRDefault="00CE14AA" w:rsidP="00CE14AA">
      <w:pPr>
        <w:pStyle w:val="Numberedbody"/>
        <w:numPr>
          <w:ilvl w:val="0"/>
          <w:numId w:val="0"/>
        </w:numPr>
        <w:tabs>
          <w:tab w:val="left" w:pos="720"/>
        </w:tabs>
        <w:spacing w:after="0" w:line="240" w:lineRule="auto"/>
        <w:ind w:left="4320"/>
        <w:rPr>
          <w:rFonts w:ascii="Times New Roman" w:hAnsi="Times New Roman"/>
        </w:rPr>
      </w:pPr>
      <w:r>
        <w:rPr>
          <w:rFonts w:ascii="Times New Roman" w:hAnsi="Times New Roman"/>
        </w:rPr>
        <w:t>ANDREW J. O’CONNELL</w:t>
      </w:r>
    </w:p>
    <w:p w14:paraId="2614A26B" w14:textId="77777777" w:rsidR="00CE14AA" w:rsidRPr="003C60F6" w:rsidRDefault="00CE14AA" w:rsidP="00CE14AA">
      <w:pPr>
        <w:spacing w:line="240" w:lineRule="exact"/>
        <w:ind w:left="4320"/>
        <w:jc w:val="both"/>
        <w:rPr>
          <w:rFonts w:ascii="Times New Roman" w:hAnsi="Times New Roman"/>
        </w:rPr>
      </w:pPr>
      <w:r w:rsidRPr="003C60F6">
        <w:rPr>
          <w:rFonts w:ascii="Times New Roman" w:hAnsi="Times New Roman"/>
        </w:rPr>
        <w:t>Assistant Attorney General</w:t>
      </w:r>
    </w:p>
    <w:p w14:paraId="00A7AE67" w14:textId="77777777" w:rsidR="00CE14AA" w:rsidRPr="003C60F6" w:rsidRDefault="00CE14AA" w:rsidP="00CE14AA">
      <w:pPr>
        <w:spacing w:line="240" w:lineRule="exact"/>
        <w:ind w:left="4320"/>
        <w:jc w:val="both"/>
        <w:rPr>
          <w:rFonts w:ascii="Times New Roman" w:hAnsi="Times New Roman"/>
        </w:rPr>
      </w:pPr>
      <w:r w:rsidRPr="003C60F6">
        <w:rPr>
          <w:rFonts w:ascii="Times New Roman" w:hAnsi="Times New Roman"/>
        </w:rPr>
        <w:t>Counsel for Washington Utilities and</w:t>
      </w:r>
    </w:p>
    <w:p w14:paraId="3BDA5C7E" w14:textId="77777777" w:rsidR="00CE14AA" w:rsidRDefault="00CE14AA" w:rsidP="00CE14AA">
      <w:pPr>
        <w:pStyle w:val="Numberedbody"/>
        <w:numPr>
          <w:ilvl w:val="0"/>
          <w:numId w:val="0"/>
        </w:numPr>
        <w:tabs>
          <w:tab w:val="left" w:pos="720"/>
        </w:tabs>
        <w:spacing w:after="0" w:line="240" w:lineRule="auto"/>
        <w:ind w:left="4320"/>
        <w:rPr>
          <w:rFonts w:ascii="Times New Roman" w:hAnsi="Times New Roman"/>
        </w:rPr>
      </w:pPr>
      <w:r w:rsidRPr="003215A3">
        <w:rPr>
          <w:rFonts w:ascii="Times New Roman" w:hAnsi="Times New Roman"/>
        </w:rPr>
        <w:t>Transportation Commission Staff</w:t>
      </w:r>
    </w:p>
    <w:p w14:paraId="200D7354" w14:textId="7B59CACC" w:rsidR="00CE14AA" w:rsidRPr="00CE14AA" w:rsidRDefault="00CE14AA" w:rsidP="00CE14AA">
      <w:pPr>
        <w:pStyle w:val="Numberedbody"/>
        <w:numPr>
          <w:ilvl w:val="0"/>
          <w:numId w:val="0"/>
        </w:numPr>
        <w:tabs>
          <w:tab w:val="left" w:pos="720"/>
        </w:tabs>
        <w:spacing w:after="0" w:line="240" w:lineRule="auto"/>
        <w:ind w:left="4320"/>
        <w:rPr>
          <w:rFonts w:ascii="Times New Roman" w:hAnsi="Times New Roman"/>
        </w:rPr>
      </w:pPr>
    </w:p>
    <w:sectPr w:rsidR="00CE14AA" w:rsidRPr="00CE14AA" w:rsidSect="009C4BFC">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8754C" w14:textId="77777777" w:rsidR="00362315" w:rsidRDefault="00362315" w:rsidP="005369DC">
      <w:r>
        <w:separator/>
      </w:r>
    </w:p>
  </w:endnote>
  <w:endnote w:type="continuationSeparator" w:id="0">
    <w:p w14:paraId="1720B943" w14:textId="77777777" w:rsidR="00362315" w:rsidRDefault="00362315" w:rsidP="005369DC">
      <w:r>
        <w:continuationSeparator/>
      </w:r>
    </w:p>
  </w:endnote>
  <w:endnote w:type="continuationNotice" w:id="1">
    <w:p w14:paraId="2D6F2ED2" w14:textId="77777777" w:rsidR="00362315" w:rsidRDefault="00362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3612" w14:textId="77777777" w:rsidR="00362315" w:rsidRDefault="00362315" w:rsidP="00D377EC">
    <w:pPr>
      <w:pStyle w:val="Footer"/>
      <w:rPr>
        <w:sz w:val="20"/>
      </w:rPr>
    </w:pPr>
  </w:p>
  <w:p w14:paraId="109B4DD3" w14:textId="77777777" w:rsidR="00362315" w:rsidRPr="00D377EC" w:rsidRDefault="00362315" w:rsidP="00D377EC">
    <w:pPr>
      <w:pStyle w:val="Footer"/>
      <w:rPr>
        <w:sz w:val="20"/>
      </w:rPr>
    </w:pPr>
    <w:r w:rsidRPr="00D377EC">
      <w:rPr>
        <w:sz w:val="20"/>
      </w:rPr>
      <w:t xml:space="preserve">COMMISSION STAFF RESPONSE SUPPORTING </w:t>
    </w:r>
  </w:p>
  <w:p w14:paraId="5C5950AC" w14:textId="3BEAA1AD" w:rsidR="00362315" w:rsidRPr="009C4BFC" w:rsidRDefault="00362315" w:rsidP="00D377EC">
    <w:pPr>
      <w:pStyle w:val="Footer"/>
      <w:rPr>
        <w:sz w:val="20"/>
      </w:rPr>
    </w:pPr>
    <w:r w:rsidRPr="00D377EC">
      <w:rPr>
        <w:sz w:val="20"/>
      </w:rPr>
      <w:t>PUGET SOUND ENERGY INC.’S MOTION TO DISMISS</w:t>
    </w:r>
    <w:r>
      <w:rPr>
        <w:sz w:val="20"/>
      </w:rPr>
      <w:t xml:space="preserve"> - </w:t>
    </w:r>
    <w:r w:rsidRPr="009C4BFC">
      <w:rPr>
        <w:sz w:val="20"/>
      </w:rPr>
      <w:fldChar w:fldCharType="begin"/>
    </w:r>
    <w:r w:rsidRPr="009C4BFC">
      <w:rPr>
        <w:sz w:val="20"/>
      </w:rPr>
      <w:instrText xml:space="preserve"> PAGE   \* MERGEFORMAT </w:instrText>
    </w:r>
    <w:r w:rsidRPr="009C4BFC">
      <w:rPr>
        <w:sz w:val="20"/>
      </w:rPr>
      <w:fldChar w:fldCharType="separate"/>
    </w:r>
    <w:r w:rsidR="00E312DB">
      <w:rPr>
        <w:noProof/>
        <w:sz w:val="20"/>
      </w:rPr>
      <w:t>3</w:t>
    </w:r>
    <w:r w:rsidRPr="009C4BFC">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A267" w14:textId="77777777" w:rsidR="00362315" w:rsidRDefault="00362315">
    <w:pPr>
      <w:pStyle w:val="Footer"/>
      <w:rPr>
        <w:sz w:val="20"/>
      </w:rPr>
    </w:pPr>
  </w:p>
  <w:p w14:paraId="37280B12" w14:textId="1DAD156B" w:rsidR="00362315" w:rsidRDefault="00362315">
    <w:pPr>
      <w:pStyle w:val="Footer"/>
      <w:rPr>
        <w:sz w:val="20"/>
      </w:rPr>
    </w:pPr>
    <w:r>
      <w:rPr>
        <w:sz w:val="20"/>
      </w:rPr>
      <w:t>COMMISSION STAFF RESPONSE</w:t>
    </w:r>
  </w:p>
  <w:p w14:paraId="141B7374" w14:textId="10DEB9B0" w:rsidR="00362315" w:rsidRPr="009C4BFC" w:rsidRDefault="00362315">
    <w:pPr>
      <w:pStyle w:val="Footer"/>
      <w:rPr>
        <w:sz w:val="20"/>
      </w:rPr>
    </w:pPr>
    <w:r>
      <w:rPr>
        <w:sz w:val="20"/>
      </w:rPr>
      <w:t xml:space="preserve">IN SUPPORT OF PSE MOTION TO DISMISS - </w:t>
    </w:r>
    <w:r w:rsidRPr="009C4BFC">
      <w:rPr>
        <w:sz w:val="20"/>
      </w:rPr>
      <w:fldChar w:fldCharType="begin"/>
    </w:r>
    <w:r w:rsidRPr="009C4BFC">
      <w:rPr>
        <w:sz w:val="20"/>
      </w:rPr>
      <w:instrText xml:space="preserve"> PAGE   \* MERGEFORMAT </w:instrText>
    </w:r>
    <w:r w:rsidRPr="009C4BFC">
      <w:rPr>
        <w:sz w:val="20"/>
      </w:rPr>
      <w:fldChar w:fldCharType="separate"/>
    </w:r>
    <w:r>
      <w:rPr>
        <w:noProof/>
        <w:sz w:val="20"/>
      </w:rPr>
      <w:t>1</w:t>
    </w:r>
    <w:r w:rsidRPr="009C4BFC">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EA421" w14:textId="77777777" w:rsidR="00362315" w:rsidRDefault="00362315" w:rsidP="005369DC">
      <w:r>
        <w:separator/>
      </w:r>
    </w:p>
  </w:footnote>
  <w:footnote w:type="continuationSeparator" w:id="0">
    <w:p w14:paraId="5E9E85B8" w14:textId="77777777" w:rsidR="00362315" w:rsidRDefault="00362315" w:rsidP="005369DC">
      <w:r>
        <w:continuationSeparator/>
      </w:r>
    </w:p>
  </w:footnote>
  <w:footnote w:type="continuationNotice" w:id="1">
    <w:p w14:paraId="06DED03E" w14:textId="77777777" w:rsidR="00362315" w:rsidRDefault="00362315"/>
  </w:footnote>
  <w:footnote w:id="2">
    <w:p w14:paraId="5C430176" w14:textId="77777777" w:rsidR="00362315" w:rsidRDefault="00362315">
      <w:pPr>
        <w:pStyle w:val="FootnoteText"/>
      </w:pPr>
      <w:r>
        <w:rPr>
          <w:rStyle w:val="FootnoteReference"/>
        </w:rPr>
        <w:footnoteRef/>
      </w:r>
      <w:r>
        <w:t xml:space="preserve"> Presumably, this reference to the </w:t>
      </w:r>
      <w:r w:rsidRPr="00990F35">
        <w:rPr>
          <w:szCs w:val="24"/>
        </w:rPr>
        <w:t>Colstrip coal</w:t>
      </w:r>
      <w:r>
        <w:rPr>
          <w:szCs w:val="24"/>
        </w:rPr>
        <w:t xml:space="preserve">-fired electric generating facility is referring to PSE’s interests in the four generating units that comprise the Colstrip facility. </w:t>
      </w:r>
    </w:p>
  </w:footnote>
  <w:footnote w:id="3">
    <w:p w14:paraId="119BEEA0" w14:textId="77777777" w:rsidR="00362315" w:rsidRDefault="00362315">
      <w:pPr>
        <w:pStyle w:val="FootnoteText"/>
      </w:pPr>
      <w:r>
        <w:rPr>
          <w:rStyle w:val="FootnoteReference"/>
        </w:rPr>
        <w:footnoteRef/>
      </w:r>
      <w:r>
        <w:t xml:space="preserve"> </w:t>
      </w:r>
      <w:r w:rsidRPr="00AA77D0">
        <w:rPr>
          <w:i/>
        </w:rPr>
        <w:t xml:space="preserve">In the Matter of </w:t>
      </w:r>
      <w:r w:rsidRPr="00AA77D0">
        <w:rPr>
          <w:bCs/>
          <w:i/>
        </w:rPr>
        <w:t>Investigation of Coal-Fired Generating Unit Decommissioning and Remediation Costs</w:t>
      </w:r>
      <w:r>
        <w:rPr>
          <w:bCs/>
        </w:rPr>
        <w:t>,</w:t>
      </w:r>
      <w:r w:rsidRPr="00A77C43">
        <w:rPr>
          <w:bCs/>
        </w:rPr>
        <w:t xml:space="preserve"> </w:t>
      </w:r>
      <w:r>
        <w:t>UE-151500.</w:t>
      </w:r>
    </w:p>
  </w:footnote>
  <w:footnote w:id="4">
    <w:p w14:paraId="261E330A" w14:textId="77777777" w:rsidR="00362315" w:rsidRDefault="00362315" w:rsidP="00F25115">
      <w:pPr>
        <w:pStyle w:val="FootnoteText"/>
      </w:pPr>
      <w:r>
        <w:rPr>
          <w:rStyle w:val="FootnoteReference"/>
        </w:rPr>
        <w:footnoteRef/>
      </w:r>
      <w:r>
        <w:t xml:space="preserve"> Docket UE-151500 Notice of Opportunity To File Written Comments at 1 (July 21, 2015).</w:t>
      </w:r>
    </w:p>
  </w:footnote>
  <w:footnote w:id="5">
    <w:p w14:paraId="6F98C1F9" w14:textId="77777777" w:rsidR="00362315" w:rsidRDefault="00362315" w:rsidP="00F25115">
      <w:pPr>
        <w:pStyle w:val="FootnoteText"/>
      </w:pPr>
      <w:r>
        <w:rPr>
          <w:rStyle w:val="FootnoteReference"/>
        </w:rPr>
        <w:footnoteRef/>
      </w:r>
      <w:r>
        <w:t xml:space="preserve"> </w:t>
      </w:r>
      <w:r w:rsidRPr="00CC3F60">
        <w:rPr>
          <w:i/>
        </w:rPr>
        <w:t>Id</w:t>
      </w:r>
      <w:r>
        <w:t xml:space="preserve">. </w:t>
      </w:r>
    </w:p>
  </w:footnote>
  <w:footnote w:id="6">
    <w:p w14:paraId="52566844" w14:textId="77777777" w:rsidR="00362315" w:rsidRPr="0084084F" w:rsidRDefault="00362315" w:rsidP="009C4BFC">
      <w:pPr>
        <w:pStyle w:val="FootnoteText"/>
        <w:rPr>
          <w:rFonts w:ascii="Times New Roman" w:hAnsi="Times New Roman"/>
          <w:szCs w:val="22"/>
        </w:rPr>
      </w:pPr>
      <w:r w:rsidRPr="0084084F">
        <w:rPr>
          <w:rStyle w:val="FootnoteReference"/>
          <w:rFonts w:ascii="Times New Roman" w:hAnsi="Times New Roman"/>
          <w:szCs w:val="22"/>
        </w:rPr>
        <w:footnoteRef/>
      </w:r>
      <w:r w:rsidRPr="0084084F">
        <w:rPr>
          <w:rFonts w:ascii="Times New Roman" w:hAnsi="Times New Roman"/>
          <w:szCs w:val="22"/>
        </w:rPr>
        <w:t xml:space="preserve"> </w:t>
      </w:r>
      <w:r w:rsidRPr="0084084F">
        <w:rPr>
          <w:rFonts w:ascii="Times New Roman" w:hAnsi="Times New Roman"/>
          <w:i/>
          <w:szCs w:val="22"/>
        </w:rPr>
        <w:t xml:space="preserve">WUTC v. Puget Sound Energy, Inc., </w:t>
      </w:r>
      <w:r w:rsidRPr="0084084F">
        <w:rPr>
          <w:rFonts w:ascii="Times New Roman" w:hAnsi="Times New Roman"/>
          <w:szCs w:val="22"/>
        </w:rPr>
        <w:t>Dockets UE-111048 and UG-111049 (</w:t>
      </w:r>
      <w:r w:rsidRPr="0084084F">
        <w:rPr>
          <w:rFonts w:ascii="Times New Roman" w:hAnsi="Times New Roman"/>
          <w:i/>
          <w:szCs w:val="22"/>
        </w:rPr>
        <w:t>consolidated</w:t>
      </w:r>
      <w:r w:rsidRPr="0084084F">
        <w:rPr>
          <w:rFonts w:ascii="Times New Roman" w:hAnsi="Times New Roman"/>
          <w:szCs w:val="22"/>
        </w:rPr>
        <w:t xml:space="preserve">), Order 08 ¶ 420 (May 7, 2012) </w:t>
      </w:r>
      <w:r w:rsidRPr="0084084F">
        <w:rPr>
          <w:rFonts w:ascii="Times New Roman" w:hAnsi="Times New Roman"/>
          <w:i/>
          <w:szCs w:val="22"/>
        </w:rPr>
        <w:t>quoting</w:t>
      </w:r>
      <w:r w:rsidRPr="0084084F">
        <w:rPr>
          <w:rFonts w:ascii="Times New Roman" w:hAnsi="Times New Roman"/>
          <w:szCs w:val="22"/>
        </w:rPr>
        <w:t xml:space="preserve"> Sierra Club Initial Brief ¶44.</w:t>
      </w:r>
    </w:p>
  </w:footnote>
  <w:footnote w:id="7">
    <w:p w14:paraId="57EAC774" w14:textId="77777777" w:rsidR="00362315" w:rsidRDefault="00362315" w:rsidP="00AC4675">
      <w:pPr>
        <w:pStyle w:val="FootnoteText"/>
      </w:pPr>
      <w:r>
        <w:rPr>
          <w:rStyle w:val="FootnoteReference"/>
        </w:rPr>
        <w:footnoteRef/>
      </w:r>
      <w:r>
        <w:t xml:space="preserve"> </w:t>
      </w:r>
      <w:r w:rsidRPr="009A47CC">
        <w:rPr>
          <w:i/>
        </w:rPr>
        <w:t>Id.</w:t>
      </w:r>
      <w:r>
        <w:t xml:space="preserve"> at </w:t>
      </w:r>
      <w:r w:rsidRPr="00016183">
        <w:t>¶</w:t>
      </w:r>
      <w:r>
        <w:t xml:space="preserve"> 425.</w:t>
      </w:r>
    </w:p>
  </w:footnote>
  <w:footnote w:id="8">
    <w:p w14:paraId="64F2834E" w14:textId="77777777" w:rsidR="00362315" w:rsidRPr="00F7311B" w:rsidRDefault="00362315" w:rsidP="00AC4675">
      <w:pPr>
        <w:tabs>
          <w:tab w:val="left" w:pos="540"/>
        </w:tabs>
        <w:spacing w:line="264" w:lineRule="auto"/>
        <w:rPr>
          <w:sz w:val="20"/>
        </w:rPr>
      </w:pPr>
      <w:r>
        <w:rPr>
          <w:rStyle w:val="FootnoteReference"/>
        </w:rPr>
        <w:footnoteRef/>
      </w:r>
      <w:r>
        <w:t xml:space="preserve"> </w:t>
      </w:r>
      <w:r w:rsidRPr="00F7311B">
        <w:rPr>
          <w:i/>
          <w:sz w:val="20"/>
        </w:rPr>
        <w:t>Puget Sound Energy’s 2013 Electric and Natural Gas Integrated Resource Plan</w:t>
      </w:r>
      <w:r>
        <w:rPr>
          <w:sz w:val="20"/>
        </w:rPr>
        <w:t xml:space="preserve">, </w:t>
      </w:r>
      <w:r w:rsidRPr="00F7311B">
        <w:rPr>
          <w:sz w:val="20"/>
        </w:rPr>
        <w:t>Docket UE-120767 &amp; UG-120768</w:t>
      </w:r>
      <w:r>
        <w:rPr>
          <w:sz w:val="20"/>
        </w:rPr>
        <w:t>, Attachment B at p. 14 (February 6,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E355A"/>
    <w:multiLevelType w:val="hybridMultilevel"/>
    <w:tmpl w:val="FACE43D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E2C0312"/>
    <w:multiLevelType w:val="hybridMultilevel"/>
    <w:tmpl w:val="0B6813CE"/>
    <w:lvl w:ilvl="0" w:tplc="04090015">
      <w:start w:val="1"/>
      <w:numFmt w:val="upperLetter"/>
      <w:lvlText w:val="%1."/>
      <w:lvlJc w:val="left"/>
      <w:pPr>
        <w:ind w:left="720" w:hanging="360"/>
      </w:pPr>
      <w:rPr>
        <w:rFonts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81AE1"/>
    <w:multiLevelType w:val="hybridMultilevel"/>
    <w:tmpl w:val="D59A07EA"/>
    <w:lvl w:ilvl="0" w:tplc="4F2E0C74">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36632332"/>
    <w:multiLevelType w:val="hybridMultilevel"/>
    <w:tmpl w:val="D73E061A"/>
    <w:lvl w:ilvl="0" w:tplc="4F2E0C74">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5" w15:restartNumberingAfterBreak="0">
    <w:nsid w:val="3CF53354"/>
    <w:multiLevelType w:val="hybridMultilevel"/>
    <w:tmpl w:val="60D4115E"/>
    <w:lvl w:ilvl="0" w:tplc="018EF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370CC9"/>
    <w:multiLevelType w:val="hybridMultilevel"/>
    <w:tmpl w:val="A4DC18B2"/>
    <w:lvl w:ilvl="0" w:tplc="7B166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52BBC"/>
    <w:multiLevelType w:val="hybridMultilevel"/>
    <w:tmpl w:val="AF1C734A"/>
    <w:lvl w:ilvl="0" w:tplc="0409000F">
      <w:start w:val="1"/>
      <w:numFmt w:val="decimal"/>
      <w:lvlText w:val="%1."/>
      <w:lvlJc w:val="left"/>
      <w:pPr>
        <w:ind w:left="2880" w:hanging="360"/>
      </w:pPr>
    </w:lvl>
    <w:lvl w:ilvl="1" w:tplc="5734FD00">
      <w:start w:val="1"/>
      <w:numFmt w:val="decimal"/>
      <w:pStyle w:val="Numberedbody"/>
      <w:lvlText w:val="%2.   "/>
      <w:lvlJc w:val="left"/>
      <w:pPr>
        <w:ind w:left="3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6B6FE9"/>
    <w:multiLevelType w:val="hybridMultilevel"/>
    <w:tmpl w:val="0EC61F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E44B2"/>
    <w:multiLevelType w:val="hybridMultilevel"/>
    <w:tmpl w:val="56BA8E76"/>
    <w:lvl w:ilvl="0" w:tplc="F8A46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A22C9"/>
    <w:multiLevelType w:val="hybridMultilevel"/>
    <w:tmpl w:val="94B0A79A"/>
    <w:lvl w:ilvl="0" w:tplc="4F2E0C7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1" w15:restartNumberingAfterBreak="0">
    <w:nsid w:val="617B09FE"/>
    <w:multiLevelType w:val="hybridMultilevel"/>
    <w:tmpl w:val="E7486058"/>
    <w:lvl w:ilvl="0" w:tplc="4F2E0C74">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2" w15:restartNumberingAfterBreak="0">
    <w:nsid w:val="74831F98"/>
    <w:multiLevelType w:val="hybridMultilevel"/>
    <w:tmpl w:val="A1E0A4FA"/>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0"/>
  </w:num>
  <w:num w:numId="5">
    <w:abstractNumId w:val="1"/>
  </w:num>
  <w:num w:numId="6">
    <w:abstractNumId w:val="8"/>
  </w:num>
  <w:num w:numId="7">
    <w:abstractNumId w:val="7"/>
  </w:num>
  <w:num w:numId="8">
    <w:abstractNumId w:val="5"/>
  </w:num>
  <w:num w:numId="9">
    <w:abstractNumId w:val="2"/>
  </w:num>
  <w:num w:numId="10">
    <w:abstractNumId w:val="7"/>
  </w:num>
  <w:num w:numId="11">
    <w:abstractNumId w:val="10"/>
  </w:num>
  <w:num w:numId="12">
    <w:abstractNumId w:val="11"/>
  </w:num>
  <w:num w:numId="13">
    <w:abstractNumId w:val="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4E"/>
    <w:rsid w:val="00042E47"/>
    <w:rsid w:val="000608D4"/>
    <w:rsid w:val="00072C0A"/>
    <w:rsid w:val="000B3D9C"/>
    <w:rsid w:val="000D5B7A"/>
    <w:rsid w:val="000D6C4A"/>
    <w:rsid w:val="000F6F8C"/>
    <w:rsid w:val="00122304"/>
    <w:rsid w:val="00135700"/>
    <w:rsid w:val="00165A5A"/>
    <w:rsid w:val="00165CA6"/>
    <w:rsid w:val="001662CA"/>
    <w:rsid w:val="00195851"/>
    <w:rsid w:val="00196FDC"/>
    <w:rsid w:val="001C0014"/>
    <w:rsid w:val="00226752"/>
    <w:rsid w:val="00227C89"/>
    <w:rsid w:val="002375C1"/>
    <w:rsid w:val="0024777A"/>
    <w:rsid w:val="00256B4E"/>
    <w:rsid w:val="00286040"/>
    <w:rsid w:val="00294958"/>
    <w:rsid w:val="002F3415"/>
    <w:rsid w:val="0036197F"/>
    <w:rsid w:val="00362315"/>
    <w:rsid w:val="00397508"/>
    <w:rsid w:val="003C60F6"/>
    <w:rsid w:val="003D4393"/>
    <w:rsid w:val="003E2F40"/>
    <w:rsid w:val="004A0CDD"/>
    <w:rsid w:val="004B7264"/>
    <w:rsid w:val="004D2C6B"/>
    <w:rsid w:val="004F41B0"/>
    <w:rsid w:val="004F6D22"/>
    <w:rsid w:val="005029C5"/>
    <w:rsid w:val="005369DC"/>
    <w:rsid w:val="005A2001"/>
    <w:rsid w:val="005C0B45"/>
    <w:rsid w:val="005D607E"/>
    <w:rsid w:val="006B58E0"/>
    <w:rsid w:val="006C0698"/>
    <w:rsid w:val="006E6FCA"/>
    <w:rsid w:val="006E7D4A"/>
    <w:rsid w:val="0070134E"/>
    <w:rsid w:val="007152FB"/>
    <w:rsid w:val="00785F51"/>
    <w:rsid w:val="007A5E0B"/>
    <w:rsid w:val="007C19D0"/>
    <w:rsid w:val="007C3A1F"/>
    <w:rsid w:val="00810376"/>
    <w:rsid w:val="0089756E"/>
    <w:rsid w:val="00912ABD"/>
    <w:rsid w:val="00925691"/>
    <w:rsid w:val="00935E39"/>
    <w:rsid w:val="00940093"/>
    <w:rsid w:val="009821C8"/>
    <w:rsid w:val="009905E0"/>
    <w:rsid w:val="009A47CC"/>
    <w:rsid w:val="009C4BFC"/>
    <w:rsid w:val="009F3EE5"/>
    <w:rsid w:val="00A121B9"/>
    <w:rsid w:val="00A92B4B"/>
    <w:rsid w:val="00AA77D0"/>
    <w:rsid w:val="00AB19B2"/>
    <w:rsid w:val="00AC4675"/>
    <w:rsid w:val="00AE532B"/>
    <w:rsid w:val="00B32EB8"/>
    <w:rsid w:val="00B60470"/>
    <w:rsid w:val="00BB38F8"/>
    <w:rsid w:val="00BD72EA"/>
    <w:rsid w:val="00BE0AB7"/>
    <w:rsid w:val="00C01DFB"/>
    <w:rsid w:val="00C255D9"/>
    <w:rsid w:val="00C33265"/>
    <w:rsid w:val="00C9161E"/>
    <w:rsid w:val="00C9191F"/>
    <w:rsid w:val="00CB2053"/>
    <w:rsid w:val="00CC3F60"/>
    <w:rsid w:val="00CD1936"/>
    <w:rsid w:val="00CE14AA"/>
    <w:rsid w:val="00CE6F48"/>
    <w:rsid w:val="00CF0CFE"/>
    <w:rsid w:val="00CF309A"/>
    <w:rsid w:val="00D377EC"/>
    <w:rsid w:val="00D84A5D"/>
    <w:rsid w:val="00D91F4B"/>
    <w:rsid w:val="00DA6DBE"/>
    <w:rsid w:val="00DB7D84"/>
    <w:rsid w:val="00DE6B1C"/>
    <w:rsid w:val="00E20E3B"/>
    <w:rsid w:val="00E312DB"/>
    <w:rsid w:val="00E53F9B"/>
    <w:rsid w:val="00E6289C"/>
    <w:rsid w:val="00E7721B"/>
    <w:rsid w:val="00EA09C9"/>
    <w:rsid w:val="00EB6621"/>
    <w:rsid w:val="00EF5F6B"/>
    <w:rsid w:val="00F25115"/>
    <w:rsid w:val="00F427B9"/>
    <w:rsid w:val="00F67CFC"/>
    <w:rsid w:val="00F7311B"/>
    <w:rsid w:val="00FD051F"/>
    <w:rsid w:val="00FE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A39C92"/>
  <w15:chartTrackingRefBased/>
  <w15:docId w15:val="{E8098A59-18FD-4729-93DE-C7BEB1DC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4E"/>
    <w:pPr>
      <w:spacing w:after="0" w:line="240" w:lineRule="auto"/>
    </w:pPr>
    <w:rPr>
      <w:rFonts w:ascii="Times" w:eastAsia="Times New Roman"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B4E"/>
    <w:pPr>
      <w:ind w:left="720"/>
      <w:contextualSpacing/>
    </w:pPr>
  </w:style>
  <w:style w:type="paragraph" w:customStyle="1" w:styleId="Numberedbody">
    <w:name w:val="Numbered body"/>
    <w:basedOn w:val="BodyTextFirstIndent"/>
    <w:link w:val="NumberedbodyChar"/>
    <w:qFormat/>
    <w:rsid w:val="00256B4E"/>
    <w:pPr>
      <w:numPr>
        <w:ilvl w:val="1"/>
        <w:numId w:val="2"/>
      </w:numPr>
      <w:spacing w:after="120" w:line="360" w:lineRule="auto"/>
    </w:pPr>
  </w:style>
  <w:style w:type="character" w:customStyle="1" w:styleId="NumberedbodyChar">
    <w:name w:val="Numbered body Char"/>
    <w:basedOn w:val="BodyTextFirstIndentChar"/>
    <w:link w:val="Numberedbody"/>
    <w:rsid w:val="00256B4E"/>
    <w:rPr>
      <w:rFonts w:ascii="Times" w:eastAsia="Times New Roman" w:hAnsi="Times"/>
      <w:szCs w:val="20"/>
    </w:rPr>
  </w:style>
  <w:style w:type="paragraph" w:styleId="BodyText">
    <w:name w:val="Body Text"/>
    <w:basedOn w:val="Normal"/>
    <w:link w:val="BodyTextChar"/>
    <w:uiPriority w:val="99"/>
    <w:semiHidden/>
    <w:unhideWhenUsed/>
    <w:rsid w:val="00256B4E"/>
    <w:pPr>
      <w:spacing w:after="120"/>
    </w:pPr>
  </w:style>
  <w:style w:type="character" w:customStyle="1" w:styleId="BodyTextChar">
    <w:name w:val="Body Text Char"/>
    <w:basedOn w:val="DefaultParagraphFont"/>
    <w:link w:val="BodyText"/>
    <w:uiPriority w:val="99"/>
    <w:semiHidden/>
    <w:rsid w:val="00256B4E"/>
    <w:rPr>
      <w:rFonts w:ascii="Times" w:eastAsia="Times New Roman" w:hAnsi="Times"/>
      <w:szCs w:val="20"/>
    </w:rPr>
  </w:style>
  <w:style w:type="paragraph" w:styleId="BodyTextFirstIndent">
    <w:name w:val="Body Text First Indent"/>
    <w:basedOn w:val="BodyText"/>
    <w:link w:val="BodyTextFirstIndentChar"/>
    <w:uiPriority w:val="99"/>
    <w:semiHidden/>
    <w:unhideWhenUsed/>
    <w:rsid w:val="00256B4E"/>
    <w:pPr>
      <w:spacing w:after="0"/>
      <w:ind w:firstLine="360"/>
    </w:pPr>
  </w:style>
  <w:style w:type="character" w:customStyle="1" w:styleId="BodyTextFirstIndentChar">
    <w:name w:val="Body Text First Indent Char"/>
    <w:basedOn w:val="BodyTextChar"/>
    <w:link w:val="BodyTextFirstIndent"/>
    <w:uiPriority w:val="99"/>
    <w:semiHidden/>
    <w:rsid w:val="00256B4E"/>
    <w:rPr>
      <w:rFonts w:ascii="Times" w:eastAsia="Times New Roman" w:hAnsi="Times"/>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5369DC"/>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5369DC"/>
    <w:rPr>
      <w:rFonts w:ascii="Times" w:eastAsia="Times New Roman" w:hAnsi="Times"/>
      <w:sz w:val="20"/>
      <w:szCs w:val="20"/>
    </w:rPr>
  </w:style>
  <w:style w:type="character" w:styleId="FootnoteReference">
    <w:name w:val="footnote reference"/>
    <w:basedOn w:val="DefaultParagraphFont"/>
    <w:uiPriority w:val="99"/>
    <w:semiHidden/>
    <w:unhideWhenUsed/>
    <w:rsid w:val="005369DC"/>
    <w:rPr>
      <w:vertAlign w:val="superscript"/>
    </w:rPr>
  </w:style>
  <w:style w:type="paragraph" w:styleId="Header">
    <w:name w:val="header"/>
    <w:basedOn w:val="Normal"/>
    <w:link w:val="HeaderChar"/>
    <w:uiPriority w:val="99"/>
    <w:unhideWhenUsed/>
    <w:rsid w:val="000608D4"/>
    <w:pPr>
      <w:tabs>
        <w:tab w:val="center" w:pos="4680"/>
        <w:tab w:val="right" w:pos="9360"/>
      </w:tabs>
    </w:pPr>
  </w:style>
  <w:style w:type="character" w:customStyle="1" w:styleId="HeaderChar">
    <w:name w:val="Header Char"/>
    <w:basedOn w:val="DefaultParagraphFont"/>
    <w:link w:val="Header"/>
    <w:uiPriority w:val="99"/>
    <w:rsid w:val="000608D4"/>
    <w:rPr>
      <w:rFonts w:ascii="Times" w:eastAsia="Times New Roman" w:hAnsi="Times"/>
      <w:szCs w:val="20"/>
    </w:rPr>
  </w:style>
  <w:style w:type="paragraph" w:styleId="Footer">
    <w:name w:val="footer"/>
    <w:basedOn w:val="Normal"/>
    <w:link w:val="FooterChar"/>
    <w:uiPriority w:val="99"/>
    <w:unhideWhenUsed/>
    <w:rsid w:val="000608D4"/>
    <w:pPr>
      <w:tabs>
        <w:tab w:val="center" w:pos="4680"/>
        <w:tab w:val="right" w:pos="9360"/>
      </w:tabs>
    </w:pPr>
  </w:style>
  <w:style w:type="character" w:customStyle="1" w:styleId="FooterChar">
    <w:name w:val="Footer Char"/>
    <w:basedOn w:val="DefaultParagraphFont"/>
    <w:link w:val="Footer"/>
    <w:uiPriority w:val="99"/>
    <w:rsid w:val="000608D4"/>
    <w:rPr>
      <w:rFonts w:ascii="Times" w:eastAsia="Times New Roman" w:hAnsi="Times"/>
      <w:szCs w:val="20"/>
    </w:rPr>
  </w:style>
  <w:style w:type="paragraph" w:styleId="NoSpacing">
    <w:name w:val="No Spacing"/>
    <w:uiPriority w:val="1"/>
    <w:qFormat/>
    <w:rsid w:val="00AB19B2"/>
    <w:pPr>
      <w:spacing w:after="0" w:line="240" w:lineRule="auto"/>
    </w:pPr>
    <w:rPr>
      <w:rFonts w:asciiTheme="minorHAnsi" w:hAnsiTheme="minorHAnsi" w:cstheme="minorBidi"/>
      <w:sz w:val="22"/>
      <w:szCs w:val="22"/>
    </w:rPr>
  </w:style>
  <w:style w:type="paragraph" w:styleId="CommentText">
    <w:name w:val="annotation text"/>
    <w:basedOn w:val="Normal"/>
    <w:link w:val="CommentTextChar"/>
    <w:uiPriority w:val="99"/>
    <w:semiHidden/>
    <w:unhideWhenUsed/>
    <w:rsid w:val="00FE7681"/>
    <w:rPr>
      <w:sz w:val="20"/>
    </w:rPr>
  </w:style>
  <w:style w:type="character" w:customStyle="1" w:styleId="CommentTextChar">
    <w:name w:val="Comment Text Char"/>
    <w:basedOn w:val="DefaultParagraphFont"/>
    <w:link w:val="CommentText"/>
    <w:uiPriority w:val="99"/>
    <w:semiHidden/>
    <w:rsid w:val="00FE7681"/>
    <w:rPr>
      <w:rFonts w:ascii="Times" w:eastAsia="Times New Roman" w:hAnsi="Times"/>
      <w:sz w:val="20"/>
      <w:szCs w:val="20"/>
    </w:rPr>
  </w:style>
  <w:style w:type="paragraph" w:styleId="CommentSubject">
    <w:name w:val="annotation subject"/>
    <w:basedOn w:val="CommentText"/>
    <w:next w:val="CommentText"/>
    <w:link w:val="CommentSubjectChar"/>
    <w:uiPriority w:val="99"/>
    <w:semiHidden/>
    <w:unhideWhenUsed/>
    <w:rsid w:val="00FE7681"/>
    <w:rPr>
      <w:rFonts w:ascii="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FE7681"/>
    <w:rPr>
      <w:rFonts w:ascii="Times" w:eastAsia="Times New Roman" w:hAnsi="Times"/>
      <w:b/>
      <w:bCs/>
      <w:sz w:val="20"/>
      <w:szCs w:val="20"/>
      <w:lang w:val="x-none" w:eastAsia="x-none"/>
    </w:rPr>
  </w:style>
  <w:style w:type="character" w:styleId="CommentReference">
    <w:name w:val="annotation reference"/>
    <w:basedOn w:val="DefaultParagraphFont"/>
    <w:uiPriority w:val="99"/>
    <w:semiHidden/>
    <w:unhideWhenUsed/>
    <w:rsid w:val="007C19D0"/>
    <w:rPr>
      <w:sz w:val="16"/>
      <w:szCs w:val="16"/>
    </w:rPr>
  </w:style>
  <w:style w:type="paragraph" w:styleId="Revision">
    <w:name w:val="Revision"/>
    <w:hidden/>
    <w:uiPriority w:val="99"/>
    <w:semiHidden/>
    <w:rsid w:val="007C19D0"/>
    <w:pPr>
      <w:spacing w:after="0" w:line="240" w:lineRule="auto"/>
    </w:pPr>
    <w:rPr>
      <w:rFonts w:ascii="Times" w:eastAsia="Times New Roman" w:hAnsi="Times"/>
      <w:szCs w:val="20"/>
    </w:rPr>
  </w:style>
  <w:style w:type="paragraph" w:styleId="BalloonText">
    <w:name w:val="Balloon Text"/>
    <w:basedOn w:val="Normal"/>
    <w:link w:val="BalloonTextChar"/>
    <w:uiPriority w:val="99"/>
    <w:semiHidden/>
    <w:unhideWhenUsed/>
    <w:rsid w:val="007C1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9D0"/>
    <w:rPr>
      <w:rFonts w:ascii="Segoe UI" w:eastAsia="Times New Roman" w:hAnsi="Segoe UI" w:cs="Segoe UI"/>
      <w:sz w:val="18"/>
      <w:szCs w:val="18"/>
    </w:rPr>
  </w:style>
  <w:style w:type="paragraph" w:styleId="BodyTextIndent2">
    <w:name w:val="Body Text Indent 2"/>
    <w:basedOn w:val="Normal"/>
    <w:link w:val="BodyTextIndent2Char"/>
    <w:uiPriority w:val="99"/>
    <w:semiHidden/>
    <w:unhideWhenUsed/>
    <w:rsid w:val="000B3D9C"/>
    <w:pPr>
      <w:spacing w:after="120" w:line="480" w:lineRule="auto"/>
      <w:ind w:left="360"/>
    </w:pPr>
  </w:style>
  <w:style w:type="character" w:customStyle="1" w:styleId="BodyTextIndent2Char">
    <w:name w:val="Body Text Indent 2 Char"/>
    <w:basedOn w:val="DefaultParagraphFont"/>
    <w:link w:val="BodyTextIndent2"/>
    <w:uiPriority w:val="99"/>
    <w:rsid w:val="000B3D9C"/>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2015-07-31T07:00:00+00:00</OpenedDate>
    <Date1 xmlns="dc463f71-b30c-4ab2-9473-d307f9d35888">2015-08-24T23:22:10+00:00</Date1>
    <IsDocumentOrder xmlns="dc463f71-b30c-4ab2-9473-d307f9d35888" xsi:nil="true"/>
    <IsHighlyConfidential xmlns="dc463f71-b30c-4ab2-9473-d307f9d35888">false</IsHighlyConfidential>
    <CaseCompanyNames xmlns="dc463f71-b30c-4ab2-9473-d307f9d35888" xsi:nil="true"/>
    <DocketNumber xmlns="dc463f71-b30c-4ab2-9473-d307f9d35888">151592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FAC0598273CB469D5D8A1030DE601D" ma:contentTypeVersion="119" ma:contentTypeDescription="" ma:contentTypeScope="" ma:versionID="864b1414b7194dcd8e31d002353852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67CE7-B608-4AC2-80A5-CBE984ACB5F4}"/>
</file>

<file path=customXml/itemProps2.xml><?xml version="1.0" encoding="utf-8"?>
<ds:datastoreItem xmlns:ds="http://schemas.openxmlformats.org/officeDocument/2006/customXml" ds:itemID="{87BCAF99-4E2C-4C6E-8B83-27507AB6ED58}"/>
</file>

<file path=customXml/itemProps3.xml><?xml version="1.0" encoding="utf-8"?>
<ds:datastoreItem xmlns:ds="http://schemas.openxmlformats.org/officeDocument/2006/customXml" ds:itemID="{03E40E6B-688E-4213-9371-6E7DCDFB67B9}"/>
</file>

<file path=customXml/itemProps4.xml><?xml version="1.0" encoding="utf-8"?>
<ds:datastoreItem xmlns:ds="http://schemas.openxmlformats.org/officeDocument/2006/customXml" ds:itemID="{528857CE-BF89-4C47-AF9D-099E9C113EF6}"/>
</file>

<file path=customXml/itemProps5.xml><?xml version="1.0" encoding="utf-8"?>
<ds:datastoreItem xmlns:ds="http://schemas.openxmlformats.org/officeDocument/2006/customXml" ds:itemID="{B491B01B-DD61-46BD-B31C-0BBBE1285675}"/>
</file>

<file path=docProps/app.xml><?xml version="1.0" encoding="utf-8"?>
<Properties xmlns="http://schemas.openxmlformats.org/officeDocument/2006/extended-properties" xmlns:vt="http://schemas.openxmlformats.org/officeDocument/2006/docPropsVTypes">
  <Template>Normal.dotm</Template>
  <TotalTime>20</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 Patrick (UTC)</dc:creator>
  <cp:keywords/>
  <dc:description/>
  <cp:lastModifiedBy>Gross, Krista (UTC)</cp:lastModifiedBy>
  <cp:revision>13</cp:revision>
  <cp:lastPrinted>2015-08-24T22:57:00Z</cp:lastPrinted>
  <dcterms:created xsi:type="dcterms:W3CDTF">2015-08-24T21:59:00Z</dcterms:created>
  <dcterms:modified xsi:type="dcterms:W3CDTF">2015-08-24T22:57:00Z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0x0101006E56B4D1795A2E4DB2F0B01679ED314A000DFAC0598273CB469D5D8A1030DE601D</vt:lpwstr>
  </property>
  <property fmtid="{D5CDD505-2E9C-101B-9397-08002B2CF9AE}" pid="3" name="_docset_NoMedatataSyncRequired">
    <vt:lpwstr>False</vt:lpwstr>
  </property>
</Properties>
</file>