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67F7" w14:textId="77777777" w:rsidR="002B26C6" w:rsidRPr="00D05F3D" w:rsidRDefault="002B26C6" w:rsidP="002B26C6">
      <w:pPr>
        <w:rPr>
          <w:rFonts w:ascii="Times New Roman" w:hAnsi="Times New Roman"/>
        </w:rPr>
      </w:pPr>
      <w:bookmarkStart w:id="0" w:name="_GoBack"/>
      <w:bookmarkEnd w:id="0"/>
      <w:r w:rsidRPr="00D05F3D">
        <w:rPr>
          <w:rFonts w:ascii="Times New Roman" w:hAnsi="Times New Roman"/>
        </w:rPr>
        <w:t>Agenda Date:</w:t>
      </w:r>
      <w:r w:rsidRPr="00D05F3D">
        <w:rPr>
          <w:rFonts w:ascii="Times New Roman" w:hAnsi="Times New Roman"/>
        </w:rPr>
        <w:tab/>
      </w:r>
      <w:r w:rsidRPr="00D05F3D">
        <w:rPr>
          <w:rFonts w:ascii="Times New Roman" w:hAnsi="Times New Roman"/>
        </w:rPr>
        <w:tab/>
        <w:t>June 25, 2015</w:t>
      </w:r>
    </w:p>
    <w:p w14:paraId="7B1267F8" w14:textId="3C6A3D91" w:rsidR="002B26C6" w:rsidRPr="00D05F3D" w:rsidRDefault="0009192E" w:rsidP="002B26C6">
      <w:pPr>
        <w:ind w:left="2160" w:hanging="2160"/>
        <w:rPr>
          <w:rFonts w:ascii="Times New Roman" w:hAnsi="Times New Roman"/>
        </w:rPr>
      </w:pPr>
      <w:r>
        <w:rPr>
          <w:rFonts w:ascii="Times New Roman" w:hAnsi="Times New Roman"/>
        </w:rPr>
        <w:t>Item Number:</w:t>
      </w:r>
      <w:r>
        <w:rPr>
          <w:rFonts w:ascii="Times New Roman" w:hAnsi="Times New Roman"/>
        </w:rPr>
        <w:tab/>
        <w:t>A2</w:t>
      </w:r>
    </w:p>
    <w:p w14:paraId="7B1267F9" w14:textId="77777777" w:rsidR="002B26C6" w:rsidRPr="00D05F3D" w:rsidRDefault="002B26C6" w:rsidP="002B26C6">
      <w:pPr>
        <w:rPr>
          <w:rFonts w:ascii="Times New Roman" w:hAnsi="Times New Roman"/>
        </w:rPr>
      </w:pPr>
    </w:p>
    <w:p w14:paraId="7B1267FA" w14:textId="77777777" w:rsidR="002B26C6" w:rsidRPr="00D05F3D" w:rsidRDefault="002B26C6" w:rsidP="002B26C6">
      <w:pPr>
        <w:rPr>
          <w:rFonts w:ascii="Times New Roman" w:hAnsi="Times New Roman"/>
          <w:b/>
          <w:bCs/>
        </w:rPr>
      </w:pPr>
      <w:r w:rsidRPr="00D05F3D">
        <w:rPr>
          <w:rFonts w:ascii="Times New Roman" w:hAnsi="Times New Roman"/>
          <w:b/>
          <w:bCs/>
        </w:rPr>
        <w:t>Docket:</w:t>
      </w:r>
      <w:r w:rsidRPr="00D05F3D">
        <w:rPr>
          <w:rFonts w:ascii="Times New Roman" w:hAnsi="Times New Roman"/>
          <w:b/>
          <w:bCs/>
        </w:rPr>
        <w:tab/>
      </w:r>
      <w:r w:rsidRPr="00D05F3D">
        <w:rPr>
          <w:rFonts w:ascii="Times New Roman" w:hAnsi="Times New Roman"/>
          <w:b/>
          <w:bCs/>
        </w:rPr>
        <w:tab/>
        <w:t>UE-131</w:t>
      </w:r>
      <w:r>
        <w:rPr>
          <w:rFonts w:ascii="Times New Roman" w:hAnsi="Times New Roman"/>
          <w:b/>
          <w:bCs/>
        </w:rPr>
        <w:t>063</w:t>
      </w:r>
    </w:p>
    <w:p w14:paraId="7B1267FB" w14:textId="77777777" w:rsidR="002B26C6" w:rsidRPr="00D05F3D" w:rsidRDefault="002B26C6" w:rsidP="002B26C6">
      <w:pPr>
        <w:rPr>
          <w:rFonts w:ascii="Times New Roman" w:hAnsi="Times New Roman"/>
        </w:rPr>
      </w:pPr>
      <w:r w:rsidRPr="00D05F3D">
        <w:rPr>
          <w:rFonts w:ascii="Times New Roman" w:hAnsi="Times New Roman"/>
        </w:rPr>
        <w:t>Company:</w:t>
      </w:r>
      <w:r w:rsidRPr="00D05F3D">
        <w:rPr>
          <w:rFonts w:ascii="Times New Roman" w:hAnsi="Times New Roman"/>
        </w:rPr>
        <w:tab/>
      </w:r>
      <w:r w:rsidRPr="00D05F3D">
        <w:rPr>
          <w:rFonts w:ascii="Times New Roman" w:hAnsi="Times New Roman"/>
        </w:rPr>
        <w:tab/>
      </w:r>
      <w:r>
        <w:rPr>
          <w:rFonts w:ascii="Times New Roman" w:hAnsi="Times New Roman"/>
        </w:rPr>
        <w:t>Pacific Power &amp; Light Company</w:t>
      </w:r>
    </w:p>
    <w:p w14:paraId="7B1267FC" w14:textId="77777777" w:rsidR="002B26C6" w:rsidRPr="00D05F3D" w:rsidRDefault="002B26C6" w:rsidP="002B26C6">
      <w:pPr>
        <w:rPr>
          <w:rFonts w:ascii="Times New Roman" w:hAnsi="Times New Roman"/>
        </w:rPr>
      </w:pPr>
    </w:p>
    <w:p w14:paraId="7B1267FD" w14:textId="77777777" w:rsidR="002B26C6" w:rsidRPr="00D05F3D" w:rsidRDefault="002B26C6" w:rsidP="002B26C6">
      <w:pPr>
        <w:rPr>
          <w:rFonts w:ascii="Times New Roman" w:hAnsi="Times New Roman"/>
        </w:rPr>
      </w:pPr>
      <w:r w:rsidRPr="00D05F3D">
        <w:rPr>
          <w:rFonts w:ascii="Times New Roman" w:hAnsi="Times New Roman"/>
        </w:rPr>
        <w:t>Staff:</w:t>
      </w:r>
      <w:r w:rsidRPr="00D05F3D">
        <w:rPr>
          <w:rFonts w:ascii="Times New Roman" w:hAnsi="Times New Roman"/>
        </w:rPr>
        <w:tab/>
      </w:r>
      <w:r w:rsidRPr="00D05F3D">
        <w:rPr>
          <w:rFonts w:ascii="Times New Roman" w:hAnsi="Times New Roman"/>
        </w:rPr>
        <w:tab/>
      </w:r>
      <w:r w:rsidRPr="00D05F3D">
        <w:rPr>
          <w:rFonts w:ascii="Times New Roman" w:hAnsi="Times New Roman"/>
        </w:rPr>
        <w:tab/>
        <w:t>Jeremy Twitchell, Regulatory Analyst</w:t>
      </w:r>
    </w:p>
    <w:p w14:paraId="7B1267FE" w14:textId="77777777" w:rsidR="002B26C6" w:rsidRPr="00D05F3D" w:rsidRDefault="002B26C6" w:rsidP="002B26C6">
      <w:pPr>
        <w:rPr>
          <w:rFonts w:ascii="Times New Roman" w:hAnsi="Times New Roman"/>
        </w:rPr>
      </w:pPr>
    </w:p>
    <w:p w14:paraId="7B1267FF" w14:textId="77777777" w:rsidR="002B26C6" w:rsidRPr="00D05F3D" w:rsidRDefault="002B26C6" w:rsidP="002B26C6">
      <w:pPr>
        <w:rPr>
          <w:rFonts w:ascii="Times New Roman" w:hAnsi="Times New Roman"/>
          <w:b/>
          <w:bCs/>
          <w:u w:val="single"/>
        </w:rPr>
      </w:pPr>
      <w:r w:rsidRPr="00D05F3D">
        <w:rPr>
          <w:rFonts w:ascii="Times New Roman" w:hAnsi="Times New Roman"/>
          <w:b/>
          <w:bCs/>
          <w:u w:val="single"/>
        </w:rPr>
        <w:t>Recommendation</w:t>
      </w:r>
    </w:p>
    <w:p w14:paraId="7B126800" w14:textId="77777777" w:rsidR="002B26C6" w:rsidRPr="00D05F3D" w:rsidRDefault="002B26C6" w:rsidP="002B26C6">
      <w:pPr>
        <w:rPr>
          <w:rFonts w:ascii="Times New Roman" w:hAnsi="Times New Roman"/>
        </w:rPr>
      </w:pPr>
    </w:p>
    <w:p w14:paraId="7B126801" w14:textId="77777777" w:rsidR="002B26C6" w:rsidRPr="00D05F3D" w:rsidRDefault="002B26C6" w:rsidP="002B26C6">
      <w:pPr>
        <w:rPr>
          <w:rFonts w:ascii="Times New Roman" w:hAnsi="Times New Roman"/>
        </w:rPr>
      </w:pPr>
      <w:r w:rsidRPr="00D05F3D">
        <w:rPr>
          <w:rFonts w:ascii="Times New Roman" w:hAnsi="Times New Roman"/>
        </w:rPr>
        <w:t>Issue an Order in Docket UE-</w:t>
      </w:r>
      <w:r w:rsidR="00240480">
        <w:rPr>
          <w:rFonts w:ascii="Times New Roman" w:hAnsi="Times New Roman"/>
        </w:rPr>
        <w:t>131063</w:t>
      </w:r>
      <w:r w:rsidRPr="00D05F3D">
        <w:rPr>
          <w:rFonts w:ascii="Times New Roman" w:hAnsi="Times New Roman"/>
        </w:rPr>
        <w:t xml:space="preserve"> finding:</w:t>
      </w:r>
    </w:p>
    <w:p w14:paraId="7B126802" w14:textId="77777777" w:rsidR="002B26C6" w:rsidRPr="00D05F3D" w:rsidRDefault="002B26C6" w:rsidP="002B26C6">
      <w:pPr>
        <w:rPr>
          <w:rFonts w:ascii="Times New Roman" w:hAnsi="Times New Roman"/>
        </w:rPr>
      </w:pPr>
    </w:p>
    <w:p w14:paraId="7B126803" w14:textId="0FFB68D6" w:rsidR="002B26C6" w:rsidRDefault="002B26C6" w:rsidP="002B26C6">
      <w:pPr>
        <w:ind w:left="720" w:hanging="720"/>
        <w:rPr>
          <w:rFonts w:ascii="Times New Roman" w:hAnsi="Times New Roman"/>
        </w:rPr>
      </w:pPr>
      <w:r w:rsidRPr="00D05F3D">
        <w:rPr>
          <w:rFonts w:ascii="Times New Roman" w:hAnsi="Times New Roman"/>
        </w:rPr>
        <w:t>(1)</w:t>
      </w:r>
      <w:r w:rsidRPr="00D05F3D">
        <w:rPr>
          <w:rFonts w:ascii="Times New Roman" w:hAnsi="Times New Roman"/>
        </w:rPr>
        <w:tab/>
      </w:r>
      <w:r>
        <w:rPr>
          <w:rFonts w:ascii="Times New Roman" w:hAnsi="Times New Roman"/>
        </w:rPr>
        <w:t>Pacific Power &amp; Light Company</w:t>
      </w:r>
      <w:r w:rsidRPr="00D05F3D">
        <w:rPr>
          <w:rFonts w:ascii="Times New Roman" w:hAnsi="Times New Roman"/>
        </w:rPr>
        <w:t xml:space="preserve"> complied with the final renewable portfolio standard reporting requirements in </w:t>
      </w:r>
      <w:r w:rsidR="00840C68">
        <w:rPr>
          <w:rFonts w:ascii="Times New Roman" w:hAnsi="Times New Roman"/>
        </w:rPr>
        <w:t>Order 01</w:t>
      </w:r>
      <w:r w:rsidR="00BD29F0">
        <w:rPr>
          <w:rFonts w:ascii="Times New Roman" w:hAnsi="Times New Roman"/>
        </w:rPr>
        <w:t xml:space="preserve"> of this docket</w:t>
      </w:r>
      <w:r w:rsidR="00840C68">
        <w:rPr>
          <w:rFonts w:ascii="Times New Roman" w:hAnsi="Times New Roman"/>
        </w:rPr>
        <w:t>.</w:t>
      </w:r>
    </w:p>
    <w:p w14:paraId="7B126804" w14:textId="09F8F71B" w:rsidR="00240480" w:rsidRDefault="00240480" w:rsidP="002B26C6">
      <w:pPr>
        <w:ind w:left="720" w:hanging="720"/>
        <w:rPr>
          <w:rFonts w:ascii="Times New Roman" w:hAnsi="Times New Roman"/>
        </w:rPr>
      </w:pPr>
      <w:r>
        <w:rPr>
          <w:rFonts w:ascii="Times New Roman" w:hAnsi="Times New Roman"/>
        </w:rPr>
        <w:t>(2)</w:t>
      </w:r>
      <w:r>
        <w:rPr>
          <w:rFonts w:ascii="Times New Roman" w:hAnsi="Times New Roman"/>
        </w:rPr>
        <w:tab/>
      </w:r>
      <w:r w:rsidRPr="00240480">
        <w:rPr>
          <w:rFonts w:ascii="Times New Roman" w:hAnsi="Times New Roman"/>
        </w:rPr>
        <w:t xml:space="preserve">Pacific Power </w:t>
      </w:r>
      <w:r w:rsidR="00654E2F">
        <w:rPr>
          <w:rFonts w:ascii="Times New Roman" w:hAnsi="Times New Roman"/>
        </w:rPr>
        <w:t>&amp;</w:t>
      </w:r>
      <w:r w:rsidRPr="00240480">
        <w:rPr>
          <w:rFonts w:ascii="Times New Roman" w:hAnsi="Times New Roman"/>
        </w:rPr>
        <w:t xml:space="preserve"> Light Co</w:t>
      </w:r>
      <w:r>
        <w:rPr>
          <w:rFonts w:ascii="Times New Roman" w:hAnsi="Times New Roman"/>
        </w:rPr>
        <w:t>mpany’s petition to count 631</w:t>
      </w:r>
      <w:r w:rsidR="00654E2F">
        <w:rPr>
          <w:rFonts w:ascii="Times New Roman" w:hAnsi="Times New Roman"/>
        </w:rPr>
        <w:t xml:space="preserve"> </w:t>
      </w:r>
      <w:r>
        <w:rPr>
          <w:rFonts w:ascii="Times New Roman" w:hAnsi="Times New Roman"/>
        </w:rPr>
        <w:t xml:space="preserve">megawatt-hours </w:t>
      </w:r>
      <w:r w:rsidRPr="00240480">
        <w:rPr>
          <w:rFonts w:ascii="Times New Roman" w:hAnsi="Times New Roman"/>
        </w:rPr>
        <w:t xml:space="preserve">of Wanapum Dam generation towards its 2013 RPS target is granted. </w:t>
      </w:r>
    </w:p>
    <w:p w14:paraId="7B126805" w14:textId="6FE9386B" w:rsidR="00240480" w:rsidRPr="00D05F3D" w:rsidRDefault="002B26C6" w:rsidP="002B26C6">
      <w:pPr>
        <w:ind w:left="720" w:hanging="720"/>
        <w:rPr>
          <w:rFonts w:ascii="Times New Roman" w:hAnsi="Times New Roman"/>
        </w:rPr>
      </w:pPr>
      <w:r w:rsidRPr="00D05F3D">
        <w:rPr>
          <w:rFonts w:ascii="Times New Roman" w:hAnsi="Times New Roman"/>
        </w:rPr>
        <w:t>(</w:t>
      </w:r>
      <w:r w:rsidR="00240480">
        <w:rPr>
          <w:rFonts w:ascii="Times New Roman" w:hAnsi="Times New Roman"/>
        </w:rPr>
        <w:t>3</w:t>
      </w:r>
      <w:r w:rsidRPr="00D05F3D">
        <w:rPr>
          <w:rFonts w:ascii="Times New Roman" w:hAnsi="Times New Roman"/>
        </w:rPr>
        <w:t>)</w:t>
      </w:r>
      <w:r w:rsidRPr="00D05F3D">
        <w:rPr>
          <w:rFonts w:ascii="Times New Roman" w:hAnsi="Times New Roman"/>
        </w:rPr>
        <w:tab/>
      </w:r>
      <w:r>
        <w:rPr>
          <w:rFonts w:ascii="Times New Roman" w:hAnsi="Times New Roman"/>
        </w:rPr>
        <w:t>Pacific Power &amp; Light Company</w:t>
      </w:r>
      <w:r w:rsidRPr="00D05F3D">
        <w:rPr>
          <w:rFonts w:ascii="Times New Roman" w:hAnsi="Times New Roman"/>
        </w:rPr>
        <w:t xml:space="preserve"> has generated</w:t>
      </w:r>
      <w:r>
        <w:rPr>
          <w:rFonts w:ascii="Times New Roman" w:hAnsi="Times New Roman"/>
        </w:rPr>
        <w:t xml:space="preserve"> or acquired</w:t>
      </w:r>
      <w:r w:rsidRPr="00D05F3D">
        <w:rPr>
          <w:rFonts w:ascii="Times New Roman" w:hAnsi="Times New Roman"/>
        </w:rPr>
        <w:t xml:space="preserve"> </w:t>
      </w:r>
      <w:r w:rsidR="00654E2F">
        <w:rPr>
          <w:rFonts w:ascii="Times New Roman" w:hAnsi="Times New Roman"/>
        </w:rPr>
        <w:t>120,716</w:t>
      </w:r>
      <w:r w:rsidRPr="00D05F3D">
        <w:rPr>
          <w:rFonts w:ascii="Times New Roman" w:hAnsi="Times New Roman"/>
        </w:rPr>
        <w:t xml:space="preserve"> megawatt-hours of eligible renewable energy generation for the purpose of 2013 compliance, and</w:t>
      </w:r>
      <w:r w:rsidR="00654E2F">
        <w:rPr>
          <w:rFonts w:ascii="Times New Roman" w:hAnsi="Times New Roman"/>
        </w:rPr>
        <w:t xml:space="preserve"> </w:t>
      </w:r>
      <w:r w:rsidRPr="00D05F3D">
        <w:rPr>
          <w:rFonts w:ascii="Times New Roman" w:hAnsi="Times New Roman"/>
        </w:rPr>
        <w:t xml:space="preserve">retired </w:t>
      </w:r>
      <w:r w:rsidR="00840C68">
        <w:rPr>
          <w:rFonts w:ascii="Times New Roman" w:hAnsi="Times New Roman"/>
        </w:rPr>
        <w:t>corresponding</w:t>
      </w:r>
      <w:r w:rsidRPr="00D05F3D">
        <w:rPr>
          <w:rFonts w:ascii="Times New Roman" w:hAnsi="Times New Roman"/>
        </w:rPr>
        <w:t xml:space="preserve"> certificates </w:t>
      </w:r>
      <w:r w:rsidR="00840C68">
        <w:rPr>
          <w:rFonts w:ascii="Times New Roman" w:hAnsi="Times New Roman"/>
        </w:rPr>
        <w:t xml:space="preserve">for those resources registered </w:t>
      </w:r>
      <w:r w:rsidRPr="00D05F3D">
        <w:rPr>
          <w:rFonts w:ascii="Times New Roman" w:hAnsi="Times New Roman"/>
        </w:rPr>
        <w:t>in WREGIS.</w:t>
      </w:r>
    </w:p>
    <w:p w14:paraId="7B126806" w14:textId="77777777" w:rsidR="002B26C6" w:rsidRPr="00D05F3D" w:rsidRDefault="002B26C6" w:rsidP="002B26C6">
      <w:pPr>
        <w:ind w:left="720" w:hanging="720"/>
        <w:rPr>
          <w:rFonts w:ascii="Times New Roman" w:hAnsi="Times New Roman"/>
        </w:rPr>
      </w:pPr>
      <w:r w:rsidRPr="00D05F3D">
        <w:rPr>
          <w:rFonts w:ascii="Times New Roman" w:hAnsi="Times New Roman"/>
        </w:rPr>
        <w:t>(</w:t>
      </w:r>
      <w:r w:rsidR="00240480">
        <w:rPr>
          <w:rFonts w:ascii="Times New Roman" w:hAnsi="Times New Roman"/>
        </w:rPr>
        <w:t>4</w:t>
      </w:r>
      <w:r w:rsidRPr="00D05F3D">
        <w:rPr>
          <w:rFonts w:ascii="Times New Roman" w:hAnsi="Times New Roman"/>
        </w:rPr>
        <w:t>)</w:t>
      </w:r>
      <w:r w:rsidRPr="00D05F3D">
        <w:rPr>
          <w:rFonts w:ascii="Times New Roman" w:hAnsi="Times New Roman"/>
        </w:rPr>
        <w:tab/>
      </w:r>
      <w:r w:rsidR="00516EB6">
        <w:rPr>
          <w:rFonts w:ascii="Times New Roman" w:hAnsi="Times New Roman"/>
        </w:rPr>
        <w:t>Pacific Power &amp; Light Company</w:t>
      </w:r>
      <w:r w:rsidR="00516EB6" w:rsidRPr="00D05F3D">
        <w:rPr>
          <w:rFonts w:ascii="Times New Roman" w:hAnsi="Times New Roman"/>
        </w:rPr>
        <w:t xml:space="preserve"> </w:t>
      </w:r>
      <w:r w:rsidRPr="00D05F3D">
        <w:rPr>
          <w:rFonts w:ascii="Times New Roman" w:hAnsi="Times New Roman"/>
        </w:rPr>
        <w:t>has complied with its 2013 renewable energy target as required by RCW 19.285.040(2)(a)(i).</w:t>
      </w:r>
    </w:p>
    <w:p w14:paraId="7B126807" w14:textId="77777777" w:rsidR="002B26C6" w:rsidRPr="00D05F3D" w:rsidRDefault="002B26C6" w:rsidP="002B26C6">
      <w:pPr>
        <w:ind w:left="720" w:hanging="720"/>
        <w:rPr>
          <w:rFonts w:ascii="Times New Roman" w:hAnsi="Times New Roman"/>
        </w:rPr>
      </w:pPr>
    </w:p>
    <w:p w14:paraId="7B126808" w14:textId="77777777" w:rsidR="002B26C6" w:rsidRPr="00D05F3D" w:rsidRDefault="002B26C6" w:rsidP="002B26C6">
      <w:pPr>
        <w:rPr>
          <w:rFonts w:ascii="Times New Roman" w:hAnsi="Times New Roman"/>
          <w:b/>
          <w:u w:val="single"/>
        </w:rPr>
      </w:pPr>
      <w:r w:rsidRPr="00D05F3D">
        <w:rPr>
          <w:rFonts w:ascii="Times New Roman" w:hAnsi="Times New Roman"/>
          <w:b/>
          <w:u w:val="single"/>
        </w:rPr>
        <w:t>Background</w:t>
      </w:r>
    </w:p>
    <w:p w14:paraId="7B126809" w14:textId="77777777" w:rsidR="002B26C6" w:rsidRPr="00D05F3D" w:rsidRDefault="002B26C6" w:rsidP="002B26C6">
      <w:pPr>
        <w:rPr>
          <w:rFonts w:ascii="Times New Roman" w:hAnsi="Times New Roman"/>
        </w:rPr>
      </w:pPr>
    </w:p>
    <w:p w14:paraId="7B12680A" w14:textId="77777777" w:rsidR="002B26C6" w:rsidRPr="00D05F3D" w:rsidRDefault="002B26C6" w:rsidP="002B26C6">
      <w:pPr>
        <w:rPr>
          <w:rFonts w:ascii="Times New Roman" w:hAnsi="Times New Roman"/>
        </w:rPr>
      </w:pPr>
      <w:r w:rsidRPr="00D05F3D">
        <w:rPr>
          <w:rFonts w:ascii="Times New Roman" w:hAnsi="Times New Roman"/>
        </w:rPr>
        <w:t xml:space="preserve">The Washington Utilities and Transportation Commission (commission) issued Order 01 in this docket on Sept. 9, 2013, which approved </w:t>
      </w:r>
      <w:r w:rsidR="00516EB6">
        <w:rPr>
          <w:rFonts w:ascii="Times New Roman" w:hAnsi="Times New Roman"/>
        </w:rPr>
        <w:t>Pacific Power &amp; Light Company’s</w:t>
      </w:r>
      <w:r w:rsidRPr="00D05F3D">
        <w:rPr>
          <w:rFonts w:ascii="Times New Roman" w:hAnsi="Times New Roman"/>
        </w:rPr>
        <w:t xml:space="preserve"> (</w:t>
      </w:r>
      <w:r w:rsidR="00516EB6">
        <w:rPr>
          <w:rFonts w:ascii="Times New Roman" w:hAnsi="Times New Roman"/>
        </w:rPr>
        <w:t>Pacific Power</w:t>
      </w:r>
      <w:r w:rsidRPr="00D05F3D">
        <w:rPr>
          <w:rFonts w:ascii="Times New Roman" w:hAnsi="Times New Roman"/>
        </w:rPr>
        <w:t xml:space="preserve"> or company) calculation of its 2013 renewable energy target as </w:t>
      </w:r>
      <w:r w:rsidR="00240480">
        <w:rPr>
          <w:rFonts w:ascii="Times New Roman" w:hAnsi="Times New Roman"/>
        </w:rPr>
        <w:t>120,716</w:t>
      </w:r>
      <w:r w:rsidRPr="00D05F3D">
        <w:rPr>
          <w:rFonts w:ascii="Times New Roman" w:hAnsi="Times New Roman"/>
        </w:rPr>
        <w:t xml:space="preserve"> megawatt-hours. In that order, the commission also adopted a “two-step” process for determining compliance with the renewable portfolio standard (RPS) requirements within the Energy Independence Act (EIA). </w:t>
      </w:r>
    </w:p>
    <w:p w14:paraId="7B12680B" w14:textId="77777777" w:rsidR="002B26C6" w:rsidRPr="00D05F3D" w:rsidRDefault="002B26C6" w:rsidP="002B26C6">
      <w:pPr>
        <w:rPr>
          <w:rFonts w:ascii="Times New Roman" w:hAnsi="Times New Roman"/>
        </w:rPr>
      </w:pPr>
    </w:p>
    <w:p w14:paraId="7B12680C" w14:textId="77777777" w:rsidR="002B26C6" w:rsidRPr="00D05F3D" w:rsidRDefault="002B26C6" w:rsidP="002B26C6">
      <w:pPr>
        <w:rPr>
          <w:rFonts w:ascii="Times New Roman" w:hAnsi="Times New Roman"/>
        </w:rPr>
      </w:pPr>
      <w:r w:rsidRPr="00D05F3D">
        <w:rPr>
          <w:rFonts w:ascii="Times New Roman" w:hAnsi="Times New Roman"/>
        </w:rPr>
        <w:t>Under the two-step process, each utility is expected to file an initial report each year to calculate its renewable energy target for that year and demonstrate that it has acquired or contracted to acquire enough renewable energy credits (RECs) or eligible generation to meet that target. Then no later than June 1 two years after the target year, the utility must file a report with the commission that shows the specific resources that it used for compliance and the quantity of RECs or eligible generation from each resource.</w:t>
      </w:r>
    </w:p>
    <w:p w14:paraId="7B12680D" w14:textId="77777777" w:rsidR="002B26C6" w:rsidRPr="00D05F3D" w:rsidRDefault="002B26C6" w:rsidP="002B26C6">
      <w:pPr>
        <w:rPr>
          <w:rFonts w:ascii="Times New Roman" w:hAnsi="Times New Roman"/>
        </w:rPr>
      </w:pPr>
    </w:p>
    <w:p w14:paraId="7B12680E" w14:textId="3100F2AD" w:rsidR="002B26C6" w:rsidRPr="00D05F3D" w:rsidRDefault="002B26C6" w:rsidP="002B26C6">
      <w:pPr>
        <w:rPr>
          <w:rFonts w:ascii="Times New Roman" w:hAnsi="Times New Roman"/>
        </w:rPr>
      </w:pPr>
      <w:r w:rsidRPr="00D05F3D">
        <w:rPr>
          <w:rFonts w:ascii="Times New Roman" w:hAnsi="Times New Roman"/>
        </w:rPr>
        <w:t>On March 13, 2015, the comm</w:t>
      </w:r>
      <w:r w:rsidR="00240480">
        <w:rPr>
          <w:rFonts w:ascii="Times New Roman" w:hAnsi="Times New Roman"/>
        </w:rPr>
        <w:t>ission adopted</w:t>
      </w:r>
      <w:r w:rsidRPr="00D05F3D">
        <w:rPr>
          <w:rFonts w:ascii="Times New Roman" w:hAnsi="Times New Roman"/>
        </w:rPr>
        <w:t xml:space="preserve"> new rule</w:t>
      </w:r>
      <w:r w:rsidR="00240480">
        <w:rPr>
          <w:rFonts w:ascii="Times New Roman" w:hAnsi="Times New Roman"/>
        </w:rPr>
        <w:t>s</w:t>
      </w:r>
      <w:r w:rsidRPr="00D05F3D">
        <w:rPr>
          <w:rFonts w:ascii="Times New Roman" w:hAnsi="Times New Roman"/>
        </w:rPr>
        <w:t xml:space="preserve"> for EIA enforcement in regard to the state’s investor-owned utilities. The new rule, codified in WAC 480-109, was adopted after an in-depth and iterative public process that included multiple rounds of input from </w:t>
      </w:r>
      <w:r w:rsidR="00654E2F">
        <w:rPr>
          <w:rFonts w:ascii="Times New Roman" w:hAnsi="Times New Roman"/>
        </w:rPr>
        <w:t>commission staff</w:t>
      </w:r>
      <w:r w:rsidRPr="00D05F3D">
        <w:rPr>
          <w:rFonts w:ascii="Times New Roman" w:hAnsi="Times New Roman"/>
        </w:rPr>
        <w:t>, utilities, and other stakeholders. The rule formalized the commission’s two-step process in WAC 480-109-210 and imposed additional RPS reporting requirements on the state’s investor-owned utilities.</w:t>
      </w:r>
    </w:p>
    <w:p w14:paraId="7B12680F" w14:textId="77777777" w:rsidR="002B26C6" w:rsidRPr="00D05F3D" w:rsidRDefault="002B26C6" w:rsidP="002B26C6">
      <w:pPr>
        <w:rPr>
          <w:rFonts w:ascii="Times New Roman" w:hAnsi="Times New Roman"/>
        </w:rPr>
      </w:pPr>
    </w:p>
    <w:p w14:paraId="7B126810" w14:textId="77777777" w:rsidR="002B26C6" w:rsidRPr="00D05F3D" w:rsidRDefault="002B26C6" w:rsidP="002B26C6">
      <w:pPr>
        <w:rPr>
          <w:rFonts w:ascii="Times New Roman" w:hAnsi="Times New Roman"/>
        </w:rPr>
      </w:pPr>
      <w:r w:rsidRPr="00D05F3D">
        <w:rPr>
          <w:rFonts w:ascii="Times New Roman" w:hAnsi="Times New Roman"/>
        </w:rPr>
        <w:t xml:space="preserve">The rule also created a requirement in WAC 480-109-200(3) that all renewable generation used by an investor-owned utility for RPS compliance be registered in the Western Renewable Energy </w:t>
      </w:r>
      <w:r w:rsidRPr="00D05F3D">
        <w:rPr>
          <w:rFonts w:ascii="Times New Roman" w:hAnsi="Times New Roman"/>
        </w:rPr>
        <w:lastRenderedPageBreak/>
        <w:t xml:space="preserve">Generation Information System (WREGIS), and that corresponding certificates be retired in WREGIS. </w:t>
      </w:r>
      <w:r>
        <w:rPr>
          <w:rFonts w:ascii="Times New Roman" w:hAnsi="Times New Roman"/>
        </w:rPr>
        <w:t>WREGIS is the tracking facility selected by</w:t>
      </w:r>
      <w:r w:rsidRPr="00D05F3D">
        <w:rPr>
          <w:rFonts w:ascii="Times New Roman" w:hAnsi="Times New Roman"/>
        </w:rPr>
        <w:t xml:space="preserve"> the Washington State Department of Commerce </w:t>
      </w:r>
      <w:r>
        <w:rPr>
          <w:rFonts w:ascii="Times New Roman" w:hAnsi="Times New Roman"/>
        </w:rPr>
        <w:t>pursuant to RCW 19.285.030(20).</w:t>
      </w:r>
      <w:r w:rsidRPr="00D05F3D">
        <w:rPr>
          <w:rFonts w:ascii="Times New Roman" w:hAnsi="Times New Roman"/>
        </w:rPr>
        <w:t xml:space="preserve"> </w:t>
      </w:r>
    </w:p>
    <w:p w14:paraId="7B126811" w14:textId="77777777" w:rsidR="002B26C6" w:rsidRPr="00D05F3D" w:rsidRDefault="002B26C6" w:rsidP="002B26C6">
      <w:pPr>
        <w:rPr>
          <w:rFonts w:ascii="Times New Roman" w:hAnsi="Times New Roman"/>
        </w:rPr>
      </w:pPr>
    </w:p>
    <w:p w14:paraId="7B126812" w14:textId="77777777" w:rsidR="002B26C6" w:rsidRPr="00D05F3D" w:rsidRDefault="002B26C6" w:rsidP="002B26C6">
      <w:pPr>
        <w:rPr>
          <w:rFonts w:ascii="Times New Roman" w:hAnsi="Times New Roman"/>
        </w:rPr>
      </w:pPr>
      <w:r w:rsidRPr="00D05F3D">
        <w:rPr>
          <w:rFonts w:ascii="Times New Roman" w:hAnsi="Times New Roman"/>
          <w:b/>
          <w:u w:val="single"/>
        </w:rPr>
        <w:t>Discussion</w:t>
      </w:r>
    </w:p>
    <w:p w14:paraId="7B126813" w14:textId="77777777" w:rsidR="002B26C6" w:rsidRPr="00D05F3D" w:rsidRDefault="002B26C6" w:rsidP="002B26C6">
      <w:pPr>
        <w:rPr>
          <w:rFonts w:ascii="Times New Roman" w:hAnsi="Times New Roman"/>
        </w:rPr>
      </w:pPr>
    </w:p>
    <w:p w14:paraId="7B126814" w14:textId="77777777" w:rsidR="002B26C6" w:rsidRPr="00D05F3D" w:rsidRDefault="002B26C6" w:rsidP="002B26C6">
      <w:pPr>
        <w:rPr>
          <w:rFonts w:ascii="Times New Roman" w:hAnsi="Times New Roman"/>
        </w:rPr>
      </w:pPr>
      <w:r w:rsidRPr="00D05F3D">
        <w:rPr>
          <w:rFonts w:ascii="Times New Roman" w:hAnsi="Times New Roman"/>
        </w:rPr>
        <w:t xml:space="preserve">On May 31, 2015, </w:t>
      </w:r>
      <w:r w:rsidR="00516EB6">
        <w:rPr>
          <w:rFonts w:ascii="Times New Roman" w:hAnsi="Times New Roman"/>
        </w:rPr>
        <w:t>Pacific Power</w:t>
      </w:r>
      <w:r w:rsidRPr="00D05F3D">
        <w:rPr>
          <w:rFonts w:ascii="Times New Roman" w:hAnsi="Times New Roman"/>
        </w:rPr>
        <w:t xml:space="preserve"> filed a final RPS compliance report pursuant to WAC 480-109-210(6). The filing included documentation that the company had </w:t>
      </w:r>
      <w:r w:rsidR="00516EB6">
        <w:rPr>
          <w:rFonts w:ascii="Times New Roman" w:hAnsi="Times New Roman"/>
        </w:rPr>
        <w:t>generated or acquired</w:t>
      </w:r>
      <w:r w:rsidRPr="00D05F3D">
        <w:rPr>
          <w:rFonts w:ascii="Times New Roman" w:hAnsi="Times New Roman"/>
        </w:rPr>
        <w:t xml:space="preserve"> </w:t>
      </w:r>
      <w:r w:rsidR="00240480">
        <w:rPr>
          <w:rFonts w:ascii="Times New Roman" w:hAnsi="Times New Roman"/>
        </w:rPr>
        <w:t>120</w:t>
      </w:r>
      <w:r w:rsidR="00516EB6">
        <w:rPr>
          <w:rFonts w:ascii="Times New Roman" w:hAnsi="Times New Roman"/>
        </w:rPr>
        <w:t>,717 MWh of eligible renewable energy</w:t>
      </w:r>
      <w:r w:rsidRPr="00D05F3D">
        <w:rPr>
          <w:rFonts w:ascii="Times New Roman" w:hAnsi="Times New Roman"/>
        </w:rPr>
        <w:t xml:space="preserve"> for its 2013 RPS</w:t>
      </w:r>
      <w:r w:rsidR="00240480">
        <w:rPr>
          <w:rFonts w:ascii="Times New Roman" w:hAnsi="Times New Roman"/>
        </w:rPr>
        <w:t xml:space="preserve"> target</w:t>
      </w:r>
      <w:r w:rsidRPr="00D05F3D">
        <w:rPr>
          <w:rFonts w:ascii="Times New Roman" w:hAnsi="Times New Roman"/>
        </w:rPr>
        <w:t xml:space="preserve">. </w:t>
      </w:r>
      <w:r w:rsidR="00516EB6">
        <w:rPr>
          <w:rFonts w:ascii="Times New Roman" w:hAnsi="Times New Roman"/>
        </w:rPr>
        <w:t xml:space="preserve">Pacific Power’s resource mix consists of </w:t>
      </w:r>
      <w:r w:rsidRPr="00D05F3D">
        <w:rPr>
          <w:rFonts w:ascii="Times New Roman" w:hAnsi="Times New Roman"/>
        </w:rPr>
        <w:t xml:space="preserve">company-owned </w:t>
      </w:r>
      <w:r w:rsidR="00516EB6">
        <w:rPr>
          <w:rFonts w:ascii="Times New Roman" w:hAnsi="Times New Roman"/>
        </w:rPr>
        <w:t xml:space="preserve">and third-party </w:t>
      </w:r>
      <w:r w:rsidRPr="00D05F3D">
        <w:rPr>
          <w:rFonts w:ascii="Times New Roman" w:hAnsi="Times New Roman"/>
        </w:rPr>
        <w:t>hydropower facilities that generate incremental hydropo</w:t>
      </w:r>
      <w:r w:rsidR="00516EB6">
        <w:rPr>
          <w:rFonts w:ascii="Times New Roman" w:hAnsi="Times New Roman"/>
        </w:rPr>
        <w:t>wer under RCW 19.285.030(12)(b), company-owned wind resources and unbundled RECs purchased from a wind facility in Idaho.</w:t>
      </w:r>
    </w:p>
    <w:p w14:paraId="7B126815" w14:textId="77777777" w:rsidR="002B26C6" w:rsidRPr="00D05F3D" w:rsidRDefault="002B26C6" w:rsidP="002B26C6">
      <w:pPr>
        <w:rPr>
          <w:rFonts w:ascii="Times New Roman" w:hAnsi="Times New Roman"/>
        </w:rPr>
      </w:pPr>
    </w:p>
    <w:p w14:paraId="7B126816" w14:textId="77777777" w:rsidR="002B26C6" w:rsidRPr="00D05F3D" w:rsidRDefault="002B26C6" w:rsidP="002B26C6">
      <w:pPr>
        <w:rPr>
          <w:rFonts w:ascii="Times New Roman" w:hAnsi="Times New Roman"/>
        </w:rPr>
      </w:pPr>
      <w:r w:rsidRPr="00D05F3D">
        <w:rPr>
          <w:rFonts w:ascii="Times New Roman" w:hAnsi="Times New Roman"/>
        </w:rPr>
        <w:t xml:space="preserve">The following table summarizes the resources that </w:t>
      </w:r>
      <w:r w:rsidR="00516EB6">
        <w:rPr>
          <w:rFonts w:ascii="Times New Roman" w:hAnsi="Times New Roman"/>
        </w:rPr>
        <w:t>Pacific Power</w:t>
      </w:r>
      <w:r w:rsidRPr="00D05F3D">
        <w:rPr>
          <w:rFonts w:ascii="Times New Roman" w:hAnsi="Times New Roman"/>
        </w:rPr>
        <w:t xml:space="preserve"> used for 2013 RPS compliance:</w:t>
      </w:r>
    </w:p>
    <w:p w14:paraId="7B126817" w14:textId="77777777" w:rsidR="00516EB6" w:rsidRPr="00D05F3D" w:rsidRDefault="002B26C6" w:rsidP="00516EB6">
      <w:pPr>
        <w:rPr>
          <w:rFonts w:ascii="Times New Roman" w:hAnsi="Times New Roman"/>
        </w:rPr>
      </w:pPr>
      <w:r w:rsidRPr="00D05F3D">
        <w:rPr>
          <w:rFonts w:ascii="Times New Roman" w:hAnsi="Times New Roman"/>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686"/>
        <w:gridCol w:w="1300"/>
        <w:gridCol w:w="1172"/>
        <w:gridCol w:w="1389"/>
        <w:gridCol w:w="1593"/>
      </w:tblGrid>
      <w:tr w:rsidR="00516EB6" w:rsidRPr="00072CAF" w14:paraId="7B12681F" w14:textId="77777777" w:rsidTr="00516EB6">
        <w:trPr>
          <w:trHeight w:val="978"/>
        </w:trPr>
        <w:tc>
          <w:tcPr>
            <w:tcW w:w="2088" w:type="dxa"/>
            <w:shd w:val="clear" w:color="auto" w:fill="F2F2F2"/>
            <w:vAlign w:val="bottom"/>
          </w:tcPr>
          <w:p w14:paraId="7B126818" w14:textId="77777777" w:rsidR="00516EB6" w:rsidRPr="00516EB6" w:rsidRDefault="00516EB6" w:rsidP="00115348">
            <w:pPr>
              <w:jc w:val="center"/>
              <w:rPr>
                <w:rFonts w:ascii="Times New Roman" w:hAnsi="Times New Roman"/>
                <w:b/>
              </w:rPr>
            </w:pPr>
            <w:r w:rsidRPr="00516EB6">
              <w:rPr>
                <w:rFonts w:ascii="Times New Roman" w:hAnsi="Times New Roman"/>
                <w:b/>
              </w:rPr>
              <w:t>Facility Name (Location)</w:t>
            </w:r>
          </w:p>
        </w:tc>
        <w:tc>
          <w:tcPr>
            <w:tcW w:w="1694" w:type="dxa"/>
            <w:shd w:val="clear" w:color="auto" w:fill="F2F2F2"/>
            <w:vAlign w:val="bottom"/>
          </w:tcPr>
          <w:p w14:paraId="7B126819" w14:textId="77777777" w:rsidR="00516EB6" w:rsidRPr="00516EB6" w:rsidRDefault="00516EB6" w:rsidP="00115348">
            <w:pPr>
              <w:jc w:val="center"/>
              <w:rPr>
                <w:rFonts w:ascii="Times New Roman" w:hAnsi="Times New Roman"/>
                <w:b/>
              </w:rPr>
            </w:pPr>
            <w:r w:rsidRPr="00516EB6">
              <w:rPr>
                <w:rFonts w:ascii="Times New Roman" w:hAnsi="Times New Roman"/>
                <w:b/>
              </w:rPr>
              <w:t>Resource Type</w:t>
            </w:r>
          </w:p>
        </w:tc>
        <w:tc>
          <w:tcPr>
            <w:tcW w:w="1302" w:type="dxa"/>
            <w:shd w:val="clear" w:color="auto" w:fill="F2F2F2"/>
            <w:vAlign w:val="bottom"/>
          </w:tcPr>
          <w:p w14:paraId="7B12681A" w14:textId="77777777" w:rsidR="00516EB6" w:rsidRPr="00516EB6" w:rsidRDefault="00516EB6" w:rsidP="00115348">
            <w:pPr>
              <w:jc w:val="center"/>
              <w:rPr>
                <w:rFonts w:ascii="Times New Roman" w:hAnsi="Times New Roman"/>
                <w:b/>
              </w:rPr>
            </w:pPr>
            <w:r w:rsidRPr="00516EB6">
              <w:rPr>
                <w:rFonts w:ascii="Times New Roman" w:hAnsi="Times New Roman"/>
                <w:b/>
              </w:rPr>
              <w:t>Vintage</w:t>
            </w:r>
          </w:p>
        </w:tc>
        <w:tc>
          <w:tcPr>
            <w:tcW w:w="1176" w:type="dxa"/>
            <w:shd w:val="clear" w:color="auto" w:fill="F2F2F2"/>
            <w:vAlign w:val="bottom"/>
          </w:tcPr>
          <w:p w14:paraId="7B12681B" w14:textId="77777777" w:rsidR="00516EB6" w:rsidRPr="00516EB6" w:rsidRDefault="00516EB6" w:rsidP="00115348">
            <w:pPr>
              <w:jc w:val="center"/>
              <w:rPr>
                <w:rFonts w:ascii="Times New Roman" w:hAnsi="Times New Roman"/>
                <w:b/>
              </w:rPr>
            </w:pPr>
            <w:r w:rsidRPr="00516EB6">
              <w:rPr>
                <w:rFonts w:ascii="Times New Roman" w:hAnsi="Times New Roman"/>
                <w:b/>
              </w:rPr>
              <w:t>Amount</w:t>
            </w:r>
          </w:p>
          <w:p w14:paraId="7B12681C" w14:textId="77777777" w:rsidR="00516EB6" w:rsidRPr="00516EB6" w:rsidRDefault="00516EB6" w:rsidP="00115348">
            <w:pPr>
              <w:jc w:val="center"/>
              <w:rPr>
                <w:rFonts w:ascii="Times New Roman" w:hAnsi="Times New Roman"/>
                <w:b/>
              </w:rPr>
            </w:pPr>
            <w:r w:rsidRPr="00516EB6">
              <w:rPr>
                <w:rFonts w:ascii="Times New Roman" w:hAnsi="Times New Roman"/>
                <w:b/>
              </w:rPr>
              <w:t>(MWh)</w:t>
            </w:r>
          </w:p>
        </w:tc>
        <w:tc>
          <w:tcPr>
            <w:tcW w:w="1392" w:type="dxa"/>
            <w:shd w:val="clear" w:color="auto" w:fill="F2F2F2"/>
            <w:vAlign w:val="bottom"/>
          </w:tcPr>
          <w:p w14:paraId="7B12681D" w14:textId="77777777" w:rsidR="00516EB6" w:rsidRPr="00516EB6" w:rsidRDefault="00516EB6" w:rsidP="00115348">
            <w:pPr>
              <w:jc w:val="center"/>
              <w:rPr>
                <w:rFonts w:ascii="Times New Roman" w:hAnsi="Times New Roman"/>
                <w:b/>
              </w:rPr>
            </w:pPr>
            <w:r w:rsidRPr="00516EB6">
              <w:rPr>
                <w:rFonts w:ascii="Times New Roman" w:hAnsi="Times New Roman"/>
                <w:b/>
              </w:rPr>
              <w:t>Facility On-Line Date</w:t>
            </w:r>
          </w:p>
        </w:tc>
        <w:tc>
          <w:tcPr>
            <w:tcW w:w="1599" w:type="dxa"/>
            <w:shd w:val="clear" w:color="auto" w:fill="F2F2F2"/>
            <w:vAlign w:val="bottom"/>
          </w:tcPr>
          <w:p w14:paraId="7B12681E" w14:textId="77777777" w:rsidR="00516EB6" w:rsidRPr="00516EB6" w:rsidRDefault="00516EB6" w:rsidP="00115348">
            <w:pPr>
              <w:jc w:val="center"/>
              <w:rPr>
                <w:rFonts w:ascii="Times New Roman" w:hAnsi="Times New Roman"/>
                <w:b/>
              </w:rPr>
            </w:pPr>
            <w:r w:rsidRPr="00516EB6">
              <w:rPr>
                <w:rFonts w:ascii="Times New Roman" w:hAnsi="Times New Roman"/>
                <w:b/>
              </w:rPr>
              <w:t>Ownership/ Contract</w:t>
            </w:r>
          </w:p>
        </w:tc>
      </w:tr>
      <w:tr w:rsidR="00516EB6" w:rsidRPr="00072CAF" w14:paraId="7B126827" w14:textId="77777777" w:rsidTr="00516EB6">
        <w:trPr>
          <w:trHeight w:val="827"/>
        </w:trPr>
        <w:tc>
          <w:tcPr>
            <w:tcW w:w="2088" w:type="dxa"/>
            <w:shd w:val="clear" w:color="auto" w:fill="auto"/>
            <w:vAlign w:val="bottom"/>
          </w:tcPr>
          <w:p w14:paraId="7B126820" w14:textId="77777777" w:rsidR="00516EB6" w:rsidRPr="00516EB6" w:rsidRDefault="00516EB6" w:rsidP="00115348">
            <w:pPr>
              <w:pStyle w:val="NoSpacing"/>
              <w:jc w:val="center"/>
            </w:pPr>
            <w:r w:rsidRPr="00516EB6">
              <w:t>Goodnoe Hills</w:t>
            </w:r>
          </w:p>
          <w:p w14:paraId="7B126821" w14:textId="77777777" w:rsidR="00516EB6" w:rsidRPr="00516EB6" w:rsidRDefault="00516EB6" w:rsidP="00115348">
            <w:pPr>
              <w:pStyle w:val="NoSpacing"/>
              <w:jc w:val="center"/>
            </w:pPr>
            <w:r w:rsidRPr="00516EB6">
              <w:t>(Goldendale, WA)</w:t>
            </w:r>
          </w:p>
        </w:tc>
        <w:tc>
          <w:tcPr>
            <w:tcW w:w="1694" w:type="dxa"/>
            <w:shd w:val="clear" w:color="auto" w:fill="auto"/>
            <w:vAlign w:val="bottom"/>
          </w:tcPr>
          <w:p w14:paraId="7B126822" w14:textId="77777777" w:rsidR="00516EB6" w:rsidRPr="00516EB6" w:rsidRDefault="00516EB6" w:rsidP="00115348">
            <w:pPr>
              <w:pStyle w:val="NoSpacing"/>
              <w:jc w:val="center"/>
            </w:pPr>
            <w:r w:rsidRPr="00516EB6">
              <w:t>Wind</w:t>
            </w:r>
          </w:p>
        </w:tc>
        <w:tc>
          <w:tcPr>
            <w:tcW w:w="1302" w:type="dxa"/>
            <w:vAlign w:val="bottom"/>
          </w:tcPr>
          <w:p w14:paraId="7B126823" w14:textId="77777777" w:rsidR="00516EB6" w:rsidRPr="00516EB6" w:rsidRDefault="00516EB6" w:rsidP="00115348">
            <w:pPr>
              <w:pStyle w:val="NoSpacing"/>
              <w:jc w:val="center"/>
            </w:pPr>
            <w:r w:rsidRPr="00516EB6">
              <w:t>2012</w:t>
            </w:r>
          </w:p>
        </w:tc>
        <w:tc>
          <w:tcPr>
            <w:tcW w:w="1176" w:type="dxa"/>
            <w:vAlign w:val="bottom"/>
          </w:tcPr>
          <w:p w14:paraId="7B126824" w14:textId="77777777" w:rsidR="00516EB6" w:rsidRPr="00516EB6" w:rsidRDefault="00516EB6" w:rsidP="00115348">
            <w:pPr>
              <w:pStyle w:val="NoSpacing"/>
              <w:jc w:val="center"/>
            </w:pPr>
            <w:r w:rsidRPr="00516EB6">
              <w:t>17,609</w:t>
            </w:r>
          </w:p>
        </w:tc>
        <w:tc>
          <w:tcPr>
            <w:tcW w:w="1392" w:type="dxa"/>
            <w:shd w:val="clear" w:color="auto" w:fill="auto"/>
            <w:vAlign w:val="bottom"/>
          </w:tcPr>
          <w:p w14:paraId="7B126825" w14:textId="77777777" w:rsidR="00516EB6" w:rsidRPr="00516EB6" w:rsidRDefault="00516EB6" w:rsidP="00115348">
            <w:pPr>
              <w:pStyle w:val="NoSpacing"/>
              <w:jc w:val="center"/>
            </w:pPr>
            <w:r w:rsidRPr="00516EB6">
              <w:t>05/31/2008</w:t>
            </w:r>
          </w:p>
        </w:tc>
        <w:tc>
          <w:tcPr>
            <w:tcW w:w="1599" w:type="dxa"/>
            <w:shd w:val="clear" w:color="auto" w:fill="auto"/>
            <w:vAlign w:val="bottom"/>
          </w:tcPr>
          <w:p w14:paraId="7B126826" w14:textId="77777777" w:rsidR="00516EB6" w:rsidRPr="00516EB6" w:rsidRDefault="00516EB6" w:rsidP="00115348">
            <w:pPr>
              <w:pStyle w:val="NoSpacing"/>
              <w:jc w:val="center"/>
            </w:pPr>
            <w:r w:rsidRPr="00516EB6">
              <w:t>Company-owned</w:t>
            </w:r>
          </w:p>
        </w:tc>
      </w:tr>
      <w:tr w:rsidR="00516EB6" w:rsidRPr="00072CAF" w14:paraId="7B12682F" w14:textId="77777777" w:rsidTr="00516EB6">
        <w:trPr>
          <w:trHeight w:val="541"/>
        </w:trPr>
        <w:tc>
          <w:tcPr>
            <w:tcW w:w="2088" w:type="dxa"/>
            <w:shd w:val="clear" w:color="auto" w:fill="auto"/>
            <w:vAlign w:val="bottom"/>
          </w:tcPr>
          <w:p w14:paraId="7B126828" w14:textId="77777777" w:rsidR="00516EB6" w:rsidRPr="00516EB6" w:rsidRDefault="00516EB6" w:rsidP="00115348">
            <w:pPr>
              <w:pStyle w:val="NoSpacing"/>
              <w:jc w:val="center"/>
            </w:pPr>
            <w:r w:rsidRPr="00516EB6">
              <w:t>Leaning Juniper</w:t>
            </w:r>
          </w:p>
          <w:p w14:paraId="7B126829" w14:textId="77777777" w:rsidR="00516EB6" w:rsidRPr="00516EB6" w:rsidRDefault="00516EB6" w:rsidP="00115348">
            <w:pPr>
              <w:pStyle w:val="NoSpacing"/>
              <w:jc w:val="center"/>
            </w:pPr>
            <w:r w:rsidRPr="00516EB6">
              <w:t>(Arlington, OR)</w:t>
            </w:r>
          </w:p>
        </w:tc>
        <w:tc>
          <w:tcPr>
            <w:tcW w:w="1694" w:type="dxa"/>
            <w:shd w:val="clear" w:color="auto" w:fill="auto"/>
            <w:vAlign w:val="bottom"/>
          </w:tcPr>
          <w:p w14:paraId="7B12682A" w14:textId="77777777" w:rsidR="00516EB6" w:rsidRPr="00516EB6" w:rsidRDefault="00516EB6" w:rsidP="00115348">
            <w:pPr>
              <w:pStyle w:val="NoSpacing"/>
              <w:jc w:val="center"/>
            </w:pPr>
            <w:r w:rsidRPr="00516EB6">
              <w:t>Wind</w:t>
            </w:r>
          </w:p>
        </w:tc>
        <w:tc>
          <w:tcPr>
            <w:tcW w:w="1302" w:type="dxa"/>
            <w:vAlign w:val="bottom"/>
          </w:tcPr>
          <w:p w14:paraId="7B12682B" w14:textId="77777777" w:rsidR="00516EB6" w:rsidRPr="00516EB6" w:rsidRDefault="00516EB6" w:rsidP="00115348">
            <w:pPr>
              <w:pStyle w:val="NoSpacing"/>
              <w:jc w:val="center"/>
            </w:pPr>
            <w:r w:rsidRPr="00516EB6">
              <w:t>2012</w:t>
            </w:r>
          </w:p>
        </w:tc>
        <w:tc>
          <w:tcPr>
            <w:tcW w:w="1176" w:type="dxa"/>
            <w:vAlign w:val="bottom"/>
          </w:tcPr>
          <w:p w14:paraId="7B12682C" w14:textId="77777777" w:rsidR="00516EB6" w:rsidRPr="00516EB6" w:rsidRDefault="00516EB6" w:rsidP="00115348">
            <w:pPr>
              <w:pStyle w:val="NoSpacing"/>
              <w:jc w:val="center"/>
            </w:pPr>
            <w:r w:rsidRPr="00516EB6">
              <w:t>15,200</w:t>
            </w:r>
          </w:p>
        </w:tc>
        <w:tc>
          <w:tcPr>
            <w:tcW w:w="1392" w:type="dxa"/>
            <w:shd w:val="clear" w:color="auto" w:fill="auto"/>
            <w:vAlign w:val="bottom"/>
          </w:tcPr>
          <w:p w14:paraId="7B12682D" w14:textId="77777777" w:rsidR="00516EB6" w:rsidRPr="00516EB6" w:rsidRDefault="00516EB6" w:rsidP="00115348">
            <w:pPr>
              <w:pStyle w:val="NoSpacing"/>
              <w:jc w:val="center"/>
            </w:pPr>
            <w:r w:rsidRPr="00516EB6">
              <w:t>09/14/2006</w:t>
            </w:r>
          </w:p>
        </w:tc>
        <w:tc>
          <w:tcPr>
            <w:tcW w:w="1599" w:type="dxa"/>
            <w:shd w:val="clear" w:color="auto" w:fill="auto"/>
            <w:vAlign w:val="bottom"/>
          </w:tcPr>
          <w:p w14:paraId="7B12682E" w14:textId="77777777" w:rsidR="00516EB6" w:rsidRPr="00516EB6" w:rsidRDefault="00516EB6" w:rsidP="00115348">
            <w:pPr>
              <w:pStyle w:val="NoSpacing"/>
              <w:jc w:val="center"/>
            </w:pPr>
            <w:r w:rsidRPr="00516EB6">
              <w:t>Company-owned</w:t>
            </w:r>
          </w:p>
        </w:tc>
      </w:tr>
      <w:tr w:rsidR="00516EB6" w:rsidRPr="00072CAF" w14:paraId="7B126837" w14:textId="77777777" w:rsidTr="00516EB6">
        <w:trPr>
          <w:trHeight w:val="556"/>
        </w:trPr>
        <w:tc>
          <w:tcPr>
            <w:tcW w:w="2088" w:type="dxa"/>
            <w:shd w:val="clear" w:color="auto" w:fill="auto"/>
            <w:vAlign w:val="bottom"/>
          </w:tcPr>
          <w:p w14:paraId="7B126830" w14:textId="77777777" w:rsidR="00516EB6" w:rsidRPr="00516EB6" w:rsidRDefault="00516EB6" w:rsidP="00115348">
            <w:pPr>
              <w:pStyle w:val="NoSpacing"/>
              <w:jc w:val="center"/>
            </w:pPr>
            <w:r w:rsidRPr="00516EB6">
              <w:t>Marengo I</w:t>
            </w:r>
          </w:p>
          <w:p w14:paraId="7B126831" w14:textId="77777777" w:rsidR="00516EB6" w:rsidRPr="00516EB6" w:rsidRDefault="00516EB6" w:rsidP="00115348">
            <w:pPr>
              <w:pStyle w:val="NoSpacing"/>
              <w:jc w:val="center"/>
            </w:pPr>
            <w:r w:rsidRPr="00516EB6">
              <w:t>(Dayton, WA)</w:t>
            </w:r>
          </w:p>
        </w:tc>
        <w:tc>
          <w:tcPr>
            <w:tcW w:w="1694" w:type="dxa"/>
            <w:shd w:val="clear" w:color="auto" w:fill="auto"/>
            <w:vAlign w:val="bottom"/>
          </w:tcPr>
          <w:p w14:paraId="7B126832" w14:textId="77777777" w:rsidR="00516EB6" w:rsidRPr="00516EB6" w:rsidRDefault="00516EB6" w:rsidP="00115348">
            <w:pPr>
              <w:pStyle w:val="NoSpacing"/>
              <w:jc w:val="center"/>
            </w:pPr>
            <w:r w:rsidRPr="00516EB6">
              <w:t>Wind</w:t>
            </w:r>
          </w:p>
        </w:tc>
        <w:tc>
          <w:tcPr>
            <w:tcW w:w="1302" w:type="dxa"/>
            <w:vAlign w:val="bottom"/>
          </w:tcPr>
          <w:p w14:paraId="7B126833" w14:textId="77777777" w:rsidR="00516EB6" w:rsidRPr="00516EB6" w:rsidRDefault="00516EB6" w:rsidP="00115348">
            <w:pPr>
              <w:pStyle w:val="NoSpacing"/>
              <w:jc w:val="center"/>
            </w:pPr>
            <w:r w:rsidRPr="00516EB6">
              <w:t>2012</w:t>
            </w:r>
          </w:p>
        </w:tc>
        <w:tc>
          <w:tcPr>
            <w:tcW w:w="1176" w:type="dxa"/>
            <w:vAlign w:val="bottom"/>
          </w:tcPr>
          <w:p w14:paraId="7B126834" w14:textId="77777777" w:rsidR="00516EB6" w:rsidRPr="00516EB6" w:rsidRDefault="00516EB6" w:rsidP="00115348">
            <w:pPr>
              <w:pStyle w:val="NoSpacing"/>
              <w:jc w:val="center"/>
            </w:pPr>
            <w:r w:rsidRPr="00516EB6">
              <w:t>28,558</w:t>
            </w:r>
          </w:p>
        </w:tc>
        <w:tc>
          <w:tcPr>
            <w:tcW w:w="1392" w:type="dxa"/>
            <w:shd w:val="clear" w:color="auto" w:fill="auto"/>
            <w:vAlign w:val="bottom"/>
          </w:tcPr>
          <w:p w14:paraId="7B126835" w14:textId="77777777" w:rsidR="00516EB6" w:rsidRPr="00516EB6" w:rsidRDefault="00516EB6" w:rsidP="00115348">
            <w:pPr>
              <w:pStyle w:val="NoSpacing"/>
              <w:jc w:val="center"/>
            </w:pPr>
            <w:r w:rsidRPr="00516EB6">
              <w:t>08/01/2007</w:t>
            </w:r>
          </w:p>
        </w:tc>
        <w:tc>
          <w:tcPr>
            <w:tcW w:w="1599" w:type="dxa"/>
            <w:shd w:val="clear" w:color="auto" w:fill="auto"/>
            <w:vAlign w:val="bottom"/>
          </w:tcPr>
          <w:p w14:paraId="7B126836" w14:textId="77777777" w:rsidR="00516EB6" w:rsidRPr="00516EB6" w:rsidRDefault="00516EB6" w:rsidP="00115348">
            <w:pPr>
              <w:pStyle w:val="NoSpacing"/>
              <w:jc w:val="center"/>
            </w:pPr>
            <w:r w:rsidRPr="00516EB6">
              <w:t>Company-owned</w:t>
            </w:r>
          </w:p>
        </w:tc>
      </w:tr>
      <w:tr w:rsidR="00516EB6" w:rsidRPr="00072CAF" w14:paraId="7B12683F" w14:textId="77777777" w:rsidTr="00516EB6">
        <w:trPr>
          <w:trHeight w:val="541"/>
        </w:trPr>
        <w:tc>
          <w:tcPr>
            <w:tcW w:w="2088" w:type="dxa"/>
            <w:shd w:val="clear" w:color="auto" w:fill="auto"/>
            <w:vAlign w:val="bottom"/>
          </w:tcPr>
          <w:p w14:paraId="7B126838" w14:textId="77777777" w:rsidR="00516EB6" w:rsidRPr="00516EB6" w:rsidRDefault="00516EB6" w:rsidP="00115348">
            <w:pPr>
              <w:pStyle w:val="NoSpacing"/>
              <w:jc w:val="center"/>
            </w:pPr>
            <w:r w:rsidRPr="00516EB6">
              <w:t>Marengo II</w:t>
            </w:r>
          </w:p>
          <w:p w14:paraId="7B126839" w14:textId="77777777" w:rsidR="00516EB6" w:rsidRPr="00516EB6" w:rsidRDefault="00516EB6" w:rsidP="00115348">
            <w:pPr>
              <w:pStyle w:val="NoSpacing"/>
              <w:jc w:val="center"/>
            </w:pPr>
            <w:r w:rsidRPr="00516EB6">
              <w:t>(Dayton, WA)</w:t>
            </w:r>
          </w:p>
        </w:tc>
        <w:tc>
          <w:tcPr>
            <w:tcW w:w="1694" w:type="dxa"/>
            <w:shd w:val="clear" w:color="auto" w:fill="auto"/>
            <w:vAlign w:val="bottom"/>
          </w:tcPr>
          <w:p w14:paraId="7B12683A" w14:textId="77777777" w:rsidR="00516EB6" w:rsidRPr="00516EB6" w:rsidRDefault="00516EB6" w:rsidP="00115348">
            <w:pPr>
              <w:pStyle w:val="NoSpacing"/>
              <w:jc w:val="center"/>
            </w:pPr>
            <w:r w:rsidRPr="00516EB6">
              <w:t>Wind</w:t>
            </w:r>
          </w:p>
        </w:tc>
        <w:tc>
          <w:tcPr>
            <w:tcW w:w="1302" w:type="dxa"/>
            <w:vAlign w:val="bottom"/>
          </w:tcPr>
          <w:p w14:paraId="7B12683B" w14:textId="77777777" w:rsidR="00516EB6" w:rsidRPr="00516EB6" w:rsidRDefault="00516EB6" w:rsidP="00115348">
            <w:pPr>
              <w:pStyle w:val="NoSpacing"/>
              <w:jc w:val="center"/>
            </w:pPr>
            <w:r w:rsidRPr="00516EB6">
              <w:t>2012</w:t>
            </w:r>
          </w:p>
        </w:tc>
        <w:tc>
          <w:tcPr>
            <w:tcW w:w="1176" w:type="dxa"/>
            <w:vAlign w:val="bottom"/>
          </w:tcPr>
          <w:p w14:paraId="7B12683C" w14:textId="77777777" w:rsidR="00516EB6" w:rsidRPr="00516EB6" w:rsidRDefault="00516EB6" w:rsidP="00115348">
            <w:pPr>
              <w:pStyle w:val="NoSpacing"/>
              <w:jc w:val="center"/>
            </w:pPr>
            <w:r w:rsidRPr="00516EB6">
              <w:t>14,136</w:t>
            </w:r>
          </w:p>
        </w:tc>
        <w:tc>
          <w:tcPr>
            <w:tcW w:w="1392" w:type="dxa"/>
            <w:shd w:val="clear" w:color="auto" w:fill="auto"/>
            <w:vAlign w:val="bottom"/>
          </w:tcPr>
          <w:p w14:paraId="7B12683D" w14:textId="77777777" w:rsidR="00516EB6" w:rsidRPr="00516EB6" w:rsidRDefault="00516EB6" w:rsidP="00115348">
            <w:pPr>
              <w:pStyle w:val="NoSpacing"/>
              <w:jc w:val="center"/>
            </w:pPr>
            <w:r w:rsidRPr="00516EB6">
              <w:t>06/28/2008</w:t>
            </w:r>
          </w:p>
        </w:tc>
        <w:tc>
          <w:tcPr>
            <w:tcW w:w="1599" w:type="dxa"/>
            <w:shd w:val="clear" w:color="auto" w:fill="auto"/>
            <w:vAlign w:val="bottom"/>
          </w:tcPr>
          <w:p w14:paraId="7B12683E" w14:textId="77777777" w:rsidR="00516EB6" w:rsidRPr="00516EB6" w:rsidRDefault="00516EB6" w:rsidP="00115348">
            <w:pPr>
              <w:pStyle w:val="NoSpacing"/>
              <w:jc w:val="center"/>
            </w:pPr>
            <w:r w:rsidRPr="00516EB6">
              <w:t>Company-owned</w:t>
            </w:r>
          </w:p>
        </w:tc>
      </w:tr>
      <w:tr w:rsidR="00516EB6" w:rsidRPr="00072CAF" w14:paraId="7B126847" w14:textId="77777777" w:rsidTr="00516EB6">
        <w:trPr>
          <w:trHeight w:val="827"/>
        </w:trPr>
        <w:tc>
          <w:tcPr>
            <w:tcW w:w="2088" w:type="dxa"/>
            <w:shd w:val="clear" w:color="auto" w:fill="auto"/>
            <w:vAlign w:val="bottom"/>
          </w:tcPr>
          <w:p w14:paraId="7B126840" w14:textId="77777777" w:rsidR="00516EB6" w:rsidRPr="00516EB6" w:rsidRDefault="00516EB6" w:rsidP="00115348">
            <w:pPr>
              <w:pStyle w:val="NoSpacing"/>
              <w:jc w:val="center"/>
            </w:pPr>
            <w:r w:rsidRPr="00516EB6">
              <w:t>Tuana Springs</w:t>
            </w:r>
          </w:p>
          <w:p w14:paraId="7B126841" w14:textId="77777777" w:rsidR="00516EB6" w:rsidRPr="00516EB6" w:rsidRDefault="00516EB6" w:rsidP="00115348">
            <w:pPr>
              <w:pStyle w:val="NoSpacing"/>
              <w:jc w:val="center"/>
            </w:pPr>
            <w:r w:rsidRPr="00516EB6">
              <w:t>(Twin Falls Cnty, ID)</w:t>
            </w:r>
          </w:p>
        </w:tc>
        <w:tc>
          <w:tcPr>
            <w:tcW w:w="1694" w:type="dxa"/>
            <w:shd w:val="clear" w:color="auto" w:fill="auto"/>
            <w:vAlign w:val="bottom"/>
          </w:tcPr>
          <w:p w14:paraId="7B126842" w14:textId="77777777" w:rsidR="00516EB6" w:rsidRPr="00516EB6" w:rsidRDefault="00516EB6" w:rsidP="00115348">
            <w:pPr>
              <w:pStyle w:val="NoSpacing"/>
              <w:jc w:val="center"/>
            </w:pPr>
            <w:r w:rsidRPr="00516EB6">
              <w:t>Wind</w:t>
            </w:r>
          </w:p>
        </w:tc>
        <w:tc>
          <w:tcPr>
            <w:tcW w:w="1302" w:type="dxa"/>
            <w:vAlign w:val="bottom"/>
          </w:tcPr>
          <w:p w14:paraId="7B126843" w14:textId="77777777" w:rsidR="00516EB6" w:rsidRPr="00516EB6" w:rsidRDefault="00516EB6" w:rsidP="00115348">
            <w:pPr>
              <w:pStyle w:val="NoSpacing"/>
              <w:jc w:val="center"/>
            </w:pPr>
            <w:r w:rsidRPr="00516EB6">
              <w:t>2012/2013</w:t>
            </w:r>
          </w:p>
        </w:tc>
        <w:tc>
          <w:tcPr>
            <w:tcW w:w="1176" w:type="dxa"/>
            <w:vAlign w:val="bottom"/>
          </w:tcPr>
          <w:p w14:paraId="7B126844" w14:textId="77777777" w:rsidR="00516EB6" w:rsidRPr="00516EB6" w:rsidRDefault="00516EB6" w:rsidP="00115348">
            <w:pPr>
              <w:pStyle w:val="NoSpacing"/>
              <w:jc w:val="center"/>
            </w:pPr>
            <w:r w:rsidRPr="00516EB6">
              <w:t>43,002</w:t>
            </w:r>
          </w:p>
        </w:tc>
        <w:tc>
          <w:tcPr>
            <w:tcW w:w="1392" w:type="dxa"/>
            <w:shd w:val="clear" w:color="auto" w:fill="auto"/>
            <w:vAlign w:val="bottom"/>
          </w:tcPr>
          <w:p w14:paraId="7B126845" w14:textId="77777777" w:rsidR="00516EB6" w:rsidRPr="00516EB6" w:rsidRDefault="00516EB6" w:rsidP="00115348">
            <w:pPr>
              <w:pStyle w:val="NoSpacing"/>
              <w:jc w:val="center"/>
            </w:pPr>
            <w:r w:rsidRPr="00516EB6">
              <w:t>05/14/2010</w:t>
            </w:r>
          </w:p>
        </w:tc>
        <w:tc>
          <w:tcPr>
            <w:tcW w:w="1599" w:type="dxa"/>
            <w:shd w:val="clear" w:color="auto" w:fill="auto"/>
            <w:vAlign w:val="bottom"/>
          </w:tcPr>
          <w:p w14:paraId="7B126846" w14:textId="77777777" w:rsidR="00516EB6" w:rsidRPr="00516EB6" w:rsidRDefault="00516EB6" w:rsidP="00115348">
            <w:pPr>
              <w:pStyle w:val="NoSpacing"/>
              <w:jc w:val="center"/>
            </w:pPr>
            <w:r w:rsidRPr="00516EB6">
              <w:t>Unbundled REC purchase</w:t>
            </w:r>
          </w:p>
        </w:tc>
      </w:tr>
      <w:tr w:rsidR="00516EB6" w:rsidRPr="00072CAF" w14:paraId="7B12684F" w14:textId="77777777" w:rsidTr="00516EB6">
        <w:trPr>
          <w:trHeight w:val="827"/>
        </w:trPr>
        <w:tc>
          <w:tcPr>
            <w:tcW w:w="2088" w:type="dxa"/>
            <w:shd w:val="clear" w:color="auto" w:fill="auto"/>
            <w:vAlign w:val="bottom"/>
          </w:tcPr>
          <w:p w14:paraId="7B126848" w14:textId="77777777" w:rsidR="00516EB6" w:rsidRPr="00516EB6" w:rsidRDefault="00516EB6" w:rsidP="00115348">
            <w:pPr>
              <w:pStyle w:val="NoSpacing"/>
              <w:jc w:val="center"/>
            </w:pPr>
            <w:r w:rsidRPr="00516EB6">
              <w:t>Prospect 2</w:t>
            </w:r>
          </w:p>
          <w:p w14:paraId="7B126849" w14:textId="77777777" w:rsidR="00516EB6" w:rsidRPr="00516EB6" w:rsidRDefault="00516EB6" w:rsidP="00115348">
            <w:pPr>
              <w:pStyle w:val="NoSpacing"/>
              <w:jc w:val="center"/>
            </w:pPr>
            <w:r w:rsidRPr="00516EB6">
              <w:t>(Rogue River, OR)</w:t>
            </w:r>
          </w:p>
        </w:tc>
        <w:tc>
          <w:tcPr>
            <w:tcW w:w="1694" w:type="dxa"/>
            <w:shd w:val="clear" w:color="auto" w:fill="auto"/>
            <w:vAlign w:val="bottom"/>
          </w:tcPr>
          <w:p w14:paraId="7B12684A" w14:textId="77777777" w:rsidR="00516EB6" w:rsidRPr="00516EB6" w:rsidRDefault="00516EB6" w:rsidP="00115348">
            <w:pPr>
              <w:pStyle w:val="NoSpacing"/>
              <w:jc w:val="center"/>
            </w:pPr>
            <w:r w:rsidRPr="00516EB6">
              <w:t>Water (Incremental Hydro)</w:t>
            </w:r>
          </w:p>
        </w:tc>
        <w:tc>
          <w:tcPr>
            <w:tcW w:w="1302" w:type="dxa"/>
            <w:vAlign w:val="bottom"/>
          </w:tcPr>
          <w:p w14:paraId="7B12684B" w14:textId="77777777" w:rsidR="00516EB6" w:rsidRPr="00516EB6" w:rsidRDefault="00516EB6" w:rsidP="00115348">
            <w:pPr>
              <w:pStyle w:val="NoSpacing"/>
              <w:jc w:val="center"/>
            </w:pPr>
            <w:r w:rsidRPr="00516EB6">
              <w:t>2013</w:t>
            </w:r>
          </w:p>
        </w:tc>
        <w:tc>
          <w:tcPr>
            <w:tcW w:w="1176" w:type="dxa"/>
            <w:vAlign w:val="bottom"/>
          </w:tcPr>
          <w:p w14:paraId="7B12684C" w14:textId="77777777" w:rsidR="00516EB6" w:rsidRPr="00516EB6" w:rsidRDefault="00516EB6" w:rsidP="00115348">
            <w:pPr>
              <w:pStyle w:val="NoSpacing"/>
              <w:jc w:val="center"/>
            </w:pPr>
            <w:r w:rsidRPr="00516EB6">
              <w:t>293</w:t>
            </w:r>
          </w:p>
        </w:tc>
        <w:tc>
          <w:tcPr>
            <w:tcW w:w="1392" w:type="dxa"/>
            <w:shd w:val="clear" w:color="auto" w:fill="auto"/>
            <w:vAlign w:val="bottom"/>
          </w:tcPr>
          <w:p w14:paraId="7B12684D" w14:textId="77777777" w:rsidR="00516EB6" w:rsidRPr="00516EB6" w:rsidRDefault="00516EB6" w:rsidP="00115348">
            <w:pPr>
              <w:pStyle w:val="NoSpacing"/>
              <w:jc w:val="center"/>
            </w:pPr>
            <w:r w:rsidRPr="00516EB6">
              <w:t>Upgrade 1999</w:t>
            </w:r>
          </w:p>
        </w:tc>
        <w:tc>
          <w:tcPr>
            <w:tcW w:w="1599" w:type="dxa"/>
            <w:shd w:val="clear" w:color="auto" w:fill="auto"/>
            <w:vAlign w:val="bottom"/>
          </w:tcPr>
          <w:p w14:paraId="7B12684E" w14:textId="77777777" w:rsidR="00516EB6" w:rsidRPr="00516EB6" w:rsidRDefault="00516EB6" w:rsidP="00115348">
            <w:pPr>
              <w:pStyle w:val="NoSpacing"/>
              <w:jc w:val="center"/>
            </w:pPr>
            <w:r w:rsidRPr="00516EB6">
              <w:t>Company-owned</w:t>
            </w:r>
          </w:p>
        </w:tc>
      </w:tr>
      <w:tr w:rsidR="00516EB6" w:rsidRPr="00072CAF" w14:paraId="7B126857" w14:textId="77777777" w:rsidTr="00516EB6">
        <w:trPr>
          <w:trHeight w:val="712"/>
        </w:trPr>
        <w:tc>
          <w:tcPr>
            <w:tcW w:w="2088" w:type="dxa"/>
            <w:shd w:val="clear" w:color="auto" w:fill="auto"/>
            <w:vAlign w:val="bottom"/>
          </w:tcPr>
          <w:p w14:paraId="7B126850" w14:textId="77777777" w:rsidR="00516EB6" w:rsidRPr="00516EB6" w:rsidRDefault="00516EB6" w:rsidP="00115348">
            <w:pPr>
              <w:pStyle w:val="NoSpacing"/>
              <w:jc w:val="center"/>
            </w:pPr>
            <w:r w:rsidRPr="00516EB6">
              <w:t>Lemolo 1</w:t>
            </w:r>
          </w:p>
          <w:p w14:paraId="7B126851" w14:textId="77777777" w:rsidR="00516EB6" w:rsidRPr="00516EB6" w:rsidRDefault="00516EB6" w:rsidP="00115348">
            <w:pPr>
              <w:pStyle w:val="NoSpacing"/>
              <w:jc w:val="center"/>
            </w:pPr>
            <w:r w:rsidRPr="00516EB6">
              <w:t>(N. Umpqua R., OR)</w:t>
            </w:r>
          </w:p>
        </w:tc>
        <w:tc>
          <w:tcPr>
            <w:tcW w:w="1694" w:type="dxa"/>
            <w:shd w:val="clear" w:color="auto" w:fill="auto"/>
            <w:vAlign w:val="bottom"/>
          </w:tcPr>
          <w:p w14:paraId="7B126852" w14:textId="77777777" w:rsidR="00516EB6" w:rsidRPr="00516EB6" w:rsidRDefault="00516EB6" w:rsidP="00115348">
            <w:pPr>
              <w:pStyle w:val="NoSpacing"/>
              <w:jc w:val="center"/>
            </w:pPr>
            <w:r w:rsidRPr="00516EB6">
              <w:t>Water (Incremental Hydro)</w:t>
            </w:r>
          </w:p>
        </w:tc>
        <w:tc>
          <w:tcPr>
            <w:tcW w:w="1302" w:type="dxa"/>
            <w:vAlign w:val="bottom"/>
          </w:tcPr>
          <w:p w14:paraId="7B126853" w14:textId="77777777" w:rsidR="00516EB6" w:rsidRPr="00516EB6" w:rsidRDefault="00516EB6" w:rsidP="00115348">
            <w:pPr>
              <w:pStyle w:val="NoSpacing"/>
              <w:jc w:val="center"/>
            </w:pPr>
            <w:r w:rsidRPr="00516EB6">
              <w:t>2013</w:t>
            </w:r>
          </w:p>
        </w:tc>
        <w:tc>
          <w:tcPr>
            <w:tcW w:w="1176" w:type="dxa"/>
            <w:vAlign w:val="bottom"/>
          </w:tcPr>
          <w:p w14:paraId="7B126854" w14:textId="77777777" w:rsidR="00516EB6" w:rsidRPr="00516EB6" w:rsidRDefault="00516EB6" w:rsidP="00115348">
            <w:pPr>
              <w:pStyle w:val="NoSpacing"/>
              <w:jc w:val="center"/>
            </w:pPr>
            <w:r w:rsidRPr="00516EB6">
              <w:t>997</w:t>
            </w:r>
          </w:p>
        </w:tc>
        <w:tc>
          <w:tcPr>
            <w:tcW w:w="1392" w:type="dxa"/>
            <w:shd w:val="clear" w:color="auto" w:fill="auto"/>
            <w:vAlign w:val="bottom"/>
          </w:tcPr>
          <w:p w14:paraId="7B126855" w14:textId="77777777" w:rsidR="00516EB6" w:rsidRPr="00516EB6" w:rsidRDefault="00516EB6" w:rsidP="00115348">
            <w:pPr>
              <w:pStyle w:val="NoSpacing"/>
              <w:jc w:val="center"/>
            </w:pPr>
            <w:r w:rsidRPr="00516EB6">
              <w:t>Upgrade 2003</w:t>
            </w:r>
          </w:p>
        </w:tc>
        <w:tc>
          <w:tcPr>
            <w:tcW w:w="1599" w:type="dxa"/>
            <w:shd w:val="clear" w:color="auto" w:fill="auto"/>
            <w:vAlign w:val="bottom"/>
          </w:tcPr>
          <w:p w14:paraId="7B126856" w14:textId="77777777" w:rsidR="00516EB6" w:rsidRPr="00516EB6" w:rsidRDefault="00516EB6" w:rsidP="00115348">
            <w:pPr>
              <w:pStyle w:val="NoSpacing"/>
              <w:jc w:val="center"/>
            </w:pPr>
            <w:r w:rsidRPr="00516EB6">
              <w:t>Company-owned</w:t>
            </w:r>
          </w:p>
        </w:tc>
      </w:tr>
      <w:tr w:rsidR="00516EB6" w:rsidRPr="00072CAF" w14:paraId="7B12685F" w14:textId="77777777" w:rsidTr="00516EB6">
        <w:trPr>
          <w:trHeight w:val="812"/>
        </w:trPr>
        <w:tc>
          <w:tcPr>
            <w:tcW w:w="2088" w:type="dxa"/>
            <w:shd w:val="clear" w:color="auto" w:fill="auto"/>
            <w:vAlign w:val="bottom"/>
          </w:tcPr>
          <w:p w14:paraId="7B126858" w14:textId="77777777" w:rsidR="00516EB6" w:rsidRPr="00516EB6" w:rsidRDefault="00516EB6" w:rsidP="00115348">
            <w:pPr>
              <w:pStyle w:val="NoSpacing"/>
              <w:jc w:val="center"/>
            </w:pPr>
            <w:r w:rsidRPr="00516EB6">
              <w:t>Lemolo 2</w:t>
            </w:r>
          </w:p>
          <w:p w14:paraId="7B126859" w14:textId="77777777" w:rsidR="00516EB6" w:rsidRPr="00516EB6" w:rsidRDefault="00516EB6" w:rsidP="00115348">
            <w:pPr>
              <w:pStyle w:val="NoSpacing"/>
              <w:jc w:val="center"/>
            </w:pPr>
            <w:r w:rsidRPr="00516EB6">
              <w:t>(N. Umpqua R., OR)</w:t>
            </w:r>
          </w:p>
        </w:tc>
        <w:tc>
          <w:tcPr>
            <w:tcW w:w="1694" w:type="dxa"/>
            <w:shd w:val="clear" w:color="auto" w:fill="auto"/>
            <w:vAlign w:val="bottom"/>
          </w:tcPr>
          <w:p w14:paraId="7B12685A" w14:textId="77777777" w:rsidR="00516EB6" w:rsidRPr="00516EB6" w:rsidRDefault="00516EB6" w:rsidP="00115348">
            <w:pPr>
              <w:pStyle w:val="NoSpacing"/>
              <w:jc w:val="center"/>
            </w:pPr>
            <w:r w:rsidRPr="00516EB6">
              <w:t>Water (Incremental Hydro)</w:t>
            </w:r>
          </w:p>
        </w:tc>
        <w:tc>
          <w:tcPr>
            <w:tcW w:w="1302" w:type="dxa"/>
            <w:vAlign w:val="bottom"/>
          </w:tcPr>
          <w:p w14:paraId="7B12685B" w14:textId="77777777" w:rsidR="00516EB6" w:rsidRPr="00516EB6" w:rsidRDefault="00516EB6" w:rsidP="00115348">
            <w:pPr>
              <w:pStyle w:val="NoSpacing"/>
              <w:jc w:val="center"/>
            </w:pPr>
            <w:r w:rsidRPr="00516EB6">
              <w:t>2013</w:t>
            </w:r>
          </w:p>
        </w:tc>
        <w:tc>
          <w:tcPr>
            <w:tcW w:w="1176" w:type="dxa"/>
            <w:vAlign w:val="bottom"/>
          </w:tcPr>
          <w:p w14:paraId="7B12685C" w14:textId="77777777" w:rsidR="00516EB6" w:rsidRPr="00516EB6" w:rsidRDefault="00516EB6" w:rsidP="00115348">
            <w:pPr>
              <w:pStyle w:val="NoSpacing"/>
              <w:jc w:val="center"/>
            </w:pPr>
            <w:r w:rsidRPr="00516EB6">
              <w:t>102</w:t>
            </w:r>
          </w:p>
        </w:tc>
        <w:tc>
          <w:tcPr>
            <w:tcW w:w="1392" w:type="dxa"/>
            <w:shd w:val="clear" w:color="auto" w:fill="auto"/>
            <w:vAlign w:val="bottom"/>
          </w:tcPr>
          <w:p w14:paraId="7B12685D" w14:textId="77777777" w:rsidR="00516EB6" w:rsidRPr="00516EB6" w:rsidRDefault="00516EB6" w:rsidP="00115348">
            <w:pPr>
              <w:pStyle w:val="NoSpacing"/>
              <w:jc w:val="center"/>
            </w:pPr>
            <w:r w:rsidRPr="00516EB6">
              <w:t>Upgrade 2009</w:t>
            </w:r>
          </w:p>
        </w:tc>
        <w:tc>
          <w:tcPr>
            <w:tcW w:w="1599" w:type="dxa"/>
            <w:shd w:val="clear" w:color="auto" w:fill="auto"/>
            <w:vAlign w:val="bottom"/>
          </w:tcPr>
          <w:p w14:paraId="7B12685E" w14:textId="77777777" w:rsidR="00516EB6" w:rsidRPr="00516EB6" w:rsidRDefault="00516EB6" w:rsidP="00115348">
            <w:pPr>
              <w:pStyle w:val="NoSpacing"/>
              <w:jc w:val="center"/>
            </w:pPr>
            <w:r w:rsidRPr="00516EB6">
              <w:t>Company-owned</w:t>
            </w:r>
          </w:p>
        </w:tc>
      </w:tr>
      <w:tr w:rsidR="00516EB6" w:rsidRPr="00072CAF" w14:paraId="7B126867" w14:textId="77777777" w:rsidTr="00516EB6">
        <w:trPr>
          <w:trHeight w:val="827"/>
        </w:trPr>
        <w:tc>
          <w:tcPr>
            <w:tcW w:w="2088" w:type="dxa"/>
            <w:shd w:val="clear" w:color="auto" w:fill="auto"/>
            <w:vAlign w:val="bottom"/>
          </w:tcPr>
          <w:p w14:paraId="7B126860" w14:textId="77777777" w:rsidR="00516EB6" w:rsidRPr="00516EB6" w:rsidRDefault="00516EB6" w:rsidP="00115348">
            <w:pPr>
              <w:pStyle w:val="NoSpacing"/>
              <w:jc w:val="center"/>
            </w:pPr>
            <w:r w:rsidRPr="00516EB6">
              <w:t>J.C. Boyle</w:t>
            </w:r>
          </w:p>
          <w:p w14:paraId="7B126861" w14:textId="77777777" w:rsidR="00516EB6" w:rsidRPr="00516EB6" w:rsidRDefault="00516EB6" w:rsidP="00115348">
            <w:pPr>
              <w:pStyle w:val="NoSpacing"/>
              <w:jc w:val="center"/>
            </w:pPr>
            <w:r w:rsidRPr="00516EB6">
              <w:t>(Klamath R., OR)</w:t>
            </w:r>
          </w:p>
        </w:tc>
        <w:tc>
          <w:tcPr>
            <w:tcW w:w="1694" w:type="dxa"/>
            <w:shd w:val="clear" w:color="auto" w:fill="auto"/>
            <w:vAlign w:val="bottom"/>
          </w:tcPr>
          <w:p w14:paraId="7B126862" w14:textId="77777777" w:rsidR="00516EB6" w:rsidRPr="00516EB6" w:rsidRDefault="00516EB6" w:rsidP="00115348">
            <w:pPr>
              <w:pStyle w:val="NoSpacing"/>
              <w:jc w:val="center"/>
            </w:pPr>
            <w:r w:rsidRPr="00516EB6">
              <w:t>Water (Incremental Hydro)</w:t>
            </w:r>
          </w:p>
        </w:tc>
        <w:tc>
          <w:tcPr>
            <w:tcW w:w="1302" w:type="dxa"/>
            <w:vAlign w:val="bottom"/>
          </w:tcPr>
          <w:p w14:paraId="7B126863" w14:textId="77777777" w:rsidR="00516EB6" w:rsidRPr="00516EB6" w:rsidRDefault="00516EB6" w:rsidP="00115348">
            <w:pPr>
              <w:pStyle w:val="NoSpacing"/>
              <w:jc w:val="center"/>
            </w:pPr>
            <w:r w:rsidRPr="00516EB6">
              <w:t>2013</w:t>
            </w:r>
          </w:p>
        </w:tc>
        <w:tc>
          <w:tcPr>
            <w:tcW w:w="1176" w:type="dxa"/>
            <w:vAlign w:val="bottom"/>
          </w:tcPr>
          <w:p w14:paraId="7B126864" w14:textId="77777777" w:rsidR="00516EB6" w:rsidRPr="00516EB6" w:rsidRDefault="00516EB6" w:rsidP="00115348">
            <w:pPr>
              <w:pStyle w:val="NoSpacing"/>
              <w:jc w:val="center"/>
            </w:pPr>
            <w:r w:rsidRPr="00516EB6">
              <w:t>189</w:t>
            </w:r>
          </w:p>
        </w:tc>
        <w:tc>
          <w:tcPr>
            <w:tcW w:w="1392" w:type="dxa"/>
            <w:shd w:val="clear" w:color="auto" w:fill="auto"/>
            <w:vAlign w:val="bottom"/>
          </w:tcPr>
          <w:p w14:paraId="7B126865" w14:textId="77777777" w:rsidR="00516EB6" w:rsidRPr="00516EB6" w:rsidRDefault="00516EB6" w:rsidP="00115348">
            <w:pPr>
              <w:pStyle w:val="NoSpacing"/>
              <w:jc w:val="center"/>
            </w:pPr>
            <w:r w:rsidRPr="00516EB6">
              <w:t>Upgrade 2005</w:t>
            </w:r>
          </w:p>
        </w:tc>
        <w:tc>
          <w:tcPr>
            <w:tcW w:w="1599" w:type="dxa"/>
            <w:shd w:val="clear" w:color="auto" w:fill="auto"/>
            <w:vAlign w:val="bottom"/>
          </w:tcPr>
          <w:p w14:paraId="7B126866" w14:textId="77777777" w:rsidR="00516EB6" w:rsidRPr="00516EB6" w:rsidRDefault="00516EB6" w:rsidP="00115348">
            <w:pPr>
              <w:pStyle w:val="NoSpacing"/>
              <w:jc w:val="center"/>
            </w:pPr>
            <w:r w:rsidRPr="00516EB6">
              <w:t>Company-owned</w:t>
            </w:r>
          </w:p>
        </w:tc>
      </w:tr>
      <w:tr w:rsidR="00516EB6" w:rsidRPr="00072CAF" w14:paraId="7B12686A" w14:textId="77777777" w:rsidTr="00516EB6">
        <w:trPr>
          <w:trHeight w:val="270"/>
        </w:trPr>
        <w:tc>
          <w:tcPr>
            <w:tcW w:w="3783" w:type="dxa"/>
            <w:gridSpan w:val="2"/>
            <w:shd w:val="clear" w:color="auto" w:fill="D9D9D9"/>
            <w:vAlign w:val="bottom"/>
          </w:tcPr>
          <w:p w14:paraId="7B126868" w14:textId="77777777" w:rsidR="00516EB6" w:rsidRPr="00516EB6" w:rsidRDefault="00516EB6" w:rsidP="00115348">
            <w:pPr>
              <w:pStyle w:val="NoSpacing"/>
              <w:jc w:val="center"/>
            </w:pPr>
            <w:r w:rsidRPr="00516EB6">
              <w:t>Subtotal, WREGIS resources:</w:t>
            </w:r>
          </w:p>
        </w:tc>
        <w:tc>
          <w:tcPr>
            <w:tcW w:w="5470" w:type="dxa"/>
            <w:gridSpan w:val="4"/>
            <w:shd w:val="clear" w:color="auto" w:fill="D9D9D9"/>
            <w:vAlign w:val="bottom"/>
          </w:tcPr>
          <w:p w14:paraId="7B126869" w14:textId="77777777" w:rsidR="00516EB6" w:rsidRPr="00516EB6" w:rsidRDefault="00516EB6" w:rsidP="00115348">
            <w:pPr>
              <w:pStyle w:val="NoSpacing"/>
              <w:jc w:val="right"/>
            </w:pPr>
            <w:r w:rsidRPr="00516EB6">
              <w:t>120,086</w:t>
            </w:r>
          </w:p>
        </w:tc>
      </w:tr>
      <w:tr w:rsidR="00516EB6" w:rsidRPr="00072CAF" w14:paraId="7B126872" w14:textId="77777777" w:rsidTr="00516EB6">
        <w:trPr>
          <w:trHeight w:val="571"/>
        </w:trPr>
        <w:tc>
          <w:tcPr>
            <w:tcW w:w="2088" w:type="dxa"/>
            <w:shd w:val="clear" w:color="auto" w:fill="auto"/>
            <w:vAlign w:val="bottom"/>
          </w:tcPr>
          <w:p w14:paraId="7B12686B" w14:textId="77777777" w:rsidR="00516EB6" w:rsidRPr="00516EB6" w:rsidRDefault="00516EB6" w:rsidP="00115348">
            <w:pPr>
              <w:pStyle w:val="NoSpacing"/>
              <w:jc w:val="center"/>
            </w:pPr>
            <w:r w:rsidRPr="00516EB6">
              <w:lastRenderedPageBreak/>
              <w:t>Wanapum Fish Bypass</w:t>
            </w:r>
          </w:p>
          <w:p w14:paraId="7B12686C" w14:textId="77777777" w:rsidR="00516EB6" w:rsidRPr="00516EB6" w:rsidRDefault="00516EB6" w:rsidP="00115348">
            <w:pPr>
              <w:pStyle w:val="NoSpacing"/>
              <w:jc w:val="center"/>
            </w:pPr>
            <w:r w:rsidRPr="00516EB6">
              <w:t>(Columbia R., WA)</w:t>
            </w:r>
          </w:p>
        </w:tc>
        <w:tc>
          <w:tcPr>
            <w:tcW w:w="1694" w:type="dxa"/>
            <w:shd w:val="clear" w:color="auto" w:fill="auto"/>
            <w:vAlign w:val="bottom"/>
          </w:tcPr>
          <w:p w14:paraId="7B12686D" w14:textId="77777777" w:rsidR="00516EB6" w:rsidRPr="00516EB6" w:rsidRDefault="00516EB6" w:rsidP="00115348">
            <w:pPr>
              <w:pStyle w:val="NoSpacing"/>
              <w:jc w:val="center"/>
            </w:pPr>
            <w:r w:rsidRPr="00516EB6">
              <w:t>Water (Incremental Hydro)</w:t>
            </w:r>
          </w:p>
        </w:tc>
        <w:tc>
          <w:tcPr>
            <w:tcW w:w="1302" w:type="dxa"/>
            <w:vAlign w:val="bottom"/>
          </w:tcPr>
          <w:p w14:paraId="7B12686E" w14:textId="77777777" w:rsidR="00516EB6" w:rsidRPr="00516EB6" w:rsidRDefault="00516EB6" w:rsidP="00115348">
            <w:pPr>
              <w:pStyle w:val="NoSpacing"/>
              <w:jc w:val="center"/>
            </w:pPr>
            <w:r w:rsidRPr="00516EB6">
              <w:t>2013</w:t>
            </w:r>
          </w:p>
        </w:tc>
        <w:tc>
          <w:tcPr>
            <w:tcW w:w="1176" w:type="dxa"/>
            <w:vAlign w:val="bottom"/>
          </w:tcPr>
          <w:p w14:paraId="7B12686F" w14:textId="77777777" w:rsidR="00516EB6" w:rsidRPr="00516EB6" w:rsidRDefault="00516EB6" w:rsidP="00115348">
            <w:pPr>
              <w:pStyle w:val="NoSpacing"/>
              <w:jc w:val="center"/>
            </w:pPr>
            <w:r w:rsidRPr="00516EB6">
              <w:t>631</w:t>
            </w:r>
          </w:p>
        </w:tc>
        <w:tc>
          <w:tcPr>
            <w:tcW w:w="1392" w:type="dxa"/>
            <w:shd w:val="clear" w:color="auto" w:fill="auto"/>
            <w:vAlign w:val="bottom"/>
          </w:tcPr>
          <w:p w14:paraId="7B126870" w14:textId="77777777" w:rsidR="00516EB6" w:rsidRPr="00516EB6" w:rsidRDefault="00516EB6" w:rsidP="00115348">
            <w:pPr>
              <w:pStyle w:val="NoSpacing"/>
              <w:jc w:val="center"/>
            </w:pPr>
            <w:r w:rsidRPr="00516EB6">
              <w:t>Upgrade 2008</w:t>
            </w:r>
          </w:p>
        </w:tc>
        <w:tc>
          <w:tcPr>
            <w:tcW w:w="1599" w:type="dxa"/>
            <w:shd w:val="clear" w:color="auto" w:fill="auto"/>
            <w:vAlign w:val="bottom"/>
          </w:tcPr>
          <w:p w14:paraId="7B126871" w14:textId="77777777" w:rsidR="00516EB6" w:rsidRPr="00516EB6" w:rsidRDefault="00516EB6" w:rsidP="00115348">
            <w:pPr>
              <w:pStyle w:val="NoSpacing"/>
              <w:jc w:val="center"/>
            </w:pPr>
            <w:r w:rsidRPr="00516EB6">
              <w:t>Contract w/ Grant Cnty PUD</w:t>
            </w:r>
          </w:p>
        </w:tc>
      </w:tr>
      <w:tr w:rsidR="00516EB6" w:rsidRPr="00072CAF" w14:paraId="7B126875" w14:textId="77777777" w:rsidTr="00516EB6">
        <w:trPr>
          <w:trHeight w:val="270"/>
        </w:trPr>
        <w:tc>
          <w:tcPr>
            <w:tcW w:w="3783" w:type="dxa"/>
            <w:gridSpan w:val="2"/>
            <w:shd w:val="clear" w:color="auto" w:fill="D9D9D9"/>
          </w:tcPr>
          <w:p w14:paraId="7B126873" w14:textId="77777777" w:rsidR="00516EB6" w:rsidRPr="00516EB6" w:rsidRDefault="00516EB6" w:rsidP="00115348">
            <w:pPr>
              <w:pStyle w:val="NoSpacing"/>
            </w:pPr>
            <w:r w:rsidRPr="00516EB6">
              <w:t>Subtotal, non-WREGIS resources:</w:t>
            </w:r>
          </w:p>
        </w:tc>
        <w:tc>
          <w:tcPr>
            <w:tcW w:w="5470" w:type="dxa"/>
            <w:gridSpan w:val="4"/>
            <w:shd w:val="clear" w:color="auto" w:fill="D9D9D9"/>
          </w:tcPr>
          <w:p w14:paraId="7B126874" w14:textId="77777777" w:rsidR="00516EB6" w:rsidRPr="00516EB6" w:rsidRDefault="00516EB6" w:rsidP="00115348">
            <w:pPr>
              <w:pStyle w:val="NoSpacing"/>
              <w:jc w:val="right"/>
            </w:pPr>
            <w:r w:rsidRPr="00516EB6">
              <w:t>631</w:t>
            </w:r>
          </w:p>
        </w:tc>
      </w:tr>
      <w:tr w:rsidR="00516EB6" w:rsidRPr="00072CAF" w14:paraId="7B126878" w14:textId="77777777" w:rsidTr="00516EB6">
        <w:trPr>
          <w:trHeight w:val="270"/>
        </w:trPr>
        <w:tc>
          <w:tcPr>
            <w:tcW w:w="3783" w:type="dxa"/>
            <w:gridSpan w:val="2"/>
            <w:shd w:val="clear" w:color="auto" w:fill="D9D9D9"/>
          </w:tcPr>
          <w:p w14:paraId="7B126876" w14:textId="77777777" w:rsidR="00516EB6" w:rsidRPr="00516EB6" w:rsidRDefault="00516EB6" w:rsidP="00115348">
            <w:pPr>
              <w:pStyle w:val="NoSpacing"/>
            </w:pPr>
            <w:r w:rsidRPr="00516EB6">
              <w:t>Total MWh + RECs Acquired:</w:t>
            </w:r>
          </w:p>
        </w:tc>
        <w:tc>
          <w:tcPr>
            <w:tcW w:w="5470" w:type="dxa"/>
            <w:gridSpan w:val="4"/>
            <w:shd w:val="clear" w:color="auto" w:fill="D9D9D9"/>
          </w:tcPr>
          <w:p w14:paraId="7B126877" w14:textId="77777777" w:rsidR="00516EB6" w:rsidRPr="00516EB6" w:rsidRDefault="00516EB6" w:rsidP="00115348">
            <w:pPr>
              <w:pStyle w:val="NoSpacing"/>
              <w:jc w:val="right"/>
            </w:pPr>
            <w:r w:rsidRPr="00516EB6">
              <w:t>120,717</w:t>
            </w:r>
          </w:p>
        </w:tc>
      </w:tr>
      <w:tr w:rsidR="00516EB6" w:rsidRPr="00072CAF" w14:paraId="7B12687B" w14:textId="77777777" w:rsidTr="00516EB6">
        <w:trPr>
          <w:trHeight w:val="285"/>
        </w:trPr>
        <w:tc>
          <w:tcPr>
            <w:tcW w:w="3783" w:type="dxa"/>
            <w:gridSpan w:val="2"/>
            <w:shd w:val="clear" w:color="auto" w:fill="D9D9D9"/>
          </w:tcPr>
          <w:p w14:paraId="7B126879" w14:textId="77777777" w:rsidR="00516EB6" w:rsidRPr="00516EB6" w:rsidRDefault="00516EB6" w:rsidP="00115348">
            <w:pPr>
              <w:pStyle w:val="NoSpacing"/>
            </w:pPr>
            <w:r w:rsidRPr="00516EB6">
              <w:t>2013 Target (MWh):</w:t>
            </w:r>
          </w:p>
        </w:tc>
        <w:tc>
          <w:tcPr>
            <w:tcW w:w="5470" w:type="dxa"/>
            <w:gridSpan w:val="4"/>
            <w:shd w:val="clear" w:color="auto" w:fill="D9D9D9"/>
          </w:tcPr>
          <w:p w14:paraId="7B12687A" w14:textId="77777777" w:rsidR="00516EB6" w:rsidRPr="00516EB6" w:rsidRDefault="00516EB6" w:rsidP="00115348">
            <w:pPr>
              <w:pStyle w:val="NoSpacing"/>
              <w:jc w:val="right"/>
            </w:pPr>
            <w:r w:rsidRPr="00516EB6">
              <w:t>120,716</w:t>
            </w:r>
          </w:p>
        </w:tc>
      </w:tr>
    </w:tbl>
    <w:p w14:paraId="7B12687C" w14:textId="77777777" w:rsidR="002B26C6" w:rsidRPr="00D05F3D" w:rsidRDefault="002B26C6" w:rsidP="00516EB6">
      <w:pPr>
        <w:rPr>
          <w:rFonts w:ascii="Times New Roman" w:hAnsi="Times New Roman"/>
        </w:rPr>
      </w:pPr>
    </w:p>
    <w:p w14:paraId="7B12687D" w14:textId="77777777" w:rsidR="002B26C6" w:rsidRPr="00D05F3D" w:rsidRDefault="002B26C6" w:rsidP="002B26C6">
      <w:pPr>
        <w:rPr>
          <w:rFonts w:ascii="Times New Roman" w:hAnsi="Times New Roman"/>
        </w:rPr>
      </w:pPr>
      <w:r w:rsidRPr="00D05F3D">
        <w:rPr>
          <w:rFonts w:ascii="Times New Roman" w:hAnsi="Times New Roman"/>
        </w:rPr>
        <w:t xml:space="preserve">The report also included </w:t>
      </w:r>
      <w:r w:rsidR="00516EB6">
        <w:rPr>
          <w:rFonts w:ascii="Times New Roman" w:hAnsi="Times New Roman"/>
        </w:rPr>
        <w:t>631</w:t>
      </w:r>
      <w:r w:rsidRPr="00D05F3D">
        <w:rPr>
          <w:rFonts w:ascii="Times New Roman" w:hAnsi="Times New Roman"/>
        </w:rPr>
        <w:t xml:space="preserve"> MWh of incremental hydropower that the company acquired from Wanapum Dam, an upgraded hydropower facility owned by Grant County Public Utility District. That generation had also been included in the company’s initial 2013 RPS report, which the commission approved. Grant County has not registered Wanapum Dam in WREGIS.</w:t>
      </w:r>
    </w:p>
    <w:p w14:paraId="7B12687E" w14:textId="77777777" w:rsidR="002B26C6" w:rsidRPr="00D05F3D" w:rsidRDefault="002B26C6" w:rsidP="002B26C6">
      <w:pPr>
        <w:rPr>
          <w:rFonts w:ascii="Times New Roman" w:hAnsi="Times New Roman"/>
        </w:rPr>
      </w:pPr>
    </w:p>
    <w:p w14:paraId="7B12687F" w14:textId="77777777" w:rsidR="002B26C6" w:rsidRPr="00D05F3D" w:rsidRDefault="00C57F9B" w:rsidP="002B26C6">
      <w:pPr>
        <w:rPr>
          <w:rFonts w:ascii="Times New Roman" w:hAnsi="Times New Roman"/>
        </w:rPr>
      </w:pPr>
      <w:r>
        <w:rPr>
          <w:rFonts w:ascii="Times New Roman" w:hAnsi="Times New Roman"/>
        </w:rPr>
        <w:t>In its order adopting the rules in 480-109, the commission acknowledged that there was little time between the adoption of the rules and the deadline for final 2013 RPS compliance reports</w:t>
      </w:r>
      <w:r w:rsidR="002B26C6" w:rsidRPr="00D05F3D">
        <w:rPr>
          <w:rFonts w:ascii="Times New Roman" w:hAnsi="Times New Roman"/>
        </w:rPr>
        <w:t>.</w:t>
      </w:r>
      <w:r>
        <w:rPr>
          <w:rFonts w:ascii="Times New Roman" w:hAnsi="Times New Roman"/>
        </w:rPr>
        <w:t xml:space="preserve"> The commission</w:t>
      </w:r>
      <w:r w:rsidR="002B26C6" w:rsidRPr="00D05F3D">
        <w:rPr>
          <w:rFonts w:ascii="Times New Roman" w:hAnsi="Times New Roman"/>
        </w:rPr>
        <w:t xml:space="preserve"> </w:t>
      </w:r>
      <w:r>
        <w:rPr>
          <w:rFonts w:ascii="Times New Roman" w:hAnsi="Times New Roman"/>
        </w:rPr>
        <w:t xml:space="preserve">therefore </w:t>
      </w:r>
      <w:r w:rsidR="00240480">
        <w:rPr>
          <w:rFonts w:ascii="Times New Roman" w:hAnsi="Times New Roman"/>
        </w:rPr>
        <w:t>said that it would allow utilities to request a waiver of the WREGIS requirement if they were using a resource for 2013 RPS compliance that was not registered in WREGIS, provided that the utility could document why it was unable to register the resource.</w:t>
      </w:r>
      <w:r>
        <w:rPr>
          <w:rFonts w:ascii="Times New Roman" w:hAnsi="Times New Roman"/>
        </w:rPr>
        <w:t xml:space="preserve"> </w:t>
      </w:r>
    </w:p>
    <w:p w14:paraId="7B126880" w14:textId="77777777" w:rsidR="002B26C6" w:rsidRPr="00D05F3D" w:rsidRDefault="002B26C6" w:rsidP="002B26C6">
      <w:pPr>
        <w:rPr>
          <w:rFonts w:ascii="Times New Roman" w:hAnsi="Times New Roman"/>
        </w:rPr>
      </w:pPr>
    </w:p>
    <w:p w14:paraId="7B126881" w14:textId="77777777" w:rsidR="002B26C6" w:rsidRPr="00D05F3D" w:rsidRDefault="00240480" w:rsidP="002B26C6">
      <w:pPr>
        <w:rPr>
          <w:rFonts w:ascii="Times New Roman" w:hAnsi="Times New Roman"/>
        </w:rPr>
      </w:pPr>
      <w:r>
        <w:rPr>
          <w:rFonts w:ascii="Times New Roman" w:hAnsi="Times New Roman"/>
        </w:rPr>
        <w:t xml:space="preserve">Pacific Power included such a waiver request in its filing, and stated that the Company continues to work with Grant County to get Wanapum Dam registered in WREGIS. The Company also provided documentation of its contract with Grant County and Pacific Power’s allocation of Wanapum Dam’s incremental hydropower generation. Staff believes that the company has provided proper documentation to support the waiver as directed by the commission in the EIA rule adoption order. </w:t>
      </w:r>
    </w:p>
    <w:p w14:paraId="7B126882" w14:textId="77777777" w:rsidR="002B26C6" w:rsidRPr="00D05F3D" w:rsidRDefault="002B26C6" w:rsidP="002B26C6">
      <w:pPr>
        <w:rPr>
          <w:rFonts w:ascii="Times New Roman" w:hAnsi="Times New Roman"/>
        </w:rPr>
      </w:pPr>
    </w:p>
    <w:p w14:paraId="7B126883" w14:textId="77777777" w:rsidR="002B26C6" w:rsidRPr="00D05F3D" w:rsidRDefault="002B26C6" w:rsidP="002B26C6">
      <w:pPr>
        <w:rPr>
          <w:rFonts w:ascii="Times New Roman" w:hAnsi="Times New Roman"/>
          <w:b/>
          <w:u w:val="single"/>
        </w:rPr>
      </w:pPr>
      <w:r w:rsidRPr="00D05F3D">
        <w:rPr>
          <w:rFonts w:ascii="Times New Roman" w:hAnsi="Times New Roman"/>
          <w:b/>
          <w:u w:val="single"/>
        </w:rPr>
        <w:t>Conclusion</w:t>
      </w:r>
    </w:p>
    <w:p w14:paraId="7B126884" w14:textId="77777777" w:rsidR="002B26C6" w:rsidRPr="00D05F3D" w:rsidRDefault="002B26C6" w:rsidP="002B26C6">
      <w:pPr>
        <w:rPr>
          <w:rFonts w:ascii="Times New Roman" w:hAnsi="Times New Roman"/>
        </w:rPr>
      </w:pPr>
    </w:p>
    <w:p w14:paraId="7B126885" w14:textId="77777777" w:rsidR="002B26C6" w:rsidRPr="00D05F3D" w:rsidRDefault="002B26C6" w:rsidP="002B26C6">
      <w:pPr>
        <w:rPr>
          <w:rFonts w:ascii="Times New Roman" w:hAnsi="Times New Roman"/>
        </w:rPr>
      </w:pPr>
      <w:r w:rsidRPr="00D05F3D">
        <w:rPr>
          <w:rFonts w:ascii="Times New Roman" w:hAnsi="Times New Roman"/>
        </w:rPr>
        <w:t>Staff recommends that the commission issue an order in Docket UE-</w:t>
      </w:r>
      <w:r w:rsidR="00240480">
        <w:rPr>
          <w:rFonts w:ascii="Times New Roman" w:hAnsi="Times New Roman"/>
        </w:rPr>
        <w:t>131063</w:t>
      </w:r>
      <w:r w:rsidRPr="00D05F3D">
        <w:rPr>
          <w:rFonts w:ascii="Times New Roman" w:hAnsi="Times New Roman"/>
        </w:rPr>
        <w:t xml:space="preserve"> as described in the recommendation section above. </w:t>
      </w:r>
    </w:p>
    <w:p w14:paraId="7B126886" w14:textId="77777777" w:rsidR="002B26C6" w:rsidRPr="00D05F3D" w:rsidRDefault="002B26C6" w:rsidP="002B26C6">
      <w:pPr>
        <w:rPr>
          <w:rFonts w:ascii="Times New Roman" w:hAnsi="Times New Roman"/>
        </w:rPr>
      </w:pPr>
    </w:p>
    <w:p w14:paraId="7B126887" w14:textId="77777777" w:rsidR="002C039A" w:rsidRPr="00AD3312" w:rsidRDefault="002C039A" w:rsidP="00AD3312">
      <w:pPr>
        <w:rPr>
          <w:rFonts w:ascii="Times New Roman" w:hAnsi="Times New Roman"/>
        </w:rPr>
      </w:pPr>
    </w:p>
    <w:sectPr w:rsidR="002C039A" w:rsidRPr="00AD3312" w:rsidSect="00D061CC">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688A" w14:textId="77777777" w:rsidR="00C216EE" w:rsidRDefault="00C216EE" w:rsidP="002B26C6">
      <w:r>
        <w:separator/>
      </w:r>
    </w:p>
  </w:endnote>
  <w:endnote w:type="continuationSeparator" w:id="0">
    <w:p w14:paraId="7B12688B" w14:textId="77777777" w:rsidR="00C216EE" w:rsidRDefault="00C216EE" w:rsidP="002B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26888" w14:textId="77777777" w:rsidR="00C216EE" w:rsidRDefault="00C216EE" w:rsidP="002B26C6">
      <w:r>
        <w:separator/>
      </w:r>
    </w:p>
  </w:footnote>
  <w:footnote w:type="continuationSeparator" w:id="0">
    <w:p w14:paraId="7B126889" w14:textId="77777777" w:rsidR="00C216EE" w:rsidRDefault="00C216EE" w:rsidP="002B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2688C" w14:textId="77777777" w:rsidR="00D061CC" w:rsidRPr="00D061CC" w:rsidRDefault="00C216EE">
    <w:pPr>
      <w:pStyle w:val="Header"/>
      <w:rPr>
        <w:rFonts w:ascii="Times New Roman" w:hAnsi="Times New Roman"/>
        <w:sz w:val="20"/>
        <w:szCs w:val="20"/>
      </w:rPr>
    </w:pPr>
    <w:r w:rsidRPr="00D061CC">
      <w:rPr>
        <w:rFonts w:ascii="Times New Roman" w:hAnsi="Times New Roman"/>
        <w:sz w:val="20"/>
        <w:szCs w:val="20"/>
      </w:rPr>
      <w:t>Docket UE-</w:t>
    </w:r>
    <w:r w:rsidR="00240480">
      <w:rPr>
        <w:rFonts w:ascii="Times New Roman" w:hAnsi="Times New Roman"/>
        <w:sz w:val="20"/>
        <w:szCs w:val="20"/>
      </w:rPr>
      <w:t>131063</w:t>
    </w:r>
  </w:p>
  <w:p w14:paraId="7B12688D" w14:textId="77777777" w:rsidR="00D061CC" w:rsidRPr="00D061CC" w:rsidRDefault="00C216EE">
    <w:pPr>
      <w:pStyle w:val="Header"/>
      <w:rPr>
        <w:rFonts w:ascii="Times New Roman" w:hAnsi="Times New Roman"/>
        <w:sz w:val="20"/>
        <w:szCs w:val="20"/>
      </w:rPr>
    </w:pPr>
    <w:r w:rsidRPr="00D061CC">
      <w:rPr>
        <w:rFonts w:ascii="Times New Roman" w:hAnsi="Times New Roman"/>
        <w:sz w:val="20"/>
        <w:szCs w:val="20"/>
      </w:rPr>
      <w:t>June 25, 2015</w:t>
    </w:r>
  </w:p>
  <w:p w14:paraId="7B12688E" w14:textId="65134717" w:rsidR="00D061CC" w:rsidRPr="00D061CC" w:rsidRDefault="00C216EE">
    <w:pPr>
      <w:pStyle w:val="Header"/>
      <w:rPr>
        <w:rFonts w:ascii="Times New Roman" w:hAnsi="Times New Roman"/>
        <w:sz w:val="20"/>
        <w:szCs w:val="20"/>
      </w:rPr>
    </w:pPr>
    <w:r w:rsidRPr="00D061CC">
      <w:rPr>
        <w:rFonts w:ascii="Times New Roman" w:hAnsi="Times New Roman"/>
        <w:sz w:val="20"/>
        <w:szCs w:val="20"/>
      </w:rPr>
      <w:t xml:space="preserve">Staff Memo, Page </w:t>
    </w:r>
    <w:r w:rsidR="00D974B7" w:rsidRPr="00D974B7">
      <w:rPr>
        <w:rFonts w:ascii="Times New Roman" w:hAnsi="Times New Roman"/>
        <w:sz w:val="20"/>
        <w:szCs w:val="20"/>
      </w:rPr>
      <w:fldChar w:fldCharType="begin"/>
    </w:r>
    <w:r w:rsidR="00D974B7" w:rsidRPr="00D974B7">
      <w:rPr>
        <w:rFonts w:ascii="Times New Roman" w:hAnsi="Times New Roman"/>
        <w:sz w:val="20"/>
        <w:szCs w:val="20"/>
      </w:rPr>
      <w:instrText xml:space="preserve"> PAGE   \* MERGEFORMAT </w:instrText>
    </w:r>
    <w:r w:rsidR="00D974B7" w:rsidRPr="00D974B7">
      <w:rPr>
        <w:rFonts w:ascii="Times New Roman" w:hAnsi="Times New Roman"/>
        <w:sz w:val="20"/>
        <w:szCs w:val="20"/>
      </w:rPr>
      <w:fldChar w:fldCharType="separate"/>
    </w:r>
    <w:r w:rsidR="00824966">
      <w:rPr>
        <w:rFonts w:ascii="Times New Roman" w:hAnsi="Times New Roman"/>
        <w:noProof/>
        <w:sz w:val="20"/>
        <w:szCs w:val="20"/>
      </w:rPr>
      <w:t>2</w:t>
    </w:r>
    <w:r w:rsidR="00D974B7" w:rsidRPr="00D974B7">
      <w:rPr>
        <w:rFonts w:ascii="Times New Roman" w:hAnsi="Times New Roman"/>
        <w:noProof/>
        <w:sz w:val="20"/>
        <w:szCs w:val="20"/>
      </w:rPr>
      <w:fldChar w:fldCharType="end"/>
    </w:r>
  </w:p>
  <w:p w14:paraId="7B12688F" w14:textId="77777777" w:rsidR="00D061CC" w:rsidRPr="00D061CC" w:rsidRDefault="00824966">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C6"/>
    <w:rsid w:val="0009192E"/>
    <w:rsid w:val="000E640C"/>
    <w:rsid w:val="001C5AB1"/>
    <w:rsid w:val="001E1D7A"/>
    <w:rsid w:val="00240480"/>
    <w:rsid w:val="002B26C6"/>
    <w:rsid w:val="002C039A"/>
    <w:rsid w:val="003A7ED8"/>
    <w:rsid w:val="003D3325"/>
    <w:rsid w:val="00433683"/>
    <w:rsid w:val="00516EB6"/>
    <w:rsid w:val="00552600"/>
    <w:rsid w:val="005A6C74"/>
    <w:rsid w:val="00654E2F"/>
    <w:rsid w:val="00672F7B"/>
    <w:rsid w:val="006A41EE"/>
    <w:rsid w:val="0070316D"/>
    <w:rsid w:val="00806882"/>
    <w:rsid w:val="00824966"/>
    <w:rsid w:val="00840C68"/>
    <w:rsid w:val="00A84C2A"/>
    <w:rsid w:val="00AD3312"/>
    <w:rsid w:val="00AE273E"/>
    <w:rsid w:val="00B13041"/>
    <w:rsid w:val="00BD29F0"/>
    <w:rsid w:val="00C216EE"/>
    <w:rsid w:val="00C57F9B"/>
    <w:rsid w:val="00D45BF6"/>
    <w:rsid w:val="00D974B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67F7"/>
  <w15:chartTrackingRefBased/>
  <w15:docId w15:val="{CF6B452E-0D6F-4372-8D3D-A7DDD7FD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C6"/>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2B26C6"/>
    <w:rPr>
      <w:sz w:val="20"/>
      <w:szCs w:val="20"/>
    </w:rPr>
  </w:style>
  <w:style w:type="character" w:customStyle="1" w:styleId="FootnoteTextChar">
    <w:name w:val="Footnote Text Char"/>
    <w:basedOn w:val="DefaultParagraphFont"/>
    <w:link w:val="FootnoteText"/>
    <w:semiHidden/>
    <w:rsid w:val="002B26C6"/>
    <w:rPr>
      <w:rFonts w:ascii="Palatino Linotype" w:eastAsia="Times New Roman" w:hAnsi="Palatino Linotype" w:cs="Times New Roman"/>
      <w:sz w:val="20"/>
      <w:szCs w:val="20"/>
    </w:rPr>
  </w:style>
  <w:style w:type="character" w:styleId="FootnoteReference">
    <w:name w:val="footnote reference"/>
    <w:basedOn w:val="DefaultParagraphFont"/>
    <w:semiHidden/>
    <w:unhideWhenUsed/>
    <w:rsid w:val="002B26C6"/>
    <w:rPr>
      <w:vertAlign w:val="superscript"/>
    </w:rPr>
  </w:style>
  <w:style w:type="paragraph" w:styleId="Header">
    <w:name w:val="header"/>
    <w:basedOn w:val="Normal"/>
    <w:link w:val="HeaderChar"/>
    <w:uiPriority w:val="99"/>
    <w:unhideWhenUsed/>
    <w:rsid w:val="002B26C6"/>
    <w:pPr>
      <w:tabs>
        <w:tab w:val="center" w:pos="4680"/>
        <w:tab w:val="right" w:pos="9360"/>
      </w:tabs>
    </w:pPr>
  </w:style>
  <w:style w:type="character" w:customStyle="1" w:styleId="HeaderChar">
    <w:name w:val="Header Char"/>
    <w:basedOn w:val="DefaultParagraphFont"/>
    <w:link w:val="Header"/>
    <w:uiPriority w:val="99"/>
    <w:rsid w:val="002B26C6"/>
    <w:rPr>
      <w:rFonts w:ascii="Palatino Linotype" w:eastAsia="Times New Roman" w:hAnsi="Palatino Linotype" w:cs="Times New Roman"/>
      <w:sz w:val="24"/>
      <w:szCs w:val="24"/>
    </w:rPr>
  </w:style>
  <w:style w:type="paragraph" w:styleId="NoSpacing">
    <w:name w:val="No Spacing"/>
    <w:uiPriority w:val="1"/>
    <w:qFormat/>
    <w:rsid w:val="00516EB6"/>
    <w:rPr>
      <w:rFonts w:ascii="Times New Roman" w:eastAsia="Times New Roman" w:hAnsi="Times New Roman" w:cs="Times New Roman"/>
      <w:sz w:val="24"/>
      <w:szCs w:val="24"/>
    </w:rPr>
  </w:style>
  <w:style w:type="paragraph" w:styleId="ListParagraph">
    <w:name w:val="List Paragraph"/>
    <w:basedOn w:val="Normal"/>
    <w:uiPriority w:val="34"/>
    <w:qFormat/>
    <w:rsid w:val="00240480"/>
    <w:pPr>
      <w:ind w:left="720"/>
      <w:contextualSpacing/>
    </w:pPr>
  </w:style>
  <w:style w:type="paragraph" w:styleId="Footer">
    <w:name w:val="footer"/>
    <w:basedOn w:val="Normal"/>
    <w:link w:val="FooterChar"/>
    <w:uiPriority w:val="99"/>
    <w:unhideWhenUsed/>
    <w:rsid w:val="00240480"/>
    <w:pPr>
      <w:tabs>
        <w:tab w:val="center" w:pos="4680"/>
        <w:tab w:val="right" w:pos="9360"/>
      </w:tabs>
    </w:pPr>
  </w:style>
  <w:style w:type="character" w:customStyle="1" w:styleId="FooterChar">
    <w:name w:val="Footer Char"/>
    <w:basedOn w:val="DefaultParagraphFont"/>
    <w:link w:val="Footer"/>
    <w:uiPriority w:val="99"/>
    <w:rsid w:val="00240480"/>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76EBC-F3C0-43DD-B523-70AC3F7D94C0}"/>
</file>

<file path=customXml/itemProps2.xml><?xml version="1.0" encoding="utf-8"?>
<ds:datastoreItem xmlns:ds="http://schemas.openxmlformats.org/officeDocument/2006/customXml" ds:itemID="{AF688321-5AF2-40F0-A1AF-C6AA520B331C}"/>
</file>

<file path=customXml/itemProps3.xml><?xml version="1.0" encoding="utf-8"?>
<ds:datastoreItem xmlns:ds="http://schemas.openxmlformats.org/officeDocument/2006/customXml" ds:itemID="{FB6EAAA9-F4C9-4B19-B895-5363117A589F}"/>
</file>

<file path=customXml/itemProps4.xml><?xml version="1.0" encoding="utf-8"?>
<ds:datastoreItem xmlns:ds="http://schemas.openxmlformats.org/officeDocument/2006/customXml" ds:itemID="{6CEF39BE-3564-4994-939F-E9059ED95A45}"/>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2015-06-26T23:10:00Z</dcterms:created>
  <dcterms:modified xsi:type="dcterms:W3CDTF">2015-06-26T23:10:00Z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0x0101006E56B4D1795A2E4DB2F0B01679ED314A00DC0E7E2D575A91488313886DDDAE0955</vt:lpwstr>
  </property>
  <property fmtid="{D5CDD505-2E9C-101B-9397-08002B2CF9AE}" pid="3" name="_docset_NoMedatataSyncRequired">
    <vt:lpwstr>False</vt:lpwstr>
  </property>
</Properties>
</file>