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7A" w:rsidRPr="00701BD2" w:rsidRDefault="00A40557" w:rsidP="00A40557">
      <w:pPr>
        <w:jc w:val="center"/>
        <w:rPr>
          <w:rFonts w:ascii="Times New Roman" w:hAnsi="Times New Roman" w:cs="Times New Roman"/>
          <w:b/>
          <w:sz w:val="28"/>
          <w:szCs w:val="28"/>
        </w:rPr>
      </w:pPr>
      <w:r w:rsidRPr="00701BD2">
        <w:rPr>
          <w:rFonts w:ascii="Times New Roman" w:hAnsi="Times New Roman" w:cs="Times New Roman"/>
          <w:b/>
          <w:sz w:val="28"/>
          <w:szCs w:val="28"/>
        </w:rPr>
        <w:t>Report of the</w:t>
      </w:r>
    </w:p>
    <w:p w:rsidR="00A40557" w:rsidRPr="00701BD2" w:rsidRDefault="00A40557" w:rsidP="00A40557">
      <w:pPr>
        <w:jc w:val="center"/>
        <w:rPr>
          <w:rFonts w:ascii="Times New Roman" w:hAnsi="Times New Roman" w:cs="Times New Roman"/>
          <w:b/>
          <w:sz w:val="28"/>
          <w:szCs w:val="28"/>
        </w:rPr>
      </w:pPr>
      <w:r w:rsidRPr="00701BD2">
        <w:rPr>
          <w:rFonts w:ascii="Times New Roman" w:hAnsi="Times New Roman" w:cs="Times New Roman"/>
          <w:b/>
          <w:sz w:val="28"/>
          <w:szCs w:val="28"/>
        </w:rPr>
        <w:t>Interconnection Standards Workgroup</w:t>
      </w:r>
    </w:p>
    <w:p w:rsidR="00A40557" w:rsidRPr="00701BD2" w:rsidRDefault="00A40557" w:rsidP="00A40557">
      <w:pPr>
        <w:jc w:val="center"/>
        <w:rPr>
          <w:rFonts w:ascii="Times New Roman" w:hAnsi="Times New Roman" w:cs="Times New Roman"/>
          <w:sz w:val="28"/>
          <w:szCs w:val="28"/>
        </w:rPr>
      </w:pPr>
      <w:r w:rsidRPr="00701BD2">
        <w:rPr>
          <w:rFonts w:ascii="Times New Roman" w:hAnsi="Times New Roman" w:cs="Times New Roman"/>
          <w:b/>
          <w:sz w:val="28"/>
          <w:szCs w:val="28"/>
        </w:rPr>
        <w:t>July 13, 2012</w:t>
      </w:r>
    </w:p>
    <w:p w:rsidR="00701BD2" w:rsidRPr="00701BD2" w:rsidRDefault="00701BD2" w:rsidP="00701BD2">
      <w:pPr>
        <w:spacing w:after="0"/>
        <w:jc w:val="center"/>
        <w:rPr>
          <w:rFonts w:ascii="Times New Roman" w:hAnsi="Times New Roman" w:cs="Times New Roman"/>
          <w:sz w:val="28"/>
          <w:szCs w:val="28"/>
        </w:rPr>
      </w:pPr>
    </w:p>
    <w:p w:rsidR="00A40557" w:rsidRPr="00701BD2" w:rsidRDefault="00EB27B4" w:rsidP="00A40557">
      <w:pPr>
        <w:jc w:val="center"/>
        <w:rPr>
          <w:rFonts w:ascii="Times New Roman" w:hAnsi="Times New Roman" w:cs="Times New Roman"/>
          <w:sz w:val="28"/>
          <w:szCs w:val="28"/>
        </w:rPr>
      </w:pPr>
      <w:r w:rsidRPr="00701BD2">
        <w:rPr>
          <w:rFonts w:ascii="Times New Roman" w:hAnsi="Times New Roman" w:cs="Times New Roman"/>
          <w:sz w:val="28"/>
          <w:szCs w:val="28"/>
        </w:rPr>
        <w:t>Report to:</w:t>
      </w:r>
    </w:p>
    <w:p w:rsidR="00701BD2" w:rsidRDefault="00701BD2" w:rsidP="00701BD2">
      <w:pPr>
        <w:spacing w:after="0"/>
        <w:jc w:val="center"/>
        <w:rPr>
          <w:rFonts w:ascii="Times New Roman" w:hAnsi="Times New Roman" w:cs="Times New Roman"/>
          <w:sz w:val="28"/>
          <w:szCs w:val="28"/>
        </w:rPr>
      </w:pPr>
    </w:p>
    <w:p w:rsidR="002041E4" w:rsidRDefault="002041E4" w:rsidP="00701BD2">
      <w:pPr>
        <w:spacing w:after="0"/>
        <w:jc w:val="center"/>
        <w:rPr>
          <w:rFonts w:ascii="Times New Roman" w:hAnsi="Times New Roman" w:cs="Times New Roman"/>
          <w:sz w:val="28"/>
          <w:szCs w:val="28"/>
        </w:rPr>
      </w:pPr>
    </w:p>
    <w:p w:rsidR="00EB27B4" w:rsidRPr="002041E4" w:rsidRDefault="00EB27B4" w:rsidP="00A40557">
      <w:pPr>
        <w:jc w:val="center"/>
        <w:rPr>
          <w:rFonts w:ascii="Times New Roman" w:hAnsi="Times New Roman" w:cs="Times New Roman"/>
          <w:sz w:val="26"/>
          <w:szCs w:val="26"/>
        </w:rPr>
      </w:pPr>
      <w:r w:rsidRPr="002041E4">
        <w:rPr>
          <w:rFonts w:ascii="Times New Roman" w:hAnsi="Times New Roman" w:cs="Times New Roman"/>
          <w:sz w:val="26"/>
          <w:szCs w:val="26"/>
        </w:rPr>
        <w:t>The Washington Utilities and Transportation Commission</w:t>
      </w:r>
    </w:p>
    <w:p w:rsidR="00EB27B4" w:rsidRPr="002041E4" w:rsidRDefault="00EB27B4" w:rsidP="00A40557">
      <w:pPr>
        <w:jc w:val="center"/>
        <w:rPr>
          <w:rFonts w:ascii="Times New Roman" w:hAnsi="Times New Roman" w:cs="Times New Roman"/>
          <w:sz w:val="26"/>
          <w:szCs w:val="26"/>
        </w:rPr>
      </w:pPr>
      <w:r w:rsidRPr="002041E4">
        <w:rPr>
          <w:rFonts w:ascii="Times New Roman" w:hAnsi="Times New Roman" w:cs="Times New Roman"/>
          <w:sz w:val="26"/>
          <w:szCs w:val="26"/>
        </w:rPr>
        <w:t>The Washington Public Utility Districts Association</w:t>
      </w:r>
    </w:p>
    <w:p w:rsidR="00EB27B4" w:rsidRPr="002041E4" w:rsidRDefault="00701BD2" w:rsidP="00A40557">
      <w:pPr>
        <w:jc w:val="center"/>
        <w:rPr>
          <w:rFonts w:ascii="Times New Roman" w:hAnsi="Times New Roman" w:cs="Times New Roman"/>
          <w:sz w:val="26"/>
          <w:szCs w:val="26"/>
        </w:rPr>
      </w:pPr>
      <w:r w:rsidRPr="002041E4">
        <w:rPr>
          <w:rFonts w:ascii="Times New Roman" w:hAnsi="Times New Roman" w:cs="Times New Roman"/>
          <w:sz w:val="26"/>
          <w:szCs w:val="26"/>
        </w:rPr>
        <w:t>The Association of Washington Cities</w:t>
      </w:r>
    </w:p>
    <w:p w:rsidR="00701BD2" w:rsidRPr="002041E4" w:rsidRDefault="00701BD2" w:rsidP="00A40557">
      <w:pPr>
        <w:jc w:val="center"/>
        <w:rPr>
          <w:rFonts w:ascii="Times New Roman" w:hAnsi="Times New Roman" w:cs="Times New Roman"/>
          <w:sz w:val="26"/>
          <w:szCs w:val="26"/>
        </w:rPr>
      </w:pPr>
      <w:r w:rsidRPr="002041E4">
        <w:rPr>
          <w:rFonts w:ascii="Times New Roman" w:hAnsi="Times New Roman" w:cs="Times New Roman"/>
          <w:sz w:val="26"/>
          <w:szCs w:val="26"/>
        </w:rPr>
        <w:t>The Washington Rural Electric Cooperative Association</w:t>
      </w:r>
    </w:p>
    <w:p w:rsidR="00701BD2" w:rsidRPr="002041E4" w:rsidRDefault="00701BD2" w:rsidP="00701BD2">
      <w:pPr>
        <w:jc w:val="center"/>
        <w:rPr>
          <w:rFonts w:ascii="Times New Roman" w:hAnsi="Times New Roman" w:cs="Times New Roman"/>
          <w:sz w:val="26"/>
          <w:szCs w:val="26"/>
        </w:rPr>
      </w:pPr>
      <w:r w:rsidRPr="002041E4">
        <w:rPr>
          <w:rFonts w:ascii="Times New Roman" w:hAnsi="Times New Roman" w:cs="Times New Roman"/>
          <w:sz w:val="26"/>
          <w:szCs w:val="26"/>
        </w:rPr>
        <w:t>Washington State Department of Commerce</w:t>
      </w:r>
    </w:p>
    <w:p w:rsidR="002041E4" w:rsidRDefault="002041E4" w:rsidP="00A40557">
      <w:pPr>
        <w:jc w:val="center"/>
        <w:rPr>
          <w:rFonts w:ascii="Times New Roman" w:hAnsi="Times New Roman" w:cs="Times New Roman"/>
          <w:sz w:val="26"/>
          <w:szCs w:val="26"/>
        </w:rPr>
      </w:pPr>
    </w:p>
    <w:p w:rsidR="00701BD2" w:rsidRDefault="00701BD2" w:rsidP="00A40557">
      <w:pPr>
        <w:jc w:val="center"/>
        <w:rPr>
          <w:rFonts w:ascii="Times New Roman" w:hAnsi="Times New Roman" w:cs="Times New Roman"/>
          <w:sz w:val="26"/>
          <w:szCs w:val="26"/>
        </w:rPr>
      </w:pPr>
      <w:proofErr w:type="gramStart"/>
      <w:r w:rsidRPr="002041E4">
        <w:rPr>
          <w:rFonts w:ascii="Times New Roman" w:hAnsi="Times New Roman" w:cs="Times New Roman"/>
          <w:sz w:val="26"/>
          <w:szCs w:val="26"/>
        </w:rPr>
        <w:t>and</w:t>
      </w:r>
      <w:proofErr w:type="gramEnd"/>
      <w:r w:rsidRPr="002041E4">
        <w:rPr>
          <w:rFonts w:ascii="Times New Roman" w:hAnsi="Times New Roman" w:cs="Times New Roman"/>
          <w:sz w:val="26"/>
          <w:szCs w:val="26"/>
        </w:rPr>
        <w:t xml:space="preserve"> to:</w:t>
      </w:r>
    </w:p>
    <w:p w:rsidR="002041E4" w:rsidRPr="002041E4" w:rsidRDefault="002041E4" w:rsidP="00A40557">
      <w:pPr>
        <w:jc w:val="center"/>
        <w:rPr>
          <w:rFonts w:ascii="Times New Roman" w:hAnsi="Times New Roman" w:cs="Times New Roman"/>
          <w:sz w:val="26"/>
          <w:szCs w:val="26"/>
        </w:rPr>
      </w:pPr>
    </w:p>
    <w:p w:rsidR="00701BD2" w:rsidRPr="002041E4" w:rsidRDefault="00701BD2" w:rsidP="00A40557">
      <w:pPr>
        <w:jc w:val="center"/>
        <w:rPr>
          <w:rFonts w:ascii="Times New Roman" w:hAnsi="Times New Roman" w:cs="Times New Roman"/>
          <w:sz w:val="26"/>
          <w:szCs w:val="26"/>
        </w:rPr>
      </w:pPr>
      <w:r w:rsidRPr="002041E4">
        <w:rPr>
          <w:rFonts w:ascii="Times New Roman" w:hAnsi="Times New Roman" w:cs="Times New Roman"/>
          <w:sz w:val="26"/>
          <w:szCs w:val="26"/>
        </w:rPr>
        <w:t>The Washington State House Technology, Energy and Commerce Committee</w:t>
      </w:r>
    </w:p>
    <w:p w:rsidR="00701BD2" w:rsidRPr="002041E4" w:rsidRDefault="00701BD2" w:rsidP="00A40557">
      <w:pPr>
        <w:jc w:val="center"/>
        <w:rPr>
          <w:rFonts w:ascii="Times New Roman" w:hAnsi="Times New Roman" w:cs="Times New Roman"/>
          <w:sz w:val="26"/>
          <w:szCs w:val="26"/>
        </w:rPr>
      </w:pPr>
      <w:r w:rsidRPr="002041E4">
        <w:rPr>
          <w:rFonts w:ascii="Times New Roman" w:hAnsi="Times New Roman" w:cs="Times New Roman"/>
          <w:sz w:val="26"/>
          <w:szCs w:val="26"/>
        </w:rPr>
        <w:t>The Washington State Senate Energy</w:t>
      </w:r>
      <w:r w:rsidR="00E840F0">
        <w:rPr>
          <w:rFonts w:ascii="Times New Roman" w:hAnsi="Times New Roman" w:cs="Times New Roman"/>
          <w:sz w:val="26"/>
          <w:szCs w:val="26"/>
        </w:rPr>
        <w:t>, Natural Resources and Marine Waters</w:t>
      </w:r>
    </w:p>
    <w:p w:rsidR="00701BD2" w:rsidRDefault="00701BD2">
      <w:pPr>
        <w:rPr>
          <w:rFonts w:ascii="Times New Roman" w:hAnsi="Times New Roman" w:cs="Times New Roman"/>
          <w:b/>
          <w:sz w:val="24"/>
          <w:szCs w:val="24"/>
        </w:rPr>
      </w:pPr>
    </w:p>
    <w:p w:rsidR="002041E4" w:rsidRDefault="002041E4">
      <w:pPr>
        <w:rPr>
          <w:rFonts w:ascii="Times New Roman" w:hAnsi="Times New Roman" w:cs="Times New Roman"/>
          <w:b/>
          <w:sz w:val="24"/>
          <w:szCs w:val="24"/>
        </w:rPr>
      </w:pPr>
    </w:p>
    <w:p w:rsidR="002041E4" w:rsidRDefault="002041E4">
      <w:pPr>
        <w:rPr>
          <w:rFonts w:ascii="Times New Roman" w:hAnsi="Times New Roman" w:cs="Times New Roman"/>
          <w:b/>
          <w:sz w:val="24"/>
          <w:szCs w:val="24"/>
        </w:rPr>
      </w:pPr>
    </w:p>
    <w:p w:rsidR="002041E4" w:rsidRDefault="002041E4">
      <w:pPr>
        <w:rPr>
          <w:rFonts w:ascii="Times New Roman" w:hAnsi="Times New Roman" w:cs="Times New Roman"/>
          <w:b/>
          <w:sz w:val="24"/>
          <w:szCs w:val="24"/>
        </w:rPr>
        <w:sectPr w:rsidR="002041E4" w:rsidSect="00373DE9">
          <w:footerReference w:type="default" r:id="rId8"/>
          <w:pgSz w:w="12240" w:h="15840"/>
          <w:pgMar w:top="1440" w:right="1800" w:bottom="1440" w:left="1800" w:header="720" w:footer="432" w:gutter="0"/>
          <w:cols w:space="720"/>
          <w:docGrid w:linePitch="360"/>
        </w:sectPr>
      </w:pPr>
    </w:p>
    <w:p w:rsidR="00701BD2" w:rsidRPr="00701BD2" w:rsidRDefault="00701BD2">
      <w:pPr>
        <w:rPr>
          <w:rFonts w:ascii="Times New Roman" w:hAnsi="Times New Roman" w:cs="Times New Roman"/>
          <w:b/>
          <w:sz w:val="20"/>
          <w:szCs w:val="20"/>
        </w:rPr>
      </w:pPr>
      <w:r w:rsidRPr="00701BD2">
        <w:rPr>
          <w:rFonts w:ascii="Times New Roman" w:hAnsi="Times New Roman" w:cs="Times New Roman"/>
          <w:b/>
          <w:sz w:val="20"/>
          <w:szCs w:val="20"/>
        </w:rPr>
        <w:lastRenderedPageBreak/>
        <w:t>Workgroup Co-Chairs</w:t>
      </w:r>
    </w:p>
    <w:p w:rsidR="00701BD2" w:rsidRPr="00701BD2" w:rsidRDefault="00701BD2" w:rsidP="00701BD2">
      <w:pPr>
        <w:spacing w:after="0"/>
        <w:rPr>
          <w:rFonts w:ascii="Times New Roman" w:hAnsi="Times New Roman" w:cs="Times New Roman"/>
          <w:sz w:val="20"/>
          <w:szCs w:val="20"/>
        </w:rPr>
      </w:pPr>
      <w:r w:rsidRPr="00701BD2">
        <w:rPr>
          <w:rFonts w:ascii="Times New Roman" w:hAnsi="Times New Roman" w:cs="Times New Roman"/>
          <w:sz w:val="20"/>
          <w:szCs w:val="20"/>
        </w:rPr>
        <w:t>Dave Warren, WPUDA</w:t>
      </w:r>
    </w:p>
    <w:p w:rsidR="00701BD2" w:rsidRPr="00701BD2" w:rsidRDefault="00701BD2" w:rsidP="00701BD2">
      <w:pPr>
        <w:spacing w:after="0"/>
        <w:rPr>
          <w:rFonts w:ascii="Times New Roman" w:hAnsi="Times New Roman" w:cs="Times New Roman"/>
          <w:sz w:val="20"/>
          <w:szCs w:val="20"/>
        </w:rPr>
      </w:pPr>
      <w:r w:rsidRPr="00701BD2">
        <w:rPr>
          <w:rFonts w:ascii="Times New Roman" w:hAnsi="Times New Roman" w:cs="Times New Roman"/>
          <w:sz w:val="20"/>
          <w:szCs w:val="20"/>
        </w:rPr>
        <w:t xml:space="preserve">Tom </w:t>
      </w:r>
      <w:proofErr w:type="spellStart"/>
      <w:r w:rsidRPr="00701BD2">
        <w:rPr>
          <w:rFonts w:ascii="Times New Roman" w:hAnsi="Times New Roman" w:cs="Times New Roman"/>
          <w:sz w:val="20"/>
          <w:szCs w:val="20"/>
        </w:rPr>
        <w:t>DeBoer</w:t>
      </w:r>
      <w:proofErr w:type="spellEnd"/>
      <w:r w:rsidRPr="00701BD2">
        <w:rPr>
          <w:rFonts w:ascii="Times New Roman" w:hAnsi="Times New Roman" w:cs="Times New Roman"/>
          <w:sz w:val="20"/>
          <w:szCs w:val="20"/>
        </w:rPr>
        <w:t>, Puget Sound Energy</w:t>
      </w:r>
    </w:p>
    <w:p w:rsidR="00701BD2" w:rsidRPr="00701BD2" w:rsidRDefault="00701BD2" w:rsidP="00701BD2">
      <w:pPr>
        <w:spacing w:after="0"/>
        <w:rPr>
          <w:rFonts w:ascii="Times New Roman" w:hAnsi="Times New Roman" w:cs="Times New Roman"/>
          <w:sz w:val="20"/>
          <w:szCs w:val="20"/>
        </w:rPr>
      </w:pPr>
      <w:r w:rsidRPr="00701BD2">
        <w:rPr>
          <w:rFonts w:ascii="Times New Roman" w:hAnsi="Times New Roman" w:cs="Times New Roman"/>
          <w:sz w:val="20"/>
          <w:szCs w:val="20"/>
        </w:rPr>
        <w:t>Richard Damiano, Inland Power and Light Company</w:t>
      </w:r>
    </w:p>
    <w:p w:rsidR="00701BD2" w:rsidRPr="00701BD2" w:rsidRDefault="00701BD2" w:rsidP="00701BD2">
      <w:pPr>
        <w:spacing w:after="0"/>
        <w:rPr>
          <w:rFonts w:ascii="Times New Roman" w:hAnsi="Times New Roman" w:cs="Times New Roman"/>
          <w:sz w:val="20"/>
          <w:szCs w:val="20"/>
        </w:rPr>
      </w:pPr>
      <w:r w:rsidRPr="00701BD2">
        <w:rPr>
          <w:rFonts w:ascii="Times New Roman" w:hAnsi="Times New Roman" w:cs="Times New Roman"/>
          <w:sz w:val="20"/>
          <w:szCs w:val="20"/>
        </w:rPr>
        <w:t>Jason Keyes, Interstate Renewable Energy Council</w:t>
      </w:r>
    </w:p>
    <w:p w:rsidR="00701BD2" w:rsidRPr="00701BD2" w:rsidRDefault="00701BD2" w:rsidP="00701BD2">
      <w:pPr>
        <w:spacing w:after="0"/>
        <w:rPr>
          <w:rFonts w:ascii="Times New Roman" w:hAnsi="Times New Roman" w:cs="Times New Roman"/>
          <w:sz w:val="20"/>
          <w:szCs w:val="20"/>
        </w:rPr>
      </w:pPr>
    </w:p>
    <w:p w:rsidR="00701BD2" w:rsidRPr="00701BD2" w:rsidRDefault="00701BD2" w:rsidP="00701BD2">
      <w:pPr>
        <w:spacing w:after="0"/>
        <w:rPr>
          <w:rFonts w:ascii="Times New Roman" w:hAnsi="Times New Roman" w:cs="Times New Roman"/>
          <w:b/>
          <w:sz w:val="20"/>
          <w:szCs w:val="20"/>
        </w:rPr>
      </w:pPr>
      <w:r w:rsidRPr="00701BD2">
        <w:rPr>
          <w:rFonts w:ascii="Times New Roman" w:hAnsi="Times New Roman" w:cs="Times New Roman"/>
          <w:b/>
          <w:sz w:val="20"/>
          <w:szCs w:val="20"/>
        </w:rPr>
        <w:lastRenderedPageBreak/>
        <w:t>Technical Editing Team</w:t>
      </w:r>
    </w:p>
    <w:p w:rsidR="00701BD2" w:rsidRDefault="00701BD2" w:rsidP="00701BD2">
      <w:pPr>
        <w:spacing w:after="0"/>
        <w:rPr>
          <w:rFonts w:ascii="Times New Roman" w:hAnsi="Times New Roman" w:cs="Times New Roman"/>
          <w:sz w:val="20"/>
          <w:szCs w:val="20"/>
        </w:rPr>
      </w:pPr>
    </w:p>
    <w:p w:rsidR="00701BD2" w:rsidRPr="00701BD2" w:rsidRDefault="00701BD2" w:rsidP="00701BD2">
      <w:pPr>
        <w:spacing w:after="0"/>
        <w:rPr>
          <w:rFonts w:ascii="Times New Roman" w:hAnsi="Times New Roman" w:cs="Times New Roman"/>
          <w:sz w:val="20"/>
          <w:szCs w:val="20"/>
        </w:rPr>
      </w:pPr>
      <w:r w:rsidRPr="00701BD2">
        <w:rPr>
          <w:rFonts w:ascii="Times New Roman" w:hAnsi="Times New Roman" w:cs="Times New Roman"/>
          <w:sz w:val="20"/>
          <w:szCs w:val="20"/>
        </w:rPr>
        <w:t>Dave Warren, P.E., WPUDA</w:t>
      </w:r>
    </w:p>
    <w:p w:rsidR="00701BD2" w:rsidRPr="00701BD2" w:rsidRDefault="00701BD2" w:rsidP="00701BD2">
      <w:pPr>
        <w:spacing w:after="0"/>
        <w:rPr>
          <w:rFonts w:ascii="Times New Roman" w:hAnsi="Times New Roman" w:cs="Times New Roman"/>
          <w:sz w:val="20"/>
          <w:szCs w:val="20"/>
        </w:rPr>
      </w:pPr>
      <w:r w:rsidRPr="00701BD2">
        <w:rPr>
          <w:rFonts w:ascii="Times New Roman" w:hAnsi="Times New Roman" w:cs="Times New Roman"/>
          <w:sz w:val="20"/>
          <w:szCs w:val="20"/>
        </w:rPr>
        <w:t>Richard Damiano, P.E., Inland Power</w:t>
      </w:r>
    </w:p>
    <w:p w:rsidR="00701BD2" w:rsidRPr="00701BD2" w:rsidRDefault="00701BD2" w:rsidP="00701BD2">
      <w:pPr>
        <w:spacing w:after="0"/>
        <w:rPr>
          <w:rFonts w:ascii="Times New Roman" w:hAnsi="Times New Roman" w:cs="Times New Roman"/>
          <w:sz w:val="20"/>
          <w:szCs w:val="20"/>
        </w:rPr>
      </w:pPr>
      <w:r w:rsidRPr="00701BD2">
        <w:rPr>
          <w:rFonts w:ascii="Times New Roman" w:hAnsi="Times New Roman" w:cs="Times New Roman"/>
          <w:sz w:val="20"/>
          <w:szCs w:val="20"/>
        </w:rPr>
        <w:t>Jeanne Harshbarger, P.E. Snohomish PUD</w:t>
      </w:r>
    </w:p>
    <w:p w:rsidR="00701BD2" w:rsidRDefault="00701BD2" w:rsidP="00701BD2">
      <w:pPr>
        <w:spacing w:after="0"/>
        <w:rPr>
          <w:rFonts w:ascii="Times New Roman" w:hAnsi="Times New Roman" w:cs="Times New Roman"/>
          <w:sz w:val="20"/>
          <w:szCs w:val="20"/>
        </w:rPr>
      </w:pPr>
      <w:r w:rsidRPr="00701BD2">
        <w:rPr>
          <w:rFonts w:ascii="Times New Roman" w:hAnsi="Times New Roman" w:cs="Times New Roman"/>
          <w:sz w:val="20"/>
          <w:szCs w:val="20"/>
        </w:rPr>
        <w:t>Lynn Logen, P</w:t>
      </w:r>
      <w:r w:rsidR="002041E4">
        <w:rPr>
          <w:rFonts w:ascii="Times New Roman" w:hAnsi="Times New Roman" w:cs="Times New Roman"/>
          <w:sz w:val="20"/>
          <w:szCs w:val="20"/>
        </w:rPr>
        <w:t>uget Sound Energy</w:t>
      </w:r>
    </w:p>
    <w:p w:rsidR="00701BD2" w:rsidRDefault="00701BD2" w:rsidP="00701BD2">
      <w:pPr>
        <w:spacing w:after="0"/>
        <w:rPr>
          <w:rFonts w:ascii="Times New Roman" w:hAnsi="Times New Roman" w:cs="Times New Roman"/>
          <w:sz w:val="20"/>
          <w:szCs w:val="20"/>
        </w:rPr>
      </w:pPr>
      <w:r>
        <w:rPr>
          <w:rFonts w:ascii="Times New Roman" w:hAnsi="Times New Roman" w:cs="Times New Roman"/>
          <w:sz w:val="20"/>
          <w:szCs w:val="20"/>
        </w:rPr>
        <w:t>Michael Sheehan, P.E. IREC</w:t>
      </w:r>
    </w:p>
    <w:p w:rsidR="00701BD2" w:rsidRDefault="00701BD2" w:rsidP="00701BD2">
      <w:pPr>
        <w:spacing w:after="0"/>
        <w:rPr>
          <w:rFonts w:ascii="Times New Roman" w:hAnsi="Times New Roman" w:cs="Times New Roman"/>
          <w:sz w:val="20"/>
          <w:szCs w:val="20"/>
        </w:rPr>
      </w:pPr>
      <w:r>
        <w:rPr>
          <w:rFonts w:ascii="Times New Roman" w:hAnsi="Times New Roman" w:cs="Times New Roman"/>
          <w:sz w:val="20"/>
          <w:szCs w:val="20"/>
        </w:rPr>
        <w:t>Jason Keyes, IREC</w:t>
      </w:r>
    </w:p>
    <w:p w:rsidR="007C2B56" w:rsidRDefault="007C2B56" w:rsidP="00701BD2">
      <w:pPr>
        <w:spacing w:after="0"/>
        <w:rPr>
          <w:rFonts w:ascii="Times New Roman" w:hAnsi="Times New Roman" w:cs="Times New Roman"/>
          <w:sz w:val="20"/>
          <w:szCs w:val="20"/>
        </w:rPr>
      </w:pPr>
      <w:r>
        <w:rPr>
          <w:rFonts w:ascii="Times New Roman" w:hAnsi="Times New Roman" w:cs="Times New Roman"/>
          <w:sz w:val="20"/>
          <w:szCs w:val="20"/>
        </w:rPr>
        <w:t>Workgroup Participants</w:t>
      </w:r>
    </w:p>
    <w:p w:rsidR="002041E4" w:rsidRDefault="002041E4" w:rsidP="00701BD2">
      <w:pPr>
        <w:spacing w:after="0"/>
        <w:rPr>
          <w:rFonts w:ascii="Times New Roman" w:hAnsi="Times New Roman" w:cs="Times New Roman"/>
          <w:sz w:val="20"/>
          <w:szCs w:val="20"/>
        </w:rPr>
        <w:sectPr w:rsidR="002041E4" w:rsidSect="00701BD2">
          <w:type w:val="continuous"/>
          <w:pgSz w:w="12240" w:h="15840"/>
          <w:pgMar w:top="1440" w:right="1800" w:bottom="1440" w:left="1800" w:header="720" w:footer="432" w:gutter="0"/>
          <w:cols w:num="2" w:space="720"/>
          <w:docGrid w:linePitch="360"/>
        </w:sectPr>
      </w:pPr>
    </w:p>
    <w:p w:rsidR="00A40557" w:rsidRPr="00F047EB" w:rsidRDefault="00A40557" w:rsidP="00A40557">
      <w:pPr>
        <w:rPr>
          <w:rFonts w:ascii="Times New Roman" w:hAnsi="Times New Roman" w:cs="Times New Roman"/>
          <w:b/>
          <w:sz w:val="24"/>
          <w:szCs w:val="24"/>
        </w:rPr>
      </w:pPr>
      <w:r w:rsidRPr="00F047EB">
        <w:rPr>
          <w:rFonts w:ascii="Times New Roman" w:hAnsi="Times New Roman" w:cs="Times New Roman"/>
          <w:b/>
          <w:sz w:val="24"/>
          <w:szCs w:val="24"/>
        </w:rPr>
        <w:lastRenderedPageBreak/>
        <w:t>Introduction</w:t>
      </w:r>
    </w:p>
    <w:p w:rsidR="00A40557" w:rsidRPr="00F047EB" w:rsidRDefault="00A40557" w:rsidP="00A40557">
      <w:pPr>
        <w:rPr>
          <w:rFonts w:ascii="Times New Roman" w:hAnsi="Times New Roman" w:cs="Times New Roman"/>
          <w:sz w:val="24"/>
          <w:szCs w:val="24"/>
        </w:rPr>
      </w:pPr>
      <w:r w:rsidRPr="004C7628">
        <w:rPr>
          <w:rFonts w:ascii="Times New Roman" w:hAnsi="Times New Roman" w:cs="Times New Roman"/>
          <w:sz w:val="24"/>
          <w:szCs w:val="24"/>
        </w:rPr>
        <w:t>On</w:t>
      </w:r>
      <w:r w:rsidR="00F465C5" w:rsidRPr="004C7628">
        <w:rPr>
          <w:rFonts w:ascii="Times New Roman" w:hAnsi="Times New Roman" w:cs="Times New Roman"/>
          <w:sz w:val="24"/>
          <w:szCs w:val="24"/>
        </w:rPr>
        <w:t xml:space="preserve"> March 11, 2010, the Washington Legislature passed E2SHB 2658 [Gov. signed on 4/1/2010 and became effective on 7/1/2010]</w:t>
      </w:r>
      <w:r w:rsidRPr="004C7628">
        <w:rPr>
          <w:rFonts w:ascii="Times New Roman" w:hAnsi="Times New Roman" w:cs="Times New Roman"/>
          <w:sz w:val="24"/>
          <w:szCs w:val="24"/>
        </w:rPr>
        <w:t>, t</w:t>
      </w:r>
      <w:r w:rsidRPr="00F047EB">
        <w:rPr>
          <w:rFonts w:ascii="Times New Roman" w:hAnsi="Times New Roman" w:cs="Times New Roman"/>
          <w:sz w:val="24"/>
          <w:szCs w:val="24"/>
        </w:rPr>
        <w:t xml:space="preserve">asking the Washington State Department of Commerce with </w:t>
      </w:r>
      <w:r w:rsidR="00F465C5">
        <w:rPr>
          <w:rFonts w:ascii="Times New Roman" w:hAnsi="Times New Roman" w:cs="Times New Roman"/>
          <w:sz w:val="24"/>
          <w:szCs w:val="24"/>
        </w:rPr>
        <w:t>updating the</w:t>
      </w:r>
      <w:r w:rsidRPr="00F047EB">
        <w:rPr>
          <w:rFonts w:ascii="Times New Roman" w:hAnsi="Times New Roman" w:cs="Times New Roman"/>
          <w:sz w:val="24"/>
          <w:szCs w:val="24"/>
        </w:rPr>
        <w:t xml:space="preserve"> State Energy Strategy by December 1, 2011. During the legislative interim of 2011, the </w:t>
      </w:r>
      <w:r w:rsidR="00C7485A">
        <w:rPr>
          <w:rFonts w:ascii="Times New Roman" w:hAnsi="Times New Roman" w:cs="Times New Roman"/>
          <w:sz w:val="24"/>
          <w:szCs w:val="24"/>
        </w:rPr>
        <w:t>House Technology, Energy and Communications Committee</w:t>
      </w:r>
      <w:r w:rsidR="00FC10AC">
        <w:rPr>
          <w:rFonts w:ascii="Times New Roman" w:hAnsi="Times New Roman" w:cs="Times New Roman"/>
          <w:sz w:val="24"/>
          <w:szCs w:val="24"/>
        </w:rPr>
        <w:t xml:space="preserve"> initiated </w:t>
      </w:r>
      <w:r w:rsidR="00FC10AC" w:rsidRPr="00FC10AC">
        <w:rPr>
          <w:rFonts w:ascii="Times New Roman" w:hAnsi="Times New Roman" w:cs="Times New Roman"/>
          <w:sz w:val="24"/>
          <w:szCs w:val="24"/>
        </w:rPr>
        <w:t>the</w:t>
      </w:r>
      <w:r w:rsidR="00C7485A" w:rsidRPr="00FC10AC">
        <w:rPr>
          <w:rFonts w:ascii="Times New Roman" w:hAnsi="Times New Roman" w:cs="Times New Roman"/>
          <w:sz w:val="24"/>
          <w:szCs w:val="24"/>
        </w:rPr>
        <w:t xml:space="preserve"> </w:t>
      </w:r>
      <w:r w:rsidR="00FC10AC" w:rsidRPr="00EB27B4">
        <w:rPr>
          <w:rFonts w:ascii="Times New Roman" w:hAnsi="Times New Roman" w:cs="Times New Roman"/>
          <w:sz w:val="24"/>
          <w:szCs w:val="24"/>
        </w:rPr>
        <w:t>Legislative Focus Group on Distributed Energy</w:t>
      </w:r>
      <w:r w:rsidRPr="00EB27B4">
        <w:rPr>
          <w:rFonts w:ascii="Times New Roman" w:hAnsi="Times New Roman" w:cs="Times New Roman"/>
          <w:sz w:val="24"/>
          <w:szCs w:val="24"/>
        </w:rPr>
        <w:t>,</w:t>
      </w:r>
      <w:r w:rsidRPr="00F047EB">
        <w:rPr>
          <w:rFonts w:ascii="Times New Roman" w:hAnsi="Times New Roman" w:cs="Times New Roman"/>
          <w:sz w:val="24"/>
          <w:szCs w:val="24"/>
        </w:rPr>
        <w:t xml:space="preserve"> chaired by Representative Deb Eddy, </w:t>
      </w:r>
      <w:r w:rsidR="00644DB8">
        <w:rPr>
          <w:rFonts w:ascii="Times New Roman" w:hAnsi="Times New Roman" w:cs="Times New Roman"/>
          <w:sz w:val="24"/>
          <w:szCs w:val="24"/>
        </w:rPr>
        <w:t>which</w:t>
      </w:r>
      <w:r w:rsidR="00644DB8" w:rsidRPr="00F047EB">
        <w:rPr>
          <w:rFonts w:ascii="Times New Roman" w:hAnsi="Times New Roman" w:cs="Times New Roman"/>
          <w:sz w:val="24"/>
          <w:szCs w:val="24"/>
        </w:rPr>
        <w:t xml:space="preserve"> </w:t>
      </w:r>
      <w:r w:rsidRPr="00F047EB">
        <w:rPr>
          <w:rFonts w:ascii="Times New Roman" w:hAnsi="Times New Roman" w:cs="Times New Roman"/>
          <w:sz w:val="24"/>
          <w:szCs w:val="24"/>
        </w:rPr>
        <w:t>reviewed the various efforts around distributed energy (DE) in the state. In response</w:t>
      </w:r>
      <w:r w:rsidR="004C7628">
        <w:rPr>
          <w:rFonts w:ascii="Times New Roman" w:hAnsi="Times New Roman" w:cs="Times New Roman"/>
          <w:sz w:val="24"/>
          <w:szCs w:val="24"/>
        </w:rPr>
        <w:t xml:space="preserve"> to a request from legislators</w:t>
      </w:r>
      <w:r w:rsidRPr="00F047EB">
        <w:rPr>
          <w:rFonts w:ascii="Times New Roman" w:hAnsi="Times New Roman" w:cs="Times New Roman"/>
          <w:sz w:val="24"/>
          <w:szCs w:val="24"/>
        </w:rPr>
        <w:t>, the Washington Utilities and Transportation Commission (UTC) published a report titled</w:t>
      </w:r>
      <w:proofErr w:type="gramStart"/>
      <w:r w:rsidRPr="00F047EB">
        <w:rPr>
          <w:rFonts w:ascii="Times New Roman" w:hAnsi="Times New Roman" w:cs="Times New Roman"/>
          <w:sz w:val="24"/>
          <w:szCs w:val="24"/>
        </w:rPr>
        <w:t>:,</w:t>
      </w:r>
      <w:proofErr w:type="gramEnd"/>
      <w:r w:rsidR="003F5C82" w:rsidRPr="003F5C82">
        <w:rPr>
          <w:rFonts w:ascii="Times New Roman" w:hAnsi="Times New Roman"/>
          <w:sz w:val="24"/>
          <w:szCs w:val="24"/>
        </w:rPr>
        <w:t xml:space="preserve"> </w:t>
      </w:r>
      <w:r w:rsidR="003F5C82">
        <w:rPr>
          <w:rFonts w:ascii="Times New Roman" w:hAnsi="Times New Roman"/>
          <w:sz w:val="24"/>
          <w:szCs w:val="24"/>
        </w:rPr>
        <w:t>Report on the Potential for Cost-Effective Distributed Generation In Areas Served by Investor-Owned Utilities in Washington State</w:t>
      </w:r>
      <w:r w:rsidR="004C7628">
        <w:rPr>
          <w:rFonts w:ascii="Times New Roman" w:hAnsi="Times New Roman"/>
          <w:sz w:val="24"/>
          <w:szCs w:val="24"/>
        </w:rPr>
        <w:t>.</w:t>
      </w:r>
      <w:r w:rsidRPr="00F047EB">
        <w:rPr>
          <w:rFonts w:ascii="Times New Roman" w:hAnsi="Times New Roman" w:cs="Times New Roman"/>
          <w:sz w:val="24"/>
          <w:szCs w:val="24"/>
        </w:rPr>
        <w:t xml:space="preserve"> </w:t>
      </w:r>
      <w:r w:rsidR="004C7628">
        <w:rPr>
          <w:rFonts w:ascii="Times New Roman" w:hAnsi="Times New Roman" w:cs="Times New Roman"/>
          <w:sz w:val="24"/>
          <w:szCs w:val="24"/>
        </w:rPr>
        <w:t>S</w:t>
      </w:r>
      <w:r w:rsidRPr="00F047EB">
        <w:rPr>
          <w:rFonts w:ascii="Times New Roman" w:hAnsi="Times New Roman" w:cs="Times New Roman"/>
          <w:sz w:val="24"/>
          <w:szCs w:val="24"/>
        </w:rPr>
        <w:t xml:space="preserve">ubsequently, on December </w:t>
      </w:r>
      <w:r w:rsidR="004C7628">
        <w:rPr>
          <w:rFonts w:ascii="Times New Roman" w:hAnsi="Times New Roman" w:cs="Times New Roman"/>
          <w:sz w:val="24"/>
          <w:szCs w:val="24"/>
        </w:rPr>
        <w:t>14</w:t>
      </w:r>
      <w:r w:rsidR="003F5C82">
        <w:rPr>
          <w:rFonts w:ascii="Times New Roman" w:hAnsi="Times New Roman" w:cs="Times New Roman"/>
          <w:sz w:val="24"/>
          <w:szCs w:val="24"/>
        </w:rPr>
        <w:t>, 2011</w:t>
      </w:r>
      <w:r w:rsidR="003F5C82" w:rsidRPr="00F047EB">
        <w:rPr>
          <w:rFonts w:ascii="Times New Roman" w:hAnsi="Times New Roman" w:cs="Times New Roman"/>
          <w:sz w:val="24"/>
          <w:szCs w:val="24"/>
        </w:rPr>
        <w:t xml:space="preserve"> </w:t>
      </w:r>
      <w:r w:rsidR="004C7628">
        <w:rPr>
          <w:rFonts w:ascii="Times New Roman" w:hAnsi="Times New Roman" w:cs="Times New Roman"/>
          <w:sz w:val="24"/>
          <w:szCs w:val="24"/>
        </w:rPr>
        <w:t xml:space="preserve">the UTC </w:t>
      </w:r>
      <w:r w:rsidR="00B53D21">
        <w:rPr>
          <w:rFonts w:ascii="Times New Roman" w:hAnsi="Times New Roman" w:cs="Times New Roman"/>
          <w:sz w:val="24"/>
          <w:szCs w:val="24"/>
        </w:rPr>
        <w:t xml:space="preserve">initiated a rulemaking </w:t>
      </w:r>
      <w:r w:rsidR="004C7628">
        <w:rPr>
          <w:rFonts w:ascii="Times New Roman" w:hAnsi="Times New Roman" w:cs="Times New Roman"/>
          <w:sz w:val="24"/>
          <w:szCs w:val="24"/>
        </w:rPr>
        <w:t>(</w:t>
      </w:r>
      <w:r w:rsidR="00B53D21">
        <w:rPr>
          <w:rFonts w:ascii="Times New Roman" w:hAnsi="Times New Roman" w:cs="Times New Roman"/>
          <w:sz w:val="24"/>
          <w:szCs w:val="24"/>
        </w:rPr>
        <w:t>Docket UE112133</w:t>
      </w:r>
      <w:r w:rsidR="004C7628">
        <w:rPr>
          <w:rFonts w:ascii="Times New Roman" w:hAnsi="Times New Roman" w:cs="Times New Roman"/>
          <w:sz w:val="24"/>
          <w:szCs w:val="24"/>
        </w:rPr>
        <w:t>), and on December 23, 2012 published a notice of opportunity to file written comments,</w:t>
      </w:r>
      <w:r w:rsidR="00B53D21">
        <w:rPr>
          <w:rFonts w:ascii="Times New Roman" w:hAnsi="Times New Roman" w:cs="Times New Roman"/>
          <w:sz w:val="24"/>
          <w:szCs w:val="24"/>
        </w:rPr>
        <w:t xml:space="preserve"> to amend</w:t>
      </w:r>
      <w:r w:rsidRPr="00F047EB">
        <w:rPr>
          <w:rFonts w:ascii="Times New Roman" w:hAnsi="Times New Roman" w:cs="Times New Roman"/>
          <w:sz w:val="24"/>
          <w:szCs w:val="24"/>
        </w:rPr>
        <w:t xml:space="preserve"> the interconnection </w:t>
      </w:r>
      <w:r w:rsidR="003F5C82">
        <w:rPr>
          <w:rFonts w:ascii="Times New Roman" w:hAnsi="Times New Roman" w:cs="Times New Roman"/>
          <w:sz w:val="24"/>
          <w:szCs w:val="24"/>
        </w:rPr>
        <w:t>rules (WAC 480-108)</w:t>
      </w:r>
      <w:r w:rsidR="003F5C82" w:rsidRPr="00FE0570">
        <w:rPr>
          <w:rFonts w:ascii="Times New Roman" w:hAnsi="Times New Roman" w:cs="Times New Roman"/>
          <w:sz w:val="24"/>
          <w:szCs w:val="24"/>
        </w:rPr>
        <w:t xml:space="preserve"> </w:t>
      </w:r>
      <w:r w:rsidR="00FE0570">
        <w:rPr>
          <w:rFonts w:ascii="Times New Roman" w:hAnsi="Times New Roman" w:cs="Times New Roman"/>
          <w:sz w:val="24"/>
          <w:szCs w:val="24"/>
        </w:rPr>
        <w:t>for generating facilities up to 20 Megawatts (MWs)</w:t>
      </w:r>
      <w:r w:rsidRPr="00F047EB">
        <w:rPr>
          <w:rFonts w:ascii="Times New Roman" w:hAnsi="Times New Roman" w:cs="Times New Roman"/>
          <w:sz w:val="24"/>
          <w:szCs w:val="24"/>
        </w:rPr>
        <w:t xml:space="preserve">. Simultaneously, various consumer-owned utilities, in discussions with Rep. Eddy </w:t>
      </w:r>
      <w:r w:rsidR="00FE0570">
        <w:rPr>
          <w:rFonts w:ascii="Times New Roman" w:hAnsi="Times New Roman" w:cs="Times New Roman"/>
          <w:sz w:val="24"/>
          <w:szCs w:val="24"/>
        </w:rPr>
        <w:t>prior to the 2012 legislative session</w:t>
      </w:r>
      <w:r w:rsidR="00E840F0">
        <w:rPr>
          <w:rFonts w:ascii="Times New Roman" w:hAnsi="Times New Roman" w:cs="Times New Roman"/>
          <w:sz w:val="24"/>
          <w:szCs w:val="24"/>
        </w:rPr>
        <w:t>,</w:t>
      </w:r>
      <w:r w:rsidR="00FE0570">
        <w:rPr>
          <w:rFonts w:ascii="Times New Roman" w:hAnsi="Times New Roman" w:cs="Times New Roman"/>
          <w:sz w:val="24"/>
          <w:szCs w:val="24"/>
        </w:rPr>
        <w:t xml:space="preserve"> </w:t>
      </w:r>
      <w:r w:rsidR="00E840F0">
        <w:rPr>
          <w:rFonts w:ascii="Times New Roman" w:hAnsi="Times New Roman" w:cs="Times New Roman"/>
          <w:sz w:val="24"/>
          <w:szCs w:val="24"/>
        </w:rPr>
        <w:t xml:space="preserve">had </w:t>
      </w:r>
      <w:r w:rsidR="00FE0570">
        <w:rPr>
          <w:rFonts w:ascii="Times New Roman" w:hAnsi="Times New Roman" w:cs="Times New Roman"/>
          <w:sz w:val="24"/>
          <w:szCs w:val="24"/>
        </w:rPr>
        <w:t xml:space="preserve">also </w:t>
      </w:r>
      <w:r w:rsidRPr="00F047EB">
        <w:rPr>
          <w:rFonts w:ascii="Times New Roman" w:hAnsi="Times New Roman" w:cs="Times New Roman"/>
          <w:sz w:val="24"/>
          <w:szCs w:val="24"/>
        </w:rPr>
        <w:t>agreed to review their interconnection standards, adopted by the majority of consumer-owned utilities in the state in 2006.</w:t>
      </w:r>
    </w:p>
    <w:p w:rsidR="00536247" w:rsidRDefault="004C7628" w:rsidP="004C7628">
      <w:pPr>
        <w:rPr>
          <w:rFonts w:ascii="Times New Roman" w:hAnsi="Times New Roman" w:cs="Times New Roman"/>
          <w:sz w:val="24"/>
          <w:szCs w:val="24"/>
        </w:rPr>
      </w:pPr>
      <w:r w:rsidRPr="0008478B">
        <w:rPr>
          <w:rFonts w:ascii="Times New Roman" w:hAnsi="Times New Roman" w:cs="Times New Roman"/>
          <w:sz w:val="24"/>
          <w:szCs w:val="24"/>
        </w:rPr>
        <w:t>On January 30, 2012, The Washington Public Utility Districts Association (WPUDA), the Washington Rural Electric Cooperative Association (WRECA) and the Association of Washington Cities (AWC) as the Joint Publics</w:t>
      </w:r>
      <w:r w:rsidR="00EB27B4">
        <w:rPr>
          <w:rFonts w:ascii="Times New Roman" w:hAnsi="Times New Roman" w:cs="Times New Roman"/>
          <w:sz w:val="24"/>
          <w:szCs w:val="24"/>
        </w:rPr>
        <w:t xml:space="preserve"> Trade Associations</w:t>
      </w:r>
      <w:r w:rsidRPr="0008478B">
        <w:rPr>
          <w:rFonts w:ascii="Times New Roman" w:hAnsi="Times New Roman" w:cs="Times New Roman"/>
          <w:sz w:val="24"/>
          <w:szCs w:val="24"/>
        </w:rPr>
        <w:t xml:space="preserve">, filed comments in the </w:t>
      </w:r>
      <w:r>
        <w:rPr>
          <w:rFonts w:ascii="Times New Roman" w:hAnsi="Times New Roman" w:cs="Times New Roman"/>
          <w:sz w:val="24"/>
          <w:szCs w:val="24"/>
        </w:rPr>
        <w:t>Commission</w:t>
      </w:r>
      <w:r w:rsidRPr="0008478B">
        <w:rPr>
          <w:rFonts w:ascii="Times New Roman" w:hAnsi="Times New Roman" w:cs="Times New Roman"/>
          <w:sz w:val="24"/>
          <w:szCs w:val="24"/>
        </w:rPr>
        <w:t xml:space="preserve"> proceeding.  The comments suggested establishing a workgroup</w:t>
      </w:r>
      <w:r w:rsidR="00536247">
        <w:rPr>
          <w:rFonts w:ascii="Times New Roman" w:hAnsi="Times New Roman" w:cs="Times New Roman"/>
          <w:sz w:val="24"/>
          <w:szCs w:val="24"/>
        </w:rPr>
        <w:t xml:space="preserve"> and process,</w:t>
      </w:r>
      <w:r w:rsidRPr="0008478B">
        <w:rPr>
          <w:rFonts w:ascii="Times New Roman" w:hAnsi="Times New Roman" w:cs="Times New Roman"/>
          <w:sz w:val="24"/>
          <w:szCs w:val="24"/>
        </w:rPr>
        <w:t xml:space="preserve"> outside of the </w:t>
      </w:r>
      <w:r>
        <w:rPr>
          <w:rFonts w:ascii="Times New Roman" w:hAnsi="Times New Roman" w:cs="Times New Roman"/>
          <w:sz w:val="24"/>
          <w:szCs w:val="24"/>
        </w:rPr>
        <w:t>Commission</w:t>
      </w:r>
      <w:r w:rsidRPr="0008478B">
        <w:rPr>
          <w:rFonts w:ascii="Times New Roman" w:hAnsi="Times New Roman" w:cs="Times New Roman"/>
          <w:sz w:val="24"/>
          <w:szCs w:val="24"/>
        </w:rPr>
        <w:t xml:space="preserve"> process</w:t>
      </w:r>
      <w:r w:rsidR="00536247">
        <w:rPr>
          <w:rFonts w:ascii="Times New Roman" w:hAnsi="Times New Roman" w:cs="Times New Roman"/>
          <w:sz w:val="24"/>
          <w:szCs w:val="24"/>
        </w:rPr>
        <w:t xml:space="preserve"> but</w:t>
      </w:r>
      <w:r w:rsidRPr="0008478B">
        <w:rPr>
          <w:rFonts w:ascii="Times New Roman" w:hAnsi="Times New Roman" w:cs="Times New Roman"/>
          <w:sz w:val="24"/>
          <w:szCs w:val="24"/>
        </w:rPr>
        <w:t xml:space="preserve"> that would include all parties to the </w:t>
      </w:r>
      <w:r>
        <w:rPr>
          <w:rFonts w:ascii="Times New Roman" w:hAnsi="Times New Roman" w:cs="Times New Roman"/>
          <w:sz w:val="24"/>
          <w:szCs w:val="24"/>
        </w:rPr>
        <w:t>Commission</w:t>
      </w:r>
      <w:r w:rsidRPr="0008478B">
        <w:rPr>
          <w:rFonts w:ascii="Times New Roman" w:hAnsi="Times New Roman" w:cs="Times New Roman"/>
          <w:sz w:val="24"/>
          <w:szCs w:val="24"/>
        </w:rPr>
        <w:t xml:space="preserve"> proceeding plus consumer-owned utilities</w:t>
      </w:r>
      <w:r>
        <w:rPr>
          <w:rFonts w:ascii="Times New Roman" w:hAnsi="Times New Roman" w:cs="Times New Roman"/>
          <w:sz w:val="24"/>
          <w:szCs w:val="24"/>
        </w:rPr>
        <w:t xml:space="preserve"> and any other parties that wished to participate</w:t>
      </w:r>
      <w:r w:rsidR="00536247">
        <w:rPr>
          <w:rFonts w:ascii="Times New Roman" w:hAnsi="Times New Roman" w:cs="Times New Roman"/>
          <w:sz w:val="24"/>
          <w:szCs w:val="24"/>
        </w:rPr>
        <w:t>. The process would be similar to a process undertaken in 2005 and 2006 that led to both the UTC and COUs adopting the current interconnection rules</w:t>
      </w:r>
      <w:r w:rsidRPr="0008478B">
        <w:rPr>
          <w:rFonts w:ascii="Times New Roman" w:hAnsi="Times New Roman" w:cs="Times New Roman"/>
          <w:sz w:val="24"/>
          <w:szCs w:val="24"/>
        </w:rPr>
        <w:t xml:space="preserve">. </w:t>
      </w:r>
      <w:r w:rsidR="00536247">
        <w:rPr>
          <w:rFonts w:ascii="Times New Roman" w:hAnsi="Times New Roman" w:cs="Times New Roman"/>
          <w:sz w:val="24"/>
          <w:szCs w:val="24"/>
        </w:rPr>
        <w:t>The Workgroup would report their results to the UTC and three trade associations of COUs.</w:t>
      </w:r>
    </w:p>
    <w:p w:rsidR="004C7628" w:rsidRDefault="004C7628" w:rsidP="004C7628">
      <w:pPr>
        <w:rPr>
          <w:rFonts w:ascii="Times New Roman" w:hAnsi="Times New Roman" w:cs="Times New Roman"/>
          <w:sz w:val="24"/>
          <w:szCs w:val="24"/>
        </w:rPr>
      </w:pPr>
      <w:r>
        <w:rPr>
          <w:rFonts w:ascii="Times New Roman" w:hAnsi="Times New Roman" w:cs="Times New Roman"/>
          <w:sz w:val="24"/>
          <w:szCs w:val="24"/>
        </w:rPr>
        <w:t>O</w:t>
      </w:r>
      <w:r w:rsidRPr="0008478B">
        <w:rPr>
          <w:rFonts w:ascii="Times New Roman" w:hAnsi="Times New Roman" w:cs="Times New Roman"/>
          <w:sz w:val="24"/>
          <w:szCs w:val="24"/>
        </w:rPr>
        <w:t xml:space="preserve">n March 29, 2012, </w:t>
      </w:r>
      <w:r>
        <w:rPr>
          <w:rFonts w:ascii="Times New Roman" w:hAnsi="Times New Roman" w:cs="Times New Roman"/>
          <w:sz w:val="24"/>
          <w:szCs w:val="24"/>
        </w:rPr>
        <w:t xml:space="preserve">a UTC workshop was held to discuss specific rule requirements and stakeholder input regarding the process and schedule for the course of the rulemaking. As a result of that workshop, </w:t>
      </w:r>
      <w:r w:rsidRPr="0008478B">
        <w:rPr>
          <w:rFonts w:ascii="Times New Roman" w:hAnsi="Times New Roman" w:cs="Times New Roman"/>
          <w:sz w:val="24"/>
          <w:szCs w:val="24"/>
        </w:rPr>
        <w:t xml:space="preserve">the </w:t>
      </w:r>
      <w:r>
        <w:rPr>
          <w:rFonts w:ascii="Times New Roman" w:hAnsi="Times New Roman" w:cs="Times New Roman"/>
          <w:sz w:val="24"/>
          <w:szCs w:val="24"/>
        </w:rPr>
        <w:t>Commission</w:t>
      </w:r>
      <w:r w:rsidRPr="0008478B">
        <w:rPr>
          <w:rFonts w:ascii="Times New Roman" w:hAnsi="Times New Roman" w:cs="Times New Roman"/>
          <w:sz w:val="24"/>
          <w:szCs w:val="24"/>
        </w:rPr>
        <w:t xml:space="preserve"> agreed with the suggestion </w:t>
      </w:r>
      <w:r>
        <w:rPr>
          <w:rFonts w:ascii="Times New Roman" w:hAnsi="Times New Roman" w:cs="Times New Roman"/>
          <w:sz w:val="24"/>
          <w:szCs w:val="24"/>
        </w:rPr>
        <w:t xml:space="preserve">to develop a collaborative process (The Interconnections Standards Workgroup) </w:t>
      </w:r>
      <w:r w:rsidRPr="0008478B">
        <w:rPr>
          <w:rFonts w:ascii="Times New Roman" w:hAnsi="Times New Roman" w:cs="Times New Roman"/>
          <w:sz w:val="24"/>
          <w:szCs w:val="24"/>
        </w:rPr>
        <w:t xml:space="preserve">and </w:t>
      </w:r>
      <w:r>
        <w:rPr>
          <w:rFonts w:ascii="Times New Roman" w:hAnsi="Times New Roman" w:cs="Times New Roman"/>
          <w:sz w:val="24"/>
          <w:szCs w:val="24"/>
        </w:rPr>
        <w:t>an agreed-up</w:t>
      </w:r>
      <w:r w:rsidRPr="0008478B">
        <w:rPr>
          <w:rFonts w:ascii="Times New Roman" w:hAnsi="Times New Roman" w:cs="Times New Roman"/>
          <w:sz w:val="24"/>
          <w:szCs w:val="24"/>
        </w:rPr>
        <w:t xml:space="preserve"> timetable</w:t>
      </w:r>
      <w:r>
        <w:rPr>
          <w:rFonts w:ascii="Times New Roman" w:hAnsi="Times New Roman" w:cs="Times New Roman"/>
          <w:sz w:val="24"/>
          <w:szCs w:val="24"/>
        </w:rPr>
        <w:t xml:space="preserve"> was established</w:t>
      </w:r>
      <w:r w:rsidRPr="0008478B">
        <w:rPr>
          <w:rFonts w:ascii="Times New Roman" w:hAnsi="Times New Roman" w:cs="Times New Roman"/>
          <w:sz w:val="24"/>
          <w:szCs w:val="24"/>
        </w:rPr>
        <w:t xml:space="preserve">. The Interconnection Standards Workgroup committed to provide a progress report by May 31, 2012, and </w:t>
      </w:r>
      <w:r>
        <w:rPr>
          <w:rFonts w:ascii="Times New Roman" w:hAnsi="Times New Roman" w:cs="Times New Roman"/>
          <w:sz w:val="24"/>
          <w:szCs w:val="24"/>
        </w:rPr>
        <w:t xml:space="preserve">to </w:t>
      </w:r>
      <w:r w:rsidRPr="0008478B">
        <w:rPr>
          <w:rFonts w:ascii="Times New Roman" w:hAnsi="Times New Roman" w:cs="Times New Roman"/>
          <w:sz w:val="24"/>
          <w:szCs w:val="24"/>
        </w:rPr>
        <w:t xml:space="preserve">present final recommendations </w:t>
      </w:r>
      <w:r w:rsidRPr="008B6BF4">
        <w:rPr>
          <w:rFonts w:ascii="Times New Roman" w:hAnsi="Times New Roman" w:cs="Times New Roman"/>
          <w:sz w:val="24"/>
          <w:szCs w:val="24"/>
        </w:rPr>
        <w:t xml:space="preserve">to the </w:t>
      </w:r>
      <w:r>
        <w:rPr>
          <w:rFonts w:ascii="Times New Roman" w:hAnsi="Times New Roman" w:cs="Times New Roman"/>
          <w:sz w:val="24"/>
          <w:szCs w:val="24"/>
        </w:rPr>
        <w:t>Commission</w:t>
      </w:r>
      <w:r w:rsidRPr="008B6BF4">
        <w:rPr>
          <w:rFonts w:ascii="Times New Roman" w:hAnsi="Times New Roman" w:cs="Times New Roman"/>
          <w:sz w:val="24"/>
          <w:szCs w:val="24"/>
        </w:rPr>
        <w:t xml:space="preserve"> </w:t>
      </w:r>
      <w:r w:rsidR="00536247">
        <w:rPr>
          <w:rFonts w:ascii="Times New Roman" w:hAnsi="Times New Roman" w:cs="Times New Roman"/>
          <w:sz w:val="24"/>
          <w:szCs w:val="24"/>
        </w:rPr>
        <w:t xml:space="preserve">and trade associations </w:t>
      </w:r>
      <w:r w:rsidRPr="0008478B">
        <w:rPr>
          <w:rFonts w:ascii="Times New Roman" w:hAnsi="Times New Roman" w:cs="Times New Roman"/>
          <w:sz w:val="24"/>
          <w:szCs w:val="24"/>
        </w:rPr>
        <w:t>by June 30, 2012.</w:t>
      </w:r>
    </w:p>
    <w:p w:rsidR="004C7628" w:rsidRPr="008B6BF4" w:rsidRDefault="004C7628" w:rsidP="004C7628">
      <w:pPr>
        <w:rPr>
          <w:rFonts w:ascii="Times New Roman" w:hAnsi="Times New Roman" w:cs="Times New Roman"/>
          <w:sz w:val="24"/>
          <w:szCs w:val="24"/>
        </w:rPr>
      </w:pPr>
      <w:r>
        <w:rPr>
          <w:rFonts w:ascii="Times New Roman" w:hAnsi="Times New Roman" w:cs="Times New Roman"/>
          <w:sz w:val="24"/>
          <w:szCs w:val="24"/>
        </w:rPr>
        <w:t xml:space="preserve">On June 25, 2012, an email on behalf of the Interconnections Standards Workgroup was submitted to the Commission </w:t>
      </w:r>
      <w:r w:rsidR="00EB27B4">
        <w:rPr>
          <w:rFonts w:ascii="Times New Roman" w:hAnsi="Times New Roman" w:cs="Times New Roman"/>
          <w:sz w:val="24"/>
          <w:szCs w:val="24"/>
        </w:rPr>
        <w:t xml:space="preserve">and Joint Publics Trade Associations </w:t>
      </w:r>
      <w:r>
        <w:rPr>
          <w:rFonts w:ascii="Times New Roman" w:hAnsi="Times New Roman" w:cs="Times New Roman"/>
          <w:sz w:val="24"/>
          <w:szCs w:val="24"/>
        </w:rPr>
        <w:t>requesting an additional two weeks to deliver a final report and recommendation.</w:t>
      </w:r>
    </w:p>
    <w:p w:rsidR="006335A7" w:rsidRDefault="006335A7" w:rsidP="00A40557">
      <w:pPr>
        <w:rPr>
          <w:rFonts w:ascii="Times New Roman" w:hAnsi="Times New Roman" w:cs="Times New Roman"/>
          <w:b/>
          <w:sz w:val="24"/>
          <w:szCs w:val="24"/>
        </w:rPr>
      </w:pPr>
    </w:p>
    <w:p w:rsidR="00A40557" w:rsidRDefault="00A40557" w:rsidP="00A40557">
      <w:pPr>
        <w:rPr>
          <w:rFonts w:ascii="Times New Roman" w:hAnsi="Times New Roman" w:cs="Times New Roman"/>
          <w:b/>
          <w:sz w:val="24"/>
          <w:szCs w:val="24"/>
        </w:rPr>
      </w:pPr>
      <w:r w:rsidRPr="00F047EB">
        <w:rPr>
          <w:rFonts w:ascii="Times New Roman" w:hAnsi="Times New Roman" w:cs="Times New Roman"/>
          <w:b/>
          <w:sz w:val="24"/>
          <w:szCs w:val="24"/>
        </w:rPr>
        <w:lastRenderedPageBreak/>
        <w:t>Process</w:t>
      </w:r>
    </w:p>
    <w:p w:rsidR="00536247" w:rsidRDefault="00FE0570" w:rsidP="00A40557">
      <w:pPr>
        <w:rPr>
          <w:rFonts w:ascii="Times New Roman" w:hAnsi="Times New Roman" w:cs="Times New Roman"/>
          <w:sz w:val="24"/>
          <w:szCs w:val="24"/>
        </w:rPr>
      </w:pPr>
      <w:r>
        <w:rPr>
          <w:rFonts w:ascii="Times New Roman" w:hAnsi="Times New Roman" w:cs="Times New Roman"/>
          <w:sz w:val="24"/>
          <w:szCs w:val="24"/>
        </w:rPr>
        <w:t xml:space="preserve">The Interconnection Standards Workgroup </w:t>
      </w:r>
      <w:r w:rsidR="003F5C82">
        <w:rPr>
          <w:rFonts w:ascii="Times New Roman" w:hAnsi="Times New Roman" w:cs="Times New Roman"/>
          <w:sz w:val="24"/>
          <w:szCs w:val="24"/>
        </w:rPr>
        <w:t>(</w:t>
      </w:r>
      <w:r w:rsidR="00F465C5">
        <w:rPr>
          <w:rFonts w:ascii="Times New Roman" w:hAnsi="Times New Roman" w:cs="Times New Roman"/>
          <w:sz w:val="24"/>
          <w:szCs w:val="24"/>
        </w:rPr>
        <w:t>Workgroup</w:t>
      </w:r>
      <w:r w:rsidR="003F5C82">
        <w:rPr>
          <w:rFonts w:ascii="Times New Roman" w:hAnsi="Times New Roman" w:cs="Times New Roman"/>
          <w:sz w:val="24"/>
          <w:szCs w:val="24"/>
        </w:rPr>
        <w:t xml:space="preserve">) </w:t>
      </w:r>
      <w:r>
        <w:rPr>
          <w:rFonts w:ascii="Times New Roman" w:hAnsi="Times New Roman" w:cs="Times New Roman"/>
          <w:sz w:val="24"/>
          <w:szCs w:val="24"/>
        </w:rPr>
        <w:t xml:space="preserve">held </w:t>
      </w:r>
      <w:r w:rsidR="00536247">
        <w:rPr>
          <w:rFonts w:ascii="Times New Roman" w:hAnsi="Times New Roman" w:cs="Times New Roman"/>
          <w:sz w:val="24"/>
          <w:szCs w:val="24"/>
        </w:rPr>
        <w:t xml:space="preserve">the </w:t>
      </w:r>
      <w:r>
        <w:rPr>
          <w:rFonts w:ascii="Times New Roman" w:hAnsi="Times New Roman" w:cs="Times New Roman"/>
          <w:sz w:val="24"/>
          <w:szCs w:val="24"/>
        </w:rPr>
        <w:t xml:space="preserve">first of four meetings on April </w:t>
      </w:r>
      <w:r w:rsidR="003F5C82">
        <w:rPr>
          <w:rFonts w:ascii="Times New Roman" w:hAnsi="Times New Roman" w:cs="Times New Roman"/>
          <w:sz w:val="24"/>
          <w:szCs w:val="24"/>
        </w:rPr>
        <w:t>19</w:t>
      </w:r>
      <w:r>
        <w:rPr>
          <w:rFonts w:ascii="Times New Roman" w:hAnsi="Times New Roman" w:cs="Times New Roman"/>
          <w:sz w:val="24"/>
          <w:szCs w:val="24"/>
        </w:rPr>
        <w:t xml:space="preserve">, 2012. </w:t>
      </w:r>
      <w:r w:rsidR="00293E53">
        <w:rPr>
          <w:rFonts w:ascii="Times New Roman" w:hAnsi="Times New Roman" w:cs="Times New Roman"/>
          <w:sz w:val="24"/>
          <w:szCs w:val="24"/>
        </w:rPr>
        <w:t>The Workgroup participants agreed to concentrate</w:t>
      </w:r>
      <w:r>
        <w:rPr>
          <w:rFonts w:ascii="Times New Roman" w:hAnsi="Times New Roman" w:cs="Times New Roman"/>
          <w:sz w:val="24"/>
          <w:szCs w:val="24"/>
        </w:rPr>
        <w:t xml:space="preserve"> the</w:t>
      </w:r>
      <w:r w:rsidR="00293E53">
        <w:rPr>
          <w:rFonts w:ascii="Times New Roman" w:hAnsi="Times New Roman" w:cs="Times New Roman"/>
          <w:sz w:val="24"/>
          <w:szCs w:val="24"/>
        </w:rPr>
        <w:t>ir</w:t>
      </w:r>
      <w:r>
        <w:rPr>
          <w:rFonts w:ascii="Times New Roman" w:hAnsi="Times New Roman" w:cs="Times New Roman"/>
          <w:sz w:val="24"/>
          <w:szCs w:val="24"/>
        </w:rPr>
        <w:t xml:space="preserve"> discussion was focused on three main topics: </w:t>
      </w:r>
    </w:p>
    <w:p w:rsidR="00EB27B4" w:rsidRDefault="00FE0570" w:rsidP="00536247">
      <w:pPr>
        <w:pStyle w:val="ListParagraph"/>
        <w:numPr>
          <w:ilvl w:val="0"/>
          <w:numId w:val="5"/>
        </w:numPr>
      </w:pPr>
      <w:r w:rsidRPr="00536247">
        <w:t>The requirement for an external</w:t>
      </w:r>
      <w:r w:rsidR="00E60789" w:rsidRPr="00536247">
        <w:t>, visible, lockable AC</w:t>
      </w:r>
      <w:r w:rsidRPr="00536247">
        <w:t xml:space="preserve"> disconnect </w:t>
      </w:r>
      <w:r w:rsidR="00E60789" w:rsidRPr="00536247">
        <w:t xml:space="preserve">switch </w:t>
      </w:r>
      <w:r w:rsidRPr="00536247">
        <w:t>for all interconnected facilities;</w:t>
      </w:r>
    </w:p>
    <w:p w:rsidR="00536247" w:rsidRPr="00536247" w:rsidRDefault="00FE0570" w:rsidP="00EB27B4">
      <w:pPr>
        <w:pStyle w:val="ListParagraph"/>
      </w:pPr>
      <w:r w:rsidRPr="00536247">
        <w:t xml:space="preserve"> </w:t>
      </w:r>
    </w:p>
    <w:p w:rsidR="00536247" w:rsidRDefault="00FE0570" w:rsidP="00536247">
      <w:pPr>
        <w:pStyle w:val="ListParagraph"/>
        <w:numPr>
          <w:ilvl w:val="0"/>
          <w:numId w:val="5"/>
        </w:numPr>
      </w:pPr>
      <w:r w:rsidRPr="00536247">
        <w:t xml:space="preserve">The permissive authority for utilities to require insurance for non-net metered facilities, </w:t>
      </w:r>
      <w:r w:rsidR="003F5C82" w:rsidRPr="00536247">
        <w:t xml:space="preserve">(net metered facilities </w:t>
      </w:r>
      <w:r w:rsidRPr="00536247">
        <w:t>are exempted from extra insurance requirements by RCW 80.60</w:t>
      </w:r>
      <w:r w:rsidR="003F5C82" w:rsidRPr="00536247">
        <w:t>.040</w:t>
      </w:r>
      <w:r w:rsidRPr="00536247">
        <w:t>)</w:t>
      </w:r>
      <w:r w:rsidR="00DF35EB" w:rsidRPr="00536247">
        <w:t xml:space="preserve">; and </w:t>
      </w:r>
    </w:p>
    <w:p w:rsidR="00EB27B4" w:rsidRPr="00536247" w:rsidRDefault="00EB27B4" w:rsidP="00EB27B4">
      <w:pPr>
        <w:pStyle w:val="ListParagraph"/>
      </w:pPr>
    </w:p>
    <w:p w:rsidR="00FE0570" w:rsidRDefault="00293E53" w:rsidP="00536247">
      <w:pPr>
        <w:pStyle w:val="ListParagraph"/>
        <w:numPr>
          <w:ilvl w:val="0"/>
          <w:numId w:val="5"/>
        </w:numPr>
      </w:pPr>
      <w:r w:rsidRPr="00536247">
        <w:t xml:space="preserve">Options for </w:t>
      </w:r>
      <w:r w:rsidR="00DF35EB" w:rsidRPr="00536247">
        <w:t>s</w:t>
      </w:r>
      <w:r w:rsidR="00FE0570" w:rsidRPr="00536247">
        <w:t>treamlining the application process.</w:t>
      </w:r>
    </w:p>
    <w:p w:rsidR="00536247" w:rsidRPr="00536247" w:rsidRDefault="00536247" w:rsidP="00536247">
      <w:pPr>
        <w:pStyle w:val="ListParagraph"/>
      </w:pPr>
    </w:p>
    <w:p w:rsidR="00FE0570" w:rsidRDefault="00FE0570" w:rsidP="00A40557">
      <w:pPr>
        <w:rPr>
          <w:rFonts w:ascii="Times New Roman" w:hAnsi="Times New Roman" w:cs="Times New Roman"/>
          <w:sz w:val="24"/>
          <w:szCs w:val="24"/>
        </w:rPr>
      </w:pPr>
      <w:r>
        <w:rPr>
          <w:rFonts w:ascii="Times New Roman" w:hAnsi="Times New Roman" w:cs="Times New Roman"/>
          <w:sz w:val="24"/>
          <w:szCs w:val="24"/>
        </w:rPr>
        <w:t xml:space="preserve">The </w:t>
      </w:r>
      <w:r w:rsidR="00536247">
        <w:rPr>
          <w:rFonts w:ascii="Times New Roman" w:hAnsi="Times New Roman" w:cs="Times New Roman"/>
          <w:sz w:val="24"/>
          <w:szCs w:val="24"/>
        </w:rPr>
        <w:t>Workgroup</w:t>
      </w:r>
      <w:r>
        <w:rPr>
          <w:rFonts w:ascii="Times New Roman" w:hAnsi="Times New Roman" w:cs="Times New Roman"/>
          <w:sz w:val="24"/>
          <w:szCs w:val="24"/>
        </w:rPr>
        <w:t xml:space="preserve"> informally appointed four co-chairs: Dave Warren</w:t>
      </w:r>
      <w:r w:rsidR="00373DE9">
        <w:rPr>
          <w:rFonts w:ascii="Times New Roman" w:hAnsi="Times New Roman" w:cs="Times New Roman"/>
          <w:sz w:val="24"/>
          <w:szCs w:val="24"/>
        </w:rPr>
        <w:t>, Director of Energy Services</w:t>
      </w:r>
      <w:r>
        <w:rPr>
          <w:rFonts w:ascii="Times New Roman" w:hAnsi="Times New Roman" w:cs="Times New Roman"/>
          <w:sz w:val="24"/>
          <w:szCs w:val="24"/>
        </w:rPr>
        <w:t xml:space="preserve"> for </w:t>
      </w:r>
      <w:r w:rsidR="00293E53">
        <w:rPr>
          <w:rFonts w:ascii="Times New Roman" w:hAnsi="Times New Roman" w:cs="Times New Roman"/>
          <w:sz w:val="24"/>
          <w:szCs w:val="24"/>
        </w:rPr>
        <w:t xml:space="preserve">the </w:t>
      </w:r>
      <w:r>
        <w:rPr>
          <w:rFonts w:ascii="Times New Roman" w:hAnsi="Times New Roman" w:cs="Times New Roman"/>
          <w:sz w:val="24"/>
          <w:szCs w:val="24"/>
        </w:rPr>
        <w:t>W</w:t>
      </w:r>
      <w:r w:rsidR="00293E53">
        <w:rPr>
          <w:rFonts w:ascii="Times New Roman" w:hAnsi="Times New Roman" w:cs="Times New Roman"/>
          <w:sz w:val="24"/>
          <w:szCs w:val="24"/>
        </w:rPr>
        <w:t>ashington Public Utility Districts Association (WPUDA</w:t>
      </w:r>
      <w:proofErr w:type="gramStart"/>
      <w:r w:rsidR="00293E5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Tom </w:t>
      </w:r>
      <w:proofErr w:type="spellStart"/>
      <w:r>
        <w:rPr>
          <w:rFonts w:ascii="Times New Roman" w:hAnsi="Times New Roman" w:cs="Times New Roman"/>
          <w:sz w:val="24"/>
          <w:szCs w:val="24"/>
        </w:rPr>
        <w:t>DeBoer</w:t>
      </w:r>
      <w:proofErr w:type="spellEnd"/>
      <w:r w:rsidR="003F5C82">
        <w:rPr>
          <w:rFonts w:ascii="Times New Roman" w:hAnsi="Times New Roman" w:cs="Times New Roman"/>
          <w:sz w:val="24"/>
          <w:szCs w:val="24"/>
        </w:rPr>
        <w:t>,</w:t>
      </w:r>
      <w:r>
        <w:rPr>
          <w:rFonts w:ascii="Times New Roman" w:hAnsi="Times New Roman" w:cs="Times New Roman"/>
          <w:sz w:val="24"/>
          <w:szCs w:val="24"/>
        </w:rPr>
        <w:t xml:space="preserve"> Director of</w:t>
      </w:r>
      <w:r w:rsidR="003F5C82">
        <w:rPr>
          <w:rFonts w:ascii="Times New Roman" w:hAnsi="Times New Roman" w:cs="Times New Roman"/>
          <w:sz w:val="24"/>
          <w:szCs w:val="24"/>
        </w:rPr>
        <w:t xml:space="preserve"> Federal and State Regulatory Affairs</w:t>
      </w:r>
      <w:r w:rsidR="002813CB">
        <w:rPr>
          <w:rFonts w:ascii="Times New Roman" w:hAnsi="Times New Roman" w:cs="Times New Roman"/>
          <w:sz w:val="24"/>
          <w:szCs w:val="24"/>
        </w:rPr>
        <w:t xml:space="preserve"> </w:t>
      </w:r>
      <w:r>
        <w:rPr>
          <w:rFonts w:ascii="Times New Roman" w:hAnsi="Times New Roman" w:cs="Times New Roman"/>
          <w:sz w:val="24"/>
          <w:szCs w:val="24"/>
        </w:rPr>
        <w:t>of P</w:t>
      </w:r>
      <w:r w:rsidR="00293E53">
        <w:rPr>
          <w:rFonts w:ascii="Times New Roman" w:hAnsi="Times New Roman" w:cs="Times New Roman"/>
          <w:sz w:val="24"/>
          <w:szCs w:val="24"/>
        </w:rPr>
        <w:t>uget Sound Energy (P</w:t>
      </w:r>
      <w:r>
        <w:rPr>
          <w:rFonts w:ascii="Times New Roman" w:hAnsi="Times New Roman" w:cs="Times New Roman"/>
          <w:sz w:val="24"/>
          <w:szCs w:val="24"/>
        </w:rPr>
        <w:t>SE</w:t>
      </w:r>
      <w:r w:rsidR="00293E53">
        <w:rPr>
          <w:rFonts w:ascii="Times New Roman" w:hAnsi="Times New Roman" w:cs="Times New Roman"/>
          <w:sz w:val="24"/>
          <w:szCs w:val="24"/>
        </w:rPr>
        <w:t>)</w:t>
      </w:r>
      <w:r>
        <w:rPr>
          <w:rFonts w:ascii="Times New Roman" w:hAnsi="Times New Roman" w:cs="Times New Roman"/>
          <w:sz w:val="24"/>
          <w:szCs w:val="24"/>
        </w:rPr>
        <w:t>, Richard Damiano, Chief Engineer of Inland Power and Light</w:t>
      </w:r>
      <w:r w:rsidR="00293E53">
        <w:rPr>
          <w:rFonts w:ascii="Times New Roman" w:hAnsi="Times New Roman" w:cs="Times New Roman"/>
          <w:sz w:val="24"/>
          <w:szCs w:val="24"/>
        </w:rPr>
        <w:t xml:space="preserve"> Company (Inland)</w:t>
      </w:r>
      <w:r>
        <w:rPr>
          <w:rFonts w:ascii="Times New Roman" w:hAnsi="Times New Roman" w:cs="Times New Roman"/>
          <w:sz w:val="24"/>
          <w:szCs w:val="24"/>
        </w:rPr>
        <w:t xml:space="preserve">, and Jason Keyes, </w:t>
      </w:r>
      <w:r w:rsidR="00FC10AC" w:rsidRPr="00FC10AC">
        <w:rPr>
          <w:rFonts w:ascii="Times New Roman" w:hAnsi="Times New Roman" w:cs="Times New Roman"/>
          <w:sz w:val="24"/>
          <w:szCs w:val="24"/>
        </w:rPr>
        <w:t xml:space="preserve">attorney with Keyes, Fox and </w:t>
      </w:r>
      <w:proofErr w:type="spellStart"/>
      <w:r w:rsidR="00FC10AC" w:rsidRPr="00FC10AC">
        <w:rPr>
          <w:rFonts w:ascii="Times New Roman" w:hAnsi="Times New Roman" w:cs="Times New Roman"/>
          <w:sz w:val="24"/>
          <w:szCs w:val="24"/>
        </w:rPr>
        <w:t>Wiedman</w:t>
      </w:r>
      <w:proofErr w:type="spellEnd"/>
      <w:r w:rsidR="00FC10AC" w:rsidRPr="00FC10AC">
        <w:rPr>
          <w:rFonts w:ascii="Times New Roman" w:hAnsi="Times New Roman" w:cs="Times New Roman"/>
          <w:sz w:val="24"/>
          <w:szCs w:val="24"/>
        </w:rPr>
        <w:t xml:space="preserve"> LLP</w:t>
      </w:r>
      <w:r w:rsidR="00FC10AC">
        <w:rPr>
          <w:rFonts w:ascii="Times New Roman" w:hAnsi="Times New Roman" w:cs="Times New Roman"/>
          <w:sz w:val="24"/>
          <w:szCs w:val="24"/>
        </w:rPr>
        <w:t>,</w:t>
      </w:r>
      <w:r w:rsidR="00FC10AC" w:rsidRPr="00FC10AC">
        <w:rPr>
          <w:rFonts w:ascii="Times New Roman" w:hAnsi="Times New Roman" w:cs="Times New Roman"/>
          <w:sz w:val="24"/>
          <w:szCs w:val="24"/>
        </w:rPr>
        <w:t xml:space="preserve"> representing the Interstate Renewable Energy Council, Inc. (IREC)</w:t>
      </w:r>
      <w:r>
        <w:rPr>
          <w:rFonts w:ascii="Times New Roman" w:hAnsi="Times New Roman" w:cs="Times New Roman"/>
          <w:sz w:val="24"/>
          <w:szCs w:val="24"/>
        </w:rPr>
        <w:t>.</w:t>
      </w:r>
      <w:r w:rsidR="00DF35EB">
        <w:rPr>
          <w:rFonts w:ascii="Times New Roman" w:hAnsi="Times New Roman" w:cs="Times New Roman"/>
          <w:sz w:val="24"/>
          <w:szCs w:val="24"/>
        </w:rPr>
        <w:t xml:space="preserve"> In addition, the Workgroup commissioned a technical committee chaired by Richard Damiano, </w:t>
      </w:r>
      <w:r w:rsidR="00293E53">
        <w:rPr>
          <w:rFonts w:ascii="Times New Roman" w:hAnsi="Times New Roman" w:cs="Times New Roman"/>
          <w:sz w:val="24"/>
          <w:szCs w:val="24"/>
        </w:rPr>
        <w:t xml:space="preserve">to </w:t>
      </w:r>
      <w:r w:rsidR="00DF35EB">
        <w:rPr>
          <w:rFonts w:ascii="Times New Roman" w:hAnsi="Times New Roman" w:cs="Times New Roman"/>
          <w:sz w:val="24"/>
          <w:szCs w:val="24"/>
        </w:rPr>
        <w:t>specifically review the technology and need for an AC disconnect switch. All committees and email exchanges were open to any party that desired to participate.</w:t>
      </w:r>
    </w:p>
    <w:p w:rsidR="00FE0570" w:rsidRPr="00FE0570" w:rsidRDefault="00FE0570" w:rsidP="00A40557">
      <w:pPr>
        <w:rPr>
          <w:rFonts w:ascii="Times New Roman" w:hAnsi="Times New Roman" w:cs="Times New Roman"/>
          <w:sz w:val="24"/>
          <w:szCs w:val="24"/>
        </w:rPr>
      </w:pPr>
      <w:r>
        <w:rPr>
          <w:rFonts w:ascii="Times New Roman" w:hAnsi="Times New Roman" w:cs="Times New Roman"/>
          <w:sz w:val="24"/>
          <w:szCs w:val="24"/>
        </w:rPr>
        <w:t xml:space="preserve">The next three meetings were held on </w:t>
      </w:r>
      <w:r w:rsidR="003F5C82">
        <w:rPr>
          <w:rFonts w:ascii="Times New Roman" w:hAnsi="Times New Roman" w:cs="Times New Roman"/>
          <w:sz w:val="24"/>
          <w:szCs w:val="24"/>
        </w:rPr>
        <w:t>May 21, 2012, June 20, 2012 and July 2, 2012</w:t>
      </w:r>
      <w:r w:rsidR="009D6D1F">
        <w:rPr>
          <w:rFonts w:ascii="Times New Roman" w:hAnsi="Times New Roman" w:cs="Times New Roman"/>
          <w:sz w:val="24"/>
          <w:szCs w:val="24"/>
        </w:rPr>
        <w:t>, with a final conference call on July 13, 2012</w:t>
      </w:r>
      <w:r w:rsidR="003F5C82">
        <w:rPr>
          <w:rFonts w:ascii="Times New Roman" w:hAnsi="Times New Roman" w:cs="Times New Roman"/>
          <w:sz w:val="24"/>
          <w:szCs w:val="24"/>
        </w:rPr>
        <w:t>. O</w:t>
      </w:r>
      <w:r>
        <w:rPr>
          <w:rFonts w:ascii="Times New Roman" w:hAnsi="Times New Roman" w:cs="Times New Roman"/>
          <w:sz w:val="24"/>
          <w:szCs w:val="24"/>
        </w:rPr>
        <w:t xml:space="preserve">n </w:t>
      </w:r>
      <w:r w:rsidR="003F5C82">
        <w:rPr>
          <w:rFonts w:ascii="Times New Roman" w:hAnsi="Times New Roman" w:cs="Times New Roman"/>
          <w:sz w:val="24"/>
          <w:szCs w:val="24"/>
        </w:rPr>
        <w:t xml:space="preserve">June 30, 2012 </w:t>
      </w:r>
      <w:r>
        <w:rPr>
          <w:rFonts w:ascii="Times New Roman" w:hAnsi="Times New Roman" w:cs="Times New Roman"/>
          <w:sz w:val="24"/>
          <w:szCs w:val="24"/>
        </w:rPr>
        <w:t>the Workgroup requested a two week extension</w:t>
      </w:r>
      <w:r w:rsidR="003F5C82">
        <w:rPr>
          <w:rFonts w:ascii="Times New Roman" w:hAnsi="Times New Roman" w:cs="Times New Roman"/>
          <w:sz w:val="24"/>
          <w:szCs w:val="24"/>
        </w:rPr>
        <w:t>, from June 30, 2012</w:t>
      </w:r>
      <w:r>
        <w:rPr>
          <w:rFonts w:ascii="Times New Roman" w:hAnsi="Times New Roman" w:cs="Times New Roman"/>
          <w:sz w:val="24"/>
          <w:szCs w:val="24"/>
        </w:rPr>
        <w:t xml:space="preserve"> to July 13</w:t>
      </w:r>
      <w:r w:rsidR="009D6D1F">
        <w:rPr>
          <w:rFonts w:ascii="Times New Roman" w:hAnsi="Times New Roman" w:cs="Times New Roman"/>
          <w:sz w:val="24"/>
          <w:szCs w:val="24"/>
        </w:rPr>
        <w:t>, 2012</w:t>
      </w:r>
      <w:r>
        <w:rPr>
          <w:rFonts w:ascii="Times New Roman" w:hAnsi="Times New Roman" w:cs="Times New Roman"/>
          <w:sz w:val="24"/>
          <w:szCs w:val="24"/>
        </w:rPr>
        <w:t>.</w:t>
      </w:r>
    </w:p>
    <w:p w:rsidR="00536247" w:rsidRPr="00F047EB" w:rsidRDefault="00DF35EB" w:rsidP="00536247">
      <w:pPr>
        <w:rPr>
          <w:rFonts w:ascii="Times New Roman" w:hAnsi="Times New Roman" w:cs="Times New Roman"/>
          <w:sz w:val="24"/>
          <w:szCs w:val="24"/>
        </w:rPr>
      </w:pPr>
      <w:r>
        <w:rPr>
          <w:rFonts w:ascii="Times New Roman" w:hAnsi="Times New Roman" w:cs="Times New Roman"/>
          <w:sz w:val="24"/>
          <w:szCs w:val="24"/>
        </w:rPr>
        <w:t xml:space="preserve">The </w:t>
      </w:r>
      <w:r w:rsidR="00293E53">
        <w:rPr>
          <w:rFonts w:ascii="Times New Roman" w:hAnsi="Times New Roman" w:cs="Times New Roman"/>
          <w:sz w:val="24"/>
          <w:szCs w:val="24"/>
        </w:rPr>
        <w:t>Work</w:t>
      </w:r>
      <w:r>
        <w:rPr>
          <w:rFonts w:ascii="Times New Roman" w:hAnsi="Times New Roman" w:cs="Times New Roman"/>
          <w:sz w:val="24"/>
          <w:szCs w:val="24"/>
        </w:rPr>
        <w:t xml:space="preserve">group, after discussion, determined to provide specific recommendations by amending the model rule that the 05/06 Workgroup </w:t>
      </w:r>
      <w:r w:rsidR="00293E53">
        <w:rPr>
          <w:rFonts w:ascii="Times New Roman" w:hAnsi="Times New Roman" w:cs="Times New Roman"/>
          <w:sz w:val="24"/>
          <w:szCs w:val="24"/>
        </w:rPr>
        <w:t>originally prepared</w:t>
      </w:r>
      <w:r>
        <w:rPr>
          <w:rFonts w:ascii="Times New Roman" w:hAnsi="Times New Roman" w:cs="Times New Roman"/>
          <w:sz w:val="24"/>
          <w:szCs w:val="24"/>
        </w:rPr>
        <w:t>, rather tha</w:t>
      </w:r>
      <w:r w:rsidR="00293E53">
        <w:rPr>
          <w:rFonts w:ascii="Times New Roman" w:hAnsi="Times New Roman" w:cs="Times New Roman"/>
          <w:sz w:val="24"/>
          <w:szCs w:val="24"/>
        </w:rPr>
        <w:t>n</w:t>
      </w:r>
      <w:r>
        <w:rPr>
          <w:rFonts w:ascii="Times New Roman" w:hAnsi="Times New Roman" w:cs="Times New Roman"/>
          <w:sz w:val="24"/>
          <w:szCs w:val="24"/>
        </w:rPr>
        <w:t xml:space="preserve"> attempt to edit two documents,</w:t>
      </w:r>
      <w:r w:rsidR="00293E53">
        <w:rPr>
          <w:rFonts w:ascii="Times New Roman" w:hAnsi="Times New Roman" w:cs="Times New Roman"/>
          <w:sz w:val="24"/>
          <w:szCs w:val="24"/>
        </w:rPr>
        <w:t xml:space="preserve"> both</w:t>
      </w:r>
      <w:r>
        <w:rPr>
          <w:rFonts w:ascii="Times New Roman" w:hAnsi="Times New Roman" w:cs="Times New Roman"/>
          <w:sz w:val="24"/>
          <w:szCs w:val="24"/>
        </w:rPr>
        <w:t xml:space="preserve"> the UTC rule WAC 480</w:t>
      </w:r>
      <w:r w:rsidR="003F5C82">
        <w:rPr>
          <w:rFonts w:ascii="Times New Roman" w:hAnsi="Times New Roman" w:cs="Times New Roman"/>
          <w:sz w:val="24"/>
          <w:szCs w:val="24"/>
        </w:rPr>
        <w:t xml:space="preserve">-108 </w:t>
      </w:r>
      <w:r>
        <w:rPr>
          <w:rFonts w:ascii="Times New Roman" w:hAnsi="Times New Roman" w:cs="Times New Roman"/>
          <w:sz w:val="24"/>
          <w:szCs w:val="24"/>
        </w:rPr>
        <w:t xml:space="preserve"> </w:t>
      </w:r>
      <w:r w:rsidR="003F5C82">
        <w:rPr>
          <w:rFonts w:ascii="Times New Roman" w:hAnsi="Times New Roman" w:cs="Times New Roman"/>
          <w:sz w:val="24"/>
          <w:szCs w:val="24"/>
        </w:rPr>
        <w:t>a</w:t>
      </w:r>
      <w:r>
        <w:rPr>
          <w:rFonts w:ascii="Times New Roman" w:hAnsi="Times New Roman" w:cs="Times New Roman"/>
          <w:sz w:val="24"/>
          <w:szCs w:val="24"/>
        </w:rPr>
        <w:t>nd the Model Rule that many of the COUs adopted. Our specific recommendations are attached as a model rule</w:t>
      </w:r>
      <w:r w:rsidR="00536247">
        <w:rPr>
          <w:rFonts w:ascii="Times New Roman" w:hAnsi="Times New Roman" w:cs="Times New Roman"/>
          <w:sz w:val="24"/>
          <w:szCs w:val="24"/>
        </w:rPr>
        <w:t>. Following is a description of the issues identified by the Workgroup.</w:t>
      </w:r>
    </w:p>
    <w:p w:rsidR="00A40557" w:rsidRPr="00346F3A" w:rsidRDefault="00A40557" w:rsidP="00A40557">
      <w:pPr>
        <w:rPr>
          <w:rFonts w:ascii="Times New Roman" w:hAnsi="Times New Roman" w:cs="Times New Roman"/>
          <w:b/>
          <w:sz w:val="28"/>
          <w:szCs w:val="28"/>
        </w:rPr>
      </w:pPr>
      <w:r w:rsidRPr="00346F3A">
        <w:rPr>
          <w:rFonts w:ascii="Times New Roman" w:hAnsi="Times New Roman" w:cs="Times New Roman"/>
          <w:b/>
          <w:sz w:val="28"/>
          <w:szCs w:val="28"/>
        </w:rPr>
        <w:t>Issues</w:t>
      </w:r>
    </w:p>
    <w:p w:rsidR="00A40557" w:rsidRPr="00EB27B4" w:rsidRDefault="00A40557" w:rsidP="00DF35EB">
      <w:pPr>
        <w:rPr>
          <w:rFonts w:ascii="Times New Roman" w:hAnsi="Times New Roman" w:cs="Times New Roman"/>
          <w:sz w:val="24"/>
          <w:szCs w:val="24"/>
          <w:u w:val="single"/>
        </w:rPr>
      </w:pPr>
      <w:r w:rsidRPr="00EB27B4">
        <w:rPr>
          <w:rFonts w:ascii="Times New Roman" w:hAnsi="Times New Roman" w:cs="Times New Roman"/>
          <w:sz w:val="24"/>
          <w:szCs w:val="24"/>
          <w:u w:val="single"/>
        </w:rPr>
        <w:t>External Disconnect</w:t>
      </w:r>
    </w:p>
    <w:p w:rsidR="00DF35EB" w:rsidRDefault="00DF35EB" w:rsidP="00DF35EB">
      <w:pPr>
        <w:rPr>
          <w:rFonts w:ascii="Times New Roman" w:hAnsi="Times New Roman" w:cs="Times New Roman"/>
          <w:sz w:val="24"/>
          <w:szCs w:val="24"/>
        </w:rPr>
      </w:pPr>
      <w:r>
        <w:rPr>
          <w:rFonts w:ascii="Times New Roman" w:hAnsi="Times New Roman" w:cs="Times New Roman"/>
          <w:sz w:val="24"/>
          <w:szCs w:val="24"/>
        </w:rPr>
        <w:t xml:space="preserve">This issue generated the most discussion with agreement being difficult to reach. The current rules require a visible, lockable AC disconnect switch to </w:t>
      </w:r>
      <w:r w:rsidR="001B34FF">
        <w:rPr>
          <w:rFonts w:ascii="Times New Roman" w:hAnsi="Times New Roman" w:cs="Times New Roman"/>
          <w:sz w:val="24"/>
          <w:szCs w:val="24"/>
        </w:rPr>
        <w:t xml:space="preserve">provide a visible open point between all known energy sources and the electrical system on which a utility worker will be operating. This visible break of all phases is required by WAC (296-45-335 (16)) safety rules for de-energizing lines and equipment for employee protection.  </w:t>
      </w:r>
      <w:r w:rsidR="001B34FF">
        <w:rPr>
          <w:rFonts w:ascii="Times New Roman" w:hAnsi="Times New Roman" w:cs="Times New Roman"/>
          <w:sz w:val="24"/>
          <w:szCs w:val="24"/>
        </w:rPr>
        <w:lastRenderedPageBreak/>
        <w:t xml:space="preserve">Washington is not a “hot line” work state for facilities operated at over 4 kV, so while workers on low-voltage (&lt;600 V) electrical systems may rely on circuit breakers for electrical isolation, the possibility of the DE system </w:t>
      </w:r>
      <w:proofErr w:type="spellStart"/>
      <w:r w:rsidR="001B34FF">
        <w:rPr>
          <w:rFonts w:ascii="Times New Roman" w:hAnsi="Times New Roman" w:cs="Times New Roman"/>
          <w:sz w:val="24"/>
          <w:szCs w:val="24"/>
        </w:rPr>
        <w:t>backfeeding</w:t>
      </w:r>
      <w:proofErr w:type="spellEnd"/>
      <w:r w:rsidR="001B34FF">
        <w:rPr>
          <w:rFonts w:ascii="Times New Roman" w:hAnsi="Times New Roman" w:cs="Times New Roman"/>
          <w:sz w:val="24"/>
          <w:szCs w:val="24"/>
        </w:rPr>
        <w:t xml:space="preserve"> into the primary distribution system mandates the disconnection of the equipment in order to ensure </w:t>
      </w:r>
      <w:r>
        <w:rPr>
          <w:rFonts w:ascii="Times New Roman" w:hAnsi="Times New Roman" w:cs="Times New Roman"/>
          <w:sz w:val="24"/>
          <w:szCs w:val="24"/>
        </w:rPr>
        <w:t>the safety of utility personnel working on the system</w:t>
      </w:r>
      <w:r w:rsidR="004A1FA4">
        <w:rPr>
          <w:rFonts w:ascii="Times New Roman" w:hAnsi="Times New Roman" w:cs="Times New Roman"/>
          <w:sz w:val="24"/>
          <w:szCs w:val="24"/>
        </w:rPr>
        <w:t>, other customers in the isolated area,</w:t>
      </w:r>
      <w:r>
        <w:rPr>
          <w:rFonts w:ascii="Times New Roman" w:hAnsi="Times New Roman" w:cs="Times New Roman"/>
          <w:sz w:val="24"/>
          <w:szCs w:val="24"/>
        </w:rPr>
        <w:t xml:space="preserve"> and the reliability of the system.</w:t>
      </w:r>
    </w:p>
    <w:p w:rsidR="002813CB" w:rsidRDefault="004A1FA4" w:rsidP="004A5E79">
      <w:pPr>
        <w:rPr>
          <w:rFonts w:ascii="Times New Roman" w:hAnsi="Times New Roman" w:cs="Times New Roman"/>
          <w:sz w:val="24"/>
          <w:szCs w:val="24"/>
        </w:rPr>
      </w:pPr>
      <w:r>
        <w:rPr>
          <w:rFonts w:ascii="Times New Roman" w:hAnsi="Times New Roman" w:cs="Times New Roman"/>
          <w:sz w:val="24"/>
          <w:szCs w:val="24"/>
        </w:rPr>
        <w:t>IREC argued that inverter technology has advanced sufficiently to shut down distributed generation</w:t>
      </w:r>
      <w:r w:rsidR="001B34FF">
        <w:rPr>
          <w:rFonts w:ascii="Times New Roman" w:hAnsi="Times New Roman" w:cs="Times New Roman"/>
          <w:sz w:val="24"/>
          <w:szCs w:val="24"/>
        </w:rPr>
        <w:t xml:space="preserve"> using approved inverters, in order to prevent “islanding”</w:t>
      </w:r>
      <w:r>
        <w:rPr>
          <w:rFonts w:ascii="Times New Roman" w:hAnsi="Times New Roman" w:cs="Times New Roman"/>
          <w:sz w:val="24"/>
          <w:szCs w:val="24"/>
        </w:rPr>
        <w:t xml:space="preserve"> </w:t>
      </w:r>
      <w:r w:rsidR="001B34FF">
        <w:rPr>
          <w:rStyle w:val="FootnoteReference"/>
          <w:rFonts w:ascii="Times New Roman" w:hAnsi="Times New Roman" w:cs="Times New Roman"/>
          <w:sz w:val="24"/>
          <w:szCs w:val="24"/>
        </w:rPr>
        <w:footnoteReference w:id="1"/>
      </w:r>
      <w:r w:rsidR="001B34FF">
        <w:rPr>
          <w:rFonts w:ascii="Times New Roman" w:hAnsi="Times New Roman" w:cs="Times New Roman"/>
          <w:sz w:val="24"/>
          <w:szCs w:val="24"/>
        </w:rPr>
        <w:t xml:space="preserve"> </w:t>
      </w:r>
      <w:r>
        <w:rPr>
          <w:rFonts w:ascii="Times New Roman" w:hAnsi="Times New Roman" w:cs="Times New Roman"/>
          <w:sz w:val="24"/>
          <w:szCs w:val="24"/>
        </w:rPr>
        <w:t xml:space="preserve">in </w:t>
      </w:r>
      <w:r w:rsidR="001B34FF">
        <w:rPr>
          <w:rFonts w:ascii="Times New Roman" w:hAnsi="Times New Roman" w:cs="Times New Roman"/>
          <w:sz w:val="24"/>
          <w:szCs w:val="24"/>
        </w:rPr>
        <w:t xml:space="preserve">the </w:t>
      </w:r>
      <w:r>
        <w:rPr>
          <w:rFonts w:ascii="Times New Roman" w:hAnsi="Times New Roman" w:cs="Times New Roman"/>
          <w:sz w:val="24"/>
          <w:szCs w:val="24"/>
        </w:rPr>
        <w:t>instance of distribu</w:t>
      </w:r>
      <w:r w:rsidR="00C24395">
        <w:rPr>
          <w:rFonts w:ascii="Times New Roman" w:hAnsi="Times New Roman" w:cs="Times New Roman"/>
          <w:sz w:val="24"/>
          <w:szCs w:val="24"/>
        </w:rPr>
        <w:t>tion system de-</w:t>
      </w:r>
      <w:proofErr w:type="spellStart"/>
      <w:r w:rsidR="00C24395">
        <w:rPr>
          <w:rFonts w:ascii="Times New Roman" w:hAnsi="Times New Roman" w:cs="Times New Roman"/>
          <w:sz w:val="24"/>
          <w:szCs w:val="24"/>
        </w:rPr>
        <w:t>energiziation</w:t>
      </w:r>
      <w:proofErr w:type="spellEnd"/>
      <w:r w:rsidR="00C24395">
        <w:rPr>
          <w:rFonts w:ascii="Times New Roman" w:hAnsi="Times New Roman" w:cs="Times New Roman"/>
          <w:sz w:val="24"/>
          <w:szCs w:val="24"/>
        </w:rPr>
        <w:t>. In</w:t>
      </w:r>
      <w:r>
        <w:rPr>
          <w:rFonts w:ascii="Times New Roman" w:hAnsi="Times New Roman" w:cs="Times New Roman"/>
          <w:sz w:val="24"/>
          <w:szCs w:val="24"/>
        </w:rPr>
        <w:t xml:space="preserve"> addition, having the disconnect</w:t>
      </w:r>
      <w:r w:rsidR="00683FDA">
        <w:rPr>
          <w:rFonts w:ascii="Times New Roman" w:hAnsi="Times New Roman" w:cs="Times New Roman"/>
          <w:sz w:val="24"/>
          <w:szCs w:val="24"/>
        </w:rPr>
        <w:t xml:space="preserve"> switch</w:t>
      </w:r>
      <w:r>
        <w:rPr>
          <w:rFonts w:ascii="Times New Roman" w:hAnsi="Times New Roman" w:cs="Times New Roman"/>
          <w:sz w:val="24"/>
          <w:szCs w:val="24"/>
        </w:rPr>
        <w:t xml:space="preserve"> available to utility personnel added substantial costs in certain instances where the generation facility was not located sufficiently close to the property </w:t>
      </w:r>
      <w:r w:rsidR="00C24395">
        <w:rPr>
          <w:rFonts w:ascii="Times New Roman" w:hAnsi="Times New Roman" w:cs="Times New Roman"/>
          <w:sz w:val="24"/>
          <w:szCs w:val="24"/>
        </w:rPr>
        <w:t>boundary</w:t>
      </w:r>
      <w:r>
        <w:rPr>
          <w:rFonts w:ascii="Times New Roman" w:hAnsi="Times New Roman" w:cs="Times New Roman"/>
          <w:sz w:val="24"/>
          <w:szCs w:val="24"/>
        </w:rPr>
        <w:t xml:space="preserve"> and the </w:t>
      </w:r>
      <w:r w:rsidR="00C24395">
        <w:rPr>
          <w:rFonts w:ascii="Times New Roman" w:hAnsi="Times New Roman" w:cs="Times New Roman"/>
          <w:sz w:val="24"/>
          <w:szCs w:val="24"/>
        </w:rPr>
        <w:t xml:space="preserve">disconnect </w:t>
      </w:r>
      <w:r>
        <w:rPr>
          <w:rFonts w:ascii="Times New Roman" w:hAnsi="Times New Roman" w:cs="Times New Roman"/>
          <w:sz w:val="24"/>
          <w:szCs w:val="24"/>
        </w:rPr>
        <w:t xml:space="preserve">switch had to be wired to the property boundary. </w:t>
      </w:r>
      <w:r w:rsidR="00C24395">
        <w:rPr>
          <w:rFonts w:ascii="Times New Roman" w:hAnsi="Times New Roman" w:cs="Times New Roman"/>
          <w:sz w:val="24"/>
          <w:szCs w:val="24"/>
        </w:rPr>
        <w:t>IREC argued that w</w:t>
      </w:r>
      <w:r>
        <w:rPr>
          <w:rFonts w:ascii="Times New Roman" w:hAnsi="Times New Roman" w:cs="Times New Roman"/>
          <w:sz w:val="24"/>
          <w:szCs w:val="24"/>
        </w:rPr>
        <w:t xml:space="preserve">hile the cost of the disconnect switch runs from $250 - $400, </w:t>
      </w:r>
      <w:r w:rsidR="00293E53">
        <w:rPr>
          <w:rFonts w:ascii="Times New Roman" w:hAnsi="Times New Roman" w:cs="Times New Roman"/>
          <w:sz w:val="24"/>
          <w:szCs w:val="24"/>
        </w:rPr>
        <w:t xml:space="preserve">this </w:t>
      </w:r>
      <w:r>
        <w:rPr>
          <w:rFonts w:ascii="Times New Roman" w:hAnsi="Times New Roman" w:cs="Times New Roman"/>
          <w:sz w:val="24"/>
          <w:szCs w:val="24"/>
        </w:rPr>
        <w:t>cost</w:t>
      </w:r>
      <w:r w:rsidR="00293E53">
        <w:rPr>
          <w:rFonts w:ascii="Times New Roman" w:hAnsi="Times New Roman" w:cs="Times New Roman"/>
          <w:sz w:val="24"/>
          <w:szCs w:val="24"/>
        </w:rPr>
        <w:t xml:space="preserve"> to the Interconnection Customer</w:t>
      </w:r>
      <w:r>
        <w:rPr>
          <w:rFonts w:ascii="Times New Roman" w:hAnsi="Times New Roman" w:cs="Times New Roman"/>
          <w:sz w:val="24"/>
          <w:szCs w:val="24"/>
        </w:rPr>
        <w:t xml:space="preserve">, coupled with the possible costs of wiring to the property boundary </w:t>
      </w:r>
      <w:r w:rsidR="00293E53">
        <w:rPr>
          <w:rFonts w:ascii="Times New Roman" w:hAnsi="Times New Roman" w:cs="Times New Roman"/>
          <w:sz w:val="24"/>
          <w:szCs w:val="24"/>
        </w:rPr>
        <w:t xml:space="preserve">was </w:t>
      </w:r>
      <w:r>
        <w:rPr>
          <w:rFonts w:ascii="Times New Roman" w:hAnsi="Times New Roman" w:cs="Times New Roman"/>
          <w:sz w:val="24"/>
          <w:szCs w:val="24"/>
        </w:rPr>
        <w:t>redundant</w:t>
      </w:r>
      <w:r w:rsidR="00293E53">
        <w:rPr>
          <w:rFonts w:ascii="Times New Roman" w:hAnsi="Times New Roman" w:cs="Times New Roman"/>
          <w:sz w:val="24"/>
          <w:szCs w:val="24"/>
        </w:rPr>
        <w:t xml:space="preserve"> and</w:t>
      </w:r>
      <w:r>
        <w:rPr>
          <w:rFonts w:ascii="Times New Roman" w:hAnsi="Times New Roman" w:cs="Times New Roman"/>
          <w:sz w:val="24"/>
          <w:szCs w:val="24"/>
        </w:rPr>
        <w:t xml:space="preserve"> unnecessary</w:t>
      </w:r>
      <w:r w:rsidR="00293E53">
        <w:rPr>
          <w:rFonts w:ascii="Times New Roman" w:hAnsi="Times New Roman" w:cs="Times New Roman"/>
          <w:sz w:val="24"/>
          <w:szCs w:val="24"/>
        </w:rPr>
        <w:t>. IREC also argued that</w:t>
      </w:r>
      <w:r>
        <w:rPr>
          <w:rFonts w:ascii="Times New Roman" w:hAnsi="Times New Roman" w:cs="Times New Roman"/>
          <w:sz w:val="24"/>
          <w:szCs w:val="24"/>
        </w:rPr>
        <w:t xml:space="preserve"> </w:t>
      </w:r>
      <w:r w:rsidR="00C24395">
        <w:rPr>
          <w:rFonts w:ascii="Times New Roman" w:hAnsi="Times New Roman" w:cs="Times New Roman"/>
          <w:sz w:val="24"/>
          <w:szCs w:val="24"/>
        </w:rPr>
        <w:t xml:space="preserve">utility personnel could disconnect the facility at the meter base or transformer in a rare instance </w:t>
      </w:r>
      <w:r w:rsidR="00293E53">
        <w:rPr>
          <w:rFonts w:ascii="Times New Roman" w:hAnsi="Times New Roman" w:cs="Times New Roman"/>
          <w:sz w:val="24"/>
          <w:szCs w:val="24"/>
        </w:rPr>
        <w:t xml:space="preserve">when </w:t>
      </w:r>
      <w:r w:rsidR="00C24395">
        <w:rPr>
          <w:rFonts w:ascii="Times New Roman" w:hAnsi="Times New Roman" w:cs="Times New Roman"/>
          <w:sz w:val="24"/>
          <w:szCs w:val="24"/>
        </w:rPr>
        <w:t>the inverter failed</w:t>
      </w:r>
      <w:r>
        <w:rPr>
          <w:rFonts w:ascii="Times New Roman" w:hAnsi="Times New Roman" w:cs="Times New Roman"/>
          <w:sz w:val="24"/>
          <w:szCs w:val="24"/>
        </w:rPr>
        <w:t>.</w:t>
      </w:r>
      <w:r w:rsidR="00683FDA">
        <w:rPr>
          <w:rFonts w:ascii="Times New Roman" w:hAnsi="Times New Roman" w:cs="Times New Roman"/>
          <w:sz w:val="24"/>
          <w:szCs w:val="24"/>
        </w:rPr>
        <w:t xml:space="preserve"> </w:t>
      </w:r>
      <w:r w:rsidR="00D666F1">
        <w:rPr>
          <w:rFonts w:ascii="Times New Roman" w:hAnsi="Times New Roman" w:cs="Times New Roman"/>
          <w:sz w:val="24"/>
          <w:szCs w:val="24"/>
        </w:rPr>
        <w:t>IREC provided two reports funded by the U’S. Department of Energy concluding that disconnect switches are unnecessary for smaller, inverter-based systems, and noted that the switch is not required and has not been installed on more than 100,000 systems in the U.S.</w:t>
      </w:r>
      <w:r w:rsidR="00D666F1">
        <w:rPr>
          <w:rStyle w:val="FootnoteReference"/>
          <w:rFonts w:ascii="Times New Roman" w:hAnsi="Times New Roman" w:cs="Times New Roman"/>
          <w:sz w:val="24"/>
          <w:szCs w:val="24"/>
        </w:rPr>
        <w:footnoteReference w:id="2"/>
      </w:r>
    </w:p>
    <w:p w:rsidR="004A5E79" w:rsidRDefault="00C24395" w:rsidP="004A5E79">
      <w:pPr>
        <w:rPr>
          <w:rFonts w:ascii="Times New Roman" w:hAnsi="Times New Roman" w:cs="Times New Roman"/>
          <w:sz w:val="24"/>
          <w:szCs w:val="24"/>
        </w:rPr>
      </w:pPr>
      <w:r>
        <w:rPr>
          <w:rFonts w:ascii="Times New Roman" w:hAnsi="Times New Roman" w:cs="Times New Roman"/>
          <w:sz w:val="24"/>
          <w:szCs w:val="24"/>
        </w:rPr>
        <w:t xml:space="preserve">Utilities argued that the cost of the disconnect switch </w:t>
      </w:r>
      <w:r w:rsidR="001B34FF">
        <w:rPr>
          <w:rFonts w:ascii="Times New Roman" w:hAnsi="Times New Roman" w:cs="Times New Roman"/>
          <w:sz w:val="24"/>
          <w:szCs w:val="24"/>
        </w:rPr>
        <w:t xml:space="preserve">is </w:t>
      </w:r>
      <w:r>
        <w:rPr>
          <w:rFonts w:ascii="Times New Roman" w:hAnsi="Times New Roman" w:cs="Times New Roman"/>
          <w:sz w:val="24"/>
          <w:szCs w:val="24"/>
        </w:rPr>
        <w:t xml:space="preserve">minor compared to the cost of the total </w:t>
      </w:r>
      <w:r w:rsidR="00293E53">
        <w:rPr>
          <w:rFonts w:ascii="Times New Roman" w:hAnsi="Times New Roman" w:cs="Times New Roman"/>
          <w:sz w:val="24"/>
          <w:szCs w:val="24"/>
        </w:rPr>
        <w:t xml:space="preserve">DE </w:t>
      </w:r>
      <w:r>
        <w:rPr>
          <w:rFonts w:ascii="Times New Roman" w:hAnsi="Times New Roman" w:cs="Times New Roman"/>
          <w:sz w:val="24"/>
          <w:szCs w:val="24"/>
        </w:rPr>
        <w:t xml:space="preserve">system, </w:t>
      </w:r>
      <w:r w:rsidR="001B34FF">
        <w:rPr>
          <w:rFonts w:ascii="Times New Roman" w:hAnsi="Times New Roman" w:cs="Times New Roman"/>
          <w:sz w:val="24"/>
          <w:szCs w:val="24"/>
        </w:rPr>
        <w:t xml:space="preserve">protects </w:t>
      </w:r>
      <w:r>
        <w:rPr>
          <w:rFonts w:ascii="Times New Roman" w:hAnsi="Times New Roman" w:cs="Times New Roman"/>
          <w:sz w:val="24"/>
          <w:szCs w:val="24"/>
        </w:rPr>
        <w:t>the safety of its personnel and system</w:t>
      </w:r>
      <w:r w:rsidR="001B34FF">
        <w:rPr>
          <w:rFonts w:ascii="Times New Roman" w:hAnsi="Times New Roman" w:cs="Times New Roman"/>
          <w:sz w:val="24"/>
          <w:szCs w:val="24"/>
        </w:rPr>
        <w:t>, and allows workers to fully comply with existing safety requirements</w:t>
      </w:r>
      <w:r>
        <w:rPr>
          <w:rFonts w:ascii="Times New Roman" w:hAnsi="Times New Roman" w:cs="Times New Roman"/>
          <w:sz w:val="24"/>
          <w:szCs w:val="24"/>
        </w:rPr>
        <w:t xml:space="preserve">. </w:t>
      </w:r>
      <w:r w:rsidR="004A5E79">
        <w:rPr>
          <w:rFonts w:ascii="Times New Roman" w:hAnsi="Times New Roman" w:cs="Times New Roman"/>
          <w:sz w:val="24"/>
          <w:szCs w:val="24"/>
        </w:rPr>
        <w:t xml:space="preserve">WPUDA and others argued that there is insufficient data on longer term performance of these inverters, and unless and until there was sufficient performance data, protecting personnel safety and system reliability is a higher priority. PacifiCorp and other utilities </w:t>
      </w:r>
      <w:r w:rsidR="00683FDA">
        <w:rPr>
          <w:rFonts w:ascii="Times New Roman" w:hAnsi="Times New Roman" w:cs="Times New Roman"/>
          <w:sz w:val="24"/>
          <w:szCs w:val="24"/>
        </w:rPr>
        <w:t xml:space="preserve">also argued that other </w:t>
      </w:r>
      <w:r w:rsidR="00EB27B4">
        <w:rPr>
          <w:rFonts w:ascii="Times New Roman" w:hAnsi="Times New Roman" w:cs="Times New Roman"/>
          <w:sz w:val="24"/>
          <w:szCs w:val="24"/>
        </w:rPr>
        <w:t>influences, including state laws and policies had far more impact o</w:t>
      </w:r>
      <w:r w:rsidR="00683FDA">
        <w:rPr>
          <w:rFonts w:ascii="Times New Roman" w:hAnsi="Times New Roman" w:cs="Times New Roman"/>
          <w:sz w:val="24"/>
          <w:szCs w:val="24"/>
        </w:rPr>
        <w:t xml:space="preserve">n any decision to build or not build distributed generation. </w:t>
      </w:r>
      <w:r>
        <w:rPr>
          <w:rFonts w:ascii="Times New Roman" w:hAnsi="Times New Roman" w:cs="Times New Roman"/>
          <w:sz w:val="24"/>
          <w:szCs w:val="24"/>
        </w:rPr>
        <w:t>In addition, the</w:t>
      </w:r>
      <w:r w:rsidR="004A5E79">
        <w:rPr>
          <w:rFonts w:ascii="Times New Roman" w:hAnsi="Times New Roman" w:cs="Times New Roman"/>
          <w:sz w:val="24"/>
          <w:szCs w:val="24"/>
        </w:rPr>
        <w:t xml:space="preserve"> utilities</w:t>
      </w:r>
      <w:r>
        <w:rPr>
          <w:rFonts w:ascii="Times New Roman" w:hAnsi="Times New Roman" w:cs="Times New Roman"/>
          <w:sz w:val="24"/>
          <w:szCs w:val="24"/>
        </w:rPr>
        <w:t xml:space="preserve"> argued that using a meter or transformer for disconnection </w:t>
      </w:r>
      <w:r w:rsidR="001B34FF">
        <w:rPr>
          <w:rFonts w:ascii="Times New Roman" w:hAnsi="Times New Roman" w:cs="Times New Roman"/>
          <w:sz w:val="24"/>
          <w:szCs w:val="24"/>
        </w:rPr>
        <w:t xml:space="preserve">is </w:t>
      </w:r>
      <w:r>
        <w:rPr>
          <w:rFonts w:ascii="Times New Roman" w:hAnsi="Times New Roman" w:cs="Times New Roman"/>
          <w:sz w:val="24"/>
          <w:szCs w:val="24"/>
        </w:rPr>
        <w:t xml:space="preserve">a purpose </w:t>
      </w:r>
      <w:r w:rsidR="001B34FF">
        <w:rPr>
          <w:rFonts w:ascii="Times New Roman" w:hAnsi="Times New Roman" w:cs="Times New Roman"/>
          <w:sz w:val="24"/>
          <w:szCs w:val="24"/>
        </w:rPr>
        <w:t xml:space="preserve">for which </w:t>
      </w:r>
      <w:r>
        <w:rPr>
          <w:rFonts w:ascii="Times New Roman" w:hAnsi="Times New Roman" w:cs="Times New Roman"/>
          <w:sz w:val="24"/>
          <w:szCs w:val="24"/>
        </w:rPr>
        <w:t>the equipment was not designed, and would cause longer outages and for potentially more customers than using a disconnect switch.</w:t>
      </w:r>
      <w:r w:rsidR="00683FDA">
        <w:rPr>
          <w:rFonts w:ascii="Times New Roman" w:hAnsi="Times New Roman" w:cs="Times New Roman"/>
          <w:sz w:val="24"/>
          <w:szCs w:val="24"/>
        </w:rPr>
        <w:t xml:space="preserve"> </w:t>
      </w:r>
    </w:p>
    <w:p w:rsidR="00C24395" w:rsidRDefault="00683FDA" w:rsidP="00DF35EB">
      <w:pPr>
        <w:rPr>
          <w:rFonts w:ascii="Times New Roman" w:hAnsi="Times New Roman" w:cs="Times New Roman"/>
          <w:sz w:val="24"/>
          <w:szCs w:val="24"/>
        </w:rPr>
      </w:pPr>
      <w:r>
        <w:rPr>
          <w:rFonts w:ascii="Times New Roman" w:hAnsi="Times New Roman" w:cs="Times New Roman"/>
          <w:sz w:val="24"/>
          <w:szCs w:val="24"/>
        </w:rPr>
        <w:lastRenderedPageBreak/>
        <w:t>Avista, Snohomish PUD, IBEW and WPUDA, among others</w:t>
      </w:r>
      <w:r w:rsidR="002813CB">
        <w:rPr>
          <w:rFonts w:ascii="Times New Roman" w:hAnsi="Times New Roman" w:cs="Times New Roman"/>
          <w:sz w:val="24"/>
          <w:szCs w:val="24"/>
        </w:rPr>
        <w:t>,</w:t>
      </w:r>
      <w:r>
        <w:rPr>
          <w:rFonts w:ascii="Times New Roman" w:hAnsi="Times New Roman" w:cs="Times New Roman"/>
          <w:sz w:val="24"/>
          <w:szCs w:val="24"/>
        </w:rPr>
        <w:t xml:space="preserve"> originally opposed</w:t>
      </w:r>
      <w:r w:rsidR="00644DB8" w:rsidRPr="00644DB8">
        <w:rPr>
          <w:rFonts w:ascii="Times New Roman" w:hAnsi="Times New Roman" w:cs="Times New Roman"/>
          <w:sz w:val="24"/>
          <w:szCs w:val="24"/>
        </w:rPr>
        <w:t xml:space="preserve"> </w:t>
      </w:r>
      <w:r w:rsidR="00644DB8">
        <w:rPr>
          <w:rFonts w:ascii="Times New Roman" w:hAnsi="Times New Roman" w:cs="Times New Roman"/>
          <w:sz w:val="24"/>
          <w:szCs w:val="24"/>
        </w:rPr>
        <w:t>providing a blanket waiver for external disconnects for inverter based generating facilities</w:t>
      </w:r>
      <w:r>
        <w:rPr>
          <w:rFonts w:ascii="Times New Roman" w:hAnsi="Times New Roman" w:cs="Times New Roman"/>
          <w:sz w:val="24"/>
          <w:szCs w:val="24"/>
        </w:rPr>
        <w:t>.</w:t>
      </w:r>
    </w:p>
    <w:p w:rsidR="003F5C82" w:rsidRDefault="003F5C82" w:rsidP="00DF35EB">
      <w:pPr>
        <w:rPr>
          <w:rFonts w:ascii="Times New Roman" w:hAnsi="Times New Roman" w:cs="Times New Roman"/>
          <w:sz w:val="24"/>
          <w:szCs w:val="24"/>
        </w:rPr>
      </w:pPr>
      <w:r>
        <w:rPr>
          <w:rFonts w:ascii="Times New Roman" w:hAnsi="Times New Roman" w:cs="Times New Roman"/>
          <w:sz w:val="24"/>
          <w:szCs w:val="24"/>
        </w:rPr>
        <w:t xml:space="preserve">IBEW argued that </w:t>
      </w:r>
      <w:r>
        <w:rPr>
          <w:rFonts w:ascii="Times New Roman" w:hAnsi="Times New Roman"/>
          <w:sz w:val="24"/>
          <w:szCs w:val="24"/>
        </w:rPr>
        <w:t>worker safety rules requires the visible break disconnect which is not provided by an inverter possibly putting workers in violation of rules and in danger.</w:t>
      </w:r>
      <w:r w:rsidR="004A72C0">
        <w:rPr>
          <w:rFonts w:ascii="Times New Roman" w:hAnsi="Times New Roman"/>
          <w:sz w:val="24"/>
          <w:szCs w:val="24"/>
        </w:rPr>
        <w:t xml:space="preserve"> They further pointed out that as these types of generating facilities are deployed in greater numbers, utilities should develop a </w:t>
      </w:r>
      <w:proofErr w:type="spellStart"/>
      <w:r w:rsidR="004A72C0">
        <w:rPr>
          <w:rFonts w:ascii="Times New Roman" w:hAnsi="Times New Roman"/>
          <w:sz w:val="24"/>
          <w:szCs w:val="24"/>
        </w:rPr>
        <w:t>locational</w:t>
      </w:r>
      <w:proofErr w:type="spellEnd"/>
      <w:r w:rsidR="004A72C0">
        <w:rPr>
          <w:rFonts w:ascii="Times New Roman" w:hAnsi="Times New Roman"/>
          <w:sz w:val="24"/>
          <w:szCs w:val="24"/>
        </w:rPr>
        <w:t xml:space="preserve"> dataset for the facilities and utility personnel will need additional training on hazard identification.</w:t>
      </w:r>
    </w:p>
    <w:p w:rsidR="004A72C0" w:rsidRDefault="00683FDA" w:rsidP="00DF35EB">
      <w:pPr>
        <w:rPr>
          <w:rFonts w:ascii="Times New Roman" w:hAnsi="Times New Roman" w:cs="Times New Roman"/>
          <w:sz w:val="24"/>
          <w:szCs w:val="24"/>
        </w:rPr>
      </w:pPr>
      <w:r>
        <w:rPr>
          <w:rFonts w:ascii="Times New Roman" w:hAnsi="Times New Roman" w:cs="Times New Roman"/>
          <w:sz w:val="24"/>
          <w:szCs w:val="24"/>
        </w:rPr>
        <w:t xml:space="preserve">Eventually, </w:t>
      </w:r>
      <w:r w:rsidR="00293E53">
        <w:rPr>
          <w:rFonts w:ascii="Times New Roman" w:hAnsi="Times New Roman" w:cs="Times New Roman"/>
          <w:sz w:val="24"/>
          <w:szCs w:val="24"/>
        </w:rPr>
        <w:t xml:space="preserve">some </w:t>
      </w:r>
      <w:r>
        <w:rPr>
          <w:rFonts w:ascii="Times New Roman" w:hAnsi="Times New Roman" w:cs="Times New Roman"/>
          <w:sz w:val="24"/>
          <w:szCs w:val="24"/>
        </w:rPr>
        <w:t>parties agreed</w:t>
      </w:r>
      <w:r w:rsidR="00293E53">
        <w:rPr>
          <w:rFonts w:ascii="Times New Roman" w:hAnsi="Times New Roman" w:cs="Times New Roman"/>
          <w:sz w:val="24"/>
          <w:szCs w:val="24"/>
        </w:rPr>
        <w:t>,</w:t>
      </w:r>
      <w:r>
        <w:rPr>
          <w:rFonts w:ascii="Times New Roman" w:hAnsi="Times New Roman" w:cs="Times New Roman"/>
          <w:sz w:val="24"/>
          <w:szCs w:val="24"/>
        </w:rPr>
        <w:t xml:space="preserve"> (IBEW and some utilities continue to oppose removing the requirement, while IREC still supports removing the requirement in all cases</w:t>
      </w:r>
      <w:r w:rsidR="00117381">
        <w:rPr>
          <w:rFonts w:ascii="Times New Roman" w:hAnsi="Times New Roman" w:cs="Times New Roman"/>
          <w:sz w:val="24"/>
          <w:szCs w:val="24"/>
        </w:rPr>
        <w:t xml:space="preserve"> of inverter based facilities</w:t>
      </w:r>
      <w:r>
        <w:rPr>
          <w:rFonts w:ascii="Times New Roman" w:hAnsi="Times New Roman" w:cs="Times New Roman"/>
          <w:sz w:val="24"/>
          <w:szCs w:val="24"/>
        </w:rPr>
        <w:t xml:space="preserve">) to recommend </w:t>
      </w:r>
      <w:r w:rsidR="00293E53">
        <w:rPr>
          <w:rFonts w:ascii="Times New Roman" w:hAnsi="Times New Roman" w:cs="Times New Roman"/>
          <w:sz w:val="24"/>
          <w:szCs w:val="24"/>
        </w:rPr>
        <w:t xml:space="preserve">language in the Model Rule </w:t>
      </w:r>
      <w:r>
        <w:rPr>
          <w:rFonts w:ascii="Times New Roman" w:hAnsi="Times New Roman" w:cs="Times New Roman"/>
          <w:sz w:val="24"/>
          <w:szCs w:val="24"/>
        </w:rPr>
        <w:t>allow</w:t>
      </w:r>
      <w:r w:rsidR="00293E53">
        <w:rPr>
          <w:rFonts w:ascii="Times New Roman" w:hAnsi="Times New Roman" w:cs="Times New Roman"/>
          <w:sz w:val="24"/>
          <w:szCs w:val="24"/>
        </w:rPr>
        <w:t>ing</w:t>
      </w:r>
      <w:r>
        <w:rPr>
          <w:rFonts w:ascii="Times New Roman" w:hAnsi="Times New Roman" w:cs="Times New Roman"/>
          <w:sz w:val="24"/>
          <w:szCs w:val="24"/>
        </w:rPr>
        <w:t xml:space="preserve"> a utility to waive the requirement for a disconnect switch for inverter based facilities 5 kW or smaller; provided that the interconnection customer agreed to potentially longer outages without liability to the utility, alerted and obtained agreement from other customers  regarding the longer outages, and provided regular testing of the inverter</w:t>
      </w:r>
      <w:r w:rsidR="003F5C82">
        <w:rPr>
          <w:rFonts w:ascii="Times New Roman" w:hAnsi="Times New Roman" w:cs="Times New Roman"/>
          <w:sz w:val="24"/>
          <w:szCs w:val="24"/>
        </w:rPr>
        <w:t xml:space="preserve"> be performed in accordance with manufacturer’s </w:t>
      </w:r>
      <w:r w:rsidR="004A72C0">
        <w:rPr>
          <w:rFonts w:ascii="Times New Roman" w:hAnsi="Times New Roman" w:cs="Times New Roman"/>
          <w:sz w:val="24"/>
          <w:szCs w:val="24"/>
        </w:rPr>
        <w:t>guidelines</w:t>
      </w:r>
      <w:r>
        <w:rPr>
          <w:rFonts w:ascii="Times New Roman" w:hAnsi="Times New Roman" w:cs="Times New Roman"/>
          <w:sz w:val="24"/>
          <w:szCs w:val="24"/>
        </w:rPr>
        <w:t>.</w:t>
      </w:r>
      <w:r w:rsidR="00293E53">
        <w:rPr>
          <w:rFonts w:ascii="Times New Roman" w:hAnsi="Times New Roman" w:cs="Times New Roman"/>
          <w:sz w:val="24"/>
          <w:szCs w:val="24"/>
        </w:rPr>
        <w:t xml:space="preserve"> In the absence of regular testing by the Interconnection Customer, the utility could disconnect and</w:t>
      </w:r>
      <w:r w:rsidR="009D6D1F">
        <w:rPr>
          <w:rFonts w:ascii="Times New Roman" w:hAnsi="Times New Roman" w:cs="Times New Roman"/>
          <w:sz w:val="24"/>
          <w:szCs w:val="24"/>
        </w:rPr>
        <w:t>/</w:t>
      </w:r>
      <w:r w:rsidR="00293E53">
        <w:rPr>
          <w:rFonts w:ascii="Times New Roman" w:hAnsi="Times New Roman" w:cs="Times New Roman"/>
          <w:sz w:val="24"/>
          <w:szCs w:val="24"/>
        </w:rPr>
        <w:t xml:space="preserve">or require installation of a disconnect </w:t>
      </w:r>
      <w:r w:rsidR="00117381">
        <w:rPr>
          <w:rFonts w:ascii="Times New Roman" w:hAnsi="Times New Roman" w:cs="Times New Roman"/>
          <w:sz w:val="24"/>
          <w:szCs w:val="24"/>
        </w:rPr>
        <w:t xml:space="preserve">switch </w:t>
      </w:r>
      <w:r w:rsidR="004A5E79">
        <w:rPr>
          <w:rFonts w:ascii="Times New Roman" w:hAnsi="Times New Roman" w:cs="Times New Roman"/>
          <w:sz w:val="24"/>
          <w:szCs w:val="24"/>
        </w:rPr>
        <w:t>for the generating facility.</w:t>
      </w:r>
    </w:p>
    <w:p w:rsidR="004A72C0" w:rsidRDefault="004A72C0" w:rsidP="00DF35EB">
      <w:pPr>
        <w:rPr>
          <w:rFonts w:ascii="Times New Roman" w:hAnsi="Times New Roman" w:cs="Times New Roman"/>
          <w:sz w:val="24"/>
          <w:szCs w:val="24"/>
        </w:rPr>
      </w:pPr>
      <w:r>
        <w:rPr>
          <w:rFonts w:ascii="Times New Roman" w:hAnsi="Times New Roman" w:cs="Times New Roman"/>
          <w:sz w:val="24"/>
          <w:szCs w:val="24"/>
        </w:rPr>
        <w:t xml:space="preserve">However all parties agreed that as the vehicle fleet is electrified and deployed, and distributed </w:t>
      </w:r>
      <w:r w:rsidR="004127DE">
        <w:rPr>
          <w:rFonts w:ascii="Times New Roman" w:hAnsi="Times New Roman" w:cs="Times New Roman"/>
          <w:sz w:val="24"/>
          <w:szCs w:val="24"/>
        </w:rPr>
        <w:t>energy technology</w:t>
      </w:r>
      <w:r>
        <w:rPr>
          <w:rFonts w:ascii="Times New Roman" w:hAnsi="Times New Roman" w:cs="Times New Roman"/>
          <w:sz w:val="24"/>
          <w:szCs w:val="24"/>
        </w:rPr>
        <w:t xml:space="preserve"> comes of age, we will have to further research and address protection systems </w:t>
      </w:r>
      <w:r w:rsidR="00F465C5">
        <w:rPr>
          <w:rFonts w:ascii="Times New Roman" w:hAnsi="Times New Roman" w:cs="Times New Roman"/>
          <w:sz w:val="24"/>
          <w:szCs w:val="24"/>
        </w:rPr>
        <w:t>as we see</w:t>
      </w:r>
      <w:r>
        <w:rPr>
          <w:rFonts w:ascii="Times New Roman" w:hAnsi="Times New Roman" w:cs="Times New Roman"/>
          <w:sz w:val="24"/>
          <w:szCs w:val="24"/>
        </w:rPr>
        <w:t xml:space="preserve"> widespread deployment of small generation sources throughout the distribution system. </w:t>
      </w:r>
    </w:p>
    <w:p w:rsidR="00A40557" w:rsidRPr="00EB27B4" w:rsidRDefault="00A40557" w:rsidP="00683FDA">
      <w:pPr>
        <w:rPr>
          <w:rFonts w:ascii="Times New Roman" w:hAnsi="Times New Roman" w:cs="Times New Roman"/>
          <w:sz w:val="24"/>
          <w:szCs w:val="24"/>
        </w:rPr>
      </w:pPr>
      <w:r w:rsidRPr="00EB27B4">
        <w:rPr>
          <w:rFonts w:ascii="Times New Roman" w:hAnsi="Times New Roman" w:cs="Times New Roman"/>
          <w:sz w:val="24"/>
          <w:szCs w:val="24"/>
          <w:u w:val="single"/>
        </w:rPr>
        <w:t>Insurance Requirements</w:t>
      </w:r>
    </w:p>
    <w:p w:rsidR="00683FDA" w:rsidRDefault="00683FDA" w:rsidP="00683FDA">
      <w:pPr>
        <w:rPr>
          <w:rFonts w:ascii="Times New Roman" w:hAnsi="Times New Roman" w:cs="Times New Roman"/>
          <w:sz w:val="24"/>
          <w:szCs w:val="24"/>
        </w:rPr>
      </w:pPr>
      <w:r>
        <w:rPr>
          <w:rFonts w:ascii="Times New Roman" w:hAnsi="Times New Roman" w:cs="Times New Roman"/>
          <w:sz w:val="24"/>
          <w:szCs w:val="24"/>
        </w:rPr>
        <w:t xml:space="preserve">Current Washington </w:t>
      </w:r>
      <w:r w:rsidR="004A5E79">
        <w:rPr>
          <w:rFonts w:ascii="Times New Roman" w:hAnsi="Times New Roman" w:cs="Times New Roman"/>
          <w:sz w:val="24"/>
          <w:szCs w:val="24"/>
        </w:rPr>
        <w:t xml:space="preserve">law </w:t>
      </w:r>
      <w:r>
        <w:rPr>
          <w:rFonts w:ascii="Times New Roman" w:hAnsi="Times New Roman" w:cs="Times New Roman"/>
          <w:sz w:val="24"/>
          <w:szCs w:val="24"/>
        </w:rPr>
        <w:t xml:space="preserve">prohibits a utility from requiring any additional </w:t>
      </w:r>
      <w:r w:rsidR="003F5C82">
        <w:rPr>
          <w:rFonts w:ascii="Times New Roman" w:hAnsi="Times New Roman" w:cs="Times New Roman"/>
          <w:sz w:val="24"/>
          <w:szCs w:val="24"/>
        </w:rPr>
        <w:t xml:space="preserve">liability </w:t>
      </w:r>
      <w:r>
        <w:rPr>
          <w:rFonts w:ascii="Times New Roman" w:hAnsi="Times New Roman" w:cs="Times New Roman"/>
          <w:sz w:val="24"/>
          <w:szCs w:val="24"/>
        </w:rPr>
        <w:t>insuranc</w:t>
      </w:r>
      <w:r w:rsidR="00257BA2">
        <w:rPr>
          <w:rFonts w:ascii="Times New Roman" w:hAnsi="Times New Roman" w:cs="Times New Roman"/>
          <w:sz w:val="24"/>
          <w:szCs w:val="24"/>
        </w:rPr>
        <w:t xml:space="preserve">e </w:t>
      </w:r>
      <w:r w:rsidR="003F5C82">
        <w:rPr>
          <w:rFonts w:ascii="Times New Roman" w:hAnsi="Times New Roman" w:cs="Times New Roman"/>
          <w:sz w:val="24"/>
          <w:szCs w:val="24"/>
        </w:rPr>
        <w:t xml:space="preserve">be obtained by </w:t>
      </w:r>
      <w:r w:rsidR="00257BA2">
        <w:rPr>
          <w:rFonts w:ascii="Times New Roman" w:hAnsi="Times New Roman" w:cs="Times New Roman"/>
          <w:sz w:val="24"/>
          <w:szCs w:val="24"/>
        </w:rPr>
        <w:t>net metered customers. B</w:t>
      </w:r>
      <w:r>
        <w:rPr>
          <w:rFonts w:ascii="Times New Roman" w:hAnsi="Times New Roman" w:cs="Times New Roman"/>
          <w:sz w:val="24"/>
          <w:szCs w:val="24"/>
        </w:rPr>
        <w:t>oth UTC and COU rules state that a utility “may” require additional insurance for non-net metered generation facilities interconnected to the utility’s system.</w:t>
      </w:r>
      <w:r w:rsidR="00EC1056">
        <w:rPr>
          <w:rFonts w:ascii="Times New Roman" w:hAnsi="Times New Roman" w:cs="Times New Roman"/>
          <w:sz w:val="24"/>
          <w:szCs w:val="24"/>
        </w:rPr>
        <w:t xml:space="preserve"> IREC and WALEA argued that insurance was very expensive and </w:t>
      </w:r>
      <w:r w:rsidR="00257BA2">
        <w:rPr>
          <w:rFonts w:ascii="Times New Roman" w:hAnsi="Times New Roman" w:cs="Times New Roman"/>
          <w:sz w:val="24"/>
          <w:szCs w:val="24"/>
        </w:rPr>
        <w:t xml:space="preserve">it was </w:t>
      </w:r>
      <w:r w:rsidR="00EC1056">
        <w:rPr>
          <w:rFonts w:ascii="Times New Roman" w:hAnsi="Times New Roman" w:cs="Times New Roman"/>
          <w:sz w:val="24"/>
          <w:szCs w:val="24"/>
        </w:rPr>
        <w:t xml:space="preserve">hard to find carriers that were familiar with the risks, or lack thereof, with distributed generation </w:t>
      </w:r>
      <w:r w:rsidR="00257BA2">
        <w:rPr>
          <w:rFonts w:ascii="Times New Roman" w:hAnsi="Times New Roman" w:cs="Times New Roman"/>
          <w:sz w:val="24"/>
          <w:szCs w:val="24"/>
        </w:rPr>
        <w:t xml:space="preserve">- </w:t>
      </w:r>
      <w:r w:rsidR="00EC1056">
        <w:rPr>
          <w:rFonts w:ascii="Times New Roman" w:hAnsi="Times New Roman" w:cs="Times New Roman"/>
          <w:sz w:val="24"/>
          <w:szCs w:val="24"/>
        </w:rPr>
        <w:t>and thus premiums were inordinately high and in some cases cost prohibitive</w:t>
      </w:r>
      <w:r w:rsidR="00257BA2">
        <w:rPr>
          <w:rFonts w:ascii="Times New Roman" w:hAnsi="Times New Roman" w:cs="Times New Roman"/>
          <w:sz w:val="24"/>
          <w:szCs w:val="24"/>
        </w:rPr>
        <w:t>.</w:t>
      </w:r>
    </w:p>
    <w:p w:rsidR="00257BA2" w:rsidRDefault="004A5E79" w:rsidP="00683FDA">
      <w:pPr>
        <w:rPr>
          <w:rFonts w:ascii="Times New Roman" w:hAnsi="Times New Roman" w:cs="Times New Roman"/>
          <w:sz w:val="24"/>
          <w:szCs w:val="24"/>
        </w:rPr>
      </w:pPr>
      <w:r>
        <w:rPr>
          <w:rFonts w:ascii="Times New Roman" w:hAnsi="Times New Roman" w:cs="Times New Roman"/>
          <w:sz w:val="24"/>
          <w:szCs w:val="24"/>
        </w:rPr>
        <w:t>T</w:t>
      </w:r>
      <w:r w:rsidR="00257BA2">
        <w:rPr>
          <w:rFonts w:ascii="Times New Roman" w:hAnsi="Times New Roman" w:cs="Times New Roman"/>
          <w:sz w:val="24"/>
          <w:szCs w:val="24"/>
        </w:rPr>
        <w:t xml:space="preserve">he only solution to </w:t>
      </w:r>
      <w:r>
        <w:rPr>
          <w:rFonts w:ascii="Times New Roman" w:hAnsi="Times New Roman" w:cs="Times New Roman"/>
          <w:sz w:val="24"/>
          <w:szCs w:val="24"/>
        </w:rPr>
        <w:t xml:space="preserve">the </w:t>
      </w:r>
      <w:r w:rsidR="00257BA2">
        <w:rPr>
          <w:rFonts w:ascii="Times New Roman" w:hAnsi="Times New Roman" w:cs="Times New Roman"/>
          <w:sz w:val="24"/>
          <w:szCs w:val="24"/>
        </w:rPr>
        <w:t>insurance</w:t>
      </w:r>
      <w:r>
        <w:rPr>
          <w:rFonts w:ascii="Times New Roman" w:hAnsi="Times New Roman" w:cs="Times New Roman"/>
          <w:sz w:val="24"/>
          <w:szCs w:val="24"/>
        </w:rPr>
        <w:t xml:space="preserve"> issue</w:t>
      </w:r>
      <w:r w:rsidR="00257BA2">
        <w:rPr>
          <w:rFonts w:ascii="Times New Roman" w:hAnsi="Times New Roman" w:cs="Times New Roman"/>
          <w:sz w:val="24"/>
          <w:szCs w:val="24"/>
        </w:rPr>
        <w:t xml:space="preserve"> would </w:t>
      </w:r>
      <w:r>
        <w:rPr>
          <w:rFonts w:ascii="Times New Roman" w:hAnsi="Times New Roman" w:cs="Times New Roman"/>
          <w:sz w:val="24"/>
          <w:szCs w:val="24"/>
        </w:rPr>
        <w:t>entail</w:t>
      </w:r>
      <w:r w:rsidR="00257BA2">
        <w:rPr>
          <w:rFonts w:ascii="Times New Roman" w:hAnsi="Times New Roman" w:cs="Times New Roman"/>
          <w:sz w:val="24"/>
          <w:szCs w:val="24"/>
        </w:rPr>
        <w:t xml:space="preserve"> prohibit</w:t>
      </w:r>
      <w:r>
        <w:rPr>
          <w:rFonts w:ascii="Times New Roman" w:hAnsi="Times New Roman" w:cs="Times New Roman"/>
          <w:sz w:val="24"/>
          <w:szCs w:val="24"/>
        </w:rPr>
        <w:t>ing</w:t>
      </w:r>
      <w:r w:rsidR="00257BA2">
        <w:rPr>
          <w:rFonts w:ascii="Times New Roman" w:hAnsi="Times New Roman" w:cs="Times New Roman"/>
          <w:sz w:val="24"/>
          <w:szCs w:val="24"/>
        </w:rPr>
        <w:t xml:space="preserve"> a utility from requiring insurance for any facility, or for specific sizes or types of generating facilities</w:t>
      </w:r>
      <w:r>
        <w:rPr>
          <w:rFonts w:ascii="Times New Roman" w:hAnsi="Times New Roman" w:cs="Times New Roman"/>
          <w:sz w:val="24"/>
          <w:szCs w:val="24"/>
        </w:rPr>
        <w:t>. Because this</w:t>
      </w:r>
      <w:r w:rsidR="00257BA2">
        <w:rPr>
          <w:rFonts w:ascii="Times New Roman" w:hAnsi="Times New Roman" w:cs="Times New Roman"/>
          <w:sz w:val="24"/>
          <w:szCs w:val="24"/>
        </w:rPr>
        <w:t xml:space="preserve"> option </w:t>
      </w:r>
      <w:r>
        <w:rPr>
          <w:rFonts w:ascii="Times New Roman" w:hAnsi="Times New Roman" w:cs="Times New Roman"/>
          <w:sz w:val="24"/>
          <w:szCs w:val="24"/>
        </w:rPr>
        <w:t xml:space="preserve">was </w:t>
      </w:r>
      <w:r w:rsidR="00257BA2">
        <w:rPr>
          <w:rFonts w:ascii="Times New Roman" w:hAnsi="Times New Roman" w:cs="Times New Roman"/>
          <w:sz w:val="24"/>
          <w:szCs w:val="24"/>
        </w:rPr>
        <w:t xml:space="preserve">unacceptable to the utilities, other options were explored. When IREC indicated that </w:t>
      </w:r>
      <w:r>
        <w:rPr>
          <w:rFonts w:ascii="Times New Roman" w:hAnsi="Times New Roman" w:cs="Times New Roman"/>
          <w:sz w:val="24"/>
          <w:szCs w:val="24"/>
        </w:rPr>
        <w:t>it was</w:t>
      </w:r>
      <w:r w:rsidR="00257BA2">
        <w:rPr>
          <w:rFonts w:ascii="Times New Roman" w:hAnsi="Times New Roman" w:cs="Times New Roman"/>
          <w:sz w:val="24"/>
          <w:szCs w:val="24"/>
        </w:rPr>
        <w:t xml:space="preserve"> not trying to shift the cost of insurance to the utility, but wanted to explore ways to reduce the costs, the Workgroup </w:t>
      </w:r>
      <w:r w:rsidR="00775C05">
        <w:rPr>
          <w:rFonts w:ascii="Times New Roman" w:hAnsi="Times New Roman" w:cs="Times New Roman"/>
          <w:sz w:val="24"/>
          <w:szCs w:val="24"/>
        </w:rPr>
        <w:t xml:space="preserve">requested </w:t>
      </w:r>
      <w:r w:rsidR="00257BA2">
        <w:rPr>
          <w:rFonts w:ascii="Times New Roman" w:hAnsi="Times New Roman" w:cs="Times New Roman"/>
          <w:sz w:val="24"/>
          <w:szCs w:val="24"/>
        </w:rPr>
        <w:t>Washingt</w:t>
      </w:r>
      <w:r w:rsidR="00EB27B4">
        <w:rPr>
          <w:rFonts w:ascii="Times New Roman" w:hAnsi="Times New Roman" w:cs="Times New Roman"/>
          <w:sz w:val="24"/>
          <w:szCs w:val="24"/>
        </w:rPr>
        <w:t>on State Department of Commerce</w:t>
      </w:r>
      <w:r w:rsidR="009E13A3">
        <w:rPr>
          <w:rFonts w:ascii="Times New Roman" w:hAnsi="Times New Roman" w:cs="Times New Roman"/>
          <w:sz w:val="24"/>
          <w:szCs w:val="24"/>
        </w:rPr>
        <w:t xml:space="preserve"> to </w:t>
      </w:r>
      <w:r w:rsidR="00257BA2">
        <w:rPr>
          <w:rFonts w:ascii="Times New Roman" w:hAnsi="Times New Roman" w:cs="Times New Roman"/>
          <w:sz w:val="24"/>
          <w:szCs w:val="24"/>
        </w:rPr>
        <w:t>explor</w:t>
      </w:r>
      <w:r w:rsidR="00775C05">
        <w:rPr>
          <w:rFonts w:ascii="Times New Roman" w:hAnsi="Times New Roman" w:cs="Times New Roman"/>
          <w:sz w:val="24"/>
          <w:szCs w:val="24"/>
        </w:rPr>
        <w:t>e</w:t>
      </w:r>
      <w:r w:rsidR="00257BA2">
        <w:rPr>
          <w:rFonts w:ascii="Times New Roman" w:hAnsi="Times New Roman" w:cs="Times New Roman"/>
          <w:sz w:val="24"/>
          <w:szCs w:val="24"/>
        </w:rPr>
        <w:t xml:space="preserve"> options with the Office of the Insurance Commissioner, while </w:t>
      </w:r>
      <w:r w:rsidR="00257BA2">
        <w:rPr>
          <w:rFonts w:ascii="Times New Roman" w:hAnsi="Times New Roman" w:cs="Times New Roman"/>
          <w:sz w:val="24"/>
          <w:szCs w:val="24"/>
        </w:rPr>
        <w:lastRenderedPageBreak/>
        <w:t xml:space="preserve">several utilities and utility trade associations explored options with their </w:t>
      </w:r>
      <w:r w:rsidR="00775C05">
        <w:rPr>
          <w:rFonts w:ascii="Times New Roman" w:hAnsi="Times New Roman" w:cs="Times New Roman"/>
          <w:sz w:val="24"/>
          <w:szCs w:val="24"/>
        </w:rPr>
        <w:t xml:space="preserve">insurance </w:t>
      </w:r>
      <w:r w:rsidR="00257BA2">
        <w:rPr>
          <w:rFonts w:ascii="Times New Roman" w:hAnsi="Times New Roman" w:cs="Times New Roman"/>
          <w:sz w:val="24"/>
          <w:szCs w:val="24"/>
        </w:rPr>
        <w:t xml:space="preserve">carriers. </w:t>
      </w:r>
    </w:p>
    <w:p w:rsidR="00E60789" w:rsidRPr="00E60789" w:rsidRDefault="00257BA2" w:rsidP="00E60789">
      <w:pPr>
        <w:rPr>
          <w:rFonts w:ascii="Times New Roman" w:hAnsi="Times New Roman" w:cs="Times New Roman"/>
          <w:sz w:val="24"/>
          <w:szCs w:val="24"/>
        </w:rPr>
      </w:pPr>
      <w:r>
        <w:rPr>
          <w:rFonts w:ascii="Times New Roman" w:hAnsi="Times New Roman" w:cs="Times New Roman"/>
          <w:sz w:val="24"/>
          <w:szCs w:val="24"/>
        </w:rPr>
        <w:t xml:space="preserve">Utility </w:t>
      </w:r>
      <w:r w:rsidR="00AD1AF8">
        <w:rPr>
          <w:rFonts w:ascii="Times New Roman" w:hAnsi="Times New Roman" w:cs="Times New Roman"/>
          <w:sz w:val="24"/>
          <w:szCs w:val="24"/>
        </w:rPr>
        <w:t xml:space="preserve">insurance </w:t>
      </w:r>
      <w:r>
        <w:rPr>
          <w:rFonts w:ascii="Times New Roman" w:hAnsi="Times New Roman" w:cs="Times New Roman"/>
          <w:sz w:val="24"/>
          <w:szCs w:val="24"/>
        </w:rPr>
        <w:t xml:space="preserve">carriers gave a clear “no” to adding any DE facilities to the utility </w:t>
      </w:r>
      <w:r w:rsidR="00565DDA">
        <w:rPr>
          <w:rFonts w:ascii="Times New Roman" w:hAnsi="Times New Roman" w:cs="Times New Roman"/>
          <w:sz w:val="24"/>
          <w:szCs w:val="24"/>
        </w:rPr>
        <w:t xml:space="preserve">insurance </w:t>
      </w:r>
      <w:r>
        <w:rPr>
          <w:rFonts w:ascii="Times New Roman" w:hAnsi="Times New Roman" w:cs="Times New Roman"/>
          <w:sz w:val="24"/>
          <w:szCs w:val="24"/>
        </w:rPr>
        <w:t>policies without the utility having clear control of the facility</w:t>
      </w:r>
      <w:r w:rsidR="00AD1AF8">
        <w:rPr>
          <w:rFonts w:ascii="Times New Roman" w:hAnsi="Times New Roman" w:cs="Times New Roman"/>
          <w:sz w:val="24"/>
          <w:szCs w:val="24"/>
        </w:rPr>
        <w:t>, liability and control must be tied together for the utility insurance carriers to provide coverage</w:t>
      </w:r>
      <w:r>
        <w:rPr>
          <w:rFonts w:ascii="Times New Roman" w:hAnsi="Times New Roman" w:cs="Times New Roman"/>
          <w:sz w:val="24"/>
          <w:szCs w:val="24"/>
        </w:rPr>
        <w:t>.</w:t>
      </w:r>
      <w:r w:rsidR="00565DDA">
        <w:rPr>
          <w:rFonts w:ascii="Times New Roman" w:hAnsi="Times New Roman" w:cs="Times New Roman"/>
          <w:sz w:val="24"/>
          <w:szCs w:val="24"/>
        </w:rPr>
        <w:t xml:space="preserve"> The Office of the Insurance Commissioner was helpful in working with Commerce and the result was</w:t>
      </w:r>
      <w:r w:rsidR="00E60789">
        <w:rPr>
          <w:rFonts w:ascii="Times New Roman" w:hAnsi="Times New Roman" w:cs="Times New Roman"/>
          <w:sz w:val="24"/>
          <w:szCs w:val="24"/>
        </w:rPr>
        <w:t xml:space="preserve"> communication with the Surplus Line </w:t>
      </w:r>
      <w:r w:rsidR="00E60789" w:rsidRPr="00E60789">
        <w:rPr>
          <w:rFonts w:ascii="Times New Roman" w:hAnsi="Times New Roman" w:cs="Times New Roman"/>
          <w:sz w:val="24"/>
          <w:szCs w:val="24"/>
        </w:rPr>
        <w:t xml:space="preserve">Association of Washington </w:t>
      </w:r>
      <w:r w:rsidR="00E60789">
        <w:rPr>
          <w:rFonts w:ascii="Times New Roman" w:hAnsi="Times New Roman" w:cs="Times New Roman"/>
          <w:sz w:val="24"/>
          <w:szCs w:val="24"/>
        </w:rPr>
        <w:t xml:space="preserve">that </w:t>
      </w:r>
      <w:r w:rsidR="00E60789" w:rsidRPr="00E60789">
        <w:rPr>
          <w:rFonts w:ascii="Times New Roman" w:hAnsi="Times New Roman" w:cs="Times New Roman"/>
          <w:sz w:val="24"/>
          <w:szCs w:val="24"/>
        </w:rPr>
        <w:t>includes 600 surplus line brokers, and an offer from that Association to assist. The Surplus Line carriers often deal with unique or new situations.  Over time surplus line coverage often evolves into being offered as standard coverage.</w:t>
      </w:r>
      <w:r w:rsidR="00E60789">
        <w:rPr>
          <w:rFonts w:ascii="Times New Roman" w:hAnsi="Times New Roman" w:cs="Times New Roman"/>
          <w:sz w:val="24"/>
          <w:szCs w:val="24"/>
        </w:rPr>
        <w:t xml:space="preserve"> </w:t>
      </w:r>
      <w:r w:rsidR="00E60789" w:rsidRPr="00E60789">
        <w:rPr>
          <w:rFonts w:ascii="Times New Roman" w:hAnsi="Times New Roman" w:cs="Times New Roman"/>
          <w:sz w:val="24"/>
          <w:szCs w:val="24"/>
        </w:rPr>
        <w:t>Bob Hope of the Association is willing to assist in pulling together a meeting to discuss insuring independent power producers.</w:t>
      </w:r>
      <w:r w:rsidR="00E60789">
        <w:rPr>
          <w:rFonts w:ascii="Times New Roman" w:hAnsi="Times New Roman" w:cs="Times New Roman"/>
          <w:sz w:val="24"/>
          <w:szCs w:val="24"/>
        </w:rPr>
        <w:t xml:space="preserve"> He believes that the</w:t>
      </w:r>
      <w:r w:rsidR="00E60789" w:rsidRPr="00E60789">
        <w:rPr>
          <w:rFonts w:ascii="Times New Roman" w:hAnsi="Times New Roman" w:cs="Times New Roman"/>
          <w:sz w:val="24"/>
          <w:szCs w:val="24"/>
        </w:rPr>
        <w:t xml:space="preserve"> discussion</w:t>
      </w:r>
      <w:r w:rsidR="00E60789">
        <w:rPr>
          <w:rFonts w:ascii="Times New Roman" w:hAnsi="Times New Roman" w:cs="Times New Roman"/>
          <w:sz w:val="24"/>
          <w:szCs w:val="24"/>
        </w:rPr>
        <w:t xml:space="preserve"> should</w:t>
      </w:r>
      <w:r w:rsidR="00E60789" w:rsidRPr="00E60789">
        <w:rPr>
          <w:rFonts w:ascii="Times New Roman" w:hAnsi="Times New Roman" w:cs="Times New Roman"/>
          <w:sz w:val="24"/>
          <w:szCs w:val="24"/>
        </w:rPr>
        <w:t xml:space="preserve"> </w:t>
      </w:r>
      <w:r w:rsidR="00E60789">
        <w:rPr>
          <w:rFonts w:ascii="Times New Roman" w:hAnsi="Times New Roman" w:cs="Times New Roman"/>
          <w:sz w:val="24"/>
          <w:szCs w:val="24"/>
        </w:rPr>
        <w:t>involve</w:t>
      </w:r>
      <w:r w:rsidR="00E60789" w:rsidRPr="00E60789">
        <w:rPr>
          <w:rFonts w:ascii="Times New Roman" w:hAnsi="Times New Roman" w:cs="Times New Roman"/>
          <w:sz w:val="24"/>
          <w:szCs w:val="24"/>
        </w:rPr>
        <w:t>:</w:t>
      </w:r>
    </w:p>
    <w:p w:rsidR="00E60789" w:rsidRPr="00E60789" w:rsidRDefault="00E60789" w:rsidP="00E60789">
      <w:pPr>
        <w:pStyle w:val="ListParagraph"/>
        <w:numPr>
          <w:ilvl w:val="0"/>
          <w:numId w:val="3"/>
        </w:numPr>
      </w:pPr>
      <w:r w:rsidRPr="00E60789">
        <w:t>Utility risk managers</w:t>
      </w:r>
    </w:p>
    <w:p w:rsidR="00E60789" w:rsidRPr="00E60789" w:rsidRDefault="00E60789" w:rsidP="00E60789">
      <w:pPr>
        <w:pStyle w:val="ListParagraph"/>
        <w:numPr>
          <w:ilvl w:val="0"/>
          <w:numId w:val="3"/>
        </w:numPr>
      </w:pPr>
      <w:r w:rsidRPr="00E60789">
        <w:t>Utility insurance brokers</w:t>
      </w:r>
    </w:p>
    <w:p w:rsidR="00E60789" w:rsidRPr="00E60789" w:rsidRDefault="00E60789" w:rsidP="00E60789">
      <w:pPr>
        <w:pStyle w:val="ListParagraph"/>
        <w:numPr>
          <w:ilvl w:val="0"/>
          <w:numId w:val="3"/>
        </w:numPr>
      </w:pPr>
      <w:r w:rsidRPr="00E60789">
        <w:t>Independent power producers</w:t>
      </w:r>
    </w:p>
    <w:p w:rsidR="00E60789" w:rsidRPr="00E60789" w:rsidRDefault="00E60789" w:rsidP="00E60789">
      <w:pPr>
        <w:pStyle w:val="ListParagraph"/>
        <w:numPr>
          <w:ilvl w:val="0"/>
          <w:numId w:val="3"/>
        </w:numPr>
      </w:pPr>
      <w:r w:rsidRPr="00E60789">
        <w:t>Installers</w:t>
      </w:r>
    </w:p>
    <w:p w:rsidR="00E60789" w:rsidRPr="00E60789" w:rsidRDefault="00E60789" w:rsidP="00E60789">
      <w:pPr>
        <w:pStyle w:val="ListParagraph"/>
        <w:numPr>
          <w:ilvl w:val="0"/>
          <w:numId w:val="3"/>
        </w:numPr>
      </w:pPr>
      <w:r w:rsidRPr="00E60789">
        <w:t>Equipment manufacturers</w:t>
      </w:r>
    </w:p>
    <w:p w:rsidR="00E60789" w:rsidRPr="00E60789" w:rsidRDefault="00E60789" w:rsidP="00E60789">
      <w:pPr>
        <w:pStyle w:val="ListParagraph"/>
        <w:numPr>
          <w:ilvl w:val="0"/>
          <w:numId w:val="3"/>
        </w:numPr>
      </w:pPr>
      <w:r w:rsidRPr="00E60789">
        <w:t xml:space="preserve">Building owners </w:t>
      </w:r>
    </w:p>
    <w:p w:rsidR="00E60789" w:rsidRPr="00E60789" w:rsidRDefault="00E60789" w:rsidP="00E60789">
      <w:pPr>
        <w:pStyle w:val="ListParagraph"/>
        <w:numPr>
          <w:ilvl w:val="0"/>
          <w:numId w:val="3"/>
        </w:numPr>
      </w:pPr>
      <w:r w:rsidRPr="00E60789">
        <w:t>Surplus lines insurers</w:t>
      </w:r>
    </w:p>
    <w:p w:rsidR="00EB27B4" w:rsidRDefault="00EB27B4" w:rsidP="00EB27B4">
      <w:pPr>
        <w:spacing w:after="0"/>
        <w:rPr>
          <w:rFonts w:ascii="Times New Roman" w:hAnsi="Times New Roman" w:cs="Times New Roman"/>
          <w:sz w:val="24"/>
          <w:szCs w:val="24"/>
        </w:rPr>
      </w:pPr>
    </w:p>
    <w:p w:rsidR="00E60789" w:rsidRPr="00E60789" w:rsidRDefault="00E60789" w:rsidP="00E60789">
      <w:pPr>
        <w:rPr>
          <w:rFonts w:ascii="Times New Roman" w:hAnsi="Times New Roman" w:cs="Times New Roman"/>
          <w:sz w:val="24"/>
          <w:szCs w:val="24"/>
        </w:rPr>
      </w:pPr>
      <w:r w:rsidRPr="00E60789">
        <w:rPr>
          <w:rFonts w:ascii="Times New Roman" w:hAnsi="Times New Roman" w:cs="Times New Roman"/>
          <w:sz w:val="24"/>
          <w:szCs w:val="24"/>
        </w:rPr>
        <w:t xml:space="preserve">Furthermore, he believes it will be </w:t>
      </w:r>
      <w:r>
        <w:rPr>
          <w:rFonts w:ascii="Times New Roman" w:hAnsi="Times New Roman" w:cs="Times New Roman"/>
          <w:sz w:val="24"/>
          <w:szCs w:val="24"/>
        </w:rPr>
        <w:t>necessary</w:t>
      </w:r>
      <w:r w:rsidRPr="00E60789">
        <w:rPr>
          <w:rFonts w:ascii="Times New Roman" w:hAnsi="Times New Roman" w:cs="Times New Roman"/>
          <w:sz w:val="24"/>
          <w:szCs w:val="24"/>
        </w:rPr>
        <w:t xml:space="preserve"> to clearly define the risks needing to be covered:</w:t>
      </w:r>
    </w:p>
    <w:p w:rsidR="00E60789" w:rsidRPr="00E60789" w:rsidRDefault="00E60789" w:rsidP="00E60789">
      <w:pPr>
        <w:pStyle w:val="ListParagraph"/>
        <w:numPr>
          <w:ilvl w:val="0"/>
          <w:numId w:val="4"/>
        </w:numPr>
      </w:pPr>
      <w:r w:rsidRPr="00E60789">
        <w:t>Equipment</w:t>
      </w:r>
    </w:p>
    <w:p w:rsidR="00E60789" w:rsidRPr="00E60789" w:rsidRDefault="00E60789" w:rsidP="00E60789">
      <w:pPr>
        <w:pStyle w:val="ListParagraph"/>
        <w:numPr>
          <w:ilvl w:val="0"/>
          <w:numId w:val="4"/>
        </w:numPr>
      </w:pPr>
      <w:r w:rsidRPr="00E60789">
        <w:t>Liability</w:t>
      </w:r>
    </w:p>
    <w:p w:rsidR="00E60789" w:rsidRPr="00E60789" w:rsidRDefault="00E60789" w:rsidP="00E60789">
      <w:pPr>
        <w:pStyle w:val="ListParagraph"/>
        <w:numPr>
          <w:ilvl w:val="0"/>
          <w:numId w:val="4"/>
        </w:numPr>
      </w:pPr>
      <w:r w:rsidRPr="00E60789">
        <w:t>Utility system</w:t>
      </w:r>
    </w:p>
    <w:p w:rsidR="00E60789" w:rsidRPr="00E60789" w:rsidRDefault="00E60789" w:rsidP="00E60789">
      <w:pPr>
        <w:pStyle w:val="ListParagraph"/>
        <w:numPr>
          <w:ilvl w:val="0"/>
          <w:numId w:val="4"/>
        </w:numPr>
      </w:pPr>
      <w:r w:rsidRPr="00E60789">
        <w:t>Operations</w:t>
      </w:r>
    </w:p>
    <w:p w:rsidR="00E60789" w:rsidRPr="00E60789" w:rsidRDefault="00E60789" w:rsidP="00E60789">
      <w:pPr>
        <w:pStyle w:val="ListParagraph"/>
        <w:numPr>
          <w:ilvl w:val="0"/>
          <w:numId w:val="4"/>
        </w:numPr>
      </w:pPr>
      <w:r w:rsidRPr="00E60789">
        <w:t>Deep pocket</w:t>
      </w:r>
    </w:p>
    <w:p w:rsidR="00E60789" w:rsidRPr="00E60789" w:rsidRDefault="00E60789" w:rsidP="00E60789">
      <w:pPr>
        <w:pStyle w:val="ListParagraph"/>
        <w:numPr>
          <w:ilvl w:val="0"/>
          <w:numId w:val="4"/>
        </w:numPr>
      </w:pPr>
      <w:r w:rsidRPr="00E60789">
        <w:t>New technology</w:t>
      </w:r>
    </w:p>
    <w:p w:rsidR="00373DE9" w:rsidRDefault="00373DE9" w:rsidP="00373DE9">
      <w:pPr>
        <w:spacing w:after="0"/>
        <w:rPr>
          <w:rFonts w:ascii="Times New Roman" w:hAnsi="Times New Roman" w:cs="Times New Roman"/>
          <w:sz w:val="24"/>
          <w:szCs w:val="24"/>
        </w:rPr>
      </w:pPr>
    </w:p>
    <w:p w:rsidR="00E60789" w:rsidRPr="00E60789" w:rsidRDefault="00E60789" w:rsidP="00E60789">
      <w:pPr>
        <w:rPr>
          <w:rFonts w:ascii="Times New Roman" w:hAnsi="Times New Roman" w:cs="Times New Roman"/>
          <w:sz w:val="24"/>
          <w:szCs w:val="24"/>
        </w:rPr>
      </w:pPr>
      <w:r>
        <w:rPr>
          <w:rFonts w:ascii="Times New Roman" w:hAnsi="Times New Roman" w:cs="Times New Roman"/>
          <w:sz w:val="24"/>
          <w:szCs w:val="24"/>
        </w:rPr>
        <w:t>The Interconnection Standards</w:t>
      </w:r>
      <w:r w:rsidR="001B34FF">
        <w:rPr>
          <w:rFonts w:ascii="Times New Roman" w:hAnsi="Times New Roman" w:cs="Times New Roman"/>
          <w:sz w:val="24"/>
          <w:szCs w:val="24"/>
        </w:rPr>
        <w:t xml:space="preserve"> </w:t>
      </w:r>
      <w:r>
        <w:rPr>
          <w:rFonts w:ascii="Times New Roman" w:hAnsi="Times New Roman" w:cs="Times New Roman"/>
          <w:sz w:val="24"/>
          <w:szCs w:val="24"/>
        </w:rPr>
        <w:t>Workgroup encourages those parties that are interested to initiate this discussion, but is beyond the scope of our charge.</w:t>
      </w:r>
      <w:r w:rsidR="003F5C82">
        <w:rPr>
          <w:rFonts w:ascii="Times New Roman" w:hAnsi="Times New Roman" w:cs="Times New Roman"/>
          <w:sz w:val="24"/>
          <w:szCs w:val="24"/>
        </w:rPr>
        <w:t xml:space="preserve"> The recommended model rule does not make changes to the current rule language that leaves the decision to require additional liability insurance to each utility. </w:t>
      </w:r>
    </w:p>
    <w:p w:rsidR="00A40557" w:rsidRPr="00EB27B4" w:rsidRDefault="00A40557" w:rsidP="00E60789">
      <w:pPr>
        <w:rPr>
          <w:rFonts w:ascii="Times New Roman" w:hAnsi="Times New Roman" w:cs="Times New Roman"/>
          <w:sz w:val="24"/>
          <w:szCs w:val="24"/>
        </w:rPr>
      </w:pPr>
      <w:r w:rsidRPr="00EB27B4">
        <w:rPr>
          <w:rFonts w:ascii="Times New Roman" w:hAnsi="Times New Roman" w:cs="Times New Roman"/>
          <w:sz w:val="24"/>
          <w:szCs w:val="24"/>
          <w:u w:val="single"/>
        </w:rPr>
        <w:t xml:space="preserve">Streamlining the </w:t>
      </w:r>
      <w:r w:rsidR="00E60789" w:rsidRPr="00EB27B4">
        <w:rPr>
          <w:rFonts w:ascii="Times New Roman" w:hAnsi="Times New Roman" w:cs="Times New Roman"/>
          <w:sz w:val="24"/>
          <w:szCs w:val="24"/>
          <w:u w:val="single"/>
        </w:rPr>
        <w:t xml:space="preserve">Application </w:t>
      </w:r>
      <w:r w:rsidRPr="00EB27B4">
        <w:rPr>
          <w:rFonts w:ascii="Times New Roman" w:hAnsi="Times New Roman" w:cs="Times New Roman"/>
          <w:sz w:val="24"/>
          <w:szCs w:val="24"/>
          <w:u w:val="single"/>
        </w:rPr>
        <w:t>Process</w:t>
      </w:r>
    </w:p>
    <w:p w:rsidR="00E60789" w:rsidRDefault="00BA0FED" w:rsidP="00E60789">
      <w:pPr>
        <w:rPr>
          <w:rFonts w:ascii="Times New Roman" w:hAnsi="Times New Roman" w:cs="Times New Roman"/>
          <w:sz w:val="24"/>
          <w:szCs w:val="24"/>
        </w:rPr>
      </w:pPr>
      <w:r>
        <w:rPr>
          <w:rFonts w:ascii="Times New Roman" w:hAnsi="Times New Roman" w:cs="Times New Roman"/>
          <w:sz w:val="24"/>
          <w:szCs w:val="24"/>
        </w:rPr>
        <w:t xml:space="preserve">Current UTC and COU </w:t>
      </w:r>
      <w:r w:rsidR="004D79FA">
        <w:rPr>
          <w:rFonts w:ascii="Times New Roman" w:hAnsi="Times New Roman" w:cs="Times New Roman"/>
          <w:sz w:val="24"/>
          <w:szCs w:val="24"/>
        </w:rPr>
        <w:t xml:space="preserve">interconnection </w:t>
      </w:r>
      <w:r>
        <w:rPr>
          <w:rFonts w:ascii="Times New Roman" w:hAnsi="Times New Roman" w:cs="Times New Roman"/>
          <w:sz w:val="24"/>
          <w:szCs w:val="24"/>
        </w:rPr>
        <w:t xml:space="preserve">rules contain a table with various sizes and types of facilities linked with certain requirements that generally categorize facilities, with caveats contained in multiple footnotes below the table. The Technical Committee reviewed the table and came to the conclusion that the footnotes created more confusion </w:t>
      </w:r>
      <w:r>
        <w:rPr>
          <w:rFonts w:ascii="Times New Roman" w:hAnsi="Times New Roman" w:cs="Times New Roman"/>
          <w:sz w:val="24"/>
          <w:szCs w:val="24"/>
        </w:rPr>
        <w:lastRenderedPageBreak/>
        <w:t>than clarity. Accordingly, the Workgroup</w:t>
      </w:r>
      <w:r w:rsidR="004D79FA">
        <w:rPr>
          <w:rFonts w:ascii="Times New Roman" w:hAnsi="Times New Roman" w:cs="Times New Roman"/>
          <w:sz w:val="24"/>
          <w:szCs w:val="24"/>
        </w:rPr>
        <w:t xml:space="preserve"> did determine that our application process could use streamlining, benefitting both the utility and applicant by providing greater efficiency and clarity to the application </w:t>
      </w:r>
      <w:r w:rsidR="00D8569B">
        <w:rPr>
          <w:rFonts w:ascii="Times New Roman" w:hAnsi="Times New Roman" w:cs="Times New Roman"/>
          <w:sz w:val="24"/>
          <w:szCs w:val="24"/>
        </w:rPr>
        <w:t xml:space="preserve">review and approval </w:t>
      </w:r>
      <w:r w:rsidR="004D79FA">
        <w:rPr>
          <w:rFonts w:ascii="Times New Roman" w:hAnsi="Times New Roman" w:cs="Times New Roman"/>
          <w:sz w:val="24"/>
          <w:szCs w:val="24"/>
        </w:rPr>
        <w:t>process. We</w:t>
      </w:r>
      <w:r>
        <w:rPr>
          <w:rFonts w:ascii="Times New Roman" w:hAnsi="Times New Roman" w:cs="Times New Roman"/>
          <w:sz w:val="24"/>
          <w:szCs w:val="24"/>
        </w:rPr>
        <w:t xml:space="preserve"> reviewed several states that IREC proposed as potential models to follow. The</w:t>
      </w:r>
      <w:r w:rsidR="00EB27B4">
        <w:rPr>
          <w:rFonts w:ascii="Times New Roman" w:hAnsi="Times New Roman" w:cs="Times New Roman"/>
          <w:sz w:val="24"/>
          <w:szCs w:val="24"/>
        </w:rPr>
        <w:t xml:space="preserve"> Workgroup chose Oregon’s model</w:t>
      </w:r>
      <w:r>
        <w:rPr>
          <w:rFonts w:ascii="Times New Roman" w:hAnsi="Times New Roman" w:cs="Times New Roman"/>
          <w:sz w:val="24"/>
          <w:szCs w:val="24"/>
        </w:rPr>
        <w:t xml:space="preserve"> as </w:t>
      </w:r>
      <w:r w:rsidR="00644DB8">
        <w:rPr>
          <w:rFonts w:ascii="Times New Roman" w:hAnsi="Times New Roman" w:cs="Times New Roman"/>
          <w:sz w:val="24"/>
          <w:szCs w:val="24"/>
        </w:rPr>
        <w:t xml:space="preserve">a starting point </w:t>
      </w:r>
      <w:r>
        <w:rPr>
          <w:rFonts w:ascii="Times New Roman" w:hAnsi="Times New Roman" w:cs="Times New Roman"/>
          <w:sz w:val="24"/>
          <w:szCs w:val="24"/>
        </w:rPr>
        <w:t xml:space="preserve">for our </w:t>
      </w:r>
      <w:r w:rsidR="004D79FA">
        <w:rPr>
          <w:rFonts w:ascii="Times New Roman" w:hAnsi="Times New Roman" w:cs="Times New Roman"/>
          <w:sz w:val="24"/>
          <w:szCs w:val="24"/>
        </w:rPr>
        <w:t>recommended streamlined process</w:t>
      </w:r>
      <w:r>
        <w:rPr>
          <w:rFonts w:ascii="Times New Roman" w:hAnsi="Times New Roman" w:cs="Times New Roman"/>
          <w:sz w:val="24"/>
          <w:szCs w:val="24"/>
        </w:rPr>
        <w:t>.</w:t>
      </w:r>
    </w:p>
    <w:p w:rsidR="00D8569B" w:rsidRDefault="00BA0FED" w:rsidP="00E60789">
      <w:pPr>
        <w:rPr>
          <w:rFonts w:ascii="Times New Roman" w:hAnsi="Times New Roman" w:cs="Times New Roman"/>
          <w:sz w:val="24"/>
          <w:szCs w:val="24"/>
        </w:rPr>
      </w:pPr>
      <w:r>
        <w:rPr>
          <w:rFonts w:ascii="Times New Roman" w:hAnsi="Times New Roman" w:cs="Times New Roman"/>
          <w:sz w:val="24"/>
          <w:szCs w:val="24"/>
        </w:rPr>
        <w:t xml:space="preserve">The recommended process in </w:t>
      </w:r>
      <w:r w:rsidR="00D8569B">
        <w:rPr>
          <w:rFonts w:ascii="Times New Roman" w:hAnsi="Times New Roman" w:cs="Times New Roman"/>
          <w:sz w:val="24"/>
          <w:szCs w:val="24"/>
        </w:rPr>
        <w:t>this</w:t>
      </w:r>
      <w:r>
        <w:rPr>
          <w:rFonts w:ascii="Times New Roman" w:hAnsi="Times New Roman" w:cs="Times New Roman"/>
          <w:sz w:val="24"/>
          <w:szCs w:val="24"/>
        </w:rPr>
        <w:t xml:space="preserve"> Model Rule consists of </w:t>
      </w:r>
      <w:r w:rsidR="004D79FA">
        <w:rPr>
          <w:rFonts w:ascii="Times New Roman" w:hAnsi="Times New Roman" w:cs="Times New Roman"/>
          <w:sz w:val="24"/>
          <w:szCs w:val="24"/>
        </w:rPr>
        <w:t xml:space="preserve">three Tiers that a </w:t>
      </w:r>
      <w:r w:rsidR="00D8569B">
        <w:rPr>
          <w:rFonts w:ascii="Times New Roman" w:hAnsi="Times New Roman" w:cs="Times New Roman"/>
          <w:sz w:val="24"/>
          <w:szCs w:val="24"/>
        </w:rPr>
        <w:t>proposed project could fit into and the utility w</w:t>
      </w:r>
      <w:r w:rsidR="004D79FA">
        <w:rPr>
          <w:rFonts w:ascii="Times New Roman" w:hAnsi="Times New Roman" w:cs="Times New Roman"/>
          <w:sz w:val="24"/>
          <w:szCs w:val="24"/>
        </w:rPr>
        <w:t>ould utilize for review and approval</w:t>
      </w:r>
      <w:r>
        <w:rPr>
          <w:rFonts w:ascii="Times New Roman" w:hAnsi="Times New Roman" w:cs="Times New Roman"/>
          <w:sz w:val="24"/>
          <w:szCs w:val="24"/>
        </w:rPr>
        <w:t>. Tier 1 and Tier 2 contain applicability screens</w:t>
      </w:r>
      <w:r w:rsidR="004D79FA">
        <w:rPr>
          <w:rFonts w:ascii="Times New Roman" w:hAnsi="Times New Roman" w:cs="Times New Roman"/>
          <w:sz w:val="24"/>
          <w:szCs w:val="24"/>
        </w:rPr>
        <w:t>, both in text and flow charts</w:t>
      </w:r>
      <w:r w:rsidR="00EB27B4">
        <w:rPr>
          <w:rStyle w:val="FootnoteReference"/>
          <w:rFonts w:ascii="Times New Roman" w:hAnsi="Times New Roman" w:cs="Times New Roman"/>
          <w:sz w:val="24"/>
          <w:szCs w:val="24"/>
        </w:rPr>
        <w:footnoteReference w:id="3"/>
      </w:r>
      <w:r w:rsidR="002A05A2">
        <w:rPr>
          <w:rFonts w:ascii="Times New Roman" w:hAnsi="Times New Roman" w:cs="Times New Roman"/>
          <w:sz w:val="24"/>
          <w:szCs w:val="24"/>
        </w:rPr>
        <w:t>, process timelines, technical requirements and the completion process</w:t>
      </w:r>
      <w:r>
        <w:rPr>
          <w:rFonts w:ascii="Times New Roman" w:hAnsi="Times New Roman" w:cs="Times New Roman"/>
          <w:sz w:val="24"/>
          <w:szCs w:val="24"/>
        </w:rPr>
        <w:t>.</w:t>
      </w:r>
      <w:r w:rsidR="002A05A2">
        <w:rPr>
          <w:rFonts w:ascii="Times New Roman" w:hAnsi="Times New Roman" w:cs="Times New Roman"/>
          <w:sz w:val="24"/>
          <w:szCs w:val="24"/>
        </w:rPr>
        <w:t xml:space="preserve"> Tier 3 includes the same screens timelines and processes, and also contains a list of studies that may be required depending upon characteristics and location of the generation facility being proposed.</w:t>
      </w:r>
      <w:r>
        <w:rPr>
          <w:rFonts w:ascii="Times New Roman" w:hAnsi="Times New Roman" w:cs="Times New Roman"/>
          <w:sz w:val="24"/>
          <w:szCs w:val="24"/>
        </w:rPr>
        <w:t xml:space="preserve"> </w:t>
      </w:r>
    </w:p>
    <w:p w:rsidR="00810108" w:rsidRDefault="00BA0FED" w:rsidP="00EB27B4">
      <w:pPr>
        <w:rPr>
          <w:rFonts w:ascii="Times New Roman" w:hAnsi="Times New Roman" w:cs="Times New Roman"/>
          <w:sz w:val="24"/>
          <w:szCs w:val="24"/>
        </w:rPr>
      </w:pPr>
      <w:r w:rsidRPr="00346F3A">
        <w:rPr>
          <w:rFonts w:ascii="Times New Roman" w:hAnsi="Times New Roman" w:cs="Times New Roman"/>
          <w:b/>
          <w:sz w:val="24"/>
          <w:szCs w:val="24"/>
        </w:rPr>
        <w:t>Tier 1</w:t>
      </w:r>
      <w:r>
        <w:rPr>
          <w:rFonts w:ascii="Times New Roman" w:hAnsi="Times New Roman" w:cs="Times New Roman"/>
          <w:sz w:val="24"/>
          <w:szCs w:val="24"/>
        </w:rPr>
        <w:t xml:space="preserve"> is for </w:t>
      </w:r>
      <w:r w:rsidR="00810108">
        <w:rPr>
          <w:rFonts w:ascii="Times New Roman" w:hAnsi="Times New Roman" w:cs="Times New Roman"/>
          <w:sz w:val="24"/>
          <w:szCs w:val="24"/>
        </w:rPr>
        <w:t xml:space="preserve">simple </w:t>
      </w:r>
      <w:r>
        <w:rPr>
          <w:rFonts w:ascii="Times New Roman" w:hAnsi="Times New Roman" w:cs="Times New Roman"/>
          <w:sz w:val="24"/>
          <w:szCs w:val="24"/>
        </w:rPr>
        <w:t xml:space="preserve">inverter-based </w:t>
      </w:r>
      <w:r w:rsidR="00810108">
        <w:rPr>
          <w:rFonts w:ascii="Times New Roman" w:hAnsi="Times New Roman" w:cs="Times New Roman"/>
          <w:sz w:val="24"/>
          <w:szCs w:val="24"/>
        </w:rPr>
        <w:t xml:space="preserve">single phase </w:t>
      </w:r>
      <w:r>
        <w:rPr>
          <w:rFonts w:ascii="Times New Roman" w:hAnsi="Times New Roman" w:cs="Times New Roman"/>
          <w:sz w:val="24"/>
          <w:szCs w:val="24"/>
        </w:rPr>
        <w:t>generation facilities of 25 kW or less</w:t>
      </w:r>
      <w:r w:rsidR="00810108">
        <w:rPr>
          <w:rFonts w:ascii="Times New Roman" w:hAnsi="Times New Roman" w:cs="Times New Roman"/>
          <w:sz w:val="24"/>
          <w:szCs w:val="24"/>
        </w:rPr>
        <w:t>, connected through a single phase transformer at secondary voltages (600 V class)</w:t>
      </w:r>
      <w:r>
        <w:rPr>
          <w:rFonts w:ascii="Times New Roman" w:hAnsi="Times New Roman" w:cs="Times New Roman"/>
          <w:sz w:val="24"/>
          <w:szCs w:val="24"/>
        </w:rPr>
        <w:t xml:space="preserve"> and</w:t>
      </w:r>
      <w:r w:rsidR="002A05A2">
        <w:rPr>
          <w:rFonts w:ascii="Times New Roman" w:hAnsi="Times New Roman" w:cs="Times New Roman"/>
          <w:sz w:val="24"/>
          <w:szCs w:val="24"/>
        </w:rPr>
        <w:t xml:space="preserve"> certain other characteristics. The complete application process, through approval</w:t>
      </w:r>
      <w:r w:rsidR="009E13A3">
        <w:rPr>
          <w:rFonts w:ascii="Times New Roman" w:hAnsi="Times New Roman" w:cs="Times New Roman"/>
          <w:sz w:val="24"/>
          <w:szCs w:val="24"/>
        </w:rPr>
        <w:t xml:space="preserve"> or disapproval</w:t>
      </w:r>
      <w:r w:rsidR="002A05A2">
        <w:rPr>
          <w:rFonts w:ascii="Times New Roman" w:hAnsi="Times New Roman" w:cs="Times New Roman"/>
          <w:sz w:val="24"/>
          <w:szCs w:val="24"/>
        </w:rPr>
        <w:t xml:space="preserve">, will take about 35 business days or less, provided the submitted application is complete. The applicant has one year after approval </w:t>
      </w:r>
      <w:r w:rsidR="009E13A3">
        <w:rPr>
          <w:rFonts w:ascii="Times New Roman" w:hAnsi="Times New Roman" w:cs="Times New Roman"/>
          <w:sz w:val="24"/>
          <w:szCs w:val="24"/>
        </w:rPr>
        <w:t xml:space="preserve">of the application </w:t>
      </w:r>
      <w:r w:rsidR="002A05A2">
        <w:rPr>
          <w:rFonts w:ascii="Times New Roman" w:hAnsi="Times New Roman" w:cs="Times New Roman"/>
          <w:sz w:val="24"/>
          <w:szCs w:val="24"/>
        </w:rPr>
        <w:t>to interconnect and begin operation of the facility</w:t>
      </w:r>
      <w:r w:rsidR="009E13A3">
        <w:rPr>
          <w:rFonts w:ascii="Times New Roman" w:hAnsi="Times New Roman" w:cs="Times New Roman"/>
          <w:sz w:val="24"/>
          <w:szCs w:val="24"/>
        </w:rPr>
        <w:t xml:space="preserve"> or the application expires</w:t>
      </w:r>
      <w:r w:rsidR="002A05A2">
        <w:rPr>
          <w:rFonts w:ascii="Times New Roman" w:hAnsi="Times New Roman" w:cs="Times New Roman"/>
          <w:sz w:val="24"/>
          <w:szCs w:val="24"/>
        </w:rPr>
        <w:t xml:space="preserve">. The requirement for a visible, </w:t>
      </w:r>
      <w:r w:rsidR="00961A35">
        <w:rPr>
          <w:rFonts w:ascii="Times New Roman" w:hAnsi="Times New Roman" w:cs="Times New Roman"/>
          <w:sz w:val="24"/>
          <w:szCs w:val="24"/>
        </w:rPr>
        <w:t>lockable</w:t>
      </w:r>
      <w:r w:rsidR="002A05A2">
        <w:rPr>
          <w:rFonts w:ascii="Times New Roman" w:hAnsi="Times New Roman" w:cs="Times New Roman"/>
          <w:sz w:val="24"/>
          <w:szCs w:val="24"/>
        </w:rPr>
        <w:t xml:space="preserve"> AC disconnect switch is waived at the utility’s option for inverter-based facilities of 5 kW or less, provided they are interconnected through a</w:t>
      </w:r>
      <w:r w:rsidR="00961A35">
        <w:rPr>
          <w:rFonts w:ascii="Times New Roman" w:hAnsi="Times New Roman" w:cs="Times New Roman"/>
          <w:sz w:val="24"/>
          <w:szCs w:val="24"/>
        </w:rPr>
        <w:t xml:space="preserve"> self-contained socket based meter of 320 amps or less, the interconnection customer agrees to allow the utility to disconnect the facility through other means, and further agrees to test and maintain the inverter in accordance with the manufacturer’s guidelines</w:t>
      </w:r>
      <w:r w:rsidR="00961A35">
        <w:rPr>
          <w:rStyle w:val="FootnoteReference"/>
          <w:rFonts w:ascii="Times New Roman" w:hAnsi="Times New Roman" w:cs="Times New Roman"/>
          <w:sz w:val="24"/>
          <w:szCs w:val="24"/>
        </w:rPr>
        <w:footnoteReference w:id="4"/>
      </w:r>
      <w:r w:rsidR="00961A35">
        <w:rPr>
          <w:rFonts w:ascii="Times New Roman" w:hAnsi="Times New Roman" w:cs="Times New Roman"/>
          <w:sz w:val="24"/>
          <w:szCs w:val="24"/>
        </w:rPr>
        <w:t>, and in the absence of such documentation, agrees that the utility may disconnect the facility and require replacing the inverter and further may require the installation of a disconnect switch.</w:t>
      </w:r>
    </w:p>
    <w:p w:rsidR="002A05A2" w:rsidRDefault="00BA0FED" w:rsidP="00EB27B4">
      <w:pPr>
        <w:rPr>
          <w:rFonts w:ascii="Times New Roman" w:hAnsi="Times New Roman" w:cs="Times New Roman"/>
          <w:sz w:val="24"/>
          <w:szCs w:val="24"/>
        </w:rPr>
      </w:pPr>
      <w:r w:rsidRPr="00346F3A">
        <w:rPr>
          <w:rFonts w:ascii="Times New Roman" w:hAnsi="Times New Roman" w:cs="Times New Roman"/>
          <w:b/>
          <w:sz w:val="24"/>
          <w:szCs w:val="24"/>
        </w:rPr>
        <w:t>Tier 2</w:t>
      </w:r>
      <w:r>
        <w:rPr>
          <w:rFonts w:ascii="Times New Roman" w:hAnsi="Times New Roman" w:cs="Times New Roman"/>
          <w:sz w:val="24"/>
          <w:szCs w:val="24"/>
        </w:rPr>
        <w:t xml:space="preserve"> is for generation facilities </w:t>
      </w:r>
      <w:r w:rsidR="002A05A2">
        <w:rPr>
          <w:rFonts w:ascii="Times New Roman" w:hAnsi="Times New Roman" w:cs="Times New Roman"/>
          <w:sz w:val="24"/>
          <w:szCs w:val="24"/>
        </w:rPr>
        <w:t xml:space="preserve">that do not meet Tier 1 criteria, have </w:t>
      </w:r>
      <w:r w:rsidR="00346F3A">
        <w:rPr>
          <w:rFonts w:ascii="Times New Roman" w:hAnsi="Times New Roman" w:cs="Times New Roman"/>
          <w:sz w:val="24"/>
          <w:szCs w:val="24"/>
        </w:rPr>
        <w:t xml:space="preserve">a </w:t>
      </w:r>
      <w:r w:rsidR="002A05A2">
        <w:rPr>
          <w:rFonts w:ascii="Times New Roman" w:hAnsi="Times New Roman" w:cs="Times New Roman"/>
          <w:sz w:val="24"/>
          <w:szCs w:val="24"/>
        </w:rPr>
        <w:t xml:space="preserve">nameplate rating </w:t>
      </w:r>
      <w:r>
        <w:rPr>
          <w:rFonts w:ascii="Times New Roman" w:hAnsi="Times New Roman" w:cs="Times New Roman"/>
          <w:sz w:val="24"/>
          <w:szCs w:val="24"/>
        </w:rPr>
        <w:t>of 500 kW or less</w:t>
      </w:r>
      <w:r w:rsidR="00346F3A">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2A05A2">
        <w:rPr>
          <w:rFonts w:ascii="Times New Roman" w:hAnsi="Times New Roman" w:cs="Times New Roman"/>
          <w:sz w:val="24"/>
          <w:szCs w:val="24"/>
        </w:rPr>
        <w:t>is proposed for interconnection to a distribution system in the 38 kV (or less) Class, would require only minor upgrades, if any, to the distribution system, and has other limits on the impact and loading of the distribution system at the point of interconnection. The application process, through approval</w:t>
      </w:r>
      <w:r w:rsidR="009E13A3">
        <w:rPr>
          <w:rFonts w:ascii="Times New Roman" w:hAnsi="Times New Roman" w:cs="Times New Roman"/>
          <w:sz w:val="24"/>
          <w:szCs w:val="24"/>
        </w:rPr>
        <w:t xml:space="preserve"> or disapproval</w:t>
      </w:r>
      <w:r w:rsidR="002A05A2">
        <w:rPr>
          <w:rFonts w:ascii="Times New Roman" w:hAnsi="Times New Roman" w:cs="Times New Roman"/>
          <w:sz w:val="24"/>
          <w:szCs w:val="24"/>
        </w:rPr>
        <w:t>, will take about 55 business days or less, provided the submitted application is complete.</w:t>
      </w:r>
      <w:r w:rsidR="00961A35">
        <w:rPr>
          <w:rFonts w:ascii="Times New Roman" w:hAnsi="Times New Roman" w:cs="Times New Roman"/>
          <w:sz w:val="24"/>
          <w:szCs w:val="24"/>
        </w:rPr>
        <w:t xml:space="preserve"> </w:t>
      </w:r>
      <w:r w:rsidR="00346F3A">
        <w:rPr>
          <w:rFonts w:ascii="Times New Roman" w:hAnsi="Times New Roman" w:cs="Times New Roman"/>
          <w:sz w:val="24"/>
          <w:szCs w:val="24"/>
        </w:rPr>
        <w:t xml:space="preserve">Once the application has been approved, the applicant has one year to begin operation of the facility or the application expires. </w:t>
      </w:r>
      <w:r w:rsidR="00961A35">
        <w:rPr>
          <w:rFonts w:ascii="Times New Roman" w:hAnsi="Times New Roman" w:cs="Times New Roman"/>
          <w:sz w:val="24"/>
          <w:szCs w:val="24"/>
        </w:rPr>
        <w:t>A disconnect switch is required in all cases</w:t>
      </w:r>
      <w:r w:rsidR="00346F3A">
        <w:rPr>
          <w:rFonts w:ascii="Times New Roman" w:hAnsi="Times New Roman" w:cs="Times New Roman"/>
          <w:sz w:val="24"/>
          <w:szCs w:val="24"/>
        </w:rPr>
        <w:t xml:space="preserve"> for Tier 2 projects. </w:t>
      </w:r>
    </w:p>
    <w:p w:rsidR="000E5E9D" w:rsidRDefault="00BA0FED" w:rsidP="00EB27B4">
      <w:pPr>
        <w:rPr>
          <w:rFonts w:ascii="Times New Roman" w:hAnsi="Times New Roman" w:cs="Times New Roman"/>
          <w:sz w:val="24"/>
          <w:szCs w:val="24"/>
        </w:rPr>
      </w:pPr>
      <w:r w:rsidRPr="00346F3A">
        <w:rPr>
          <w:rFonts w:ascii="Times New Roman" w:hAnsi="Times New Roman" w:cs="Times New Roman"/>
          <w:b/>
          <w:sz w:val="24"/>
          <w:szCs w:val="24"/>
        </w:rPr>
        <w:lastRenderedPageBreak/>
        <w:t>Tier 3</w:t>
      </w:r>
      <w:r>
        <w:rPr>
          <w:rFonts w:ascii="Times New Roman" w:hAnsi="Times New Roman" w:cs="Times New Roman"/>
          <w:sz w:val="24"/>
          <w:szCs w:val="24"/>
        </w:rPr>
        <w:t xml:space="preserve"> is for all other projects</w:t>
      </w:r>
      <w:r w:rsidR="00961A35">
        <w:rPr>
          <w:rFonts w:ascii="Times New Roman" w:hAnsi="Times New Roman" w:cs="Times New Roman"/>
          <w:sz w:val="24"/>
          <w:szCs w:val="24"/>
        </w:rPr>
        <w:t xml:space="preserve"> up to 20 MW proposing to interconnect to a utility’s distribution system. The Tier 3 application process</w:t>
      </w:r>
      <w:r w:rsidR="009D6D1F">
        <w:rPr>
          <w:rFonts w:ascii="Times New Roman" w:hAnsi="Times New Roman" w:cs="Times New Roman"/>
          <w:sz w:val="24"/>
          <w:szCs w:val="24"/>
        </w:rPr>
        <w:t xml:space="preserve"> is still under final review by the Workgroup</w:t>
      </w:r>
      <w:r w:rsidR="0095550D">
        <w:rPr>
          <w:rStyle w:val="FootnoteReference"/>
          <w:rFonts w:ascii="Times New Roman" w:hAnsi="Times New Roman" w:cs="Times New Roman"/>
          <w:sz w:val="24"/>
          <w:szCs w:val="24"/>
        </w:rPr>
        <w:footnoteReference w:id="6"/>
      </w:r>
      <w:r w:rsidR="00961A35">
        <w:rPr>
          <w:rFonts w:ascii="Times New Roman" w:hAnsi="Times New Roman" w:cs="Times New Roman"/>
          <w:sz w:val="24"/>
          <w:szCs w:val="24"/>
        </w:rPr>
        <w:t>. An application is complete when all information that the utility requires to approve the application has been submitted</w:t>
      </w:r>
      <w:r w:rsidR="00346F3A">
        <w:rPr>
          <w:rFonts w:ascii="Times New Roman" w:hAnsi="Times New Roman" w:cs="Times New Roman"/>
          <w:sz w:val="24"/>
          <w:szCs w:val="24"/>
        </w:rPr>
        <w:t xml:space="preserve"> by the applicant</w:t>
      </w:r>
      <w:r w:rsidR="009D6D1F">
        <w:rPr>
          <w:rFonts w:ascii="Times New Roman" w:hAnsi="Times New Roman" w:cs="Times New Roman"/>
          <w:sz w:val="24"/>
          <w:szCs w:val="24"/>
        </w:rPr>
        <w:t>.</w:t>
      </w:r>
      <w:r w:rsidR="006B59C1">
        <w:rPr>
          <w:rFonts w:ascii="Times New Roman" w:hAnsi="Times New Roman" w:cs="Times New Roman"/>
          <w:sz w:val="24"/>
          <w:szCs w:val="24"/>
        </w:rPr>
        <w:t xml:space="preserve"> </w:t>
      </w:r>
      <w:r w:rsidR="009D6D1F">
        <w:rPr>
          <w:rFonts w:ascii="Times New Roman" w:hAnsi="Times New Roman" w:cs="Times New Roman"/>
          <w:sz w:val="24"/>
          <w:szCs w:val="24"/>
        </w:rPr>
        <w:t>T</w:t>
      </w:r>
      <w:r w:rsidR="00961A35">
        <w:rPr>
          <w:rFonts w:ascii="Times New Roman" w:hAnsi="Times New Roman" w:cs="Times New Roman"/>
          <w:sz w:val="24"/>
          <w:szCs w:val="24"/>
        </w:rPr>
        <w:t xml:space="preserve">he utility </w:t>
      </w:r>
      <w:r w:rsidR="009D6D1F">
        <w:rPr>
          <w:rFonts w:ascii="Times New Roman" w:hAnsi="Times New Roman" w:cs="Times New Roman"/>
          <w:sz w:val="24"/>
          <w:szCs w:val="24"/>
        </w:rPr>
        <w:t xml:space="preserve">then </w:t>
      </w:r>
      <w:r w:rsidR="00961A35">
        <w:rPr>
          <w:rFonts w:ascii="Times New Roman" w:hAnsi="Times New Roman" w:cs="Times New Roman"/>
          <w:sz w:val="24"/>
          <w:szCs w:val="24"/>
        </w:rPr>
        <w:t>identifie</w:t>
      </w:r>
      <w:r w:rsidR="006B59C1">
        <w:rPr>
          <w:rFonts w:ascii="Times New Roman" w:hAnsi="Times New Roman" w:cs="Times New Roman"/>
          <w:sz w:val="24"/>
          <w:szCs w:val="24"/>
        </w:rPr>
        <w:t>s</w:t>
      </w:r>
      <w:r w:rsidR="00961A35">
        <w:rPr>
          <w:rFonts w:ascii="Times New Roman" w:hAnsi="Times New Roman" w:cs="Times New Roman"/>
          <w:sz w:val="24"/>
          <w:szCs w:val="24"/>
        </w:rPr>
        <w:t xml:space="preserve"> the studies that</w:t>
      </w:r>
      <w:r w:rsidR="005C1DDE">
        <w:rPr>
          <w:rFonts w:ascii="Times New Roman" w:hAnsi="Times New Roman" w:cs="Times New Roman"/>
          <w:sz w:val="24"/>
          <w:szCs w:val="24"/>
        </w:rPr>
        <w:t xml:space="preserve"> will be required</w:t>
      </w:r>
      <w:r w:rsidR="00961A35">
        <w:rPr>
          <w:rFonts w:ascii="Times New Roman" w:hAnsi="Times New Roman" w:cs="Times New Roman"/>
          <w:sz w:val="24"/>
          <w:szCs w:val="24"/>
        </w:rPr>
        <w:t xml:space="preserve"> to provide the information the utility and applicant will need to </w:t>
      </w:r>
      <w:r w:rsidR="000E5E9D">
        <w:rPr>
          <w:rFonts w:ascii="Times New Roman" w:hAnsi="Times New Roman" w:cs="Times New Roman"/>
          <w:sz w:val="24"/>
          <w:szCs w:val="24"/>
        </w:rPr>
        <w:t xml:space="preserve">determine </w:t>
      </w:r>
      <w:r w:rsidR="00961A35">
        <w:rPr>
          <w:rFonts w:ascii="Times New Roman" w:hAnsi="Times New Roman" w:cs="Times New Roman"/>
          <w:sz w:val="24"/>
          <w:szCs w:val="24"/>
        </w:rPr>
        <w:t xml:space="preserve">technical requirements for interconnection. </w:t>
      </w:r>
    </w:p>
    <w:p w:rsidR="00BA0FED" w:rsidRPr="00E60789" w:rsidRDefault="00961A35" w:rsidP="000E5E9D">
      <w:pPr>
        <w:rPr>
          <w:rFonts w:ascii="Times New Roman" w:hAnsi="Times New Roman" w:cs="Times New Roman"/>
          <w:sz w:val="24"/>
          <w:szCs w:val="24"/>
        </w:rPr>
      </w:pPr>
      <w:r>
        <w:rPr>
          <w:rFonts w:ascii="Times New Roman" w:hAnsi="Times New Roman" w:cs="Times New Roman"/>
          <w:sz w:val="24"/>
          <w:szCs w:val="24"/>
        </w:rPr>
        <w:t>Once the applicant has agreed to the studies and made provisions for pa</w:t>
      </w:r>
      <w:r w:rsidR="00346F3A">
        <w:rPr>
          <w:rFonts w:ascii="Times New Roman" w:hAnsi="Times New Roman" w:cs="Times New Roman"/>
          <w:sz w:val="24"/>
          <w:szCs w:val="24"/>
        </w:rPr>
        <w:t>yment, the utility</w:t>
      </w:r>
      <w:r w:rsidR="00F23CE6">
        <w:rPr>
          <w:rFonts w:ascii="Times New Roman" w:hAnsi="Times New Roman" w:cs="Times New Roman"/>
          <w:sz w:val="24"/>
          <w:szCs w:val="24"/>
        </w:rPr>
        <w:t xml:space="preserve"> completes</w:t>
      </w:r>
      <w:r>
        <w:rPr>
          <w:rFonts w:ascii="Times New Roman" w:hAnsi="Times New Roman" w:cs="Times New Roman"/>
          <w:sz w:val="24"/>
          <w:szCs w:val="24"/>
        </w:rPr>
        <w:t xml:space="preserve"> the studies </w:t>
      </w:r>
      <w:r w:rsidR="00346F3A">
        <w:rPr>
          <w:rFonts w:ascii="Times New Roman" w:hAnsi="Times New Roman" w:cs="Times New Roman"/>
          <w:sz w:val="24"/>
          <w:szCs w:val="24"/>
        </w:rPr>
        <w:t xml:space="preserve">on a timeline consistent with other service requests. </w:t>
      </w:r>
      <w:r w:rsidR="006B59C1">
        <w:rPr>
          <w:rFonts w:ascii="Times New Roman" w:hAnsi="Times New Roman" w:cs="Times New Roman"/>
          <w:sz w:val="24"/>
          <w:szCs w:val="24"/>
        </w:rPr>
        <w:t>T</w:t>
      </w:r>
      <w:r w:rsidR="00346F3A">
        <w:rPr>
          <w:rFonts w:ascii="Times New Roman" w:hAnsi="Times New Roman" w:cs="Times New Roman"/>
          <w:sz w:val="24"/>
          <w:szCs w:val="24"/>
        </w:rPr>
        <w:t>he utility shall</w:t>
      </w:r>
      <w:r w:rsidR="009D6D1F">
        <w:rPr>
          <w:rFonts w:ascii="Times New Roman" w:hAnsi="Times New Roman" w:cs="Times New Roman"/>
          <w:sz w:val="24"/>
          <w:szCs w:val="24"/>
        </w:rPr>
        <w:t xml:space="preserve"> offer an Interconnection Agreement </w:t>
      </w:r>
      <w:r w:rsidR="006B59C1">
        <w:rPr>
          <w:rFonts w:ascii="Times New Roman" w:hAnsi="Times New Roman" w:cs="Times New Roman"/>
          <w:sz w:val="24"/>
          <w:szCs w:val="24"/>
        </w:rPr>
        <w:t xml:space="preserve">(IA) </w:t>
      </w:r>
      <w:r w:rsidR="009D6D1F">
        <w:rPr>
          <w:rFonts w:ascii="Times New Roman" w:hAnsi="Times New Roman" w:cs="Times New Roman"/>
          <w:sz w:val="24"/>
          <w:szCs w:val="24"/>
        </w:rPr>
        <w:t>to the applicant</w:t>
      </w:r>
      <w:r w:rsidR="006B59C1">
        <w:rPr>
          <w:rFonts w:ascii="Times New Roman" w:hAnsi="Times New Roman" w:cs="Times New Roman"/>
          <w:sz w:val="24"/>
          <w:szCs w:val="24"/>
        </w:rPr>
        <w:t xml:space="preserve">, negotiate any changes if appropriate, the applicant and utility execute the </w:t>
      </w:r>
      <w:proofErr w:type="gramStart"/>
      <w:r w:rsidR="006B59C1">
        <w:rPr>
          <w:rFonts w:ascii="Times New Roman" w:hAnsi="Times New Roman" w:cs="Times New Roman"/>
          <w:sz w:val="24"/>
          <w:szCs w:val="24"/>
        </w:rPr>
        <w:t>IA</w:t>
      </w:r>
      <w:r w:rsidR="009D6D1F">
        <w:rPr>
          <w:rFonts w:ascii="Times New Roman" w:hAnsi="Times New Roman" w:cs="Times New Roman"/>
          <w:sz w:val="24"/>
          <w:szCs w:val="24"/>
        </w:rPr>
        <w:t>.</w:t>
      </w:r>
      <w:r w:rsidR="00346F3A">
        <w:rPr>
          <w:rFonts w:ascii="Times New Roman" w:hAnsi="Times New Roman" w:cs="Times New Roman"/>
          <w:sz w:val="24"/>
          <w:szCs w:val="24"/>
        </w:rPr>
        <w:t>.</w:t>
      </w:r>
      <w:proofErr w:type="gramEnd"/>
      <w:r w:rsidR="00346F3A">
        <w:rPr>
          <w:rFonts w:ascii="Times New Roman" w:hAnsi="Times New Roman" w:cs="Times New Roman"/>
          <w:sz w:val="24"/>
          <w:szCs w:val="24"/>
        </w:rPr>
        <w:t xml:space="preserve"> The applicant then has two years from the date of approval of the </w:t>
      </w:r>
      <w:r w:rsidR="009D6D1F">
        <w:rPr>
          <w:rFonts w:ascii="Times New Roman" w:hAnsi="Times New Roman" w:cs="Times New Roman"/>
          <w:sz w:val="24"/>
          <w:szCs w:val="24"/>
        </w:rPr>
        <w:t>I</w:t>
      </w:r>
      <w:r w:rsidR="006B59C1">
        <w:rPr>
          <w:rFonts w:ascii="Times New Roman" w:hAnsi="Times New Roman" w:cs="Times New Roman"/>
          <w:sz w:val="24"/>
          <w:szCs w:val="24"/>
        </w:rPr>
        <w:t>A</w:t>
      </w:r>
      <w:r w:rsidR="009D6D1F">
        <w:rPr>
          <w:rFonts w:ascii="Times New Roman" w:hAnsi="Times New Roman" w:cs="Times New Roman"/>
          <w:sz w:val="24"/>
          <w:szCs w:val="24"/>
        </w:rPr>
        <w:t xml:space="preserve"> </w:t>
      </w:r>
      <w:r w:rsidR="00346F3A">
        <w:rPr>
          <w:rFonts w:ascii="Times New Roman" w:hAnsi="Times New Roman" w:cs="Times New Roman"/>
          <w:sz w:val="24"/>
          <w:szCs w:val="24"/>
        </w:rPr>
        <w:t>to begin operation of the facility, or the application</w:t>
      </w:r>
      <w:r w:rsidR="006B59C1">
        <w:rPr>
          <w:rFonts w:ascii="Times New Roman" w:hAnsi="Times New Roman" w:cs="Times New Roman"/>
          <w:sz w:val="24"/>
          <w:szCs w:val="24"/>
        </w:rPr>
        <w:t xml:space="preserve"> and IA</w:t>
      </w:r>
      <w:r w:rsidR="009D6D1F">
        <w:rPr>
          <w:rFonts w:ascii="Times New Roman" w:hAnsi="Times New Roman" w:cs="Times New Roman"/>
          <w:sz w:val="24"/>
          <w:szCs w:val="24"/>
        </w:rPr>
        <w:t xml:space="preserve"> </w:t>
      </w:r>
      <w:r w:rsidR="00346F3A">
        <w:rPr>
          <w:rFonts w:ascii="Times New Roman" w:hAnsi="Times New Roman" w:cs="Times New Roman"/>
          <w:sz w:val="24"/>
          <w:szCs w:val="24"/>
        </w:rPr>
        <w:t>expire.</w:t>
      </w:r>
    </w:p>
    <w:p w:rsidR="006335A7" w:rsidRDefault="006335A7" w:rsidP="00E60789">
      <w:pPr>
        <w:rPr>
          <w:rFonts w:ascii="Times New Roman" w:hAnsi="Times New Roman" w:cs="Times New Roman"/>
          <w:b/>
          <w:sz w:val="24"/>
          <w:szCs w:val="24"/>
          <w:u w:val="single"/>
        </w:rPr>
      </w:pPr>
    </w:p>
    <w:p w:rsidR="00A40557" w:rsidRPr="002813CB" w:rsidRDefault="00A40557" w:rsidP="00E60789">
      <w:pPr>
        <w:rPr>
          <w:rFonts w:ascii="Times New Roman" w:hAnsi="Times New Roman" w:cs="Times New Roman"/>
          <w:b/>
          <w:sz w:val="24"/>
          <w:szCs w:val="24"/>
          <w:u w:val="single"/>
        </w:rPr>
      </w:pPr>
      <w:r w:rsidRPr="002813CB">
        <w:rPr>
          <w:rFonts w:ascii="Times New Roman" w:hAnsi="Times New Roman" w:cs="Times New Roman"/>
          <w:b/>
          <w:sz w:val="24"/>
          <w:szCs w:val="24"/>
          <w:u w:val="single"/>
        </w:rPr>
        <w:t>Other Issues identified by the Workgroup</w:t>
      </w:r>
    </w:p>
    <w:p w:rsidR="006335A7" w:rsidRDefault="006335A7" w:rsidP="00E60789">
      <w:pPr>
        <w:rPr>
          <w:rFonts w:ascii="Times New Roman" w:hAnsi="Times New Roman" w:cs="Times New Roman"/>
          <w:b/>
          <w:sz w:val="24"/>
          <w:szCs w:val="24"/>
        </w:rPr>
      </w:pPr>
    </w:p>
    <w:p w:rsidR="004A72C0" w:rsidRPr="006335A7" w:rsidRDefault="004A72C0" w:rsidP="00E60789">
      <w:pPr>
        <w:rPr>
          <w:rFonts w:ascii="Times New Roman" w:hAnsi="Times New Roman" w:cs="Times New Roman"/>
          <w:sz w:val="24"/>
          <w:szCs w:val="24"/>
          <w:u w:val="single"/>
        </w:rPr>
      </w:pPr>
      <w:r w:rsidRPr="006335A7">
        <w:rPr>
          <w:rFonts w:ascii="Times New Roman" w:hAnsi="Times New Roman" w:cs="Times New Roman"/>
          <w:sz w:val="24"/>
          <w:szCs w:val="24"/>
          <w:u w:val="single"/>
        </w:rPr>
        <w:t>Direct Transfer Trip</w:t>
      </w:r>
    </w:p>
    <w:p w:rsidR="00644DB8" w:rsidRPr="009E13A3" w:rsidRDefault="00644DB8" w:rsidP="00E60789">
      <w:pPr>
        <w:rPr>
          <w:rFonts w:ascii="Times New Roman" w:hAnsi="Times New Roman" w:cs="Times New Roman"/>
          <w:sz w:val="24"/>
          <w:szCs w:val="24"/>
        </w:rPr>
      </w:pPr>
      <w:r w:rsidRPr="009E13A3">
        <w:rPr>
          <w:rFonts w:ascii="Times New Roman" w:hAnsi="Times New Roman" w:cs="Times New Roman"/>
          <w:sz w:val="24"/>
          <w:szCs w:val="24"/>
        </w:rPr>
        <w:t xml:space="preserve">WALEA requested a discussion at our first meeting on the requirement for </w:t>
      </w:r>
      <w:r w:rsidR="004B14F0" w:rsidRPr="009E13A3">
        <w:rPr>
          <w:rFonts w:ascii="Times New Roman" w:hAnsi="Times New Roman" w:cs="Times New Roman"/>
          <w:sz w:val="24"/>
          <w:szCs w:val="24"/>
        </w:rPr>
        <w:t xml:space="preserve">including a </w:t>
      </w:r>
      <w:r w:rsidRPr="009E13A3">
        <w:rPr>
          <w:rFonts w:ascii="Times New Roman" w:hAnsi="Times New Roman" w:cs="Times New Roman"/>
          <w:sz w:val="24"/>
          <w:szCs w:val="24"/>
        </w:rPr>
        <w:t>direct transfer trips at certain generating facilities. The Workgroup did discuss the technical complexities requiring a transfer trip at our second meeting, but did not full</w:t>
      </w:r>
      <w:r w:rsidR="009E13A3" w:rsidRPr="009E13A3">
        <w:rPr>
          <w:rFonts w:ascii="Times New Roman" w:hAnsi="Times New Roman" w:cs="Times New Roman"/>
          <w:sz w:val="24"/>
          <w:szCs w:val="24"/>
        </w:rPr>
        <w:t>y</w:t>
      </w:r>
      <w:r w:rsidRPr="009E13A3">
        <w:rPr>
          <w:rFonts w:ascii="Times New Roman" w:hAnsi="Times New Roman" w:cs="Times New Roman"/>
          <w:sz w:val="24"/>
          <w:szCs w:val="24"/>
        </w:rPr>
        <w:t xml:space="preserve"> vet or decide the issue</w:t>
      </w:r>
      <w:r w:rsidR="004B14F0" w:rsidRPr="009E13A3">
        <w:rPr>
          <w:rFonts w:ascii="Times New Roman" w:hAnsi="Times New Roman" w:cs="Times New Roman"/>
          <w:sz w:val="24"/>
          <w:szCs w:val="24"/>
        </w:rPr>
        <w:t>, then did not take the issue up further</w:t>
      </w:r>
      <w:r w:rsidRPr="009E13A3">
        <w:rPr>
          <w:rFonts w:ascii="Times New Roman" w:hAnsi="Times New Roman" w:cs="Times New Roman"/>
          <w:sz w:val="24"/>
          <w:szCs w:val="24"/>
        </w:rPr>
        <w:t>. WALEA submitted language</w:t>
      </w:r>
      <w:r w:rsidR="004B14F0" w:rsidRPr="009E13A3">
        <w:rPr>
          <w:rFonts w:ascii="Times New Roman" w:hAnsi="Times New Roman" w:cs="Times New Roman"/>
          <w:sz w:val="24"/>
          <w:szCs w:val="24"/>
        </w:rPr>
        <w:t xml:space="preserve"> from the California Rule</w:t>
      </w:r>
      <w:r w:rsidRPr="009E13A3">
        <w:rPr>
          <w:rFonts w:ascii="Times New Roman" w:hAnsi="Times New Roman" w:cs="Times New Roman"/>
          <w:sz w:val="24"/>
          <w:szCs w:val="24"/>
        </w:rPr>
        <w:t xml:space="preserve"> for inclusion in the Model Rule in the last few days before our deadline. </w:t>
      </w:r>
      <w:r w:rsidR="004B14F0" w:rsidRPr="009E13A3">
        <w:rPr>
          <w:rFonts w:ascii="Times New Roman" w:hAnsi="Times New Roman" w:cs="Times New Roman"/>
          <w:sz w:val="24"/>
          <w:szCs w:val="24"/>
        </w:rPr>
        <w:t>Ou</w:t>
      </w:r>
      <w:r w:rsidRPr="009E13A3">
        <w:rPr>
          <w:rFonts w:ascii="Times New Roman" w:hAnsi="Times New Roman" w:cs="Times New Roman"/>
          <w:sz w:val="24"/>
          <w:szCs w:val="24"/>
        </w:rPr>
        <w:t xml:space="preserve">r </w:t>
      </w:r>
      <w:r w:rsidR="006B59C1">
        <w:rPr>
          <w:rFonts w:ascii="Times New Roman" w:hAnsi="Times New Roman" w:cs="Times New Roman"/>
          <w:sz w:val="24"/>
          <w:szCs w:val="24"/>
        </w:rPr>
        <w:t>Work</w:t>
      </w:r>
      <w:r w:rsidRPr="009E13A3">
        <w:rPr>
          <w:rFonts w:ascii="Times New Roman" w:hAnsi="Times New Roman" w:cs="Times New Roman"/>
          <w:sz w:val="24"/>
          <w:szCs w:val="24"/>
        </w:rPr>
        <w:t>group</w:t>
      </w:r>
      <w:r w:rsidR="004A72C0" w:rsidRPr="009E13A3">
        <w:rPr>
          <w:rFonts w:ascii="Times New Roman" w:hAnsi="Times New Roman" w:cs="Times New Roman"/>
          <w:sz w:val="24"/>
          <w:szCs w:val="24"/>
        </w:rPr>
        <w:t xml:space="preserve"> </w:t>
      </w:r>
      <w:r w:rsidR="004B14F0" w:rsidRPr="009E13A3">
        <w:rPr>
          <w:rFonts w:ascii="Times New Roman" w:hAnsi="Times New Roman" w:cs="Times New Roman"/>
          <w:sz w:val="24"/>
          <w:szCs w:val="24"/>
        </w:rPr>
        <w:t>review</w:t>
      </w:r>
      <w:r w:rsidR="006B59C1">
        <w:rPr>
          <w:rFonts w:ascii="Times New Roman" w:hAnsi="Times New Roman" w:cs="Times New Roman"/>
          <w:sz w:val="24"/>
          <w:szCs w:val="24"/>
        </w:rPr>
        <w:t>ed</w:t>
      </w:r>
      <w:r w:rsidR="004B14F0" w:rsidRPr="009E13A3">
        <w:rPr>
          <w:rFonts w:ascii="Times New Roman" w:hAnsi="Times New Roman" w:cs="Times New Roman"/>
          <w:sz w:val="24"/>
          <w:szCs w:val="24"/>
        </w:rPr>
        <w:t xml:space="preserve"> the</w:t>
      </w:r>
      <w:r w:rsidR="004A72C0" w:rsidRPr="009E13A3">
        <w:rPr>
          <w:rFonts w:ascii="Times New Roman" w:hAnsi="Times New Roman" w:cs="Times New Roman"/>
          <w:sz w:val="24"/>
          <w:szCs w:val="24"/>
        </w:rPr>
        <w:t xml:space="preserve"> language </w:t>
      </w:r>
      <w:r w:rsidR="006B59C1">
        <w:rPr>
          <w:rFonts w:ascii="Times New Roman" w:hAnsi="Times New Roman" w:cs="Times New Roman"/>
          <w:sz w:val="24"/>
          <w:szCs w:val="24"/>
        </w:rPr>
        <w:t xml:space="preserve">on our conference call on the last day </w:t>
      </w:r>
      <w:r w:rsidR="004A72C0" w:rsidRPr="009E13A3">
        <w:rPr>
          <w:rFonts w:ascii="Times New Roman" w:hAnsi="Times New Roman" w:cs="Times New Roman"/>
          <w:sz w:val="24"/>
          <w:szCs w:val="24"/>
        </w:rPr>
        <w:t>and decided to include it in the Model Rule</w:t>
      </w:r>
      <w:r w:rsidR="004B14F0" w:rsidRPr="009E13A3">
        <w:rPr>
          <w:rFonts w:ascii="Times New Roman" w:hAnsi="Times New Roman" w:cs="Times New Roman"/>
          <w:sz w:val="24"/>
          <w:szCs w:val="24"/>
        </w:rPr>
        <w:t xml:space="preserve"> for further consideration</w:t>
      </w:r>
      <w:r w:rsidR="006B59C1">
        <w:rPr>
          <w:rFonts w:ascii="Times New Roman" w:hAnsi="Times New Roman" w:cs="Times New Roman"/>
          <w:sz w:val="24"/>
          <w:szCs w:val="24"/>
        </w:rPr>
        <w:t>.</w:t>
      </w:r>
      <w:r w:rsidR="004A72C0" w:rsidRPr="009E13A3">
        <w:rPr>
          <w:rFonts w:ascii="Times New Roman" w:hAnsi="Times New Roman" w:cs="Times New Roman"/>
          <w:sz w:val="24"/>
          <w:szCs w:val="24"/>
        </w:rPr>
        <w:t xml:space="preserve"> </w:t>
      </w:r>
      <w:r w:rsidR="006B59C1">
        <w:rPr>
          <w:rFonts w:ascii="Times New Roman" w:hAnsi="Times New Roman" w:cs="Times New Roman"/>
          <w:sz w:val="24"/>
          <w:szCs w:val="24"/>
        </w:rPr>
        <w:t>Although there is not a blanket exemption for inverter-based generating facilities, utilities should bear in mind that a direct transfer trip c</w:t>
      </w:r>
      <w:r w:rsidR="00406A24">
        <w:rPr>
          <w:rFonts w:ascii="Times New Roman" w:hAnsi="Times New Roman" w:cs="Times New Roman"/>
          <w:sz w:val="24"/>
          <w:szCs w:val="24"/>
        </w:rPr>
        <w:t>osts</w:t>
      </w:r>
      <w:r w:rsidR="006B59C1">
        <w:rPr>
          <w:rFonts w:ascii="Times New Roman" w:hAnsi="Times New Roman" w:cs="Times New Roman"/>
          <w:sz w:val="24"/>
          <w:szCs w:val="24"/>
        </w:rPr>
        <w:t xml:space="preserve"> in the range of</w:t>
      </w:r>
      <w:r w:rsidR="00406A24">
        <w:rPr>
          <w:rFonts w:ascii="Times New Roman" w:hAnsi="Times New Roman" w:cs="Times New Roman"/>
          <w:sz w:val="24"/>
          <w:szCs w:val="24"/>
        </w:rPr>
        <w:t xml:space="preserve"> $250,000 should not be </w:t>
      </w:r>
      <w:r w:rsidR="006B59C1">
        <w:rPr>
          <w:rFonts w:ascii="Times New Roman" w:hAnsi="Times New Roman" w:cs="Times New Roman"/>
          <w:sz w:val="24"/>
          <w:szCs w:val="24"/>
        </w:rPr>
        <w:t xml:space="preserve">unreasonably </w:t>
      </w:r>
      <w:r w:rsidR="00406A24">
        <w:rPr>
          <w:rFonts w:ascii="Times New Roman" w:hAnsi="Times New Roman" w:cs="Times New Roman"/>
          <w:sz w:val="24"/>
          <w:szCs w:val="24"/>
        </w:rPr>
        <w:t>required for inverter based</w:t>
      </w:r>
      <w:r w:rsidR="006B59C1">
        <w:rPr>
          <w:rFonts w:ascii="Times New Roman" w:hAnsi="Times New Roman" w:cs="Times New Roman"/>
          <w:sz w:val="24"/>
          <w:szCs w:val="24"/>
        </w:rPr>
        <w:t xml:space="preserve"> facilities. There may be, however, unusual circumstances where an inverter based facility in combination with a non-inver</w:t>
      </w:r>
      <w:r w:rsidR="00EB27B4">
        <w:rPr>
          <w:rFonts w:ascii="Times New Roman" w:hAnsi="Times New Roman" w:cs="Times New Roman"/>
          <w:sz w:val="24"/>
          <w:szCs w:val="24"/>
        </w:rPr>
        <w:t xml:space="preserve">ter </w:t>
      </w:r>
      <w:r w:rsidR="006B59C1">
        <w:rPr>
          <w:rFonts w:ascii="Times New Roman" w:hAnsi="Times New Roman" w:cs="Times New Roman"/>
          <w:sz w:val="24"/>
          <w:szCs w:val="24"/>
        </w:rPr>
        <w:t>based facility that a direct transfer trip or other similar protective device may be required for an inverter based facility.</w:t>
      </w:r>
    </w:p>
    <w:p w:rsidR="004A72C0" w:rsidRPr="006335A7" w:rsidRDefault="004A72C0" w:rsidP="00644DB8">
      <w:pPr>
        <w:rPr>
          <w:rFonts w:ascii="Times New Roman" w:hAnsi="Times New Roman" w:cs="Times New Roman"/>
          <w:sz w:val="24"/>
          <w:szCs w:val="24"/>
          <w:u w:val="single"/>
        </w:rPr>
      </w:pPr>
      <w:r w:rsidRPr="006335A7">
        <w:rPr>
          <w:rFonts w:ascii="Times New Roman" w:hAnsi="Times New Roman" w:cs="Times New Roman"/>
          <w:sz w:val="24"/>
          <w:szCs w:val="24"/>
          <w:u w:val="single"/>
        </w:rPr>
        <w:t xml:space="preserve">Bonneville Power Administration </w:t>
      </w:r>
    </w:p>
    <w:p w:rsidR="00644DB8" w:rsidRPr="002813CB" w:rsidRDefault="00644DB8" w:rsidP="00644DB8">
      <w:pPr>
        <w:rPr>
          <w:rFonts w:ascii="Times New Roman" w:hAnsi="Times New Roman" w:cs="Times New Roman"/>
          <w:sz w:val="24"/>
          <w:szCs w:val="24"/>
        </w:rPr>
      </w:pPr>
      <w:r w:rsidRPr="002813CB">
        <w:rPr>
          <w:rFonts w:ascii="Times New Roman" w:hAnsi="Times New Roman" w:cs="Times New Roman"/>
          <w:sz w:val="24"/>
          <w:szCs w:val="24"/>
        </w:rPr>
        <w:t xml:space="preserve">Snohomish PUD notes that utilities located within the balancing authority area (BAA) of a separate entity, such as Bonneville Power Administration (BPA), must deal with an </w:t>
      </w:r>
      <w:r w:rsidRPr="002813CB">
        <w:rPr>
          <w:rFonts w:ascii="Times New Roman" w:hAnsi="Times New Roman" w:cs="Times New Roman"/>
          <w:sz w:val="24"/>
          <w:szCs w:val="24"/>
        </w:rPr>
        <w:lastRenderedPageBreak/>
        <w:t xml:space="preserve">added layer of complexity </w:t>
      </w:r>
      <w:r w:rsidR="006335A7">
        <w:rPr>
          <w:rFonts w:ascii="Times New Roman" w:hAnsi="Times New Roman" w:cs="Times New Roman"/>
          <w:sz w:val="24"/>
          <w:szCs w:val="24"/>
        </w:rPr>
        <w:t>with</w:t>
      </w:r>
      <w:r w:rsidRPr="002813CB">
        <w:rPr>
          <w:rFonts w:ascii="Times New Roman" w:hAnsi="Times New Roman" w:cs="Times New Roman"/>
          <w:sz w:val="24"/>
          <w:szCs w:val="24"/>
        </w:rPr>
        <w:t xml:space="preserve"> interconnection of small generators.  For example, generators one (1) megawatt or larger that wish to interconnect to the distribution system of a utility located within BPA’s BAA are subject to BPA’s Small Generator Interconnection requirements, application process, and contractual agreements addressing required ancillary services and charges.  In addition, generators 200 kW or larger may be subject to certain requirements by the BAA, such as metering and/or reporting of generation characteristics.  Snohomish PUD further notes that it can take longer than a year to complete required efforts including performing BPA studies, executing construction and other agreements, and complying with metering requirements.  As a result, the interconnection standards will need to be modified when a utility (such as Snohomish PUD) is not its own balancing authority area.  At a minimum, Snohomish recommends that BPA be invited to participate in future discussions and comment on how the draft standards might be modified to accommodate their interconnection requirements.</w:t>
      </w:r>
    </w:p>
    <w:p w:rsidR="004127DE" w:rsidRPr="006335A7" w:rsidRDefault="008B1EC5" w:rsidP="00EB27B4">
      <w:pPr>
        <w:jc w:val="both"/>
        <w:rPr>
          <w:rFonts w:ascii="Times New Roman" w:hAnsi="Times New Roman" w:cs="Times New Roman"/>
          <w:sz w:val="24"/>
          <w:szCs w:val="24"/>
          <w:u w:val="single"/>
        </w:rPr>
      </w:pPr>
      <w:r w:rsidRPr="006335A7">
        <w:rPr>
          <w:rFonts w:ascii="Times New Roman" w:hAnsi="Times New Roman" w:cs="Times New Roman"/>
          <w:sz w:val="24"/>
          <w:szCs w:val="24"/>
          <w:u w:val="single"/>
        </w:rPr>
        <w:t xml:space="preserve">Tier 3 - </w:t>
      </w:r>
      <w:r w:rsidR="004127DE" w:rsidRPr="006335A7">
        <w:rPr>
          <w:rFonts w:ascii="Times New Roman" w:hAnsi="Times New Roman" w:cs="Times New Roman"/>
          <w:sz w:val="24"/>
          <w:szCs w:val="24"/>
          <w:u w:val="single"/>
        </w:rPr>
        <w:t xml:space="preserve">Application </w:t>
      </w:r>
      <w:r w:rsidR="00EB27B4" w:rsidRPr="006335A7">
        <w:rPr>
          <w:rFonts w:ascii="Times New Roman" w:hAnsi="Times New Roman" w:cs="Times New Roman"/>
          <w:sz w:val="24"/>
          <w:szCs w:val="24"/>
          <w:u w:val="single"/>
        </w:rPr>
        <w:t>and Completion Processes</w:t>
      </w:r>
      <w:r w:rsidR="004127DE" w:rsidRPr="006335A7">
        <w:rPr>
          <w:rFonts w:ascii="Times New Roman" w:hAnsi="Times New Roman" w:cs="Times New Roman"/>
          <w:sz w:val="24"/>
          <w:szCs w:val="24"/>
          <w:u w:val="single"/>
        </w:rPr>
        <w:t xml:space="preserve"> </w:t>
      </w:r>
    </w:p>
    <w:p w:rsidR="008B1EC5" w:rsidRPr="005E1C66" w:rsidRDefault="00C53C48" w:rsidP="008B1EC5">
      <w:pPr>
        <w:rPr>
          <w:rFonts w:ascii="Times New Roman" w:hAnsi="Times New Roman" w:cs="Times New Roman"/>
          <w:sz w:val="24"/>
          <w:szCs w:val="24"/>
        </w:rPr>
      </w:pPr>
      <w:r w:rsidRPr="005E1C66">
        <w:rPr>
          <w:rFonts w:ascii="Times New Roman" w:hAnsi="Times New Roman" w:cs="Times New Roman"/>
          <w:sz w:val="24"/>
          <w:szCs w:val="24"/>
        </w:rPr>
        <w:t>The Tier 3 Application</w:t>
      </w:r>
      <w:r>
        <w:rPr>
          <w:rFonts w:ascii="Times New Roman" w:hAnsi="Times New Roman"/>
          <w:sz w:val="24"/>
          <w:szCs w:val="24"/>
        </w:rPr>
        <w:t xml:space="preserve">, Approval and Completion Processes and Technical Requirements are necessarily different from Tiers 1 and 2 due to the unique and more complex characteristics of these generating facilities and associated interconnection requirements. </w:t>
      </w:r>
      <w:r>
        <w:rPr>
          <w:rFonts w:ascii="Times New Roman" w:hAnsi="Times New Roman" w:cs="Times New Roman"/>
          <w:sz w:val="24"/>
          <w:szCs w:val="24"/>
        </w:rPr>
        <w:t>Because of the project complexities involved, t</w:t>
      </w:r>
      <w:r w:rsidR="006A399D">
        <w:rPr>
          <w:rFonts w:ascii="Times New Roman" w:hAnsi="Times New Roman" w:cs="Times New Roman"/>
          <w:sz w:val="24"/>
          <w:szCs w:val="24"/>
        </w:rPr>
        <w:t xml:space="preserve">he </w:t>
      </w:r>
      <w:r w:rsidR="004127DE">
        <w:rPr>
          <w:rFonts w:ascii="Times New Roman" w:hAnsi="Times New Roman" w:cs="Times New Roman"/>
          <w:sz w:val="24"/>
          <w:szCs w:val="24"/>
        </w:rPr>
        <w:t xml:space="preserve">Tier 3 </w:t>
      </w:r>
      <w:r w:rsidR="006A399D">
        <w:rPr>
          <w:rFonts w:ascii="Times New Roman" w:hAnsi="Times New Roman" w:cs="Times New Roman"/>
          <w:sz w:val="24"/>
          <w:szCs w:val="24"/>
        </w:rPr>
        <w:t>application process</w:t>
      </w:r>
      <w:r w:rsidR="008B1EC5">
        <w:rPr>
          <w:rFonts w:ascii="Times New Roman" w:hAnsi="Times New Roman" w:cs="Times New Roman"/>
          <w:sz w:val="24"/>
          <w:szCs w:val="24"/>
        </w:rPr>
        <w:t xml:space="preserve"> and timelines are</w:t>
      </w:r>
      <w:r w:rsidR="006A399D">
        <w:rPr>
          <w:rFonts w:ascii="Times New Roman" w:hAnsi="Times New Roman" w:cs="Times New Roman"/>
          <w:sz w:val="24"/>
          <w:szCs w:val="24"/>
        </w:rPr>
        <w:t xml:space="preserve"> still under review by the Workgroup. </w:t>
      </w:r>
      <w:r w:rsidR="008B1EC5">
        <w:rPr>
          <w:rFonts w:ascii="Times New Roman" w:hAnsi="Times New Roman" w:cs="Times New Roman"/>
          <w:sz w:val="24"/>
          <w:szCs w:val="24"/>
        </w:rPr>
        <w:t>N</w:t>
      </w:r>
      <w:r w:rsidR="008B1EC5">
        <w:rPr>
          <w:rFonts w:ascii="Times New Roman" w:hAnsi="Times New Roman"/>
          <w:sz w:val="24"/>
          <w:szCs w:val="24"/>
        </w:rPr>
        <w:t>either the applicant nor the utility should expect streamlining or certainty in the timelines associated with these processes, but both should expect to apply due diligence and good faith in arriving at project approval.</w:t>
      </w:r>
    </w:p>
    <w:p w:rsidR="008B1EC5" w:rsidRPr="005E1C66" w:rsidRDefault="008B1EC5" w:rsidP="008B1EC5">
      <w:pPr>
        <w:rPr>
          <w:rFonts w:ascii="Times New Roman" w:hAnsi="Times New Roman" w:cs="Times New Roman"/>
          <w:sz w:val="24"/>
          <w:szCs w:val="24"/>
        </w:rPr>
      </w:pPr>
      <w:r>
        <w:rPr>
          <w:rFonts w:ascii="Times New Roman" w:hAnsi="Times New Roman" w:cs="Times New Roman"/>
          <w:sz w:val="24"/>
          <w:szCs w:val="24"/>
        </w:rPr>
        <w:t xml:space="preserve">The problem arises when an application that has been approved as complete had new information added (for instance, from the results of the studies), at that point the clock was reset and it becomes a completely new application. </w:t>
      </w:r>
      <w:r w:rsidR="006A399D">
        <w:rPr>
          <w:rFonts w:ascii="Times New Roman" w:hAnsi="Times New Roman" w:cs="Times New Roman"/>
          <w:sz w:val="24"/>
          <w:szCs w:val="24"/>
        </w:rPr>
        <w:t xml:space="preserve">We are working on a process description and </w:t>
      </w:r>
      <w:r w:rsidR="006A399D" w:rsidRPr="00C53C48">
        <w:rPr>
          <w:rFonts w:ascii="Times New Roman" w:hAnsi="Times New Roman" w:cs="Times New Roman"/>
          <w:i/>
          <w:sz w:val="24"/>
          <w:szCs w:val="24"/>
        </w:rPr>
        <w:t>suggested</w:t>
      </w:r>
      <w:r w:rsidR="006A399D">
        <w:rPr>
          <w:rFonts w:ascii="Times New Roman" w:hAnsi="Times New Roman" w:cs="Times New Roman"/>
          <w:sz w:val="24"/>
          <w:szCs w:val="24"/>
        </w:rPr>
        <w:t xml:space="preserve"> timelines where the applicant does not have the clock reset on their application if the results of studies demonstrate that information in the application should change. </w:t>
      </w:r>
    </w:p>
    <w:p w:rsidR="00C53C48" w:rsidRDefault="006A399D" w:rsidP="00C53C48">
      <w:pPr>
        <w:rPr>
          <w:rFonts w:ascii="Times New Roman" w:hAnsi="Times New Roman" w:cs="Times New Roman"/>
          <w:b/>
          <w:sz w:val="24"/>
          <w:szCs w:val="24"/>
        </w:rPr>
      </w:pPr>
      <w:r>
        <w:rPr>
          <w:rFonts w:ascii="Times New Roman" w:hAnsi="Times New Roman" w:cs="Times New Roman"/>
          <w:sz w:val="24"/>
          <w:szCs w:val="24"/>
        </w:rPr>
        <w:t xml:space="preserve">We are discussing a process where the applicant submits their </w:t>
      </w:r>
      <w:r w:rsidR="00C53C48">
        <w:rPr>
          <w:rFonts w:ascii="Times New Roman" w:hAnsi="Times New Roman" w:cs="Times New Roman"/>
          <w:sz w:val="24"/>
          <w:szCs w:val="24"/>
        </w:rPr>
        <w:t>application and</w:t>
      </w:r>
      <w:r>
        <w:rPr>
          <w:rFonts w:ascii="Times New Roman" w:hAnsi="Times New Roman" w:cs="Times New Roman"/>
          <w:sz w:val="24"/>
          <w:szCs w:val="24"/>
        </w:rPr>
        <w:t xml:space="preserve"> the utility determines that the project will be a Tier 3 project. At that point the</w:t>
      </w:r>
      <w:r w:rsidR="008B1EC5">
        <w:rPr>
          <w:rFonts w:ascii="Times New Roman" w:hAnsi="Times New Roman" w:cs="Times New Roman"/>
          <w:sz w:val="24"/>
          <w:szCs w:val="24"/>
        </w:rPr>
        <w:t xml:space="preserve"> clock resets for both parties, and then the</w:t>
      </w:r>
      <w:r>
        <w:rPr>
          <w:rFonts w:ascii="Times New Roman" w:hAnsi="Times New Roman" w:cs="Times New Roman"/>
          <w:sz w:val="24"/>
          <w:szCs w:val="24"/>
        </w:rPr>
        <w:t xml:space="preserve"> utility either determines that it requires more, or has sufficient information to deem an application complete. Once the application is deemed complete, the utility ideally reaches agreement with the applicant to conduct a low-cost feasibility study to determine what further studies are necessary</w:t>
      </w:r>
      <w:r w:rsidR="008B1EC5">
        <w:rPr>
          <w:rFonts w:ascii="Times New Roman" w:hAnsi="Times New Roman" w:cs="Times New Roman"/>
          <w:sz w:val="24"/>
          <w:szCs w:val="24"/>
        </w:rPr>
        <w:t xml:space="preserve"> and the costs of those studies</w:t>
      </w:r>
      <w:r>
        <w:rPr>
          <w:rFonts w:ascii="Times New Roman" w:hAnsi="Times New Roman" w:cs="Times New Roman"/>
          <w:sz w:val="24"/>
          <w:szCs w:val="24"/>
        </w:rPr>
        <w:t>.</w:t>
      </w:r>
      <w:r w:rsidR="00A42FAC">
        <w:rPr>
          <w:rFonts w:ascii="Times New Roman" w:hAnsi="Times New Roman" w:cs="Times New Roman"/>
          <w:sz w:val="24"/>
          <w:szCs w:val="24"/>
        </w:rPr>
        <w:t xml:space="preserve"> </w:t>
      </w:r>
      <w:r>
        <w:rPr>
          <w:rFonts w:ascii="Times New Roman" w:hAnsi="Times New Roman" w:cs="Times New Roman"/>
          <w:sz w:val="24"/>
          <w:szCs w:val="24"/>
        </w:rPr>
        <w:t xml:space="preserve">Once those further studies are completed, the results may require </w:t>
      </w:r>
      <w:r w:rsidR="00C53C48">
        <w:rPr>
          <w:rFonts w:ascii="Times New Roman" w:hAnsi="Times New Roman" w:cs="Times New Roman"/>
          <w:sz w:val="24"/>
          <w:szCs w:val="24"/>
        </w:rPr>
        <w:t xml:space="preserve">negotiation with the applicant and </w:t>
      </w:r>
      <w:r>
        <w:rPr>
          <w:rFonts w:ascii="Times New Roman" w:hAnsi="Times New Roman" w:cs="Times New Roman"/>
          <w:sz w:val="24"/>
          <w:szCs w:val="24"/>
        </w:rPr>
        <w:t>changing information in the application</w:t>
      </w:r>
      <w:r w:rsidR="008B1EC5">
        <w:rPr>
          <w:rFonts w:ascii="Times New Roman" w:hAnsi="Times New Roman" w:cs="Times New Roman"/>
          <w:sz w:val="24"/>
          <w:szCs w:val="24"/>
        </w:rPr>
        <w:t xml:space="preserve"> prior to executing an Interconnection Agreement</w:t>
      </w:r>
      <w:r>
        <w:rPr>
          <w:rFonts w:ascii="Times New Roman" w:hAnsi="Times New Roman" w:cs="Times New Roman"/>
          <w:sz w:val="24"/>
          <w:szCs w:val="24"/>
        </w:rPr>
        <w:t xml:space="preserve">. All </w:t>
      </w:r>
      <w:r w:rsidR="00C53C48">
        <w:rPr>
          <w:rFonts w:ascii="Times New Roman" w:hAnsi="Times New Roman" w:cs="Times New Roman"/>
          <w:sz w:val="24"/>
          <w:szCs w:val="24"/>
        </w:rPr>
        <w:t>parties agree</w:t>
      </w:r>
      <w:r>
        <w:rPr>
          <w:rFonts w:ascii="Times New Roman" w:hAnsi="Times New Roman" w:cs="Times New Roman"/>
          <w:sz w:val="24"/>
          <w:szCs w:val="24"/>
        </w:rPr>
        <w:t xml:space="preserve"> that this potential modification of the application should not reset the clock </w:t>
      </w:r>
      <w:r w:rsidR="008B1EC5">
        <w:rPr>
          <w:rFonts w:ascii="Times New Roman" w:hAnsi="Times New Roman" w:cs="Times New Roman"/>
          <w:sz w:val="24"/>
          <w:szCs w:val="24"/>
        </w:rPr>
        <w:t xml:space="preserve">on </w:t>
      </w:r>
      <w:r>
        <w:rPr>
          <w:rFonts w:ascii="Times New Roman" w:hAnsi="Times New Roman" w:cs="Times New Roman"/>
          <w:sz w:val="24"/>
          <w:szCs w:val="24"/>
        </w:rPr>
        <w:t xml:space="preserve">or </w:t>
      </w:r>
      <w:proofErr w:type="gramStart"/>
      <w:r>
        <w:rPr>
          <w:rFonts w:ascii="Times New Roman" w:hAnsi="Times New Roman" w:cs="Times New Roman"/>
          <w:sz w:val="24"/>
          <w:szCs w:val="24"/>
        </w:rPr>
        <w:t>be</w:t>
      </w:r>
      <w:proofErr w:type="gramEnd"/>
      <w:r w:rsidR="00D84ED5">
        <w:rPr>
          <w:rFonts w:ascii="Times New Roman" w:hAnsi="Times New Roman" w:cs="Times New Roman"/>
          <w:sz w:val="24"/>
          <w:szCs w:val="24"/>
        </w:rPr>
        <w:t xml:space="preserve"> the</w:t>
      </w:r>
      <w:r>
        <w:rPr>
          <w:rFonts w:ascii="Times New Roman" w:hAnsi="Times New Roman" w:cs="Times New Roman"/>
          <w:sz w:val="24"/>
          <w:szCs w:val="24"/>
        </w:rPr>
        <w:t xml:space="preserve"> cause for termination of the application</w:t>
      </w:r>
      <w:r w:rsidR="006B59C1">
        <w:rPr>
          <w:rFonts w:ascii="Times New Roman" w:hAnsi="Times New Roman" w:cs="Times New Roman"/>
          <w:sz w:val="24"/>
          <w:szCs w:val="24"/>
        </w:rPr>
        <w:t xml:space="preserve">, but is an area where </w:t>
      </w:r>
      <w:r w:rsidR="006B59C1">
        <w:rPr>
          <w:rFonts w:ascii="Times New Roman" w:hAnsi="Times New Roman" w:cs="Times New Roman"/>
          <w:sz w:val="24"/>
          <w:szCs w:val="24"/>
        </w:rPr>
        <w:lastRenderedPageBreak/>
        <w:t>due diligence, due process and practical considerations for both parties should be taken into account</w:t>
      </w:r>
      <w:r w:rsidR="00C53C48">
        <w:rPr>
          <w:rFonts w:ascii="Times New Roman" w:hAnsi="Times New Roman" w:cs="Times New Roman"/>
          <w:sz w:val="24"/>
          <w:szCs w:val="24"/>
        </w:rPr>
        <w:t>.</w:t>
      </w:r>
      <w:r w:rsidR="004127DE">
        <w:rPr>
          <w:rFonts w:ascii="Times New Roman" w:hAnsi="Times New Roman" w:cs="Times New Roman"/>
          <w:b/>
          <w:sz w:val="24"/>
          <w:szCs w:val="24"/>
        </w:rPr>
        <w:t xml:space="preserve"> </w:t>
      </w:r>
    </w:p>
    <w:p w:rsidR="00D84ED5" w:rsidRPr="006335A7" w:rsidRDefault="00D84ED5" w:rsidP="00C53C48">
      <w:pPr>
        <w:rPr>
          <w:rFonts w:ascii="Times New Roman" w:hAnsi="Times New Roman" w:cs="Times New Roman"/>
          <w:sz w:val="24"/>
          <w:szCs w:val="24"/>
          <w:u w:val="single"/>
        </w:rPr>
      </w:pPr>
      <w:r w:rsidRPr="006335A7">
        <w:rPr>
          <w:rFonts w:ascii="Times New Roman" w:hAnsi="Times New Roman" w:cs="Times New Roman"/>
          <w:sz w:val="24"/>
          <w:szCs w:val="24"/>
          <w:u w:val="single"/>
        </w:rPr>
        <w:t>Chapter 8 - Adoption by Reference</w:t>
      </w:r>
    </w:p>
    <w:p w:rsidR="00D84ED5" w:rsidRPr="00D84ED5" w:rsidRDefault="00D84ED5" w:rsidP="00C53C48">
      <w:pPr>
        <w:rPr>
          <w:rFonts w:ascii="Times New Roman" w:hAnsi="Times New Roman" w:cs="Times New Roman"/>
          <w:sz w:val="24"/>
          <w:szCs w:val="24"/>
        </w:rPr>
      </w:pPr>
      <w:r>
        <w:rPr>
          <w:rFonts w:ascii="Times New Roman" w:hAnsi="Times New Roman" w:cs="Times New Roman"/>
          <w:sz w:val="24"/>
          <w:szCs w:val="24"/>
        </w:rPr>
        <w:t>The Workgroup seek guidance on inserting dates for codes, standards and publications that are adopted by reference. At least one code that the Workgroup is aware (IEEE 519) is currently under review and set for update soon, while certainly others will be updated between the date of adoption of this rule and the next review and update of this rule. WE are not certain if a rule can adopt by reference a code that has not yet been written, or whether “the most recent” will refer to the most recent version in effect on the date of adoption of this rule.</w:t>
      </w:r>
    </w:p>
    <w:p w:rsidR="000E5E9D" w:rsidRDefault="000E5E9D">
      <w:pPr>
        <w:rPr>
          <w:rFonts w:ascii="Times New Roman" w:hAnsi="Times New Roman" w:cs="Times New Roman"/>
          <w:sz w:val="24"/>
          <w:szCs w:val="24"/>
        </w:rPr>
      </w:pPr>
      <w:r>
        <w:rPr>
          <w:rFonts w:ascii="Times New Roman" w:hAnsi="Times New Roman" w:cs="Times New Roman"/>
          <w:sz w:val="24"/>
          <w:szCs w:val="24"/>
        </w:rPr>
        <w:br w:type="page"/>
      </w:r>
    </w:p>
    <w:p w:rsidR="000E5E9D" w:rsidRPr="000E5E9D" w:rsidRDefault="00775C05" w:rsidP="00A40557">
      <w:pPr>
        <w:rPr>
          <w:rFonts w:ascii="Times New Roman" w:hAnsi="Times New Roman" w:cs="Times New Roman"/>
          <w:b/>
          <w:sz w:val="24"/>
          <w:szCs w:val="24"/>
        </w:rPr>
      </w:pPr>
      <w:r>
        <w:rPr>
          <w:rFonts w:ascii="Times New Roman" w:hAnsi="Times New Roman" w:cs="Times New Roman"/>
          <w:b/>
          <w:sz w:val="24"/>
          <w:szCs w:val="24"/>
        </w:rPr>
        <w:lastRenderedPageBreak/>
        <w:t xml:space="preserve">Attachment </w:t>
      </w:r>
      <w:r w:rsidR="002813CB">
        <w:rPr>
          <w:rFonts w:ascii="Times New Roman" w:hAnsi="Times New Roman" w:cs="Times New Roman"/>
          <w:b/>
          <w:sz w:val="24"/>
          <w:szCs w:val="24"/>
        </w:rPr>
        <w:t>1</w:t>
      </w:r>
      <w:r>
        <w:rPr>
          <w:rFonts w:ascii="Times New Roman" w:hAnsi="Times New Roman" w:cs="Times New Roman"/>
          <w:b/>
          <w:sz w:val="24"/>
          <w:szCs w:val="24"/>
        </w:rPr>
        <w:t xml:space="preserve"> - </w:t>
      </w:r>
      <w:r w:rsidR="000E5E9D" w:rsidRPr="000E5E9D">
        <w:rPr>
          <w:rFonts w:ascii="Times New Roman" w:hAnsi="Times New Roman" w:cs="Times New Roman"/>
          <w:b/>
          <w:sz w:val="24"/>
          <w:szCs w:val="24"/>
        </w:rPr>
        <w:t>Glossary</w:t>
      </w:r>
      <w:r w:rsidR="000E5E9D">
        <w:rPr>
          <w:rFonts w:ascii="Times New Roman" w:hAnsi="Times New Roman" w:cs="Times New Roman"/>
          <w:b/>
          <w:sz w:val="24"/>
          <w:szCs w:val="24"/>
        </w:rPr>
        <w:t>/List</w:t>
      </w:r>
      <w:r w:rsidR="000E5E9D" w:rsidRPr="000E5E9D">
        <w:rPr>
          <w:rFonts w:ascii="Times New Roman" w:hAnsi="Times New Roman" w:cs="Times New Roman"/>
          <w:b/>
          <w:sz w:val="24"/>
          <w:szCs w:val="24"/>
        </w:rPr>
        <w:t xml:space="preserve"> of </w:t>
      </w:r>
      <w:r w:rsidR="000E5E9D">
        <w:rPr>
          <w:rFonts w:ascii="Times New Roman" w:hAnsi="Times New Roman" w:cs="Times New Roman"/>
          <w:b/>
          <w:sz w:val="24"/>
          <w:szCs w:val="24"/>
        </w:rPr>
        <w:t xml:space="preserve">Interconnection Standards Workgroup </w:t>
      </w:r>
      <w:r w:rsidR="000E5E9D" w:rsidRPr="000E5E9D">
        <w:rPr>
          <w:rFonts w:ascii="Times New Roman" w:hAnsi="Times New Roman" w:cs="Times New Roman"/>
          <w:b/>
          <w:sz w:val="24"/>
          <w:szCs w:val="24"/>
        </w:rPr>
        <w:t>Participants</w:t>
      </w:r>
    </w:p>
    <w:p w:rsidR="002813CB" w:rsidRDefault="002813CB" w:rsidP="00A40557">
      <w:pPr>
        <w:rPr>
          <w:rFonts w:ascii="Times New Roman" w:hAnsi="Times New Roman" w:cs="Times New Roman"/>
          <w:sz w:val="24"/>
          <w:szCs w:val="24"/>
        </w:rPr>
      </w:pP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Avista – Avista Utilities, Inc</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Cascade Power</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Commerce – Washington State Department of Commerce</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IBEW – International Brotherhood of Electrical Workers</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Inland Power and Light</w:t>
      </w:r>
      <w:r w:rsidR="00B53D21">
        <w:rPr>
          <w:rFonts w:ascii="Times New Roman" w:hAnsi="Times New Roman" w:cs="Times New Roman"/>
          <w:sz w:val="24"/>
          <w:szCs w:val="24"/>
        </w:rPr>
        <w:t xml:space="preserve"> Company</w:t>
      </w:r>
    </w:p>
    <w:p w:rsidR="000E5E9D" w:rsidRDefault="000E5E9D" w:rsidP="00A40557">
      <w:pPr>
        <w:rPr>
          <w:rFonts w:ascii="Times New Roman" w:hAnsi="Times New Roman" w:cs="Times New Roman"/>
          <w:sz w:val="24"/>
          <w:szCs w:val="24"/>
        </w:rPr>
      </w:pPr>
      <w:proofErr w:type="gramStart"/>
      <w:r>
        <w:rPr>
          <w:rFonts w:ascii="Times New Roman" w:hAnsi="Times New Roman" w:cs="Times New Roman"/>
          <w:sz w:val="24"/>
          <w:szCs w:val="24"/>
        </w:rPr>
        <w:t>IREC – Interstate Renewable Energy Council</w:t>
      </w:r>
      <w:r w:rsidR="0067425D">
        <w:rPr>
          <w:rFonts w:ascii="Times New Roman" w:hAnsi="Times New Roman" w:cs="Times New Roman"/>
          <w:sz w:val="24"/>
          <w:szCs w:val="24"/>
        </w:rPr>
        <w:t>, Inc.</w:t>
      </w:r>
      <w:proofErr w:type="gramEnd"/>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Mason County Public Utility District #3</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PacifiCorp</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 xml:space="preserve">Pend Oreille </w:t>
      </w:r>
      <w:r w:rsidR="00601906">
        <w:rPr>
          <w:rFonts w:ascii="Times New Roman" w:hAnsi="Times New Roman" w:cs="Times New Roman"/>
          <w:sz w:val="24"/>
          <w:szCs w:val="24"/>
        </w:rPr>
        <w:t xml:space="preserve">County </w:t>
      </w:r>
      <w:r>
        <w:rPr>
          <w:rFonts w:ascii="Times New Roman" w:hAnsi="Times New Roman" w:cs="Times New Roman"/>
          <w:sz w:val="24"/>
          <w:szCs w:val="24"/>
        </w:rPr>
        <w:t>Public Utility District</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PSE – Puget Sound Energy</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Seattle City Light</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 xml:space="preserve">Snohomish </w:t>
      </w:r>
      <w:r w:rsidR="00601906">
        <w:rPr>
          <w:rFonts w:ascii="Times New Roman" w:hAnsi="Times New Roman" w:cs="Times New Roman"/>
          <w:sz w:val="24"/>
          <w:szCs w:val="24"/>
        </w:rPr>
        <w:t xml:space="preserve">County </w:t>
      </w:r>
      <w:r>
        <w:rPr>
          <w:rFonts w:ascii="Times New Roman" w:hAnsi="Times New Roman" w:cs="Times New Roman"/>
          <w:sz w:val="24"/>
          <w:szCs w:val="24"/>
        </w:rPr>
        <w:t>Public Utility District</w:t>
      </w:r>
      <w:r w:rsidR="00B53D21">
        <w:rPr>
          <w:rFonts w:ascii="Times New Roman" w:hAnsi="Times New Roman" w:cs="Times New Roman"/>
          <w:sz w:val="24"/>
          <w:szCs w:val="24"/>
        </w:rPr>
        <w:t xml:space="preserve"> #1</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Tacoma Public Utilities/ Tacoma Power</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USDOE – United States Department of Energy</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UTC – Washington Utilities and Transportation Commission</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WALEA – Washington Local Energy Alliance</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WPUDA – Washington Public Utility Districts Association</w:t>
      </w:r>
    </w:p>
    <w:p w:rsidR="000E5E9D" w:rsidRDefault="000E5E9D" w:rsidP="00A40557">
      <w:pPr>
        <w:rPr>
          <w:rFonts w:ascii="Times New Roman" w:hAnsi="Times New Roman" w:cs="Times New Roman"/>
          <w:sz w:val="24"/>
          <w:szCs w:val="24"/>
        </w:rPr>
      </w:pPr>
      <w:r>
        <w:rPr>
          <w:rFonts w:ascii="Times New Roman" w:hAnsi="Times New Roman" w:cs="Times New Roman"/>
          <w:sz w:val="24"/>
          <w:szCs w:val="24"/>
        </w:rPr>
        <w:t>WRECA – Washington Rural Electric Cooperative Association</w:t>
      </w:r>
    </w:p>
    <w:p w:rsidR="000E5E9D" w:rsidRPr="00F047EB" w:rsidRDefault="000E5E9D" w:rsidP="00A40557">
      <w:pPr>
        <w:rPr>
          <w:rFonts w:ascii="Times New Roman" w:hAnsi="Times New Roman" w:cs="Times New Roman"/>
          <w:sz w:val="24"/>
          <w:szCs w:val="24"/>
        </w:rPr>
      </w:pPr>
    </w:p>
    <w:sectPr w:rsidR="000E5E9D" w:rsidRPr="00F047EB" w:rsidSect="00701BD2">
      <w:type w:val="continuous"/>
      <w:pgSz w:w="12240" w:h="15840"/>
      <w:pgMar w:top="1440" w:right="1800" w:bottom="1440" w:left="180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E0A" w:rsidRDefault="00540E0A" w:rsidP="001B34FF">
      <w:pPr>
        <w:spacing w:after="0" w:line="240" w:lineRule="auto"/>
      </w:pPr>
      <w:r>
        <w:separator/>
      </w:r>
    </w:p>
  </w:endnote>
  <w:endnote w:type="continuationSeparator" w:id="0">
    <w:p w:rsidR="00540E0A" w:rsidRDefault="00540E0A" w:rsidP="001B3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874147"/>
      <w:docPartObj>
        <w:docPartGallery w:val="Page Numbers (Bottom of Page)"/>
        <w:docPartUnique/>
      </w:docPartObj>
    </w:sdtPr>
    <w:sdtContent>
      <w:p w:rsidR="00701BD2" w:rsidRDefault="00701BD2">
        <w:pPr>
          <w:pStyle w:val="Footer"/>
          <w:jc w:val="center"/>
        </w:pPr>
        <w:fldSimple w:instr=" PAGE   \* MERGEFORMAT ">
          <w:r w:rsidR="007C2B56">
            <w:rPr>
              <w:noProof/>
            </w:rPr>
            <w:t>1</w:t>
          </w:r>
        </w:fldSimple>
      </w:p>
    </w:sdtContent>
  </w:sdt>
  <w:p w:rsidR="00701BD2" w:rsidRDefault="00701B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E0A" w:rsidRDefault="00540E0A" w:rsidP="001B34FF">
      <w:pPr>
        <w:spacing w:after="0" w:line="240" w:lineRule="auto"/>
      </w:pPr>
      <w:r>
        <w:separator/>
      </w:r>
    </w:p>
  </w:footnote>
  <w:footnote w:type="continuationSeparator" w:id="0">
    <w:p w:rsidR="00540E0A" w:rsidRDefault="00540E0A" w:rsidP="001B34FF">
      <w:pPr>
        <w:spacing w:after="0" w:line="240" w:lineRule="auto"/>
      </w:pPr>
      <w:r>
        <w:continuationSeparator/>
      </w:r>
    </w:p>
  </w:footnote>
  <w:footnote w:id="1">
    <w:p w:rsidR="00701BD2" w:rsidRPr="001B34FF" w:rsidRDefault="00701BD2">
      <w:pPr>
        <w:pStyle w:val="FootnoteText"/>
        <w:rPr>
          <w:sz w:val="18"/>
          <w:szCs w:val="18"/>
        </w:rPr>
      </w:pPr>
      <w:r>
        <w:rPr>
          <w:rStyle w:val="FootnoteReference"/>
        </w:rPr>
        <w:footnoteRef/>
      </w:r>
      <w:r w:rsidR="006335A7">
        <w:rPr>
          <w:rFonts w:ascii="Times New Roman" w:hAnsi="Times New Roman" w:cs="Times New Roman"/>
          <w:sz w:val="18"/>
          <w:szCs w:val="18"/>
        </w:rPr>
        <w:t xml:space="preserve"> </w:t>
      </w:r>
      <w:r w:rsidR="006335A7" w:rsidRPr="007B6712">
        <w:rPr>
          <w:rFonts w:ascii="Times New Roman" w:hAnsi="Times New Roman" w:cs="Times New Roman"/>
          <w:sz w:val="18"/>
          <w:szCs w:val="18"/>
        </w:rPr>
        <w:t>Islanding is the circumstance whereby an interconnected generating facility continues to generate electricity into the distribution system even when the electric utility’s distribution system is “down” due to storms, maintenance outages, or other events requiring the system to be “de-energized</w:t>
      </w:r>
      <w:r w:rsidRPr="007B6712">
        <w:rPr>
          <w:rFonts w:ascii="Times New Roman" w:hAnsi="Times New Roman" w:cs="Times New Roman"/>
          <w:sz w:val="18"/>
          <w:szCs w:val="18"/>
        </w:rPr>
        <w:t xml:space="preserve">.  </w:t>
      </w:r>
    </w:p>
  </w:footnote>
  <w:footnote w:id="2">
    <w:p w:rsidR="00701BD2" w:rsidRPr="003076C2" w:rsidRDefault="00701BD2" w:rsidP="00D666F1">
      <w:pPr>
        <w:pStyle w:val="FootnoteText"/>
        <w:rPr>
          <w:rFonts w:ascii="Times New Roman" w:hAnsi="Times New Roman" w:cs="Times New Roman"/>
          <w:sz w:val="18"/>
          <w:szCs w:val="18"/>
        </w:rPr>
      </w:pPr>
      <w:r>
        <w:rPr>
          <w:rStyle w:val="FootnoteReference"/>
        </w:rPr>
        <w:footnoteRef/>
      </w:r>
      <w:r>
        <w:t xml:space="preserve"> </w:t>
      </w:r>
      <w:r w:rsidRPr="003076C2">
        <w:rPr>
          <w:rFonts w:ascii="Times New Roman" w:hAnsi="Times New Roman" w:cs="Times New Roman"/>
          <w:sz w:val="18"/>
          <w:szCs w:val="18"/>
        </w:rPr>
        <w:t xml:space="preserve">1) </w:t>
      </w:r>
      <w:proofErr w:type="spellStart"/>
      <w:r w:rsidRPr="003076C2">
        <w:rPr>
          <w:rFonts w:ascii="Times New Roman" w:hAnsi="Times New Roman" w:cs="Times New Roman"/>
          <w:sz w:val="18"/>
          <w:szCs w:val="18"/>
        </w:rPr>
        <w:t>Coddington</w:t>
      </w:r>
      <w:proofErr w:type="spellEnd"/>
      <w:r w:rsidRPr="003076C2">
        <w:rPr>
          <w:rFonts w:ascii="Times New Roman" w:hAnsi="Times New Roman" w:cs="Times New Roman"/>
          <w:sz w:val="18"/>
          <w:szCs w:val="18"/>
        </w:rPr>
        <w:t xml:space="preserve">, M.H., R.M. Margolis, and J. </w:t>
      </w:r>
      <w:proofErr w:type="spellStart"/>
      <w:r w:rsidRPr="003076C2">
        <w:rPr>
          <w:rFonts w:ascii="Times New Roman" w:hAnsi="Times New Roman" w:cs="Times New Roman"/>
          <w:sz w:val="18"/>
          <w:szCs w:val="18"/>
        </w:rPr>
        <w:t>Aabakken</w:t>
      </w:r>
      <w:proofErr w:type="spellEnd"/>
      <w:r w:rsidRPr="003076C2">
        <w:rPr>
          <w:rFonts w:ascii="Times New Roman" w:hAnsi="Times New Roman" w:cs="Times New Roman"/>
          <w:sz w:val="18"/>
          <w:szCs w:val="18"/>
        </w:rPr>
        <w:t xml:space="preserve"> (2008) </w:t>
      </w:r>
      <w:r w:rsidRPr="003076C2">
        <w:rPr>
          <w:rFonts w:ascii="Times New Roman" w:hAnsi="Times New Roman" w:cs="Times New Roman"/>
          <w:i/>
          <w:sz w:val="18"/>
          <w:szCs w:val="18"/>
        </w:rPr>
        <w:t>Utility-Interconnected Photovoltaic Systems: Evaluating the Rationale for the Utility-Accessible External Disconnect Switch.</w:t>
      </w:r>
      <w:r w:rsidRPr="003076C2">
        <w:rPr>
          <w:rFonts w:ascii="Times New Roman" w:hAnsi="Times New Roman" w:cs="Times New Roman"/>
          <w:sz w:val="18"/>
          <w:szCs w:val="18"/>
        </w:rPr>
        <w:t xml:space="preserve"> </w:t>
      </w:r>
      <w:proofErr w:type="gramStart"/>
      <w:r w:rsidRPr="003076C2">
        <w:rPr>
          <w:rFonts w:ascii="Times New Roman" w:hAnsi="Times New Roman" w:cs="Times New Roman"/>
          <w:sz w:val="18"/>
          <w:szCs w:val="18"/>
        </w:rPr>
        <w:t>National Renewable Energy Laboratory.</w:t>
      </w:r>
      <w:proofErr w:type="gramEnd"/>
      <w:r w:rsidRPr="003076C2">
        <w:rPr>
          <w:rFonts w:ascii="Times New Roman" w:hAnsi="Times New Roman" w:cs="Times New Roman"/>
          <w:sz w:val="18"/>
          <w:szCs w:val="18"/>
        </w:rPr>
        <w:t xml:space="preserve"> Technical Report:</w:t>
      </w:r>
      <w:r>
        <w:rPr>
          <w:rFonts w:ascii="Times New Roman" w:hAnsi="Times New Roman" w:cs="Times New Roman"/>
          <w:sz w:val="18"/>
          <w:szCs w:val="18"/>
        </w:rPr>
        <w:t xml:space="preserve"> </w:t>
      </w:r>
      <w:r w:rsidRPr="003076C2">
        <w:rPr>
          <w:rFonts w:ascii="Times New Roman" w:hAnsi="Times New Roman" w:cs="Times New Roman"/>
          <w:sz w:val="18"/>
          <w:szCs w:val="18"/>
        </w:rPr>
        <w:t xml:space="preserve">NREL/TP-581-42675. Available at: </w:t>
      </w:r>
      <w:hyperlink r:id="rId1" w:history="1">
        <w:r w:rsidRPr="003076C2">
          <w:rPr>
            <w:rStyle w:val="Hyperlink"/>
            <w:rFonts w:ascii="Times New Roman" w:hAnsi="Times New Roman" w:cs="Times New Roman"/>
            <w:sz w:val="18"/>
            <w:szCs w:val="18"/>
          </w:rPr>
          <w:t>www.nrel.gov/docs/fy08osti/42675.pdf</w:t>
        </w:r>
      </w:hyperlink>
      <w:r w:rsidRPr="003076C2">
        <w:rPr>
          <w:rFonts w:ascii="Times New Roman" w:hAnsi="Times New Roman" w:cs="Times New Roman"/>
          <w:sz w:val="18"/>
          <w:szCs w:val="18"/>
        </w:rPr>
        <w:t xml:space="preserve">, </w:t>
      </w:r>
      <w:r>
        <w:rPr>
          <w:rFonts w:ascii="Times New Roman" w:hAnsi="Times New Roman" w:cs="Times New Roman"/>
          <w:sz w:val="18"/>
          <w:szCs w:val="18"/>
        </w:rPr>
        <w:t xml:space="preserve">and 2) Sheehan, Michael T., P.E., </w:t>
      </w:r>
      <w:r>
        <w:rPr>
          <w:rFonts w:ascii="Times New Roman" w:hAnsi="Times New Roman" w:cs="Times New Roman"/>
          <w:i/>
          <w:sz w:val="18"/>
          <w:szCs w:val="18"/>
        </w:rPr>
        <w:t xml:space="preserve">Utility External Disconnect Switch: Practical, Legal, and Technical Reasons to Eliminate the Requirement, </w:t>
      </w:r>
      <w:r w:rsidRPr="00CF0408">
        <w:rPr>
          <w:rFonts w:ascii="Times New Roman" w:hAnsi="Times New Roman" w:cs="Times New Roman"/>
          <w:sz w:val="18"/>
          <w:szCs w:val="18"/>
        </w:rPr>
        <w:t>published by Solar America Board for Codes and Standards. Available at:</w:t>
      </w:r>
      <w:r>
        <w:rPr>
          <w:rFonts w:ascii="Times New Roman" w:hAnsi="Times New Roman" w:cs="Times New Roman"/>
          <w:i/>
          <w:sz w:val="18"/>
          <w:szCs w:val="18"/>
        </w:rPr>
        <w:t xml:space="preserve"> </w:t>
      </w:r>
      <w:hyperlink r:id="rId2" w:history="1">
        <w:r w:rsidRPr="00CF0408">
          <w:rPr>
            <w:rStyle w:val="Hyperlink"/>
            <w:rFonts w:ascii="Times New Roman" w:hAnsi="Times New Roman" w:cs="Times New Roman"/>
            <w:sz w:val="18"/>
            <w:szCs w:val="18"/>
          </w:rPr>
          <w:t>http://www.solarbcs.org/about/publications/reports/ued/index.html</w:t>
        </w:r>
      </w:hyperlink>
      <w:r w:rsidRPr="00CF0408">
        <w:rPr>
          <w:rFonts w:ascii="Times New Roman" w:hAnsi="Times New Roman" w:cs="Times New Roman"/>
          <w:sz w:val="18"/>
          <w:szCs w:val="18"/>
        </w:rPr>
        <w:t xml:space="preserve">. </w:t>
      </w:r>
      <w:r w:rsidRPr="003076C2">
        <w:rPr>
          <w:rFonts w:ascii="Times New Roman" w:hAnsi="Times New Roman" w:cs="Times New Roman"/>
          <w:sz w:val="18"/>
          <w:szCs w:val="18"/>
        </w:rPr>
        <w:t>For state procedures waiving the disconnect switch requirement for small, inverter-based systems, see scores of 0.5 or more in the</w:t>
      </w:r>
      <w:r>
        <w:rPr>
          <w:rFonts w:ascii="Times New Roman" w:hAnsi="Times New Roman" w:cs="Times New Roman"/>
          <w:i/>
          <w:sz w:val="18"/>
          <w:szCs w:val="18"/>
        </w:rPr>
        <w:t xml:space="preserve"> </w:t>
      </w:r>
      <w:r w:rsidRPr="009D6D1F">
        <w:rPr>
          <w:rFonts w:ascii="Times New Roman" w:hAnsi="Times New Roman" w:cs="Times New Roman"/>
          <w:sz w:val="18"/>
          <w:szCs w:val="18"/>
        </w:rPr>
        <w:t>“External Disconnect” column in the table of state interconnection procedures on pp. 88-89</w:t>
      </w:r>
      <w:r>
        <w:rPr>
          <w:rFonts w:ascii="Times New Roman" w:hAnsi="Times New Roman" w:cs="Times New Roman"/>
          <w:i/>
          <w:sz w:val="18"/>
          <w:szCs w:val="18"/>
        </w:rPr>
        <w:t>, “Freeing the Grid: Best Practices in State Net Metering Policies and Interconnection Procedures,</w:t>
      </w:r>
      <w:r>
        <w:rPr>
          <w:rFonts w:ascii="Times New Roman" w:hAnsi="Times New Roman" w:cs="Times New Roman"/>
          <w:sz w:val="18"/>
          <w:szCs w:val="18"/>
        </w:rPr>
        <w:t xml:space="preserve"> 2011 edition. Available at: </w:t>
      </w:r>
      <w:hyperlink r:id="rId3" w:history="1">
        <w:r w:rsidRPr="001B2532">
          <w:rPr>
            <w:rStyle w:val="Hyperlink"/>
            <w:rFonts w:ascii="Times New Roman" w:hAnsi="Times New Roman" w:cs="Times New Roman"/>
            <w:sz w:val="18"/>
            <w:szCs w:val="18"/>
          </w:rPr>
          <w:t>www.newenergychoices.org/uploads/FreeingTheGrid2011.pdf</w:t>
        </w:r>
      </w:hyperlink>
      <w:r>
        <w:rPr>
          <w:rFonts w:ascii="Times New Roman" w:hAnsi="Times New Roman" w:cs="Times New Roman"/>
          <w:sz w:val="18"/>
          <w:szCs w:val="18"/>
        </w:rPr>
        <w:t>. California’s three major utilities waive the requirement and alone have more than 100,000 net metered systems installed.</w:t>
      </w:r>
    </w:p>
  </w:footnote>
  <w:footnote w:id="3">
    <w:p w:rsidR="00701BD2" w:rsidRPr="00EB27B4" w:rsidRDefault="00701BD2">
      <w:pPr>
        <w:pStyle w:val="FootnoteText"/>
        <w:rPr>
          <w:rFonts w:ascii="Times New Roman" w:hAnsi="Times New Roman" w:cs="Times New Roman"/>
          <w:sz w:val="18"/>
          <w:szCs w:val="18"/>
        </w:rPr>
      </w:pPr>
      <w:r w:rsidRPr="00EB27B4">
        <w:rPr>
          <w:rStyle w:val="FootnoteReference"/>
          <w:rFonts w:ascii="Times New Roman" w:hAnsi="Times New Roman" w:cs="Times New Roman"/>
          <w:sz w:val="18"/>
          <w:szCs w:val="18"/>
        </w:rPr>
        <w:footnoteRef/>
      </w:r>
      <w:r w:rsidRPr="00EB27B4">
        <w:rPr>
          <w:rFonts w:ascii="Times New Roman" w:hAnsi="Times New Roman" w:cs="Times New Roman"/>
          <w:sz w:val="18"/>
          <w:szCs w:val="18"/>
        </w:rPr>
        <w:t xml:space="preserve"> See Appendix 1 of Model Rule for Process Flow Charts.</w:t>
      </w:r>
    </w:p>
  </w:footnote>
  <w:footnote w:id="4">
    <w:p w:rsidR="00701BD2" w:rsidRPr="00346F3A" w:rsidRDefault="00701BD2">
      <w:pPr>
        <w:pStyle w:val="FootnoteText"/>
        <w:rPr>
          <w:sz w:val="18"/>
          <w:szCs w:val="18"/>
        </w:rPr>
      </w:pPr>
      <w:r w:rsidRPr="00346F3A">
        <w:rPr>
          <w:rStyle w:val="FootnoteReference"/>
          <w:rFonts w:ascii="Times New Roman" w:hAnsi="Times New Roman" w:cs="Times New Roman"/>
          <w:sz w:val="18"/>
          <w:szCs w:val="18"/>
        </w:rPr>
        <w:footnoteRef/>
      </w:r>
      <w:r w:rsidRPr="00346F3A">
        <w:rPr>
          <w:rFonts w:ascii="Times New Roman" w:hAnsi="Times New Roman" w:cs="Times New Roman"/>
          <w:sz w:val="18"/>
          <w:szCs w:val="18"/>
        </w:rPr>
        <w:t xml:space="preserve"> And maintain documentation for utility inspection of such testing</w:t>
      </w:r>
    </w:p>
  </w:footnote>
  <w:footnote w:id="5">
    <w:p w:rsidR="00701BD2" w:rsidRPr="00346F3A" w:rsidRDefault="00701BD2">
      <w:pPr>
        <w:pStyle w:val="FootnoteText"/>
        <w:rPr>
          <w:rFonts w:ascii="Times New Roman" w:hAnsi="Times New Roman" w:cs="Times New Roman"/>
          <w:sz w:val="18"/>
          <w:szCs w:val="18"/>
        </w:rPr>
      </w:pPr>
      <w:r w:rsidRPr="00346F3A">
        <w:rPr>
          <w:rStyle w:val="FootnoteReference"/>
          <w:rFonts w:ascii="Times New Roman" w:hAnsi="Times New Roman" w:cs="Times New Roman"/>
          <w:sz w:val="18"/>
          <w:szCs w:val="18"/>
        </w:rPr>
        <w:footnoteRef/>
      </w:r>
      <w:r w:rsidRPr="00346F3A">
        <w:rPr>
          <w:rFonts w:ascii="Times New Roman" w:hAnsi="Times New Roman" w:cs="Times New Roman"/>
          <w:sz w:val="18"/>
          <w:szCs w:val="18"/>
        </w:rPr>
        <w:t xml:space="preserve"> There was vigorous discussion about the cutoff for Tier 2, whether it should remain at 300 kW as it is in current rule, or increase to 500 kW. The group came t</w:t>
      </w:r>
      <w:r>
        <w:rPr>
          <w:rFonts w:ascii="Times New Roman" w:hAnsi="Times New Roman" w:cs="Times New Roman"/>
          <w:sz w:val="18"/>
          <w:szCs w:val="18"/>
        </w:rPr>
        <w:t>o</w:t>
      </w:r>
      <w:r w:rsidRPr="00346F3A">
        <w:rPr>
          <w:rFonts w:ascii="Times New Roman" w:hAnsi="Times New Roman" w:cs="Times New Roman"/>
          <w:sz w:val="18"/>
          <w:szCs w:val="18"/>
        </w:rPr>
        <w:t xml:space="preserve"> a decision that </w:t>
      </w:r>
      <w:r w:rsidRPr="009D6D1F">
        <w:rPr>
          <w:rFonts w:ascii="Times New Roman" w:hAnsi="Times New Roman" w:cs="Times New Roman"/>
          <w:i/>
          <w:sz w:val="18"/>
          <w:szCs w:val="18"/>
        </w:rPr>
        <w:t>most</w:t>
      </w:r>
      <w:r w:rsidRPr="00346F3A">
        <w:rPr>
          <w:rFonts w:ascii="Times New Roman" w:hAnsi="Times New Roman" w:cs="Times New Roman"/>
          <w:sz w:val="18"/>
          <w:szCs w:val="18"/>
        </w:rPr>
        <w:t xml:space="preserve"> machines in the 300 – 500 kW range would not pass the Tier 2 screen and thus the increase </w:t>
      </w:r>
      <w:r>
        <w:rPr>
          <w:rFonts w:ascii="Times New Roman" w:hAnsi="Times New Roman" w:cs="Times New Roman"/>
          <w:sz w:val="18"/>
          <w:szCs w:val="18"/>
        </w:rPr>
        <w:t xml:space="preserve">to 500 kW </w:t>
      </w:r>
      <w:r w:rsidRPr="00346F3A">
        <w:rPr>
          <w:rFonts w:ascii="Times New Roman" w:hAnsi="Times New Roman" w:cs="Times New Roman"/>
          <w:sz w:val="18"/>
          <w:szCs w:val="18"/>
        </w:rPr>
        <w:t>did not affect safety or reliability</w:t>
      </w:r>
      <w:r>
        <w:rPr>
          <w:rFonts w:ascii="Times New Roman" w:hAnsi="Times New Roman" w:cs="Times New Roman"/>
          <w:sz w:val="18"/>
          <w:szCs w:val="18"/>
        </w:rPr>
        <w:t>, but would allow inverter based systems in this size category to follow the streamlined Tier 2 process.</w:t>
      </w:r>
    </w:p>
  </w:footnote>
  <w:footnote w:id="6">
    <w:p w:rsidR="00000000" w:rsidRDefault="00701BD2">
      <w:r w:rsidRPr="002813CB">
        <w:rPr>
          <w:rStyle w:val="FootnoteReference"/>
          <w:rFonts w:ascii="Times New Roman" w:hAnsi="Times New Roman" w:cs="Times New Roman"/>
        </w:rPr>
        <w:footnoteRef/>
      </w:r>
      <w:r w:rsidRPr="002813CB">
        <w:rPr>
          <w:rFonts w:ascii="Times New Roman" w:hAnsi="Times New Roman" w:cs="Times New Roman"/>
        </w:rPr>
        <w:t xml:space="preserve"> </w:t>
      </w:r>
      <w:r w:rsidRPr="002813CB">
        <w:rPr>
          <w:rFonts w:ascii="Times New Roman" w:hAnsi="Times New Roman" w:cs="Times New Roman"/>
          <w:sz w:val="18"/>
          <w:szCs w:val="18"/>
        </w:rPr>
        <w:t xml:space="preserve">See </w:t>
      </w:r>
      <w:r w:rsidRPr="009D6D1F">
        <w:rPr>
          <w:rFonts w:ascii="Times New Roman" w:hAnsi="Times New Roman" w:cs="Times New Roman"/>
          <w:sz w:val="18"/>
          <w:szCs w:val="18"/>
        </w:rPr>
        <w:t>Application through Commercial Operation in Tier 3</w:t>
      </w:r>
      <w:r w:rsidRPr="002813CB">
        <w:rPr>
          <w:rFonts w:ascii="Times New Roman" w:hAnsi="Times New Roman" w:cs="Times New Roman"/>
          <w:sz w:val="18"/>
          <w:szCs w:val="18"/>
        </w:rPr>
        <w:t xml:space="preserve"> under “Other Issues” at the end of this report for further explanation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66CC7"/>
    <w:multiLevelType w:val="hybridMultilevel"/>
    <w:tmpl w:val="BF768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C74C5"/>
    <w:multiLevelType w:val="hybridMultilevel"/>
    <w:tmpl w:val="D1ECFB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522A6373"/>
    <w:multiLevelType w:val="hybridMultilevel"/>
    <w:tmpl w:val="A9325FAC"/>
    <w:lvl w:ilvl="0" w:tplc="4B52E75E">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2842F49"/>
    <w:multiLevelType w:val="hybridMultilevel"/>
    <w:tmpl w:val="808C0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A40557"/>
    <w:rsid w:val="000E5E9D"/>
    <w:rsid w:val="00110E16"/>
    <w:rsid w:val="00117381"/>
    <w:rsid w:val="001B34FF"/>
    <w:rsid w:val="001E1A7A"/>
    <w:rsid w:val="002041E4"/>
    <w:rsid w:val="00257BA2"/>
    <w:rsid w:val="002813CB"/>
    <w:rsid w:val="00293E53"/>
    <w:rsid w:val="002A05A2"/>
    <w:rsid w:val="003076C2"/>
    <w:rsid w:val="00346F3A"/>
    <w:rsid w:val="00373DE9"/>
    <w:rsid w:val="003F5C82"/>
    <w:rsid w:val="00406A24"/>
    <w:rsid w:val="004127DE"/>
    <w:rsid w:val="0044609E"/>
    <w:rsid w:val="004A1FA4"/>
    <w:rsid w:val="004A5E79"/>
    <w:rsid w:val="004A72C0"/>
    <w:rsid w:val="004B14F0"/>
    <w:rsid w:val="004C09D9"/>
    <w:rsid w:val="004C7628"/>
    <w:rsid w:val="004D79FA"/>
    <w:rsid w:val="004F5391"/>
    <w:rsid w:val="0051134D"/>
    <w:rsid w:val="005168C6"/>
    <w:rsid w:val="00536247"/>
    <w:rsid w:val="00540E0A"/>
    <w:rsid w:val="00565DDA"/>
    <w:rsid w:val="005C1DDE"/>
    <w:rsid w:val="00601906"/>
    <w:rsid w:val="006335A7"/>
    <w:rsid w:val="00644DB8"/>
    <w:rsid w:val="0067425D"/>
    <w:rsid w:val="00683FDA"/>
    <w:rsid w:val="006A399D"/>
    <w:rsid w:val="006B59C1"/>
    <w:rsid w:val="00701BD2"/>
    <w:rsid w:val="00715895"/>
    <w:rsid w:val="00775C05"/>
    <w:rsid w:val="007B6712"/>
    <w:rsid w:val="007C2B56"/>
    <w:rsid w:val="00810108"/>
    <w:rsid w:val="008563C0"/>
    <w:rsid w:val="008B1EC5"/>
    <w:rsid w:val="0095550D"/>
    <w:rsid w:val="00961A35"/>
    <w:rsid w:val="00983970"/>
    <w:rsid w:val="009D6D1F"/>
    <w:rsid w:val="009E13A3"/>
    <w:rsid w:val="00A40557"/>
    <w:rsid w:val="00A42FAC"/>
    <w:rsid w:val="00A812F2"/>
    <w:rsid w:val="00AD1AF8"/>
    <w:rsid w:val="00B53D21"/>
    <w:rsid w:val="00BA0FED"/>
    <w:rsid w:val="00BF5C4B"/>
    <w:rsid w:val="00C24395"/>
    <w:rsid w:val="00C53C48"/>
    <w:rsid w:val="00C7485A"/>
    <w:rsid w:val="00CF0408"/>
    <w:rsid w:val="00D13C7A"/>
    <w:rsid w:val="00D666F1"/>
    <w:rsid w:val="00D84ED5"/>
    <w:rsid w:val="00D8569B"/>
    <w:rsid w:val="00DC3786"/>
    <w:rsid w:val="00DF35EB"/>
    <w:rsid w:val="00E60789"/>
    <w:rsid w:val="00E840F0"/>
    <w:rsid w:val="00EB27B4"/>
    <w:rsid w:val="00EC1056"/>
    <w:rsid w:val="00F047EB"/>
    <w:rsid w:val="00F23CE6"/>
    <w:rsid w:val="00F465C5"/>
    <w:rsid w:val="00FC10AC"/>
    <w:rsid w:val="00FE0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789"/>
    <w:pPr>
      <w:spacing w:after="0" w:line="240" w:lineRule="auto"/>
      <w:ind w:left="720"/>
    </w:pPr>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1B34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4FF"/>
    <w:rPr>
      <w:sz w:val="20"/>
      <w:szCs w:val="20"/>
    </w:rPr>
  </w:style>
  <w:style w:type="character" w:styleId="FootnoteReference">
    <w:name w:val="footnote reference"/>
    <w:basedOn w:val="DefaultParagraphFont"/>
    <w:uiPriority w:val="99"/>
    <w:semiHidden/>
    <w:unhideWhenUsed/>
    <w:rsid w:val="001B34FF"/>
    <w:rPr>
      <w:vertAlign w:val="superscript"/>
    </w:rPr>
  </w:style>
  <w:style w:type="paragraph" w:styleId="Header">
    <w:name w:val="header"/>
    <w:basedOn w:val="Normal"/>
    <w:link w:val="HeaderChar"/>
    <w:uiPriority w:val="99"/>
    <w:semiHidden/>
    <w:unhideWhenUsed/>
    <w:rsid w:val="00D856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569B"/>
  </w:style>
  <w:style w:type="paragraph" w:styleId="Footer">
    <w:name w:val="footer"/>
    <w:basedOn w:val="Normal"/>
    <w:link w:val="FooterChar"/>
    <w:uiPriority w:val="99"/>
    <w:unhideWhenUsed/>
    <w:rsid w:val="00D85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69B"/>
  </w:style>
  <w:style w:type="character" w:styleId="Hyperlink">
    <w:name w:val="Hyperlink"/>
    <w:basedOn w:val="DefaultParagraphFont"/>
    <w:uiPriority w:val="99"/>
    <w:unhideWhenUsed/>
    <w:rsid w:val="003076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17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www.newenergychoices.org/uploads/FreeingTheGrid2011.pdf" TargetMode="External"/><Relationship Id="rId2" Type="http://schemas.openxmlformats.org/officeDocument/2006/relationships/hyperlink" Target="http://www.solarbcs.org/about/publications/reports/ued/index.html" TargetMode="External"/><Relationship Id="rId1" Type="http://schemas.openxmlformats.org/officeDocument/2006/relationships/hyperlink" Target="http://www.nrel.gov/docs/fy08osti/426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Email</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2012-07-13T07:00:00+00:00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7A94771-1E18-4CD5-AB10-FD9CC2CB27D0}"/>
</file>

<file path=customXml/itemProps2.xml><?xml version="1.0" encoding="utf-8"?>
<ds:datastoreItem xmlns:ds="http://schemas.openxmlformats.org/officeDocument/2006/customXml" ds:itemID="{81821452-33A5-445E-89B4-A0B47CA706C7}"/>
</file>

<file path=customXml/itemProps3.xml><?xml version="1.0" encoding="utf-8"?>
<ds:datastoreItem xmlns:ds="http://schemas.openxmlformats.org/officeDocument/2006/customXml" ds:itemID="{5E699C86-4DB8-4945-9634-3000A8CF44AD}"/>
</file>

<file path=customXml/itemProps4.xml><?xml version="1.0" encoding="utf-8"?>
<ds:datastoreItem xmlns:ds="http://schemas.openxmlformats.org/officeDocument/2006/customXml" ds:itemID="{5BCFD5E4-5F4F-4756-AE01-6599D73023D9}"/>
</file>

<file path=customXml/itemProps5.xml><?xml version="1.0" encoding="utf-8"?>
<ds:datastoreItem xmlns:ds="http://schemas.openxmlformats.org/officeDocument/2006/customXml" ds:itemID="{9481C372-EF53-4576-BC39-3D1A156F239A}"/>
</file>

<file path=docProps/app.xml><?xml version="1.0" encoding="utf-8"?>
<Properties xmlns="http://schemas.openxmlformats.org/officeDocument/2006/extended-properties" xmlns:vt="http://schemas.openxmlformats.org/officeDocument/2006/docPropsVTypes">
  <Template>Normal</Template>
  <TotalTime>17</TotalTime>
  <Pages>11</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5</cp:revision>
  <dcterms:created xsi:type="dcterms:W3CDTF">2012-07-13T20:18:00Z</dcterms:created>
  <dcterms:modified xsi:type="dcterms:W3CDTF">2012-07-13T20:42:00Z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