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0D" w:rsidRPr="00B349D5" w:rsidRDefault="00606B0D" w:rsidP="00AA5FEE">
      <w:pPr>
        <w:jc w:val="center"/>
      </w:pPr>
      <w:r w:rsidRPr="00B349D5">
        <w:t xml:space="preserve">BEFORE THE WASHINGTON STATE UTILITIES </w:t>
      </w:r>
    </w:p>
    <w:p w:rsidR="006877D4" w:rsidRPr="00B349D5" w:rsidRDefault="00606B0D" w:rsidP="00AA5FEE">
      <w:pPr>
        <w:jc w:val="center"/>
      </w:pPr>
      <w:r w:rsidRPr="00B349D5">
        <w:t>AND TRANSPORTATION COMMISSION</w:t>
      </w:r>
    </w:p>
    <w:p w:rsidR="006877D4" w:rsidRPr="00B349D5" w:rsidRDefault="006877D4" w:rsidP="006877D4">
      <w:pPr>
        <w:jc w:val="center"/>
      </w:pPr>
    </w:p>
    <w:p w:rsidR="006877D4" w:rsidRPr="00B349D5" w:rsidRDefault="006877D4" w:rsidP="006877D4">
      <w:pPr>
        <w:jc w:val="cente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2F5808" w:rsidRPr="00B349D5" w:rsidTr="002F5808">
        <w:tc>
          <w:tcPr>
            <w:tcW w:w="4788" w:type="dxa"/>
            <w:tcBorders>
              <w:top w:val="nil"/>
              <w:bottom w:val="single" w:sz="4" w:space="0" w:color="auto"/>
            </w:tcBorders>
          </w:tcPr>
          <w:p w:rsidR="002F5808" w:rsidRPr="00B349D5" w:rsidRDefault="001F7856" w:rsidP="002F5808">
            <w:pPr>
              <w:pStyle w:val="PartyContents"/>
            </w:pPr>
            <w:sdt>
              <w:sdtPr>
                <w:alias w:val="Edit field"/>
                <w:tag w:val="SWILI1ContentsA"/>
                <w:id w:val="1848836857"/>
                <w:placeholder>
                  <w:docPart w:val="74431441E7FC4EFF9AB79BB10B23672F"/>
                </w:placeholder>
                <w:showingPlcHdr/>
              </w:sdtPr>
              <w:sdtEndPr/>
              <w:sdtContent/>
            </w:sdt>
            <w:r w:rsidR="00606B0D" w:rsidRPr="00B349D5">
              <w:t>WASHINGTON UTILITIES AND TRANSPORTATION COMMISSION,</w:t>
            </w:r>
          </w:p>
          <w:p w:rsidR="006877D4" w:rsidRPr="00B349D5" w:rsidRDefault="006877D4" w:rsidP="002F5808">
            <w:pPr>
              <w:pStyle w:val="PartyContents"/>
            </w:pPr>
          </w:p>
          <w:p w:rsidR="006877D4" w:rsidRPr="00B349D5" w:rsidRDefault="00606B0D" w:rsidP="00606B0D">
            <w:pPr>
              <w:pStyle w:val="PartyContents"/>
              <w:ind w:left="2250"/>
            </w:pPr>
            <w:r w:rsidRPr="00B349D5">
              <w:t>Complainant,</w:t>
            </w:r>
          </w:p>
          <w:p w:rsidR="000C60E8" w:rsidRPr="00B349D5" w:rsidRDefault="000C60E8" w:rsidP="002F5808">
            <w:pPr>
              <w:pStyle w:val="PartyContents"/>
            </w:pPr>
          </w:p>
          <w:p w:rsidR="002F5808" w:rsidRPr="00B349D5" w:rsidRDefault="00606B0D" w:rsidP="002F5808">
            <w:pPr>
              <w:pStyle w:val="Caption"/>
            </w:pPr>
            <w:r w:rsidRPr="00B349D5">
              <w:t>v.</w:t>
            </w:r>
          </w:p>
          <w:p w:rsidR="00606B0D" w:rsidRPr="00B349D5" w:rsidRDefault="00606B0D" w:rsidP="00606B0D"/>
          <w:p w:rsidR="00606B0D" w:rsidRPr="00B349D5" w:rsidRDefault="00606B0D" w:rsidP="00606B0D">
            <w:r w:rsidRPr="00B349D5">
              <w:t>WASTE CONTROL, INC.,</w:t>
            </w:r>
          </w:p>
          <w:p w:rsidR="00606B0D" w:rsidRPr="00B349D5" w:rsidRDefault="00606B0D" w:rsidP="00606B0D"/>
          <w:p w:rsidR="00606B0D" w:rsidRPr="00B349D5" w:rsidRDefault="00606B0D" w:rsidP="00606B0D">
            <w:pPr>
              <w:ind w:left="2250"/>
            </w:pPr>
            <w:r w:rsidRPr="00B349D5">
              <w:t>Respondent.</w:t>
            </w:r>
          </w:p>
          <w:p w:rsidR="002F5808" w:rsidRPr="00B349D5" w:rsidRDefault="002F5808" w:rsidP="006877D4">
            <w:pPr>
              <w:pStyle w:val="PartyName"/>
            </w:pPr>
          </w:p>
        </w:tc>
        <w:tc>
          <w:tcPr>
            <w:tcW w:w="4788" w:type="dxa"/>
          </w:tcPr>
          <w:p w:rsidR="002F5808" w:rsidRPr="00B349D5" w:rsidRDefault="002F5808" w:rsidP="00ED2138">
            <w:pPr>
              <w:pStyle w:val="Caption"/>
            </w:pPr>
            <w:r w:rsidRPr="00B349D5">
              <w:t xml:space="preserve">DOCKET NO. </w:t>
            </w:r>
            <w:r w:rsidR="002942AB" w:rsidRPr="00B349D5">
              <w:t>TG-</w:t>
            </w:r>
            <w:r w:rsidR="0021348E" w:rsidRPr="00B349D5">
              <w:t>140560</w:t>
            </w:r>
          </w:p>
          <w:p w:rsidR="002F5808" w:rsidRPr="00B349D5" w:rsidRDefault="002F5808" w:rsidP="002F5808"/>
          <w:p w:rsidR="002F5808" w:rsidRPr="00B349D5" w:rsidRDefault="0021348E" w:rsidP="003855BD">
            <w:r w:rsidRPr="00B349D5">
              <w:t xml:space="preserve">PETITION FOR ADMINISTRATIVE REVIEW OF </w:t>
            </w:r>
            <w:r w:rsidR="004B600B" w:rsidRPr="00B349D5">
              <w:t xml:space="preserve">INITIAL </w:t>
            </w:r>
            <w:r w:rsidRPr="00B349D5">
              <w:t xml:space="preserve">ORDER NO. 12 </w:t>
            </w:r>
            <w:r w:rsidR="003855BD" w:rsidRPr="00B349D5">
              <w:t>BY</w:t>
            </w:r>
            <w:r w:rsidRPr="00B349D5">
              <w:t xml:space="preserve"> RESPONDENT WASTE CONTROL, INC.</w:t>
            </w:r>
          </w:p>
        </w:tc>
      </w:tr>
    </w:tbl>
    <w:p w:rsidR="0014496D" w:rsidRPr="00B349D5" w:rsidRDefault="0014496D" w:rsidP="002F5808">
      <w:pPr>
        <w:sectPr w:rsidR="0014496D" w:rsidRPr="00B349D5" w:rsidSect="00BD6BB7">
          <w:footerReference w:type="default" r:id="rId9"/>
          <w:pgSz w:w="12240" w:h="15840" w:code="1"/>
          <w:pgMar w:top="1440" w:right="1440" w:bottom="1440" w:left="1440" w:header="720" w:footer="720" w:gutter="0"/>
          <w:paperSrc w:first="261" w:other="261"/>
          <w:pgNumType w:fmt="lowerRoman" w:start="1"/>
          <w:cols w:space="720"/>
          <w:docGrid w:linePitch="360"/>
        </w:sectPr>
      </w:pPr>
    </w:p>
    <w:p w:rsidR="0014496D" w:rsidRPr="00B349D5" w:rsidRDefault="0014496D" w:rsidP="002F5808"/>
    <w:p w:rsidR="0014496D" w:rsidRDefault="0014496D" w:rsidP="002F5808"/>
    <w:p w:rsidR="00522BC6" w:rsidRDefault="00522BC6" w:rsidP="002F5808"/>
    <w:p w:rsidR="00522BC6" w:rsidRDefault="00522BC6" w:rsidP="002F5808"/>
    <w:p w:rsidR="00522BC6" w:rsidRDefault="00522BC6" w:rsidP="002F5808"/>
    <w:p w:rsidR="00522BC6" w:rsidRDefault="00522BC6" w:rsidP="002F5808"/>
    <w:p w:rsidR="00522BC6" w:rsidRDefault="00522BC6" w:rsidP="002F5808"/>
    <w:p w:rsidR="00522BC6" w:rsidRDefault="00522BC6" w:rsidP="00522BC6">
      <w:pPr>
        <w:jc w:val="both"/>
      </w:pPr>
      <w:r>
        <w:tab/>
      </w:r>
      <w:r>
        <w:tab/>
      </w:r>
      <w:r>
        <w:tab/>
      </w:r>
      <w:r>
        <w:tab/>
      </w:r>
      <w:r>
        <w:tab/>
      </w:r>
      <w:r>
        <w:tab/>
        <w:t>June 29, 2015</w:t>
      </w:r>
    </w:p>
    <w:p w:rsidR="00522BC6" w:rsidRDefault="00522BC6" w:rsidP="002F5808"/>
    <w:p w:rsidR="00522BC6" w:rsidRDefault="00522BC6" w:rsidP="002F5808">
      <w:r>
        <w:tab/>
      </w:r>
      <w:r>
        <w:tab/>
      </w:r>
      <w:r>
        <w:tab/>
      </w:r>
      <w:r>
        <w:tab/>
      </w:r>
      <w:r>
        <w:tab/>
      </w:r>
      <w:r>
        <w:tab/>
        <w:t>DAVID W. WILEY</w:t>
      </w:r>
    </w:p>
    <w:p w:rsidR="00522BC6" w:rsidRDefault="00522BC6" w:rsidP="002F5808">
      <w:r>
        <w:tab/>
      </w:r>
      <w:r>
        <w:tab/>
      </w:r>
      <w:r>
        <w:tab/>
      </w:r>
      <w:r>
        <w:tab/>
      </w:r>
      <w:r>
        <w:tab/>
      </w:r>
      <w:r>
        <w:tab/>
        <w:t>Attorney for Waste Control, Inc.</w:t>
      </w:r>
    </w:p>
    <w:p w:rsidR="00522BC6" w:rsidRDefault="00522BC6" w:rsidP="002F5808">
      <w:r>
        <w:tab/>
      </w:r>
      <w:r>
        <w:tab/>
      </w:r>
      <w:r>
        <w:tab/>
      </w:r>
      <w:r>
        <w:tab/>
      </w:r>
      <w:r>
        <w:tab/>
      </w:r>
      <w:r>
        <w:tab/>
      </w:r>
    </w:p>
    <w:p w:rsidR="00522BC6" w:rsidRDefault="00522BC6" w:rsidP="002F5808"/>
    <w:p w:rsidR="00522BC6" w:rsidRDefault="00522BC6" w:rsidP="002F5808"/>
    <w:p w:rsidR="00522BC6" w:rsidRDefault="00522BC6" w:rsidP="002F5808">
      <w:r>
        <w:tab/>
      </w:r>
      <w:r>
        <w:tab/>
      </w:r>
      <w:r>
        <w:tab/>
      </w:r>
      <w:r>
        <w:tab/>
      </w:r>
      <w:r>
        <w:tab/>
      </w:r>
      <w:r>
        <w:tab/>
        <w:t>Williams, Kastner &amp; Gibbs PLLC</w:t>
      </w:r>
    </w:p>
    <w:p w:rsidR="00522BC6" w:rsidRDefault="00522BC6" w:rsidP="002F5808">
      <w:r>
        <w:tab/>
      </w:r>
      <w:r>
        <w:tab/>
      </w:r>
      <w:r>
        <w:tab/>
      </w:r>
      <w:r>
        <w:tab/>
      </w:r>
      <w:r>
        <w:tab/>
      </w:r>
      <w:r>
        <w:tab/>
        <w:t>601 Union Street, Suite 4100</w:t>
      </w:r>
    </w:p>
    <w:p w:rsidR="00522BC6" w:rsidRDefault="00522BC6" w:rsidP="002F5808">
      <w:r>
        <w:tab/>
      </w:r>
      <w:r>
        <w:tab/>
      </w:r>
      <w:r>
        <w:tab/>
      </w:r>
      <w:r>
        <w:tab/>
      </w:r>
      <w:r>
        <w:tab/>
      </w:r>
      <w:r>
        <w:tab/>
        <w:t>Seattle, WA 98101</w:t>
      </w:r>
    </w:p>
    <w:p w:rsidR="00522BC6" w:rsidRDefault="00522BC6" w:rsidP="002F5808">
      <w:r>
        <w:tab/>
      </w:r>
      <w:r>
        <w:tab/>
      </w:r>
      <w:r>
        <w:tab/>
      </w:r>
      <w:r>
        <w:tab/>
      </w:r>
      <w:r>
        <w:tab/>
      </w:r>
      <w:r>
        <w:tab/>
        <w:t>(206) 628-6600</w:t>
      </w:r>
    </w:p>
    <w:p w:rsidR="00522BC6" w:rsidRPr="00B349D5" w:rsidRDefault="00522BC6" w:rsidP="002F5808"/>
    <w:p w:rsidR="0014496D" w:rsidRPr="00B349D5" w:rsidRDefault="0014496D" w:rsidP="002F5808"/>
    <w:p w:rsidR="0014496D" w:rsidRPr="00B349D5" w:rsidRDefault="0014496D" w:rsidP="002F5808">
      <w:pPr>
        <w:sectPr w:rsidR="0014496D" w:rsidRPr="00B349D5" w:rsidSect="00BD6BB7">
          <w:type w:val="continuous"/>
          <w:pgSz w:w="12240" w:h="15840" w:code="1"/>
          <w:pgMar w:top="1440" w:right="1440" w:bottom="1440" w:left="1440" w:header="720" w:footer="720" w:gutter="0"/>
          <w:paperSrc w:first="261" w:other="261"/>
          <w:cols w:space="720"/>
          <w:docGrid w:linePitch="360"/>
        </w:sectPr>
      </w:pPr>
    </w:p>
    <w:p w:rsidR="0014496D" w:rsidRPr="00B349D5" w:rsidRDefault="0014496D" w:rsidP="0014496D">
      <w:pPr>
        <w:jc w:val="center"/>
      </w:pPr>
      <w:r w:rsidRPr="00B349D5">
        <w:lastRenderedPageBreak/>
        <w:t>TABLE OF CONTENTS</w:t>
      </w:r>
    </w:p>
    <w:p w:rsidR="0014496D" w:rsidRPr="00B349D5" w:rsidRDefault="0014496D" w:rsidP="002F5808"/>
    <w:p w:rsidR="00FD3E78" w:rsidRDefault="00F362A1">
      <w:pPr>
        <w:pStyle w:val="TOC1"/>
        <w:rPr>
          <w:rFonts w:asciiTheme="minorHAnsi" w:eastAsiaTheme="minorEastAsia" w:hAnsiTheme="minorHAnsi" w:cstheme="minorBidi"/>
          <w:caps w:val="0"/>
          <w:noProof/>
          <w:sz w:val="22"/>
          <w:szCs w:val="22"/>
        </w:rPr>
      </w:pPr>
      <w:r w:rsidRPr="00B349D5">
        <w:fldChar w:fldCharType="begin"/>
      </w:r>
      <w:r w:rsidRPr="00B349D5">
        <w:instrText xml:space="preserve"> TOC \h \t "Heading 1,1, Heading 3,3, Heading 4,4" \x \* MERGEFORMAT </w:instrText>
      </w:r>
      <w:r w:rsidRPr="00B349D5">
        <w:fldChar w:fldCharType="separate"/>
      </w:r>
      <w:hyperlink w:anchor="_Toc423327083" w:history="1">
        <w:r w:rsidR="00FD3E78" w:rsidRPr="009C56A0">
          <w:rPr>
            <w:rStyle w:val="Hyperlink"/>
            <w:noProof/>
          </w:rPr>
          <w:t>I. preliminary statement</w:t>
        </w:r>
        <w:r w:rsidR="00FD3E78">
          <w:rPr>
            <w:noProof/>
          </w:rPr>
          <w:tab/>
        </w:r>
        <w:r w:rsidR="00FD3E78">
          <w:rPr>
            <w:noProof/>
          </w:rPr>
          <w:fldChar w:fldCharType="begin"/>
        </w:r>
        <w:r w:rsidR="00FD3E78">
          <w:rPr>
            <w:noProof/>
          </w:rPr>
          <w:instrText xml:space="preserve"> PAGEREF _Toc423327083 \h </w:instrText>
        </w:r>
        <w:r w:rsidR="00FD3E78">
          <w:rPr>
            <w:noProof/>
          </w:rPr>
        </w:r>
        <w:r w:rsidR="00FD3E78">
          <w:rPr>
            <w:noProof/>
          </w:rPr>
          <w:fldChar w:fldCharType="separate"/>
        </w:r>
        <w:r w:rsidR="00BD6BB7">
          <w:rPr>
            <w:noProof/>
          </w:rPr>
          <w:t>1</w:t>
        </w:r>
        <w:r w:rsidR="00FD3E78">
          <w:rPr>
            <w:noProof/>
          </w:rPr>
          <w:fldChar w:fldCharType="end"/>
        </w:r>
      </w:hyperlink>
    </w:p>
    <w:p w:rsidR="00FD3E78" w:rsidRDefault="001F7856">
      <w:pPr>
        <w:pStyle w:val="TOC1"/>
        <w:rPr>
          <w:rFonts w:asciiTheme="minorHAnsi" w:eastAsiaTheme="minorEastAsia" w:hAnsiTheme="minorHAnsi" w:cstheme="minorBidi"/>
          <w:caps w:val="0"/>
          <w:noProof/>
          <w:sz w:val="22"/>
          <w:szCs w:val="22"/>
        </w:rPr>
      </w:pPr>
      <w:hyperlink w:anchor="_Toc423327084" w:history="1">
        <w:r w:rsidR="00FD3E78" w:rsidRPr="009C56A0">
          <w:rPr>
            <w:rStyle w:val="Hyperlink"/>
            <w:noProof/>
          </w:rPr>
          <w:t>II. petition for administrative review/decision-making model/recusal of commission accounting advisor</w:t>
        </w:r>
        <w:r w:rsidR="00FD3E78">
          <w:rPr>
            <w:noProof/>
          </w:rPr>
          <w:tab/>
        </w:r>
        <w:r w:rsidR="00FD3E78">
          <w:rPr>
            <w:noProof/>
          </w:rPr>
          <w:fldChar w:fldCharType="begin"/>
        </w:r>
        <w:r w:rsidR="00FD3E78">
          <w:rPr>
            <w:noProof/>
          </w:rPr>
          <w:instrText xml:space="preserve"> PAGEREF _Toc423327084 \h </w:instrText>
        </w:r>
        <w:r w:rsidR="00FD3E78">
          <w:rPr>
            <w:noProof/>
          </w:rPr>
        </w:r>
        <w:r w:rsidR="00FD3E78">
          <w:rPr>
            <w:noProof/>
          </w:rPr>
          <w:fldChar w:fldCharType="separate"/>
        </w:r>
        <w:r w:rsidR="00BD6BB7">
          <w:rPr>
            <w:noProof/>
          </w:rPr>
          <w:t>1</w:t>
        </w:r>
        <w:r w:rsidR="00FD3E78">
          <w:rPr>
            <w:noProof/>
          </w:rPr>
          <w:fldChar w:fldCharType="end"/>
        </w:r>
      </w:hyperlink>
    </w:p>
    <w:p w:rsidR="00FD3E78" w:rsidRDefault="001F7856">
      <w:pPr>
        <w:pStyle w:val="TOC1"/>
        <w:rPr>
          <w:rFonts w:asciiTheme="minorHAnsi" w:eastAsiaTheme="minorEastAsia" w:hAnsiTheme="minorHAnsi" w:cstheme="minorBidi"/>
          <w:caps w:val="0"/>
          <w:noProof/>
          <w:sz w:val="22"/>
          <w:szCs w:val="22"/>
        </w:rPr>
      </w:pPr>
      <w:hyperlink w:anchor="_Toc423327085" w:history="1">
        <w:r w:rsidR="00FD3E78" w:rsidRPr="009C56A0">
          <w:rPr>
            <w:rStyle w:val="Hyperlink"/>
            <w:noProof/>
          </w:rPr>
          <w:t>III. overview/The WCI rate case in a nutshell</w:t>
        </w:r>
        <w:r w:rsidR="00FD3E78">
          <w:rPr>
            <w:noProof/>
          </w:rPr>
          <w:tab/>
        </w:r>
        <w:r w:rsidR="00FD3E78">
          <w:rPr>
            <w:noProof/>
          </w:rPr>
          <w:fldChar w:fldCharType="begin"/>
        </w:r>
        <w:r w:rsidR="00FD3E78">
          <w:rPr>
            <w:noProof/>
          </w:rPr>
          <w:instrText xml:space="preserve"> PAGEREF _Toc423327085 \h </w:instrText>
        </w:r>
        <w:r w:rsidR="00FD3E78">
          <w:rPr>
            <w:noProof/>
          </w:rPr>
        </w:r>
        <w:r w:rsidR="00FD3E78">
          <w:rPr>
            <w:noProof/>
          </w:rPr>
          <w:fldChar w:fldCharType="separate"/>
        </w:r>
        <w:r w:rsidR="00BD6BB7">
          <w:rPr>
            <w:noProof/>
          </w:rPr>
          <w:t>2</w:t>
        </w:r>
        <w:r w:rsidR="00FD3E78">
          <w:rPr>
            <w:noProof/>
          </w:rPr>
          <w:fldChar w:fldCharType="end"/>
        </w:r>
      </w:hyperlink>
    </w:p>
    <w:p w:rsidR="00FD3E78" w:rsidRDefault="001F7856">
      <w:pPr>
        <w:pStyle w:val="TOC1"/>
        <w:rPr>
          <w:rFonts w:asciiTheme="minorHAnsi" w:eastAsiaTheme="minorEastAsia" w:hAnsiTheme="minorHAnsi" w:cstheme="minorBidi"/>
          <w:caps w:val="0"/>
          <w:noProof/>
          <w:sz w:val="22"/>
          <w:szCs w:val="22"/>
        </w:rPr>
      </w:pPr>
      <w:hyperlink w:anchor="_Toc423327086" w:history="1">
        <w:r w:rsidR="00FD3E78" w:rsidRPr="009C56A0">
          <w:rPr>
            <w:rStyle w:val="Hyperlink"/>
            <w:noProof/>
          </w:rPr>
          <w:t>IV. case procedural summary/overview</w:t>
        </w:r>
        <w:r w:rsidR="00FD3E78">
          <w:rPr>
            <w:noProof/>
          </w:rPr>
          <w:tab/>
        </w:r>
        <w:r w:rsidR="00FD3E78">
          <w:rPr>
            <w:noProof/>
          </w:rPr>
          <w:fldChar w:fldCharType="begin"/>
        </w:r>
        <w:r w:rsidR="00FD3E78">
          <w:rPr>
            <w:noProof/>
          </w:rPr>
          <w:instrText xml:space="preserve"> PAGEREF _Toc423327086 \h </w:instrText>
        </w:r>
        <w:r w:rsidR="00FD3E78">
          <w:rPr>
            <w:noProof/>
          </w:rPr>
        </w:r>
        <w:r w:rsidR="00FD3E78">
          <w:rPr>
            <w:noProof/>
          </w:rPr>
          <w:fldChar w:fldCharType="separate"/>
        </w:r>
        <w:r w:rsidR="00BD6BB7">
          <w:rPr>
            <w:noProof/>
          </w:rPr>
          <w:t>3</w:t>
        </w:r>
        <w:r w:rsidR="00FD3E78">
          <w:rPr>
            <w:noProof/>
          </w:rPr>
          <w:fldChar w:fldCharType="end"/>
        </w:r>
      </w:hyperlink>
    </w:p>
    <w:p w:rsidR="00FD3E78" w:rsidRDefault="001F7856">
      <w:pPr>
        <w:pStyle w:val="TOC1"/>
        <w:rPr>
          <w:rFonts w:asciiTheme="minorHAnsi" w:eastAsiaTheme="minorEastAsia" w:hAnsiTheme="minorHAnsi" w:cstheme="minorBidi"/>
          <w:caps w:val="0"/>
          <w:noProof/>
          <w:sz w:val="22"/>
          <w:szCs w:val="22"/>
        </w:rPr>
      </w:pPr>
      <w:hyperlink w:anchor="_Toc423327087" w:history="1">
        <w:r w:rsidR="00FD3E78" w:rsidRPr="009C56A0">
          <w:rPr>
            <w:rStyle w:val="Hyperlink"/>
            <w:noProof/>
          </w:rPr>
          <w:t>V. exceptions to initial order 12</w:t>
        </w:r>
        <w:r w:rsidR="00FD3E78">
          <w:rPr>
            <w:noProof/>
          </w:rPr>
          <w:tab/>
        </w:r>
        <w:r w:rsidR="00FD3E78">
          <w:rPr>
            <w:noProof/>
          </w:rPr>
          <w:fldChar w:fldCharType="begin"/>
        </w:r>
        <w:r w:rsidR="00FD3E78">
          <w:rPr>
            <w:noProof/>
          </w:rPr>
          <w:instrText xml:space="preserve"> PAGEREF _Toc423327087 \h </w:instrText>
        </w:r>
        <w:r w:rsidR="00FD3E78">
          <w:rPr>
            <w:noProof/>
          </w:rPr>
        </w:r>
        <w:r w:rsidR="00FD3E78">
          <w:rPr>
            <w:noProof/>
          </w:rPr>
          <w:fldChar w:fldCharType="separate"/>
        </w:r>
        <w:r w:rsidR="00BD6BB7">
          <w:rPr>
            <w:noProof/>
          </w:rPr>
          <w:t>4</w:t>
        </w:r>
        <w:r w:rsidR="00FD3E78">
          <w:rPr>
            <w:noProof/>
          </w:rPr>
          <w:fldChar w:fldCharType="end"/>
        </w:r>
      </w:hyperlink>
    </w:p>
    <w:p w:rsidR="00FD3E78" w:rsidRDefault="001F7856">
      <w:pPr>
        <w:pStyle w:val="TOC3"/>
        <w:rPr>
          <w:rFonts w:asciiTheme="minorHAnsi" w:eastAsiaTheme="minorEastAsia" w:hAnsiTheme="minorHAnsi" w:cstheme="minorBidi"/>
          <w:noProof/>
          <w:sz w:val="22"/>
          <w:szCs w:val="22"/>
        </w:rPr>
      </w:pPr>
      <w:hyperlink w:anchor="_Toc423327088" w:history="1">
        <w:r w:rsidR="00FD3E78" w:rsidRPr="009C56A0">
          <w:rPr>
            <w:rStyle w:val="Hyperlink"/>
            <w:rFonts w:ascii="9999999" w:hAnsi="9999999"/>
            <w:noProof/>
          </w:rPr>
          <w:t>A.</w:t>
        </w:r>
        <w:r w:rsidR="00FD3E78" w:rsidRPr="009C56A0">
          <w:rPr>
            <w:rStyle w:val="Hyperlink"/>
            <w:noProof/>
          </w:rPr>
          <w:t xml:space="preserve"> Exceptions To Findings/Conclusions 8 &amp; 9: Contested Accounting Adjustment R-6D, Shared Utility Expenses</w:t>
        </w:r>
        <w:r w:rsidR="00FD3E78">
          <w:rPr>
            <w:noProof/>
          </w:rPr>
          <w:tab/>
        </w:r>
        <w:r w:rsidR="00FD3E78">
          <w:rPr>
            <w:noProof/>
          </w:rPr>
          <w:fldChar w:fldCharType="begin"/>
        </w:r>
        <w:r w:rsidR="00FD3E78">
          <w:rPr>
            <w:noProof/>
          </w:rPr>
          <w:instrText xml:space="preserve"> PAGEREF _Toc423327088 \h </w:instrText>
        </w:r>
        <w:r w:rsidR="00FD3E78">
          <w:rPr>
            <w:noProof/>
          </w:rPr>
        </w:r>
        <w:r w:rsidR="00FD3E78">
          <w:rPr>
            <w:noProof/>
          </w:rPr>
          <w:fldChar w:fldCharType="separate"/>
        </w:r>
        <w:r w:rsidR="00BD6BB7">
          <w:rPr>
            <w:noProof/>
          </w:rPr>
          <w:t>6</w:t>
        </w:r>
        <w:r w:rsidR="00FD3E78">
          <w:rPr>
            <w:noProof/>
          </w:rPr>
          <w:fldChar w:fldCharType="end"/>
        </w:r>
      </w:hyperlink>
    </w:p>
    <w:p w:rsidR="00FD3E78" w:rsidRDefault="001F7856">
      <w:pPr>
        <w:pStyle w:val="TOC4"/>
        <w:rPr>
          <w:rFonts w:asciiTheme="minorHAnsi" w:hAnsiTheme="minorHAnsi" w:cstheme="minorBidi"/>
          <w:noProof/>
          <w:sz w:val="22"/>
        </w:rPr>
      </w:pPr>
      <w:hyperlink w:anchor="_Toc423327089" w:history="1">
        <w:r w:rsidR="00FD3E78" w:rsidRPr="009C56A0">
          <w:rPr>
            <w:rStyle w:val="Hyperlink"/>
            <w:noProof/>
          </w:rPr>
          <w:t>1. Recommended Findings/Conclusions on Accounting Adjustment 6-D.</w:t>
        </w:r>
        <w:r w:rsidR="00FD3E78">
          <w:rPr>
            <w:noProof/>
          </w:rPr>
          <w:tab/>
        </w:r>
        <w:r w:rsidR="00FD3E78">
          <w:rPr>
            <w:noProof/>
          </w:rPr>
          <w:fldChar w:fldCharType="begin"/>
        </w:r>
        <w:r w:rsidR="00FD3E78">
          <w:rPr>
            <w:noProof/>
          </w:rPr>
          <w:instrText xml:space="preserve"> PAGEREF _Toc423327089 \h </w:instrText>
        </w:r>
        <w:r w:rsidR="00FD3E78">
          <w:rPr>
            <w:noProof/>
          </w:rPr>
        </w:r>
        <w:r w:rsidR="00FD3E78">
          <w:rPr>
            <w:noProof/>
          </w:rPr>
          <w:fldChar w:fldCharType="separate"/>
        </w:r>
        <w:r w:rsidR="00BD6BB7">
          <w:rPr>
            <w:noProof/>
          </w:rPr>
          <w:t>10</w:t>
        </w:r>
        <w:r w:rsidR="00FD3E78">
          <w:rPr>
            <w:noProof/>
          </w:rPr>
          <w:fldChar w:fldCharType="end"/>
        </w:r>
      </w:hyperlink>
    </w:p>
    <w:p w:rsidR="00FD3E78" w:rsidRDefault="001F7856">
      <w:pPr>
        <w:pStyle w:val="TOC3"/>
        <w:rPr>
          <w:rFonts w:asciiTheme="minorHAnsi" w:eastAsiaTheme="minorEastAsia" w:hAnsiTheme="minorHAnsi" w:cstheme="minorBidi"/>
          <w:noProof/>
          <w:sz w:val="22"/>
          <w:szCs w:val="22"/>
        </w:rPr>
      </w:pPr>
      <w:hyperlink w:anchor="_Toc423327090" w:history="1">
        <w:r w:rsidR="00FD3E78" w:rsidRPr="009C56A0">
          <w:rPr>
            <w:rStyle w:val="Hyperlink"/>
            <w:rFonts w:ascii="9999999" w:hAnsi="9999999"/>
            <w:noProof/>
          </w:rPr>
          <w:t>B.</w:t>
        </w:r>
        <w:r w:rsidR="00FD3E78" w:rsidRPr="009C56A0">
          <w:rPr>
            <w:rStyle w:val="Hyperlink"/>
            <w:noProof/>
          </w:rPr>
          <w:t xml:space="preserve"> Exceptions to Findings/Conclusions 10, 11, 12 and 13:  Accounting Adjustment R-6E, Return on Land Rents.</w:t>
        </w:r>
        <w:r w:rsidR="00FD3E78">
          <w:rPr>
            <w:noProof/>
          </w:rPr>
          <w:tab/>
        </w:r>
        <w:r w:rsidR="00FD3E78">
          <w:rPr>
            <w:noProof/>
          </w:rPr>
          <w:fldChar w:fldCharType="begin"/>
        </w:r>
        <w:r w:rsidR="00FD3E78">
          <w:rPr>
            <w:noProof/>
          </w:rPr>
          <w:instrText xml:space="preserve"> PAGEREF _Toc423327090 \h </w:instrText>
        </w:r>
        <w:r w:rsidR="00FD3E78">
          <w:rPr>
            <w:noProof/>
          </w:rPr>
        </w:r>
        <w:r w:rsidR="00FD3E78">
          <w:rPr>
            <w:noProof/>
          </w:rPr>
          <w:fldChar w:fldCharType="separate"/>
        </w:r>
        <w:r w:rsidR="00BD6BB7">
          <w:rPr>
            <w:noProof/>
          </w:rPr>
          <w:t>11</w:t>
        </w:r>
        <w:r w:rsidR="00FD3E78">
          <w:rPr>
            <w:noProof/>
          </w:rPr>
          <w:fldChar w:fldCharType="end"/>
        </w:r>
      </w:hyperlink>
    </w:p>
    <w:p w:rsidR="00FD3E78" w:rsidRDefault="001F7856">
      <w:pPr>
        <w:pStyle w:val="TOC4"/>
        <w:rPr>
          <w:rFonts w:asciiTheme="minorHAnsi" w:hAnsiTheme="minorHAnsi" w:cstheme="minorBidi"/>
          <w:noProof/>
          <w:sz w:val="22"/>
        </w:rPr>
      </w:pPr>
      <w:hyperlink w:anchor="_Toc423327091" w:history="1">
        <w:r w:rsidR="00FD3E78" w:rsidRPr="009C56A0">
          <w:rPr>
            <w:rStyle w:val="Hyperlink"/>
            <w:noProof/>
          </w:rPr>
          <w:t>1. Recommended Revisions to Findings/Conclusions on Land Rent Adjustment 6-E</w:t>
        </w:r>
        <w:r w:rsidR="00FD3E78" w:rsidRPr="009C56A0">
          <w:rPr>
            <w:rStyle w:val="Hyperlink"/>
            <w:i/>
            <w:noProof/>
          </w:rPr>
          <w:t>.</w:t>
        </w:r>
        <w:r w:rsidR="00FD3E78">
          <w:rPr>
            <w:noProof/>
          </w:rPr>
          <w:tab/>
        </w:r>
        <w:r w:rsidR="00FD3E78">
          <w:rPr>
            <w:noProof/>
          </w:rPr>
          <w:fldChar w:fldCharType="begin"/>
        </w:r>
        <w:r w:rsidR="00FD3E78">
          <w:rPr>
            <w:noProof/>
          </w:rPr>
          <w:instrText xml:space="preserve"> PAGEREF _Toc423327091 \h </w:instrText>
        </w:r>
        <w:r w:rsidR="00FD3E78">
          <w:rPr>
            <w:noProof/>
          </w:rPr>
        </w:r>
        <w:r w:rsidR="00FD3E78">
          <w:rPr>
            <w:noProof/>
          </w:rPr>
          <w:fldChar w:fldCharType="separate"/>
        </w:r>
        <w:r w:rsidR="00BD6BB7">
          <w:rPr>
            <w:noProof/>
          </w:rPr>
          <w:t>19</w:t>
        </w:r>
        <w:r w:rsidR="00FD3E78">
          <w:rPr>
            <w:noProof/>
          </w:rPr>
          <w:fldChar w:fldCharType="end"/>
        </w:r>
      </w:hyperlink>
    </w:p>
    <w:p w:rsidR="00FD3E78" w:rsidRDefault="001F7856">
      <w:pPr>
        <w:pStyle w:val="TOC3"/>
        <w:rPr>
          <w:rFonts w:asciiTheme="minorHAnsi" w:eastAsiaTheme="minorEastAsia" w:hAnsiTheme="minorHAnsi" w:cstheme="minorBidi"/>
          <w:noProof/>
          <w:sz w:val="22"/>
          <w:szCs w:val="22"/>
        </w:rPr>
      </w:pPr>
      <w:hyperlink w:anchor="_Toc423327092" w:history="1">
        <w:r w:rsidR="00FD3E78" w:rsidRPr="009C56A0">
          <w:rPr>
            <w:rStyle w:val="Hyperlink"/>
            <w:rFonts w:ascii="9999999" w:hAnsi="9999999"/>
            <w:noProof/>
          </w:rPr>
          <w:t>C.</w:t>
        </w:r>
        <w:r w:rsidR="00FD3E78" w:rsidRPr="009C56A0">
          <w:rPr>
            <w:rStyle w:val="Hyperlink"/>
            <w:noProof/>
          </w:rPr>
          <w:t xml:space="preserve"> Exceptions to Findings/Conclusions (14):  Rate Case Costs</w:t>
        </w:r>
        <w:r w:rsidR="00FD3E78">
          <w:rPr>
            <w:noProof/>
          </w:rPr>
          <w:tab/>
        </w:r>
        <w:r w:rsidR="00FD3E78">
          <w:rPr>
            <w:noProof/>
          </w:rPr>
          <w:fldChar w:fldCharType="begin"/>
        </w:r>
        <w:r w:rsidR="00FD3E78">
          <w:rPr>
            <w:noProof/>
          </w:rPr>
          <w:instrText xml:space="preserve"> PAGEREF _Toc423327092 \h </w:instrText>
        </w:r>
        <w:r w:rsidR="00FD3E78">
          <w:rPr>
            <w:noProof/>
          </w:rPr>
        </w:r>
        <w:r w:rsidR="00FD3E78">
          <w:rPr>
            <w:noProof/>
          </w:rPr>
          <w:fldChar w:fldCharType="separate"/>
        </w:r>
        <w:r w:rsidR="00BD6BB7">
          <w:rPr>
            <w:noProof/>
          </w:rPr>
          <w:t>20</w:t>
        </w:r>
        <w:r w:rsidR="00FD3E78">
          <w:rPr>
            <w:noProof/>
          </w:rPr>
          <w:fldChar w:fldCharType="end"/>
        </w:r>
      </w:hyperlink>
    </w:p>
    <w:p w:rsidR="00FD3E78" w:rsidRDefault="001F7856">
      <w:pPr>
        <w:pStyle w:val="TOC4"/>
        <w:rPr>
          <w:rFonts w:asciiTheme="minorHAnsi" w:hAnsiTheme="minorHAnsi" w:cstheme="minorBidi"/>
          <w:noProof/>
          <w:sz w:val="22"/>
        </w:rPr>
      </w:pPr>
      <w:hyperlink w:anchor="_Toc423327093" w:history="1">
        <w:r w:rsidR="00FD3E78" w:rsidRPr="009C56A0">
          <w:rPr>
            <w:rStyle w:val="Hyperlink"/>
            <w:noProof/>
          </w:rPr>
          <w:t>1. Recommended Revision to (and Substitution of) Finding/Conclusion (14):</w:t>
        </w:r>
        <w:r w:rsidR="00FD3E78">
          <w:rPr>
            <w:noProof/>
          </w:rPr>
          <w:tab/>
        </w:r>
        <w:r w:rsidR="00FD3E78">
          <w:rPr>
            <w:noProof/>
          </w:rPr>
          <w:fldChar w:fldCharType="begin"/>
        </w:r>
        <w:r w:rsidR="00FD3E78">
          <w:rPr>
            <w:noProof/>
          </w:rPr>
          <w:instrText xml:space="preserve"> PAGEREF _Toc423327093 \h </w:instrText>
        </w:r>
        <w:r w:rsidR="00FD3E78">
          <w:rPr>
            <w:noProof/>
          </w:rPr>
        </w:r>
        <w:r w:rsidR="00FD3E78">
          <w:rPr>
            <w:noProof/>
          </w:rPr>
          <w:fldChar w:fldCharType="separate"/>
        </w:r>
        <w:r w:rsidR="00BD6BB7">
          <w:rPr>
            <w:noProof/>
          </w:rPr>
          <w:t>29</w:t>
        </w:r>
        <w:r w:rsidR="00FD3E78">
          <w:rPr>
            <w:noProof/>
          </w:rPr>
          <w:fldChar w:fldCharType="end"/>
        </w:r>
      </w:hyperlink>
    </w:p>
    <w:p w:rsidR="00FD3E78" w:rsidRDefault="001F7856">
      <w:pPr>
        <w:pStyle w:val="TOC3"/>
        <w:rPr>
          <w:rFonts w:asciiTheme="minorHAnsi" w:eastAsiaTheme="minorEastAsia" w:hAnsiTheme="minorHAnsi" w:cstheme="minorBidi"/>
          <w:noProof/>
          <w:sz w:val="22"/>
          <w:szCs w:val="22"/>
        </w:rPr>
      </w:pPr>
      <w:hyperlink w:anchor="_Toc423327094" w:history="1">
        <w:r w:rsidR="00FD3E78" w:rsidRPr="009C56A0">
          <w:rPr>
            <w:rStyle w:val="Hyperlink"/>
            <w:rFonts w:ascii="9999999" w:hAnsi="9999999"/>
            <w:noProof/>
          </w:rPr>
          <w:t>D.</w:t>
        </w:r>
        <w:r w:rsidR="00FD3E78" w:rsidRPr="009C56A0">
          <w:rPr>
            <w:rStyle w:val="Hyperlink"/>
            <w:noProof/>
          </w:rPr>
          <w:t xml:space="preserve"> Exceptions to Findings/Conclusions (15) and (17) and Parallel Order Provision: Imposition of Investigation Fee.</w:t>
        </w:r>
        <w:r w:rsidR="00FD3E78">
          <w:rPr>
            <w:noProof/>
          </w:rPr>
          <w:tab/>
        </w:r>
        <w:r w:rsidR="00FD3E78">
          <w:rPr>
            <w:noProof/>
          </w:rPr>
          <w:fldChar w:fldCharType="begin"/>
        </w:r>
        <w:r w:rsidR="00FD3E78">
          <w:rPr>
            <w:noProof/>
          </w:rPr>
          <w:instrText xml:space="preserve"> PAGEREF _Toc423327094 \h </w:instrText>
        </w:r>
        <w:r w:rsidR="00FD3E78">
          <w:rPr>
            <w:noProof/>
          </w:rPr>
        </w:r>
        <w:r w:rsidR="00FD3E78">
          <w:rPr>
            <w:noProof/>
          </w:rPr>
          <w:fldChar w:fldCharType="separate"/>
        </w:r>
        <w:r w:rsidR="00BD6BB7">
          <w:rPr>
            <w:noProof/>
          </w:rPr>
          <w:t>30</w:t>
        </w:r>
        <w:r w:rsidR="00FD3E78">
          <w:rPr>
            <w:noProof/>
          </w:rPr>
          <w:fldChar w:fldCharType="end"/>
        </w:r>
      </w:hyperlink>
    </w:p>
    <w:p w:rsidR="00FD3E78" w:rsidRDefault="001F7856">
      <w:pPr>
        <w:pStyle w:val="TOC4"/>
        <w:rPr>
          <w:rFonts w:asciiTheme="minorHAnsi" w:hAnsiTheme="minorHAnsi" w:cstheme="minorBidi"/>
          <w:noProof/>
          <w:sz w:val="22"/>
        </w:rPr>
      </w:pPr>
      <w:hyperlink w:anchor="_Toc423327095" w:history="1">
        <w:r w:rsidR="00FD3E78" w:rsidRPr="009C56A0">
          <w:rPr>
            <w:rStyle w:val="Hyperlink"/>
            <w:noProof/>
          </w:rPr>
          <w:t>1. Recommended Revision/Substitute Findings/Conclusions to (15), (17) and Ordering Provision (5).</w:t>
        </w:r>
        <w:r w:rsidR="00FD3E78">
          <w:rPr>
            <w:noProof/>
          </w:rPr>
          <w:tab/>
        </w:r>
        <w:r w:rsidR="00FD3E78">
          <w:rPr>
            <w:noProof/>
          </w:rPr>
          <w:fldChar w:fldCharType="begin"/>
        </w:r>
        <w:r w:rsidR="00FD3E78">
          <w:rPr>
            <w:noProof/>
          </w:rPr>
          <w:instrText xml:space="preserve"> PAGEREF _Toc423327095 \h </w:instrText>
        </w:r>
        <w:r w:rsidR="00FD3E78">
          <w:rPr>
            <w:noProof/>
          </w:rPr>
        </w:r>
        <w:r w:rsidR="00FD3E78">
          <w:rPr>
            <w:noProof/>
          </w:rPr>
          <w:fldChar w:fldCharType="separate"/>
        </w:r>
        <w:r w:rsidR="00BD6BB7">
          <w:rPr>
            <w:noProof/>
          </w:rPr>
          <w:t>35</w:t>
        </w:r>
        <w:r w:rsidR="00FD3E78">
          <w:rPr>
            <w:noProof/>
          </w:rPr>
          <w:fldChar w:fldCharType="end"/>
        </w:r>
      </w:hyperlink>
    </w:p>
    <w:p w:rsidR="00FD3E78" w:rsidRDefault="001F7856">
      <w:pPr>
        <w:pStyle w:val="TOC3"/>
        <w:rPr>
          <w:rFonts w:asciiTheme="minorHAnsi" w:eastAsiaTheme="minorEastAsia" w:hAnsiTheme="minorHAnsi" w:cstheme="minorBidi"/>
          <w:noProof/>
          <w:sz w:val="22"/>
          <w:szCs w:val="22"/>
        </w:rPr>
      </w:pPr>
      <w:hyperlink w:anchor="_Toc423327096" w:history="1">
        <w:r w:rsidR="00FD3E78" w:rsidRPr="009C56A0">
          <w:rPr>
            <w:rStyle w:val="Hyperlink"/>
            <w:rFonts w:ascii="9999999" w:hAnsi="9999999"/>
            <w:noProof/>
          </w:rPr>
          <w:t>E.</w:t>
        </w:r>
        <w:r w:rsidR="00FD3E78" w:rsidRPr="009C56A0">
          <w:rPr>
            <w:rStyle w:val="Hyperlink"/>
            <w:noProof/>
          </w:rPr>
          <w:t xml:space="preserve"> Waste Control, Inc. Revised Table 2 from the Initial Order’s Determination of Issues.</w:t>
        </w:r>
        <w:r w:rsidR="00FD3E78">
          <w:rPr>
            <w:noProof/>
          </w:rPr>
          <w:tab/>
        </w:r>
        <w:r w:rsidR="00FD3E78">
          <w:rPr>
            <w:noProof/>
          </w:rPr>
          <w:fldChar w:fldCharType="begin"/>
        </w:r>
        <w:r w:rsidR="00FD3E78">
          <w:rPr>
            <w:noProof/>
          </w:rPr>
          <w:instrText xml:space="preserve"> PAGEREF _Toc423327096 \h </w:instrText>
        </w:r>
        <w:r w:rsidR="00FD3E78">
          <w:rPr>
            <w:noProof/>
          </w:rPr>
        </w:r>
        <w:r w:rsidR="00FD3E78">
          <w:rPr>
            <w:noProof/>
          </w:rPr>
          <w:fldChar w:fldCharType="separate"/>
        </w:r>
        <w:r w:rsidR="00BD6BB7">
          <w:rPr>
            <w:noProof/>
          </w:rPr>
          <w:t>36</w:t>
        </w:r>
        <w:r w:rsidR="00FD3E78">
          <w:rPr>
            <w:noProof/>
          </w:rPr>
          <w:fldChar w:fldCharType="end"/>
        </w:r>
      </w:hyperlink>
    </w:p>
    <w:p w:rsidR="00FD3E78" w:rsidRDefault="001F7856">
      <w:pPr>
        <w:pStyle w:val="TOC1"/>
        <w:rPr>
          <w:rFonts w:asciiTheme="minorHAnsi" w:eastAsiaTheme="minorEastAsia" w:hAnsiTheme="minorHAnsi" w:cstheme="minorBidi"/>
          <w:caps w:val="0"/>
          <w:noProof/>
          <w:sz w:val="22"/>
          <w:szCs w:val="22"/>
        </w:rPr>
      </w:pPr>
      <w:hyperlink w:anchor="_Toc423327097" w:history="1">
        <w:r w:rsidR="00FD3E78" w:rsidRPr="009C56A0">
          <w:rPr>
            <w:rStyle w:val="Hyperlink"/>
            <w:noProof/>
          </w:rPr>
          <w:t>VI. CONCLUding statement</w:t>
        </w:r>
        <w:r w:rsidR="00FD3E78">
          <w:rPr>
            <w:noProof/>
          </w:rPr>
          <w:tab/>
        </w:r>
        <w:r w:rsidR="00FD3E78">
          <w:rPr>
            <w:noProof/>
          </w:rPr>
          <w:fldChar w:fldCharType="begin"/>
        </w:r>
        <w:r w:rsidR="00FD3E78">
          <w:rPr>
            <w:noProof/>
          </w:rPr>
          <w:instrText xml:space="preserve"> PAGEREF _Toc423327097 \h </w:instrText>
        </w:r>
        <w:r w:rsidR="00FD3E78">
          <w:rPr>
            <w:noProof/>
          </w:rPr>
        </w:r>
        <w:r w:rsidR="00FD3E78">
          <w:rPr>
            <w:noProof/>
          </w:rPr>
          <w:fldChar w:fldCharType="separate"/>
        </w:r>
        <w:r w:rsidR="00BD6BB7">
          <w:rPr>
            <w:noProof/>
          </w:rPr>
          <w:t>36</w:t>
        </w:r>
        <w:r w:rsidR="00FD3E78">
          <w:rPr>
            <w:noProof/>
          </w:rPr>
          <w:fldChar w:fldCharType="end"/>
        </w:r>
      </w:hyperlink>
    </w:p>
    <w:p w:rsidR="0014496D" w:rsidRPr="00B349D5" w:rsidRDefault="00F362A1" w:rsidP="002F5808">
      <w:r w:rsidRPr="00B349D5">
        <w:fldChar w:fldCharType="end"/>
      </w:r>
    </w:p>
    <w:p w:rsidR="0014496D" w:rsidRPr="00B349D5" w:rsidRDefault="0014496D" w:rsidP="002F5808"/>
    <w:p w:rsidR="0014496D" w:rsidRPr="00B349D5" w:rsidRDefault="0014496D" w:rsidP="002F5808">
      <w:pPr>
        <w:sectPr w:rsidR="0014496D" w:rsidRPr="00B349D5" w:rsidSect="00BD6BB7">
          <w:pgSz w:w="12240" w:h="15840" w:code="1"/>
          <w:pgMar w:top="1440" w:right="1440" w:bottom="1440" w:left="1440" w:header="720" w:footer="720" w:gutter="0"/>
          <w:paperSrc w:first="261" w:other="261"/>
          <w:pgNumType w:fmt="lowerRoman" w:start="2"/>
          <w:cols w:space="720"/>
          <w:docGrid w:linePitch="360"/>
        </w:sectPr>
      </w:pPr>
    </w:p>
    <w:p w:rsidR="00B349D5" w:rsidRPr="00B349D5" w:rsidRDefault="00B349D5" w:rsidP="00B349D5">
      <w:pPr>
        <w:pStyle w:val="WATOATitle"/>
        <w:rPr>
          <w:u w:val="none"/>
        </w:rPr>
      </w:pPr>
      <w:bookmarkStart w:id="0" w:name="_BA_DraftTOALocation"/>
      <w:bookmarkStart w:id="1" w:name="_BA_TOAAll"/>
      <w:r w:rsidRPr="00B349D5">
        <w:rPr>
          <w:u w:val="none"/>
        </w:rPr>
        <w:lastRenderedPageBreak/>
        <w:t>Table of Authorities</w:t>
      </w:r>
    </w:p>
    <w:p w:rsidR="00B349D5" w:rsidRPr="00A31EC2" w:rsidRDefault="00A31EC2" w:rsidP="00A31EC2">
      <w:pPr>
        <w:pStyle w:val="WATOAPageHeading"/>
        <w:tabs>
          <w:tab w:val="clear" w:pos="7200"/>
        </w:tabs>
        <w:ind w:left="8550"/>
        <w:rPr>
          <w:b w:val="0"/>
          <w:u w:val="single"/>
        </w:rPr>
      </w:pPr>
      <w:r w:rsidRPr="00A31EC2">
        <w:rPr>
          <w:b w:val="0"/>
          <w:u w:val="single"/>
        </w:rPr>
        <w:t>Page</w:t>
      </w:r>
    </w:p>
    <w:p w:rsidR="00B349D5" w:rsidRPr="00B349D5" w:rsidRDefault="00B349D5" w:rsidP="00B349D5">
      <w:pPr>
        <w:pStyle w:val="WATOAHeading"/>
      </w:pPr>
      <w:bookmarkStart w:id="2" w:name="_BA95XTOA95StateCases"/>
      <w:r w:rsidRPr="00B349D5">
        <w:t>Cases</w:t>
      </w:r>
    </w:p>
    <w:p w:rsidR="00B349D5" w:rsidRPr="00B349D5" w:rsidRDefault="00B349D5" w:rsidP="00A31EC2">
      <w:pPr>
        <w:pStyle w:val="WATOAEntry"/>
        <w:tabs>
          <w:tab w:val="clear" w:pos="7200"/>
          <w:tab w:val="right" w:leader="dot" w:pos="8820"/>
        </w:tabs>
      </w:pPr>
      <w:r w:rsidRPr="00B349D5">
        <w:rPr>
          <w:i/>
        </w:rPr>
        <w:t>Cockle v. Dep’t of Labor &amp; Indus.</w:t>
      </w:r>
      <w:r w:rsidRPr="00B349D5">
        <w:t>,</w:t>
      </w:r>
      <w:r w:rsidRPr="00B349D5">
        <w:br/>
        <w:t>142 Wn.2d 801, 16 P.3d 583 (2001)</w:t>
      </w:r>
      <w:r w:rsidRPr="00B349D5">
        <w:tab/>
      </w:r>
      <w:hyperlink w:anchor="_BA_Cite_215" w:tooltip="Long: Cockle v. Dep't of Labor &amp; Indus.,  142 Wn.2d 801, 16 P.3d 583 (2001)" w:history="1">
        <w:r w:rsidRPr="00B349D5">
          <w:t>30</w:t>
        </w:r>
      </w:hyperlink>
    </w:p>
    <w:p w:rsidR="00B349D5" w:rsidRPr="00B349D5" w:rsidRDefault="00B349D5" w:rsidP="00A31EC2">
      <w:pPr>
        <w:pStyle w:val="WATOAEntry"/>
        <w:tabs>
          <w:tab w:val="clear" w:pos="7200"/>
          <w:tab w:val="right" w:leader="dot" w:pos="8820"/>
        </w:tabs>
      </w:pPr>
      <w:r w:rsidRPr="00B349D5">
        <w:rPr>
          <w:i/>
        </w:rPr>
        <w:t>Goldmark v. McKenna</w:t>
      </w:r>
      <w:r w:rsidRPr="00B349D5">
        <w:t>,</w:t>
      </w:r>
      <w:r w:rsidRPr="00B349D5">
        <w:br/>
        <w:t>172 Wn.2d 568, 259 P.3d 1095 (2011)</w:t>
      </w:r>
      <w:r w:rsidRPr="00B349D5">
        <w:tab/>
      </w:r>
      <w:hyperlink w:anchor="_BA_Cite_217" w:tooltip="Long: Goldmark v. McKenna,  172 Wn.2d 568, 259 P.3d 1095 (2011)" w:history="1">
        <w:r w:rsidRPr="00B349D5">
          <w:t>3</w:t>
        </w:r>
        <w:r w:rsidR="00456783">
          <w:t>0</w:t>
        </w:r>
      </w:hyperlink>
    </w:p>
    <w:p w:rsidR="00B349D5" w:rsidRPr="00B349D5" w:rsidRDefault="00B349D5" w:rsidP="00A31EC2">
      <w:pPr>
        <w:pStyle w:val="WATOAEntry"/>
        <w:tabs>
          <w:tab w:val="clear" w:pos="7200"/>
          <w:tab w:val="right" w:leader="dot" w:pos="8820"/>
        </w:tabs>
      </w:pPr>
      <w:r w:rsidRPr="00B349D5">
        <w:rPr>
          <w:i/>
          <w:iCs/>
        </w:rPr>
        <w:t>Nationscapital v. Dep't of Fin. Insts.,</w:t>
      </w:r>
      <w:r w:rsidRPr="00B349D5">
        <w:rPr>
          <w:iCs/>
        </w:rPr>
        <w:t xml:space="preserve"> </w:t>
      </w:r>
      <w:r w:rsidRPr="00B349D5">
        <w:rPr>
          <w:iCs/>
        </w:rPr>
        <w:br/>
      </w:r>
      <w:r w:rsidRPr="00B349D5">
        <w:t>133 Wn. App. 723, 137 P.3d 78, 2006 Wash. App. LEXIS 1288 (Wash. Ct. App. 2006)</w:t>
      </w:r>
      <w:r w:rsidRPr="00B349D5">
        <w:tab/>
      </w:r>
      <w:hyperlink w:anchor="_BA_Cite_121" w:tooltip="Long: Nationscapital v. Dep't of Fin. Insts.,  133 Wn. App. 723, 137 P.3d 78, 2006 Wash. App. LEXIS 1288 (Wash. Ct. App. 2006)" w:history="1">
        <w:r w:rsidRPr="00B349D5">
          <w:t>1</w:t>
        </w:r>
      </w:hyperlink>
    </w:p>
    <w:p w:rsidR="00B349D5" w:rsidRPr="00B349D5" w:rsidRDefault="00B349D5" w:rsidP="00A31EC2">
      <w:pPr>
        <w:pStyle w:val="WATOAEntry"/>
        <w:tabs>
          <w:tab w:val="clear" w:pos="7200"/>
          <w:tab w:val="right" w:leader="dot" w:pos="8820"/>
        </w:tabs>
      </w:pPr>
      <w:r w:rsidRPr="00B349D5">
        <w:rPr>
          <w:i/>
        </w:rPr>
        <w:t>State v. Northwestern Elec. Co</w:t>
      </w:r>
      <w:r w:rsidRPr="00B349D5">
        <w:t>.,</w:t>
      </w:r>
      <w:r w:rsidRPr="00B349D5">
        <w:br/>
        <w:t>193 Wash. 184, 49 P.2d 8 (1935)</w:t>
      </w:r>
      <w:r w:rsidRPr="00B349D5">
        <w:tab/>
      </w:r>
      <w:hyperlink w:anchor="_BA_Cite_218" w:tooltip="Long: State v. Northwestern Elec. Co.,  193 Wash. 184, 49 P.2d 8 (1935)" w:history="1">
        <w:r w:rsidRPr="00B349D5">
          <w:t>31</w:t>
        </w:r>
      </w:hyperlink>
      <w:r w:rsidRPr="00B349D5">
        <w:t xml:space="preserve">, </w:t>
      </w:r>
      <w:hyperlink w:anchor="_BA_Cite_228" w:tooltip="Short: State v. NW. Elec. Co., 183 Wash. 184, 49 P.2d 8 (1935)" w:history="1">
        <w:r w:rsidRPr="00B349D5">
          <w:t>3</w:t>
        </w:r>
        <w:r w:rsidR="00456783">
          <w:t>3</w:t>
        </w:r>
      </w:hyperlink>
    </w:p>
    <w:p w:rsidR="00B349D5" w:rsidRPr="00B349D5" w:rsidRDefault="00B349D5" w:rsidP="00A31EC2">
      <w:pPr>
        <w:pStyle w:val="WATOAEntry"/>
        <w:tabs>
          <w:tab w:val="clear" w:pos="7200"/>
          <w:tab w:val="right" w:leader="dot" w:pos="8820"/>
        </w:tabs>
      </w:pPr>
      <w:r w:rsidRPr="00B349D5">
        <w:rPr>
          <w:i/>
        </w:rPr>
        <w:t>State v. Pac. Tel. &amp; Tel. Co</w:t>
      </w:r>
      <w:r w:rsidRPr="00B349D5">
        <w:t>.,</w:t>
      </w:r>
      <w:r w:rsidRPr="00B349D5">
        <w:br/>
        <w:t>27 Wn.2d 893, 181 P.2d 637 (1947)</w:t>
      </w:r>
      <w:r w:rsidRPr="00B349D5">
        <w:tab/>
      </w:r>
      <w:hyperlink w:anchor="_BA_Cite_219" w:tooltip="Long: State v. Pac. Tel. &amp; Tel. Co.,  27 Wn.2d 893, 181 P.2d 637 (1947)" w:history="1">
        <w:r w:rsidRPr="00B349D5">
          <w:t>3</w:t>
        </w:r>
        <w:r w:rsidR="00456783">
          <w:t>1</w:t>
        </w:r>
      </w:hyperlink>
    </w:p>
    <w:p w:rsidR="00B349D5" w:rsidRPr="00B349D5" w:rsidRDefault="00B349D5" w:rsidP="00A31EC2">
      <w:pPr>
        <w:pStyle w:val="WATOAEntry"/>
        <w:tabs>
          <w:tab w:val="clear" w:pos="7200"/>
          <w:tab w:val="right" w:leader="dot" w:pos="8820"/>
        </w:tabs>
      </w:pPr>
      <w:r w:rsidRPr="00B349D5">
        <w:rPr>
          <w:i/>
        </w:rPr>
        <w:t>Wash. Optometric Ass’n v. Pierce Cnty., City of Tacoma</w:t>
      </w:r>
      <w:r w:rsidRPr="00B349D5">
        <w:t>,</w:t>
      </w:r>
      <w:r w:rsidRPr="00B349D5">
        <w:br/>
        <w:t>73 Wn.2d 445, 438 P.2d 861 (1968)</w:t>
      </w:r>
      <w:r w:rsidRPr="00B349D5">
        <w:tab/>
      </w:r>
      <w:hyperlink w:anchor="_BA_Cite_216" w:tooltip="Long: Wash. Optometric Ass'n v. Pierce Cnty., City of Tacoma,  73 Wn.2d 445, 438 P.2d 861 (1968)" w:history="1">
        <w:r w:rsidRPr="00B349D5">
          <w:t>30</w:t>
        </w:r>
      </w:hyperlink>
    </w:p>
    <w:p w:rsidR="00B349D5" w:rsidRPr="00B349D5" w:rsidRDefault="00B349D5" w:rsidP="00B349D5">
      <w:pPr>
        <w:pStyle w:val="WATOAHeading"/>
      </w:pPr>
      <w:bookmarkStart w:id="3" w:name="_BA95XTOA95StateStatutes"/>
      <w:bookmarkEnd w:id="2"/>
      <w:r w:rsidRPr="00B349D5">
        <w:t>State Statutes</w:t>
      </w:r>
    </w:p>
    <w:p w:rsidR="00B349D5" w:rsidRPr="00B349D5" w:rsidRDefault="00B349D5" w:rsidP="00A31EC2">
      <w:pPr>
        <w:pStyle w:val="WATOAEntry"/>
        <w:tabs>
          <w:tab w:val="clear" w:pos="7200"/>
          <w:tab w:val="right" w:leader="dot" w:pos="8820"/>
        </w:tabs>
      </w:pPr>
      <w:r w:rsidRPr="00B349D5">
        <w:t>RCW 34.04.455</w:t>
      </w:r>
      <w:r w:rsidRPr="00B349D5">
        <w:tab/>
      </w:r>
      <w:hyperlink w:anchor="_BA_Cite_119" w:tooltip="Long: RCW 34.04.455" w:history="1">
        <w:r w:rsidRPr="00B349D5">
          <w:t>1</w:t>
        </w:r>
      </w:hyperlink>
    </w:p>
    <w:p w:rsidR="00B349D5" w:rsidRPr="00B349D5" w:rsidRDefault="00B349D5" w:rsidP="00A31EC2">
      <w:pPr>
        <w:pStyle w:val="WATOAEntry"/>
        <w:tabs>
          <w:tab w:val="clear" w:pos="7200"/>
          <w:tab w:val="right" w:leader="dot" w:pos="8820"/>
        </w:tabs>
      </w:pPr>
      <w:r w:rsidRPr="00B349D5">
        <w:t>RCW 34.05.455</w:t>
      </w:r>
      <w:r w:rsidRPr="00B349D5">
        <w:tab/>
      </w:r>
      <w:hyperlink w:anchor="_BA_Cite_120" w:tooltip="Long: RCW 34.05.455" w:history="1">
        <w:r w:rsidRPr="00B349D5">
          <w:t>1</w:t>
        </w:r>
      </w:hyperlink>
    </w:p>
    <w:p w:rsidR="00B349D5" w:rsidRPr="00B349D5" w:rsidRDefault="00B349D5" w:rsidP="00A31EC2">
      <w:pPr>
        <w:pStyle w:val="WATOAEntry"/>
        <w:tabs>
          <w:tab w:val="clear" w:pos="7200"/>
          <w:tab w:val="right" w:leader="dot" w:pos="8820"/>
        </w:tabs>
      </w:pPr>
      <w:r w:rsidRPr="00B349D5">
        <w:t>RCW 81.16.030</w:t>
      </w:r>
      <w:r w:rsidRPr="00B349D5">
        <w:tab/>
      </w:r>
      <w:hyperlink w:anchor="_BA_Cite_138" w:tooltip="Long: RCW 81.16.030" w:history="1">
        <w:r w:rsidRPr="00B349D5">
          <w:t>6</w:t>
        </w:r>
      </w:hyperlink>
    </w:p>
    <w:p w:rsidR="00B349D5" w:rsidRPr="00B349D5" w:rsidRDefault="00B349D5" w:rsidP="00A31EC2">
      <w:pPr>
        <w:pStyle w:val="WATOAEntry"/>
        <w:tabs>
          <w:tab w:val="clear" w:pos="7200"/>
          <w:tab w:val="right" w:leader="dot" w:pos="8820"/>
        </w:tabs>
      </w:pPr>
      <w:r w:rsidRPr="00B349D5">
        <w:t>RCW 81.20.020</w:t>
      </w:r>
      <w:r w:rsidRPr="00B349D5">
        <w:tab/>
      </w:r>
      <w:r w:rsidR="00B342AA">
        <w:t>30</w:t>
      </w:r>
    </w:p>
    <w:p w:rsidR="00B349D5" w:rsidRPr="00B349D5" w:rsidRDefault="00B349D5" w:rsidP="00A31EC2">
      <w:pPr>
        <w:pStyle w:val="WATOAEntry"/>
        <w:tabs>
          <w:tab w:val="clear" w:pos="7200"/>
          <w:tab w:val="right" w:leader="dot" w:pos="8820"/>
        </w:tabs>
      </w:pPr>
      <w:r w:rsidRPr="00B349D5">
        <w:t>RCW 81.28.050</w:t>
      </w:r>
      <w:r w:rsidRPr="00B349D5">
        <w:tab/>
      </w:r>
      <w:hyperlink w:anchor="_BA_Cite_132" w:tooltip="Long: RCW 81.28.050" w:history="1">
        <w:r w:rsidRPr="00B349D5">
          <w:t>4</w:t>
        </w:r>
      </w:hyperlink>
    </w:p>
    <w:p w:rsidR="00B349D5" w:rsidRPr="00B349D5" w:rsidRDefault="00B349D5" w:rsidP="00A31EC2">
      <w:pPr>
        <w:pStyle w:val="WATOAEntry"/>
        <w:tabs>
          <w:tab w:val="clear" w:pos="7200"/>
          <w:tab w:val="right" w:leader="dot" w:pos="8820"/>
        </w:tabs>
      </w:pPr>
      <w:r w:rsidRPr="00B349D5">
        <w:t>RCW 81.77.030</w:t>
      </w:r>
      <w:r w:rsidRPr="00B349D5">
        <w:tab/>
      </w:r>
      <w:hyperlink w:anchor="_BA_Cite_131" w:tooltip="Long: RCW 81.77.030" w:history="1">
        <w:r w:rsidRPr="00B349D5">
          <w:t>4</w:t>
        </w:r>
      </w:hyperlink>
    </w:p>
    <w:p w:rsidR="00B349D5" w:rsidRPr="00B349D5" w:rsidRDefault="00B349D5" w:rsidP="00A31EC2">
      <w:pPr>
        <w:pStyle w:val="WATOAEntry"/>
        <w:tabs>
          <w:tab w:val="clear" w:pos="7200"/>
          <w:tab w:val="right" w:leader="dot" w:pos="8820"/>
        </w:tabs>
      </w:pPr>
      <w:r w:rsidRPr="00B349D5">
        <w:t>RCW 81.80.020</w:t>
      </w:r>
      <w:r w:rsidRPr="00B349D5">
        <w:tab/>
      </w:r>
      <w:hyperlink w:anchor="_BA_Cite_221" w:tooltip="Long: RCW 81.80.020" w:history="1">
        <w:r w:rsidRPr="00B349D5">
          <w:t>32</w:t>
        </w:r>
      </w:hyperlink>
    </w:p>
    <w:p w:rsidR="008320D2" w:rsidRDefault="008320D2" w:rsidP="008320D2">
      <w:pPr>
        <w:pStyle w:val="WATOAHeading"/>
        <w:keepNext w:val="0"/>
        <w:keepLines w:val="0"/>
      </w:pPr>
      <w:bookmarkStart w:id="4" w:name="_BA95XTOA95Regulations"/>
      <w:bookmarkEnd w:id="3"/>
    </w:p>
    <w:p w:rsidR="008320D2" w:rsidRDefault="008320D2" w:rsidP="008320D2">
      <w:pPr>
        <w:pStyle w:val="WATOAHeading"/>
        <w:keepNext w:val="0"/>
        <w:keepLines w:val="0"/>
      </w:pPr>
    </w:p>
    <w:p w:rsidR="008320D2" w:rsidRDefault="008320D2" w:rsidP="008320D2">
      <w:pPr>
        <w:pStyle w:val="WATOAHeading"/>
        <w:keepNext w:val="0"/>
        <w:keepLines w:val="0"/>
      </w:pPr>
    </w:p>
    <w:p w:rsidR="00B349D5" w:rsidRPr="00B349D5" w:rsidRDefault="00B349D5" w:rsidP="00B349D5">
      <w:pPr>
        <w:pStyle w:val="WATOAHeading"/>
      </w:pPr>
      <w:r>
        <w:lastRenderedPageBreak/>
        <w:t>administrative cases</w:t>
      </w:r>
    </w:p>
    <w:p w:rsidR="00B342AA" w:rsidRPr="00B349D5" w:rsidRDefault="00B342AA" w:rsidP="00B342AA">
      <w:pPr>
        <w:pStyle w:val="WATOAEntry"/>
        <w:tabs>
          <w:tab w:val="clear" w:pos="7200"/>
          <w:tab w:val="right" w:leader="dot" w:pos="8820"/>
        </w:tabs>
      </w:pPr>
      <w:r w:rsidRPr="00B349D5">
        <w:rPr>
          <w:i/>
        </w:rPr>
        <w:t>WUTC v. Bremerton Kitsap Airporter, Inc.</w:t>
      </w:r>
      <w:r w:rsidRPr="00B349D5">
        <w:t xml:space="preserve"> </w:t>
      </w:r>
      <w:r w:rsidRPr="00B349D5">
        <w:br/>
        <w:t>(“BKA”), Docket TG-001846, Fifth Supplemental Order (Aug. 2002)</w:t>
      </w:r>
      <w:r w:rsidRPr="00B349D5">
        <w:tab/>
      </w:r>
      <w:r w:rsidRPr="00B349D5">
        <w:br/>
      </w:r>
      <w:r w:rsidRPr="00B349D5">
        <w:tab/>
      </w:r>
      <w:hyperlink w:anchor="_BA_Cite_166" w:tooltip="Long: WUTC v. Bremerton Kitsap Airporter, Inc.  (&quot;BKA&quot;), Docket TG-001846, Fifth Supplemental Order (Aug. 2002)" w:history="1">
        <w:r w:rsidRPr="00B349D5">
          <w:t>14</w:t>
        </w:r>
      </w:hyperlink>
      <w:r w:rsidRPr="00B349D5">
        <w:t>,</w:t>
      </w:r>
      <w:hyperlink w:anchor="_BA_Cite_176" w:tooltip="Short: BKA" w:history="1">
        <w:r w:rsidRPr="00B349D5">
          <w:t xml:space="preserve"> 1</w:t>
        </w:r>
      </w:hyperlink>
      <w:r w:rsidR="00126B1A">
        <w:t>5</w:t>
      </w:r>
      <w:r w:rsidRPr="00B349D5">
        <w:t>,</w:t>
      </w:r>
      <w:hyperlink w:anchor="_BA_Cite_182" w:tooltip="Short: Bremerton Kitsap Airporter" w:history="1">
        <w:r w:rsidRPr="00B349D5">
          <w:t xml:space="preserve"> 17</w:t>
        </w:r>
      </w:hyperlink>
      <w:r w:rsidRPr="00B349D5">
        <w:t xml:space="preserve">, </w:t>
      </w:r>
      <w:hyperlink w:anchor="_BA_Cite_190" w:tooltip="Short: BKA" w:history="1">
        <w:r w:rsidRPr="00B349D5">
          <w:t>18</w:t>
        </w:r>
      </w:hyperlink>
    </w:p>
    <w:p w:rsidR="00B342AA" w:rsidRDefault="00B342AA" w:rsidP="00B342AA">
      <w:pPr>
        <w:pStyle w:val="WATOAEntry"/>
        <w:tabs>
          <w:tab w:val="clear" w:pos="7200"/>
          <w:tab w:val="right" w:leader="dot" w:pos="8820"/>
        </w:tabs>
      </w:pPr>
      <w:r w:rsidRPr="00B349D5">
        <w:rPr>
          <w:i/>
        </w:rPr>
        <w:t>WUTC v. Sno-King Garbage Company WUTC v. Northwest Garbage Company</w:t>
      </w:r>
      <w:r w:rsidRPr="00B349D5">
        <w:t>,</w:t>
      </w:r>
      <w:r w:rsidRPr="00B349D5">
        <w:br/>
        <w:t>Docket Nos. TG-900657 and 900658 (</w:t>
      </w:r>
      <w:r w:rsidR="00BD0604">
        <w:t>Dec</w:t>
      </w:r>
      <w:r w:rsidRPr="00B349D5">
        <w:t>. 1991)</w:t>
      </w:r>
      <w:r w:rsidRPr="00B349D5">
        <w:tab/>
      </w:r>
      <w:hyperlink w:anchor="_BA_Cite_157" w:tooltip="Long: WUTC v. Sno-King Garbage Company WUTC v. Northwest Garbage Company,  Docket Nos. TG-900657 and 900658 (Jan. 1991)" w:history="1">
        <w:r w:rsidRPr="00B349D5">
          <w:t>12</w:t>
        </w:r>
      </w:hyperlink>
      <w:r w:rsidRPr="00B349D5">
        <w:t>,</w:t>
      </w:r>
      <w:hyperlink w:anchor="_BA_Cite_168" w:tooltip="Short: Sno-King" w:history="1">
        <w:r w:rsidRPr="00B349D5">
          <w:t xml:space="preserve"> 14</w:t>
        </w:r>
      </w:hyperlink>
      <w:r w:rsidRPr="00B349D5">
        <w:t>,</w:t>
      </w:r>
      <w:hyperlink w:anchor="_BA_Cite_185" w:tooltip="Short: Sno-King" w:history="1">
        <w:r w:rsidRPr="00B349D5">
          <w:t xml:space="preserve"> 17</w:t>
        </w:r>
      </w:hyperlink>
      <w:r w:rsidRPr="00B349D5">
        <w:t>,</w:t>
      </w:r>
      <w:r w:rsidR="003A3088">
        <w:t xml:space="preserve"> 21,</w:t>
      </w:r>
      <w:r w:rsidRPr="00B349D5">
        <w:t xml:space="preserve"> </w:t>
      </w:r>
      <w:hyperlink w:anchor="_BA_Cite_222" w:tooltip="Short: Sno-King" w:history="1">
        <w:r w:rsidR="008F06D2">
          <w:t>33</w:t>
        </w:r>
      </w:hyperlink>
    </w:p>
    <w:p w:rsidR="00B342AA" w:rsidRPr="00B342AA" w:rsidRDefault="00F52454" w:rsidP="00B342AA">
      <w:pPr>
        <w:pStyle w:val="WATOAHeading"/>
      </w:pPr>
      <w:r>
        <w:t>administrative regulations</w:t>
      </w:r>
    </w:p>
    <w:p w:rsidR="00B349D5" w:rsidRDefault="00B349D5" w:rsidP="00A31EC2">
      <w:pPr>
        <w:pStyle w:val="WATOAEntry"/>
        <w:tabs>
          <w:tab w:val="clear" w:pos="7200"/>
          <w:tab w:val="right" w:leader="dot" w:pos="8820"/>
        </w:tabs>
      </w:pPr>
      <w:r w:rsidRPr="00B349D5">
        <w:t>WAC 480-07</w:t>
      </w:r>
      <w:r w:rsidRPr="00B349D5">
        <w:tab/>
      </w:r>
      <w:hyperlink w:anchor="_BA_Cite_122" w:tooltip="Long: WAC 480-07" w:history="1">
        <w:r w:rsidRPr="00B349D5">
          <w:t>2</w:t>
        </w:r>
      </w:hyperlink>
    </w:p>
    <w:p w:rsidR="00B349D5" w:rsidRPr="00B349D5" w:rsidRDefault="00B349D5" w:rsidP="00A31EC2">
      <w:pPr>
        <w:pStyle w:val="WATOAEntry"/>
        <w:tabs>
          <w:tab w:val="clear" w:pos="7200"/>
          <w:tab w:val="right" w:leader="dot" w:pos="8820"/>
        </w:tabs>
      </w:pPr>
      <w:r w:rsidRPr="00B349D5">
        <w:t>WAC 480-07-425</w:t>
      </w:r>
      <w:r w:rsidRPr="00B349D5">
        <w:tab/>
      </w:r>
      <w:hyperlink w:anchor="_BA_Cite_206" w:tooltip="Long: WAC 480-07-425" w:history="1">
        <w:r w:rsidRPr="00B349D5">
          <w:t>25</w:t>
        </w:r>
      </w:hyperlink>
    </w:p>
    <w:p w:rsidR="00FF5715" w:rsidRDefault="00FF5715" w:rsidP="00FF5715">
      <w:pPr>
        <w:pStyle w:val="WATOAEntry"/>
        <w:tabs>
          <w:tab w:val="clear" w:pos="7200"/>
          <w:tab w:val="right" w:leader="dot" w:pos="8820"/>
        </w:tabs>
      </w:pPr>
      <w:r w:rsidRPr="00B349D5">
        <w:t>WAC 480-07-825</w:t>
      </w:r>
      <w:r w:rsidRPr="00B349D5">
        <w:tab/>
      </w:r>
      <w:hyperlink w:anchor="_BA_Cite_116" w:tooltip="Long: WAC 480-07-825" w:history="1">
        <w:r w:rsidRPr="00B349D5">
          <w:t>1</w:t>
        </w:r>
      </w:hyperlink>
    </w:p>
    <w:p w:rsidR="00B349D5" w:rsidRPr="00B349D5" w:rsidRDefault="00B349D5" w:rsidP="00A31EC2">
      <w:pPr>
        <w:pStyle w:val="WATOAEntry"/>
        <w:tabs>
          <w:tab w:val="clear" w:pos="7200"/>
          <w:tab w:val="right" w:leader="dot" w:pos="8820"/>
        </w:tabs>
      </w:pPr>
      <w:r w:rsidRPr="00B349D5">
        <w:t>WAC 480-07-825(3)</w:t>
      </w:r>
      <w:r w:rsidRPr="00B349D5">
        <w:tab/>
      </w:r>
      <w:hyperlink w:anchor="_BA_Cite_134" w:tooltip="Long: WAC 480-07-825(3)" w:history="1">
        <w:r w:rsidRPr="00B349D5">
          <w:t>4</w:t>
        </w:r>
      </w:hyperlink>
    </w:p>
    <w:p w:rsidR="00B349D5" w:rsidRPr="00B349D5" w:rsidRDefault="00FF5715" w:rsidP="00FF5715">
      <w:pPr>
        <w:pStyle w:val="WATOAEntry"/>
        <w:tabs>
          <w:tab w:val="clear" w:pos="7200"/>
          <w:tab w:val="right" w:leader="dot" w:pos="8820"/>
        </w:tabs>
      </w:pPr>
      <w:r w:rsidRPr="00B349D5">
        <w:t>WAC 480-70</w:t>
      </w:r>
      <w:r w:rsidRPr="00B349D5">
        <w:tab/>
      </w:r>
      <w:hyperlink w:anchor="_BA_Cite_123" w:tooltip="Long: WAC 480-70" w:history="1">
        <w:r w:rsidRPr="00B349D5">
          <w:t>2</w:t>
        </w:r>
      </w:hyperlink>
    </w:p>
    <w:p w:rsidR="00B349D5" w:rsidRPr="00B349D5" w:rsidRDefault="00B349D5" w:rsidP="00B349D5">
      <w:pPr>
        <w:pStyle w:val="WATOAHeading"/>
      </w:pPr>
      <w:bookmarkStart w:id="5" w:name="_BA95XTOA95OtherAuthorities"/>
      <w:bookmarkEnd w:id="4"/>
      <w:r w:rsidRPr="00B349D5">
        <w:t>Other Authorities</w:t>
      </w:r>
    </w:p>
    <w:p w:rsidR="00B349D5" w:rsidRPr="00B349D5" w:rsidRDefault="00B349D5" w:rsidP="00A31EC2">
      <w:pPr>
        <w:pStyle w:val="WATOAEntry"/>
        <w:tabs>
          <w:tab w:val="clear" w:pos="7200"/>
          <w:tab w:val="right" w:leader="dot" w:pos="8820"/>
        </w:tabs>
      </w:pPr>
      <w:r w:rsidRPr="00B349D5">
        <w:t xml:space="preserve">Goodman, </w:t>
      </w:r>
      <w:r w:rsidRPr="00B349D5">
        <w:rPr>
          <w:u w:val="single"/>
        </w:rPr>
        <w:t>The Process of Ratemaking</w:t>
      </w:r>
      <w:r w:rsidR="00A31EC2">
        <w:t xml:space="preserve"> (1998), V</w:t>
      </w:r>
      <w:r w:rsidRPr="00B349D5">
        <w:t>ol. I</w:t>
      </w:r>
      <w:r w:rsidRPr="00B349D5">
        <w:tab/>
      </w:r>
      <w:hyperlink w:anchor="_BA_Cite_192" w:tooltip="Long: Goodman, The Process of Ratemaking (1998), vol. I" w:history="1">
        <w:r w:rsidRPr="00B349D5">
          <w:t>21</w:t>
        </w:r>
      </w:hyperlink>
    </w:p>
    <w:bookmarkEnd w:id="5"/>
    <w:bookmarkEnd w:id="0"/>
    <w:bookmarkEnd w:id="1"/>
    <w:p w:rsidR="002577E6" w:rsidRPr="00B349D5" w:rsidRDefault="002577E6" w:rsidP="002577E6"/>
    <w:p w:rsidR="00E96FF8" w:rsidRPr="00B349D5" w:rsidRDefault="00E96FF8" w:rsidP="008336CB">
      <w:pPr>
        <w:jc w:val="center"/>
      </w:pPr>
    </w:p>
    <w:p w:rsidR="008336CB" w:rsidRPr="00B349D5" w:rsidRDefault="008336CB" w:rsidP="008336CB">
      <w:pPr>
        <w:jc w:val="center"/>
        <w:sectPr w:rsidR="008336CB" w:rsidRPr="00B349D5" w:rsidSect="00BD6BB7">
          <w:footerReference w:type="default" r:id="rId10"/>
          <w:pgSz w:w="12240" w:h="15840" w:code="1"/>
          <w:pgMar w:top="1440" w:right="1440" w:bottom="1440" w:left="1440" w:header="720" w:footer="720" w:gutter="0"/>
          <w:paperSrc w:first="261" w:other="261"/>
          <w:pgNumType w:fmt="lowerRoman" w:start="3"/>
          <w:cols w:space="720"/>
          <w:docGrid w:linePitch="360"/>
        </w:sectPr>
      </w:pPr>
    </w:p>
    <w:p w:rsidR="002F5808" w:rsidRPr="00B349D5" w:rsidRDefault="002F5808" w:rsidP="002F5808"/>
    <w:p w:rsidR="007A4FD8" w:rsidRPr="00B349D5" w:rsidRDefault="00692334" w:rsidP="00606B0D">
      <w:pPr>
        <w:pStyle w:val="Heading1"/>
      </w:pPr>
      <w:bookmarkStart w:id="6" w:name="_Toc423327083"/>
      <w:r w:rsidRPr="00B349D5">
        <w:t>preliminary statement</w:t>
      </w:r>
      <w:bookmarkEnd w:id="6"/>
    </w:p>
    <w:p w:rsidR="00606B0D" w:rsidRPr="00B349D5" w:rsidRDefault="00BB0C73" w:rsidP="00C274EB">
      <w:pPr>
        <w:pStyle w:val="BodyText2"/>
        <w:numPr>
          <w:ilvl w:val="0"/>
          <w:numId w:val="35"/>
        </w:numPr>
        <w:spacing w:before="120" w:after="120"/>
        <w:ind w:hanging="720"/>
      </w:pPr>
      <w:bookmarkStart w:id="7" w:name="_BA_ScanRange"/>
      <w:r w:rsidRPr="00B349D5">
        <w:t xml:space="preserve">Respondent Waste Control, Inc. (“WCI,” “Respondent,” “Petitioner,” “Waste Control” or “the Company”) submits the following </w:t>
      </w:r>
      <w:r w:rsidR="00692334" w:rsidRPr="00B349D5">
        <w:t>Petition for Administrative Review</w:t>
      </w:r>
      <w:r w:rsidR="006E56A0" w:rsidRPr="00B349D5">
        <w:t>,</w:t>
      </w:r>
      <w:r w:rsidR="00692334" w:rsidRPr="00B349D5">
        <w:t xml:space="preserve"> pursuant to </w:t>
      </w:r>
      <w:r w:rsidR="00B349D5" w:rsidRPr="00B349D5">
        <w:fldChar w:fldCharType="begin"/>
      </w:r>
      <w:r w:rsidR="00B349D5" w:rsidRPr="00B349D5">
        <w:instrText xml:space="preserve"> ADDIN BA \xc &lt;@reg&gt; \xl 14 \s ECSSJP000001 \l "WAC 480-07-825" </w:instrText>
      </w:r>
      <w:r w:rsidR="00B349D5" w:rsidRPr="00B349D5">
        <w:fldChar w:fldCharType="end"/>
      </w:r>
      <w:bookmarkStart w:id="8" w:name="_BA_Cite_116"/>
      <w:r w:rsidR="00692334" w:rsidRPr="00B349D5">
        <w:t>WAC 480-07-825</w:t>
      </w:r>
      <w:bookmarkEnd w:id="8"/>
      <w:r w:rsidR="00040467" w:rsidRPr="00B349D5">
        <w:t>,</w:t>
      </w:r>
      <w:r w:rsidR="00692334" w:rsidRPr="00B349D5">
        <w:t xml:space="preserve"> </w:t>
      </w:r>
      <w:r w:rsidR="006E56A0" w:rsidRPr="00B349D5">
        <w:t>seeking</w:t>
      </w:r>
      <w:r w:rsidR="00692334" w:rsidRPr="00B349D5">
        <w:t xml:space="preserve"> review of </w:t>
      </w:r>
      <w:r w:rsidR="006E56A0" w:rsidRPr="00B349D5">
        <w:t xml:space="preserve">portions </w:t>
      </w:r>
      <w:r w:rsidR="00B349D5" w:rsidRPr="00B349D5">
        <w:fldChar w:fldCharType="begin"/>
      </w:r>
      <w:r w:rsidR="00B349D5" w:rsidRPr="00B349D5">
        <w:instrText xml:space="preserve"> ADDIN BA \xc &lt;@reg&gt; \xl 54 \s ECSSJP000002 \l "of the Administrative Law Judge’s Initial Order No. 12" </w:instrText>
      </w:r>
      <w:r w:rsidR="00B349D5" w:rsidRPr="00B349D5">
        <w:fldChar w:fldCharType="end"/>
      </w:r>
      <w:bookmarkStart w:id="9" w:name="_BA_Cite_117"/>
      <w:r w:rsidR="006E56A0" w:rsidRPr="00B349D5">
        <w:t xml:space="preserve">of </w:t>
      </w:r>
      <w:r w:rsidRPr="00B349D5">
        <w:t xml:space="preserve">the Administrative Law Judge’s </w:t>
      </w:r>
      <w:r w:rsidR="00692334" w:rsidRPr="00B349D5">
        <w:t>Initial Order No. 12</w:t>
      </w:r>
      <w:bookmarkEnd w:id="9"/>
      <w:r w:rsidR="00692334" w:rsidRPr="00B349D5">
        <w:t xml:space="preserve"> in this matter.  </w:t>
      </w:r>
      <w:r w:rsidR="001467E3" w:rsidRPr="00B349D5">
        <w:t xml:space="preserve">All parties support the Partial Settlement </w:t>
      </w:r>
      <w:r w:rsidR="00685031">
        <w:t>a</w:t>
      </w:r>
      <w:r w:rsidR="00B51534" w:rsidRPr="00B349D5">
        <w:t>pproval</w:t>
      </w:r>
      <w:r w:rsidR="001467E3" w:rsidRPr="00B349D5">
        <w:t xml:space="preserve"> also announced in </w:t>
      </w:r>
      <w:r w:rsidR="00B349D5" w:rsidRPr="00B349D5">
        <w:fldChar w:fldCharType="begin"/>
      </w:r>
      <w:r w:rsidR="00B349D5" w:rsidRPr="00B349D5">
        <w:instrText xml:space="preserve"> ADDIN BA \xc &lt;@reg&gt; \xl 16 \s ECSSJP000003 \l "Initial Order 12" </w:instrText>
      </w:r>
      <w:r w:rsidR="00B349D5" w:rsidRPr="00B349D5">
        <w:fldChar w:fldCharType="end"/>
      </w:r>
      <w:bookmarkStart w:id="10" w:name="_BA_Cite_118"/>
      <w:r w:rsidR="001467E3" w:rsidRPr="00B349D5">
        <w:t>Initial Order 12</w:t>
      </w:r>
      <w:bookmarkEnd w:id="10"/>
      <w:r w:rsidR="001467E3" w:rsidRPr="00B349D5">
        <w:t>.</w:t>
      </w:r>
    </w:p>
    <w:p w:rsidR="00731463" w:rsidRPr="00B349D5" w:rsidRDefault="00731463" w:rsidP="00731463">
      <w:pPr>
        <w:pStyle w:val="Heading1"/>
      </w:pPr>
      <w:bookmarkStart w:id="11" w:name="_Toc423327084"/>
      <w:r w:rsidRPr="00B349D5">
        <w:t>petition for administrative review</w:t>
      </w:r>
      <w:r w:rsidR="00AB404E" w:rsidRPr="00B349D5">
        <w:t>/</w:t>
      </w:r>
      <w:r w:rsidRPr="00B349D5">
        <w:t>decision-making</w:t>
      </w:r>
      <w:r w:rsidR="00AB404E" w:rsidRPr="00B349D5">
        <w:t xml:space="preserve"> model</w:t>
      </w:r>
      <w:r w:rsidR="008E3FB4" w:rsidRPr="00B349D5">
        <w:t>/recusal of commission accounting advisor</w:t>
      </w:r>
      <w:bookmarkEnd w:id="11"/>
    </w:p>
    <w:p w:rsidR="00731463" w:rsidRPr="00B349D5" w:rsidRDefault="00DC58C6" w:rsidP="00B36123">
      <w:pPr>
        <w:pStyle w:val="BodyText2"/>
        <w:numPr>
          <w:ilvl w:val="0"/>
          <w:numId w:val="35"/>
        </w:numPr>
        <w:spacing w:before="120" w:after="120"/>
        <w:ind w:hanging="720"/>
      </w:pPr>
      <w:r w:rsidRPr="00B349D5">
        <w:t>Footnote</w:t>
      </w:r>
      <w:r w:rsidR="00731463" w:rsidRPr="00B349D5">
        <w:t xml:space="preserve"> 2</w:t>
      </w:r>
      <w:r w:rsidR="007545C5" w:rsidRPr="00B349D5">
        <w:t xml:space="preserve"> </w:t>
      </w:r>
      <w:r w:rsidRPr="00B349D5">
        <w:t xml:space="preserve">of the Initial Order </w:t>
      </w:r>
      <w:r w:rsidR="00731463" w:rsidRPr="00B349D5">
        <w:t xml:space="preserve">includes the now-familiar reference to the ex parte wall </w:t>
      </w:r>
      <w:r w:rsidR="00B51534" w:rsidRPr="00B349D5">
        <w:t xml:space="preserve">in Commission orders </w:t>
      </w:r>
      <w:r w:rsidR="00731463" w:rsidRPr="00B349D5">
        <w:t xml:space="preserve">and assurance of fairness under </w:t>
      </w:r>
      <w:r w:rsidR="00B349D5" w:rsidRPr="00B349D5">
        <w:fldChar w:fldCharType="begin"/>
      </w:r>
      <w:r w:rsidR="00B349D5" w:rsidRPr="00B349D5">
        <w:instrText xml:space="preserve"> ADDIN BA \xc &lt;@st&gt; \xl 13 \s ECSSJP000004 \l "RCW 34.04.455" </w:instrText>
      </w:r>
      <w:r w:rsidR="00B349D5" w:rsidRPr="00B349D5">
        <w:fldChar w:fldCharType="end"/>
      </w:r>
      <w:bookmarkStart w:id="12" w:name="_BA_Cite_119"/>
      <w:r w:rsidR="00731463" w:rsidRPr="00B349D5">
        <w:t>RCW 34.04.455</w:t>
      </w:r>
      <w:bookmarkEnd w:id="12"/>
      <w:r w:rsidR="00731463" w:rsidRPr="00B349D5">
        <w:t>.  In that regard, Petitioner note</w:t>
      </w:r>
      <w:r w:rsidRPr="00B349D5">
        <w:t>s</w:t>
      </w:r>
      <w:r w:rsidR="00731463" w:rsidRPr="00B349D5">
        <w:t xml:space="preserve"> that the appearance of fairness doctrine would </w:t>
      </w:r>
      <w:r w:rsidR="00AC0619" w:rsidRPr="00B349D5">
        <w:t>also</w:t>
      </w:r>
      <w:r w:rsidR="00731463" w:rsidRPr="00B349D5">
        <w:t xml:space="preserve"> seem to </w:t>
      </w:r>
      <w:r w:rsidRPr="00B349D5">
        <w:t xml:space="preserve">preclude </w:t>
      </w:r>
      <w:r w:rsidR="00731463" w:rsidRPr="00B349D5">
        <w:t xml:space="preserve">the accounting advisor to the administrative law judge, Roland Martin, </w:t>
      </w:r>
      <w:r w:rsidRPr="00B349D5">
        <w:t xml:space="preserve">from any role in </w:t>
      </w:r>
      <w:r w:rsidR="00731463" w:rsidRPr="00B349D5">
        <w:t xml:space="preserve">advising the Commissioners on this Petition.  </w:t>
      </w:r>
      <w:r w:rsidRPr="00B349D5">
        <w:t>Allowing Mr. Martin</w:t>
      </w:r>
      <w:r w:rsidR="00731463" w:rsidRPr="00B349D5">
        <w:t xml:space="preserve"> to operate otherwise would be analogous to a Superior Court Clerk who assisted in drafting a ruling </w:t>
      </w:r>
      <w:r w:rsidR="00736451" w:rsidRPr="00B349D5">
        <w:t xml:space="preserve">also </w:t>
      </w:r>
      <w:r w:rsidR="00685031">
        <w:t xml:space="preserve">aiding </w:t>
      </w:r>
      <w:r w:rsidRPr="00B349D5">
        <w:t xml:space="preserve">the </w:t>
      </w:r>
      <w:r w:rsidR="00731463" w:rsidRPr="00B349D5">
        <w:t xml:space="preserve">Court of Appeals in the drafting </w:t>
      </w:r>
      <w:r w:rsidR="00AC0619" w:rsidRPr="00B349D5">
        <w:t xml:space="preserve">of </w:t>
      </w:r>
      <w:r w:rsidR="00731463" w:rsidRPr="00B349D5">
        <w:t>the appellate decision</w:t>
      </w:r>
      <w:r w:rsidR="00C15FAB" w:rsidRPr="00B349D5">
        <w:t xml:space="preserve"> on the same case</w:t>
      </w:r>
      <w:r w:rsidR="00731463" w:rsidRPr="00B349D5">
        <w:t xml:space="preserve">.  </w:t>
      </w:r>
      <w:r w:rsidR="00C15FAB" w:rsidRPr="00B349D5">
        <w:t>W</w:t>
      </w:r>
      <w:r w:rsidR="00731463" w:rsidRPr="00B349D5">
        <w:t xml:space="preserve">ith all due respect to the uniqueness </w:t>
      </w:r>
      <w:r w:rsidR="00B51534" w:rsidRPr="00B349D5">
        <w:t xml:space="preserve">and expertise </w:t>
      </w:r>
      <w:r w:rsidR="00731463" w:rsidRPr="00B349D5">
        <w:t xml:space="preserve">of the administrative agency </w:t>
      </w:r>
      <w:r w:rsidR="00585414" w:rsidRPr="00B349D5">
        <w:t xml:space="preserve">quasi-judicial </w:t>
      </w:r>
      <w:r w:rsidR="00731463" w:rsidRPr="00B349D5">
        <w:t xml:space="preserve">adjudicative model, the appearance of fairness </w:t>
      </w:r>
      <w:r w:rsidRPr="00B349D5">
        <w:t xml:space="preserve">doctrine </w:t>
      </w:r>
      <w:r w:rsidR="00731463" w:rsidRPr="00B349D5">
        <w:t xml:space="preserve">and </w:t>
      </w:r>
      <w:r w:rsidR="00B349D5" w:rsidRPr="00B349D5">
        <w:fldChar w:fldCharType="begin"/>
      </w:r>
      <w:r w:rsidR="00B349D5" w:rsidRPr="00B349D5">
        <w:instrText xml:space="preserve"> ADDIN BA \xc &lt;@st&gt; \xl 13 \s ECSSJP000005 \l "RCW 34.05.455" </w:instrText>
      </w:r>
      <w:r w:rsidR="00B349D5" w:rsidRPr="00B349D5">
        <w:fldChar w:fldCharType="end"/>
      </w:r>
      <w:bookmarkStart w:id="13" w:name="_BA_Cite_120"/>
      <w:r w:rsidR="00731463" w:rsidRPr="00B349D5">
        <w:t>RCW 34.05.455</w:t>
      </w:r>
      <w:bookmarkEnd w:id="13"/>
      <w:r w:rsidR="00731463" w:rsidRPr="00B349D5">
        <w:t xml:space="preserve"> </w:t>
      </w:r>
      <w:r w:rsidR="00B91FB8" w:rsidRPr="00B349D5">
        <w:t xml:space="preserve">would seem to </w:t>
      </w:r>
      <w:r w:rsidRPr="00B349D5">
        <w:t xml:space="preserve">require </w:t>
      </w:r>
      <w:r w:rsidR="00731463" w:rsidRPr="00B349D5">
        <w:t>a complete separation of the Initial</w:t>
      </w:r>
      <w:r w:rsidR="00585414" w:rsidRPr="00B349D5">
        <w:t xml:space="preserve"> Order authors and advisors for</w:t>
      </w:r>
      <w:r w:rsidR="00731463" w:rsidRPr="00B349D5">
        <w:t xml:space="preserve"> the internal appeal consideration.</w:t>
      </w:r>
      <w:r w:rsidR="00585414" w:rsidRPr="00B349D5">
        <w:rPr>
          <w:rStyle w:val="FootnoteReference"/>
        </w:rPr>
        <w:footnoteReference w:id="1"/>
      </w:r>
      <w:r w:rsidR="00B51534" w:rsidRPr="00B349D5">
        <w:t xml:space="preserve">  Attaining an appropriate appearance of fairness standard is also seemingly more difficult in a circumstance where, as here, the public service company has a statutory burden of proof and the presiding officer and opposing side are all employees of the same agency rendering the final decision in this matter.</w:t>
      </w:r>
    </w:p>
    <w:p w:rsidR="00976E09" w:rsidRPr="00B349D5" w:rsidRDefault="00976E09" w:rsidP="00976E09">
      <w:pPr>
        <w:pStyle w:val="Heading1"/>
      </w:pPr>
      <w:bookmarkStart w:id="15" w:name="_Toc423327085"/>
      <w:r w:rsidRPr="00B349D5">
        <w:lastRenderedPageBreak/>
        <w:t>overview</w:t>
      </w:r>
      <w:r w:rsidR="0080351B" w:rsidRPr="00B349D5">
        <w:t>/The WCI rate case in a nutshell</w:t>
      </w:r>
      <w:bookmarkEnd w:id="15"/>
    </w:p>
    <w:p w:rsidR="004B600B" w:rsidRPr="00B349D5" w:rsidRDefault="00976E09" w:rsidP="00B36123">
      <w:pPr>
        <w:pStyle w:val="BodyText2"/>
        <w:numPr>
          <w:ilvl w:val="0"/>
          <w:numId w:val="35"/>
        </w:numPr>
        <w:spacing w:before="120" w:after="120"/>
        <w:ind w:hanging="720"/>
      </w:pPr>
      <w:r w:rsidRPr="00B349D5">
        <w:t xml:space="preserve">This case is </w:t>
      </w:r>
      <w:r w:rsidR="001467E3" w:rsidRPr="00B349D5">
        <w:t xml:space="preserve">really </w:t>
      </w:r>
      <w:r w:rsidRPr="00B349D5">
        <w:t>about regulatory polic</w:t>
      </w:r>
      <w:r w:rsidR="0080351B" w:rsidRPr="00B349D5">
        <w:t xml:space="preserve">y and who establishes </w:t>
      </w:r>
      <w:r w:rsidR="00DC58C6" w:rsidRPr="00B349D5">
        <w:t xml:space="preserve">the </w:t>
      </w:r>
      <w:r w:rsidR="0080351B" w:rsidRPr="00B349D5">
        <w:t>same:</w:t>
      </w:r>
      <w:r w:rsidRPr="00B349D5">
        <w:t xml:space="preserve"> the Commission</w:t>
      </w:r>
      <w:r w:rsidR="0080351B" w:rsidRPr="00B349D5">
        <w:t>,</w:t>
      </w:r>
      <w:r w:rsidRPr="00B349D5">
        <w:t xml:space="preserve"> </w:t>
      </w:r>
      <w:r w:rsidR="00DC58C6" w:rsidRPr="00B349D5">
        <w:t xml:space="preserve">through </w:t>
      </w:r>
      <w:r w:rsidRPr="00B349D5">
        <w:t>its Final Orders, rules and policy statements</w:t>
      </w:r>
      <w:r w:rsidR="00DC58C6" w:rsidRPr="00B349D5">
        <w:t>,</w:t>
      </w:r>
      <w:r w:rsidRPr="00B349D5">
        <w:t xml:space="preserve"> or the WUTC Staff auditors</w:t>
      </w:r>
      <w:r w:rsidR="00BC37C0" w:rsidRPr="00B349D5">
        <w:t>,</w:t>
      </w:r>
      <w:r w:rsidRPr="00B349D5">
        <w:t xml:space="preserve"> </w:t>
      </w:r>
      <w:r w:rsidR="00DC58C6" w:rsidRPr="00B349D5">
        <w:t xml:space="preserve">on an ad hoc, </w:t>
      </w:r>
      <w:r w:rsidR="0080351B" w:rsidRPr="00B349D5">
        <w:t>case-by-</w:t>
      </w:r>
      <w:r w:rsidRPr="00B349D5">
        <w:t>case basis</w:t>
      </w:r>
      <w:r w:rsidR="0080351B" w:rsidRPr="00B349D5">
        <w:t>.</w:t>
      </w:r>
      <w:r w:rsidR="005373FB" w:rsidRPr="00B349D5">
        <w:rPr>
          <w:rStyle w:val="FootnoteReference"/>
        </w:rPr>
        <w:footnoteReference w:id="2"/>
      </w:r>
      <w:r w:rsidRPr="00B349D5">
        <w:t xml:space="preserve">  Despite WCI’s repeated </w:t>
      </w:r>
      <w:r w:rsidR="00BC37C0" w:rsidRPr="00B349D5">
        <w:t>synopses</w:t>
      </w:r>
      <w:r w:rsidRPr="00B349D5">
        <w:t xml:space="preserve"> of this case in its Opening and Reply Briefs, the Initial Order never addresses </w:t>
      </w:r>
      <w:r w:rsidR="00DC58C6" w:rsidRPr="00B349D5">
        <w:t xml:space="preserve">a </w:t>
      </w:r>
      <w:r w:rsidR="0080351B" w:rsidRPr="00B349D5">
        <w:t xml:space="preserve">fundamental </w:t>
      </w:r>
      <w:r w:rsidRPr="00B349D5">
        <w:t xml:space="preserve">dilemma this general rate case </w:t>
      </w:r>
      <w:r w:rsidR="00F82FC5" w:rsidRPr="00B349D5">
        <w:t>Proponent</w:t>
      </w:r>
      <w:r w:rsidRPr="00B349D5">
        <w:t xml:space="preserve"> faced </w:t>
      </w:r>
      <w:r w:rsidR="0080351B" w:rsidRPr="00B349D5">
        <w:t xml:space="preserve">throughout </w:t>
      </w:r>
      <w:r w:rsidRPr="00B349D5">
        <w:t>this proceeding.  Against the backdrop of two current rulemakings</w:t>
      </w:r>
      <w:r w:rsidR="0080351B" w:rsidRPr="00B349D5">
        <w:t>,</w:t>
      </w:r>
      <w:r w:rsidRPr="00B349D5">
        <w:rPr>
          <w:rStyle w:val="FootnoteReference"/>
        </w:rPr>
        <w:footnoteReference w:id="3"/>
      </w:r>
      <w:r w:rsidR="00D520C6" w:rsidRPr="00B349D5">
        <w:t xml:space="preserve"> </w:t>
      </w:r>
      <w:r w:rsidR="00DC58C6" w:rsidRPr="00B349D5">
        <w:t xml:space="preserve">WCI </w:t>
      </w:r>
      <w:r w:rsidRPr="00B349D5">
        <w:t xml:space="preserve">was </w:t>
      </w:r>
      <w:r w:rsidR="00D520C6" w:rsidRPr="00B349D5">
        <w:t xml:space="preserve">confronted </w:t>
      </w:r>
      <w:r w:rsidRPr="00B349D5">
        <w:t xml:space="preserve">with novel accounting treatments, </w:t>
      </w:r>
      <w:r w:rsidR="00BC37C0" w:rsidRPr="00B349D5">
        <w:t>“</w:t>
      </w:r>
      <w:r w:rsidRPr="00B349D5">
        <w:t>updated</w:t>
      </w:r>
      <w:r w:rsidR="00BC37C0" w:rsidRPr="00B349D5">
        <w:t>”</w:t>
      </w:r>
      <w:r w:rsidRPr="00B349D5">
        <w:t xml:space="preserve"> costs of capital and </w:t>
      </w:r>
      <w:r w:rsidR="002A4EEF" w:rsidRPr="00B349D5">
        <w:t xml:space="preserve">debt </w:t>
      </w:r>
      <w:r w:rsidRPr="00B349D5">
        <w:t xml:space="preserve">measurements and </w:t>
      </w:r>
      <w:r w:rsidR="00DC58C6" w:rsidRPr="00B349D5">
        <w:t xml:space="preserve">broadly acknowledged </w:t>
      </w:r>
      <w:r w:rsidR="00D520C6" w:rsidRPr="00B349D5">
        <w:t>first-</w:t>
      </w:r>
      <w:r w:rsidRPr="00B349D5">
        <w:t>time theorizing by the new regulatory requirements auditor</w:t>
      </w:r>
      <w:r w:rsidR="00D520C6" w:rsidRPr="00B349D5">
        <w:t xml:space="preserve">. </w:t>
      </w:r>
      <w:r w:rsidRPr="00B349D5">
        <w:t xml:space="preserve"> </w:t>
      </w:r>
      <w:r w:rsidR="003855BD" w:rsidRPr="00B349D5">
        <w:t xml:space="preserve">Never before in its </w:t>
      </w:r>
      <w:r w:rsidR="00DC58C6" w:rsidRPr="00B349D5">
        <w:t xml:space="preserve">decades’-long </w:t>
      </w:r>
      <w:r w:rsidR="003855BD" w:rsidRPr="00B349D5">
        <w:t xml:space="preserve">history of regulated operations </w:t>
      </w:r>
      <w:r w:rsidR="0023228F" w:rsidRPr="00B349D5">
        <w:t xml:space="preserve">has </w:t>
      </w:r>
      <w:r w:rsidR="003855BD" w:rsidRPr="00B349D5">
        <w:t xml:space="preserve">Waste Control experienced </w:t>
      </w:r>
      <w:r w:rsidR="00F82FC5" w:rsidRPr="00B349D5">
        <w:t>renditions</w:t>
      </w:r>
      <w:r w:rsidR="003855BD" w:rsidRPr="00B349D5">
        <w:t xml:space="preserve"> and proposed dispositions of any of the </w:t>
      </w:r>
      <w:r w:rsidR="004B600B" w:rsidRPr="00B349D5">
        <w:t xml:space="preserve">four </w:t>
      </w:r>
      <w:r w:rsidR="003855BD" w:rsidRPr="00B349D5">
        <w:t>disputed accou</w:t>
      </w:r>
      <w:r w:rsidR="00F87003" w:rsidRPr="00B349D5">
        <w:t xml:space="preserve">nting issues in this proceeding, </w:t>
      </w:r>
      <w:r w:rsidR="003855BD" w:rsidRPr="00B349D5">
        <w:t>(i.e. three-factor allocators</w:t>
      </w:r>
      <w:r w:rsidR="00713815" w:rsidRPr="00B349D5">
        <w:t xml:space="preserve"> for utility expenses</w:t>
      </w:r>
      <w:r w:rsidR="003855BD" w:rsidRPr="00B349D5">
        <w:t>, return on affiliate rents, investigation fees</w:t>
      </w:r>
      <w:r w:rsidR="001467E3" w:rsidRPr="00B349D5">
        <w:t>, “p</w:t>
      </w:r>
      <w:r w:rsidR="00F82FC5" w:rsidRPr="00B349D5">
        <w:t>ar</w:t>
      </w:r>
      <w:r w:rsidR="001467E3" w:rsidRPr="00B349D5">
        <w:t xml:space="preserve">ing” </w:t>
      </w:r>
      <w:r w:rsidR="002A4EEF" w:rsidRPr="00B349D5">
        <w:t xml:space="preserve">of </w:t>
      </w:r>
      <w:r w:rsidR="001467E3" w:rsidRPr="00B349D5">
        <w:t>rate case costs</w:t>
      </w:r>
      <w:r w:rsidR="003855BD" w:rsidRPr="00B349D5">
        <w:t>)</w:t>
      </w:r>
      <w:r w:rsidR="004B600B" w:rsidRPr="00B349D5">
        <w:t>.</w:t>
      </w:r>
    </w:p>
    <w:p w:rsidR="00976E09" w:rsidRPr="00B349D5" w:rsidRDefault="00976E09" w:rsidP="00B36123">
      <w:pPr>
        <w:pStyle w:val="BodyText2"/>
        <w:numPr>
          <w:ilvl w:val="0"/>
          <w:numId w:val="35"/>
        </w:numPr>
        <w:spacing w:before="120" w:after="120"/>
        <w:ind w:hanging="720"/>
      </w:pPr>
      <w:r w:rsidRPr="00B349D5">
        <w:t xml:space="preserve">Recognizing the difficult odds any </w:t>
      </w:r>
      <w:r w:rsidR="004B600B" w:rsidRPr="00B349D5">
        <w:t xml:space="preserve">contested </w:t>
      </w:r>
      <w:r w:rsidRPr="00B349D5">
        <w:t xml:space="preserve">rate case </w:t>
      </w:r>
      <w:r w:rsidR="00F82FC5" w:rsidRPr="00B349D5">
        <w:t>Proponent</w:t>
      </w:r>
      <w:r w:rsidRPr="00B349D5">
        <w:t xml:space="preserve"> faces</w:t>
      </w:r>
      <w:r w:rsidR="00585414" w:rsidRPr="00B349D5">
        <w:t>,</w:t>
      </w:r>
      <w:r w:rsidRPr="00B349D5">
        <w:t xml:space="preserve"> not only in burden of proof but in</w:t>
      </w:r>
      <w:r w:rsidR="00475D20" w:rsidRPr="00B349D5">
        <w:t xml:space="preserve"> </w:t>
      </w:r>
      <w:r w:rsidRPr="00B349D5">
        <w:t xml:space="preserve">contravening Staff </w:t>
      </w:r>
      <w:r w:rsidR="00475D20" w:rsidRPr="00B349D5">
        <w:t xml:space="preserve">accounting </w:t>
      </w:r>
      <w:r w:rsidRPr="00B349D5">
        <w:t xml:space="preserve">positions advocated </w:t>
      </w:r>
      <w:r w:rsidR="00475D20" w:rsidRPr="00B349D5">
        <w:t xml:space="preserve">for </w:t>
      </w:r>
      <w:r w:rsidR="00BC37C0" w:rsidRPr="00B349D5">
        <w:t xml:space="preserve">a </w:t>
      </w:r>
      <w:r w:rsidRPr="00B349D5">
        <w:t>solid waste collection company</w:t>
      </w:r>
      <w:r w:rsidR="00F82FC5" w:rsidRPr="00B349D5">
        <w:t>,</w:t>
      </w:r>
      <w:r w:rsidR="00BC37C0" w:rsidRPr="00B349D5">
        <w:t xml:space="preserve"> </w:t>
      </w:r>
      <w:r w:rsidRPr="00B349D5">
        <w:t>and despite the voluminous record already developed to date in this proceeding,</w:t>
      </w:r>
      <w:r w:rsidR="006E44BB" w:rsidRPr="00B349D5">
        <w:t xml:space="preserve"> WCI</w:t>
      </w:r>
      <w:r w:rsidRPr="00B349D5">
        <w:t xml:space="preserve"> files this Petition for Administrative Review hoping for some resonance with the Commissioners on the procedural hurdles</w:t>
      </w:r>
      <w:r w:rsidR="00475D20" w:rsidRPr="00B349D5">
        <w:t xml:space="preserve">, substantive legal outcomes </w:t>
      </w:r>
      <w:r w:rsidRPr="00B349D5">
        <w:t xml:space="preserve">and the conflicting policy initiatives </w:t>
      </w:r>
      <w:r w:rsidR="002A4EEF" w:rsidRPr="00B349D5">
        <w:t xml:space="preserve">circulating in </w:t>
      </w:r>
      <w:r w:rsidRPr="00B349D5">
        <w:t>this unfortunately contentious</w:t>
      </w:r>
      <w:r w:rsidR="00475D20" w:rsidRPr="00B349D5">
        <w:t xml:space="preserve"> </w:t>
      </w:r>
      <w:r w:rsidR="003861D0" w:rsidRPr="00B349D5">
        <w:t xml:space="preserve">and prolonged </w:t>
      </w:r>
      <w:r w:rsidR="00475D20" w:rsidRPr="00B349D5">
        <w:t>proceeding</w:t>
      </w:r>
      <w:r w:rsidRPr="00B349D5">
        <w:t>.</w:t>
      </w:r>
      <w:r w:rsidR="00150EB3" w:rsidRPr="00B349D5">
        <w:rPr>
          <w:rStyle w:val="FootnoteReference"/>
        </w:rPr>
        <w:t xml:space="preserve"> </w:t>
      </w:r>
      <w:r w:rsidR="00150EB3" w:rsidRPr="00B349D5">
        <w:rPr>
          <w:rStyle w:val="FootnoteReference"/>
        </w:rPr>
        <w:footnoteReference w:id="4"/>
      </w:r>
      <w:r w:rsidRPr="00B349D5">
        <w:t xml:space="preserve">  While ever sanguine </w:t>
      </w:r>
      <w:r w:rsidRPr="00B349D5">
        <w:lastRenderedPageBreak/>
        <w:t xml:space="preserve">about </w:t>
      </w:r>
      <w:r w:rsidR="00122BE9">
        <w:t xml:space="preserve">conventional prospects </w:t>
      </w:r>
      <w:r w:rsidRPr="00B349D5">
        <w:t xml:space="preserve">for relief and/or reversal of </w:t>
      </w:r>
      <w:r w:rsidR="00475D20" w:rsidRPr="00B349D5">
        <w:t xml:space="preserve">the </w:t>
      </w:r>
      <w:r w:rsidRPr="00B349D5">
        <w:t>holdings to date in the context of administrative law realities, Petitioner believes the unique timing of this proceeding in the annals of solid waste case rate filings against the backdrop of</w:t>
      </w:r>
      <w:r w:rsidR="004B600B" w:rsidRPr="00B349D5">
        <w:t xml:space="preserve"> key</w:t>
      </w:r>
      <w:r w:rsidRPr="00B349D5">
        <w:t xml:space="preserve"> </w:t>
      </w:r>
      <w:r w:rsidR="002A4EEF" w:rsidRPr="00B349D5">
        <w:t xml:space="preserve">Commission </w:t>
      </w:r>
      <w:r w:rsidRPr="00B349D5">
        <w:t>personnel transitions</w:t>
      </w:r>
      <w:r w:rsidR="00150EB3" w:rsidRPr="00B349D5">
        <w:t xml:space="preserve"> over the past </w:t>
      </w:r>
      <w:r w:rsidR="008336CB" w:rsidRPr="00B349D5">
        <w:t xml:space="preserve">two </w:t>
      </w:r>
      <w:r w:rsidR="00150EB3" w:rsidRPr="00B349D5">
        <w:t>year</w:t>
      </w:r>
      <w:r w:rsidR="008336CB" w:rsidRPr="00B349D5">
        <w:t>s</w:t>
      </w:r>
      <w:r w:rsidR="00BC37C0" w:rsidRPr="00B349D5">
        <w:t>,</w:t>
      </w:r>
      <w:r w:rsidRPr="00B349D5">
        <w:t xml:space="preserve"> theoretical approaches </w:t>
      </w:r>
      <w:r w:rsidR="00475D20" w:rsidRPr="00B349D5">
        <w:t xml:space="preserve">involving </w:t>
      </w:r>
      <w:r w:rsidR="00B349D5" w:rsidRPr="00B349D5">
        <w:fldChar w:fldCharType="begin"/>
      </w:r>
      <w:r w:rsidR="00B349D5" w:rsidRPr="00B349D5">
        <w:instrText xml:space="preserve"> ADDIN BA \xc &lt;@osdv&gt; \xl 11 \s ECSSJP000049 \l "Title 81.77" </w:instrText>
      </w:r>
      <w:r w:rsidR="00B349D5" w:rsidRPr="00B349D5">
        <w:fldChar w:fldCharType="end"/>
      </w:r>
      <w:bookmarkStart w:id="19" w:name="_BA_Cite_125"/>
      <w:r w:rsidR="00475D20" w:rsidRPr="00B349D5">
        <w:t>Title 81.77</w:t>
      </w:r>
      <w:bookmarkEnd w:id="19"/>
      <w:r w:rsidR="00475D20" w:rsidRPr="00B349D5">
        <w:t xml:space="preserve"> ratemaking </w:t>
      </w:r>
      <w:r w:rsidR="00BC37C0" w:rsidRPr="00B349D5">
        <w:t>and the two important</w:t>
      </w:r>
      <w:r w:rsidR="002A4EEF" w:rsidRPr="00B349D5">
        <w:t>,</w:t>
      </w:r>
      <w:r w:rsidR="00BC37C0" w:rsidRPr="00B349D5">
        <w:t xml:space="preserve"> formative </w:t>
      </w:r>
      <w:r w:rsidR="002A4EEF" w:rsidRPr="00B349D5">
        <w:t xml:space="preserve">industry </w:t>
      </w:r>
      <w:r w:rsidR="00BC37C0" w:rsidRPr="00B349D5">
        <w:t>rulemakings</w:t>
      </w:r>
      <w:r w:rsidR="00122BE9">
        <w:t xml:space="preserve"> </w:t>
      </w:r>
      <w:r w:rsidR="006E44BB" w:rsidRPr="00B349D5">
        <w:t xml:space="preserve">provide </w:t>
      </w:r>
      <w:r w:rsidRPr="00B349D5">
        <w:t xml:space="preserve">sufficient traction to </w:t>
      </w:r>
      <w:r w:rsidR="00475D20" w:rsidRPr="00B349D5">
        <w:t xml:space="preserve">support </w:t>
      </w:r>
      <w:r w:rsidR="00F13AC3" w:rsidRPr="00B349D5">
        <w:t xml:space="preserve">and modify </w:t>
      </w:r>
      <w:r w:rsidR="00290E83" w:rsidRPr="00B349D5">
        <w:t xml:space="preserve">what WCI contends are </w:t>
      </w:r>
      <w:r w:rsidR="00150EB3" w:rsidRPr="00B349D5">
        <w:t xml:space="preserve">material </w:t>
      </w:r>
      <w:r w:rsidR="00290E83" w:rsidRPr="00B349D5">
        <w:t xml:space="preserve">errors </w:t>
      </w:r>
      <w:r w:rsidR="0023228F" w:rsidRPr="00B349D5">
        <w:t xml:space="preserve">in </w:t>
      </w:r>
      <w:r w:rsidR="00B349D5" w:rsidRPr="00B349D5">
        <w:fldChar w:fldCharType="begin"/>
      </w:r>
      <w:r w:rsidR="00B349D5" w:rsidRPr="00B349D5">
        <w:instrText xml:space="preserve"> ADDIN BA \xc &lt;@$reg&gt; \xl 16 \s ECSSJP000003 </w:instrText>
      </w:r>
      <w:r w:rsidR="00B349D5" w:rsidRPr="00B349D5">
        <w:fldChar w:fldCharType="end"/>
      </w:r>
      <w:bookmarkStart w:id="20" w:name="_BA_Cite_126"/>
      <w:r w:rsidRPr="00B349D5">
        <w:t>Initial Order 12</w:t>
      </w:r>
      <w:bookmarkEnd w:id="20"/>
      <w:r w:rsidRPr="00B349D5">
        <w:t>.</w:t>
      </w:r>
    </w:p>
    <w:p w:rsidR="00692334" w:rsidRPr="00B349D5" w:rsidRDefault="00692334" w:rsidP="00692334">
      <w:pPr>
        <w:pStyle w:val="Heading1"/>
      </w:pPr>
      <w:bookmarkStart w:id="21" w:name="_Toc423327086"/>
      <w:r w:rsidRPr="00B349D5">
        <w:t xml:space="preserve">case </w:t>
      </w:r>
      <w:r w:rsidR="00040467" w:rsidRPr="00B349D5">
        <w:t xml:space="preserve">procedural </w:t>
      </w:r>
      <w:r w:rsidRPr="00B349D5">
        <w:t>summary/overview</w:t>
      </w:r>
      <w:bookmarkEnd w:id="21"/>
    </w:p>
    <w:p w:rsidR="003861D0" w:rsidRPr="00B349D5" w:rsidRDefault="006E56A0" w:rsidP="00B36123">
      <w:pPr>
        <w:pStyle w:val="BodyText2"/>
        <w:numPr>
          <w:ilvl w:val="0"/>
          <w:numId w:val="35"/>
        </w:numPr>
        <w:spacing w:before="120" w:after="120"/>
        <w:ind w:hanging="720"/>
      </w:pPr>
      <w:r w:rsidRPr="00B349D5">
        <w:t xml:space="preserve">With the </w:t>
      </w:r>
      <w:r w:rsidR="00475D20" w:rsidRPr="00B349D5">
        <w:t xml:space="preserve">noted </w:t>
      </w:r>
      <w:r w:rsidRPr="00B349D5">
        <w:t xml:space="preserve">voluminous record adduced to date in this proceeding, </w:t>
      </w:r>
      <w:r w:rsidR="006E44BB" w:rsidRPr="00B349D5">
        <w:t xml:space="preserve">WCI </w:t>
      </w:r>
      <w:r w:rsidRPr="00B349D5">
        <w:t xml:space="preserve">will only briefly here summarize the procedural background to this case.  The previous pleadings, including </w:t>
      </w:r>
      <w:r w:rsidR="006E44BB" w:rsidRPr="00B349D5">
        <w:t>m</w:t>
      </w:r>
      <w:r w:rsidRPr="00B349D5">
        <w:t>otions by the Parties, interim Orders and most importantly, the Initial and Reply Briefs of the Parties have exhaust</w:t>
      </w:r>
      <w:r w:rsidR="001814CD" w:rsidRPr="00B349D5">
        <w:t>ively</w:t>
      </w:r>
      <w:r w:rsidR="0027611A" w:rsidRPr="00B349D5">
        <w:t xml:space="preserve">, (and likely </w:t>
      </w:r>
      <w:r w:rsidR="001814CD" w:rsidRPr="00B349D5">
        <w:t>exhaustingly</w:t>
      </w:r>
      <w:r w:rsidRPr="00B349D5">
        <w:t xml:space="preserve"> for the Commission</w:t>
      </w:r>
      <w:r w:rsidR="003861D0" w:rsidRPr="00B349D5">
        <w:t xml:space="preserve"> and all parties</w:t>
      </w:r>
      <w:r w:rsidRPr="00B349D5">
        <w:t>)</w:t>
      </w:r>
      <w:r w:rsidR="0027611A" w:rsidRPr="00B349D5">
        <w:t>,</w:t>
      </w:r>
      <w:r w:rsidRPr="00B349D5">
        <w:t xml:space="preserve"> described and de</w:t>
      </w:r>
      <w:r w:rsidR="00475D20" w:rsidRPr="00B349D5">
        <w:t>tailed the various phases of this</w:t>
      </w:r>
      <w:r w:rsidRPr="00B349D5">
        <w:t xml:space="preserve"> general rate case to the present.  </w:t>
      </w:r>
    </w:p>
    <w:p w:rsidR="00692334" w:rsidRPr="00B349D5" w:rsidRDefault="006E56A0" w:rsidP="00B36123">
      <w:pPr>
        <w:pStyle w:val="BodyText2"/>
        <w:numPr>
          <w:ilvl w:val="0"/>
          <w:numId w:val="35"/>
        </w:numPr>
        <w:spacing w:before="120" w:after="120"/>
        <w:ind w:hanging="720"/>
      </w:pPr>
      <w:r w:rsidRPr="00B349D5">
        <w:t xml:space="preserve">The Petitioner filed the original docket TG-131794 on September 23, 2013 </w:t>
      </w:r>
      <w:r w:rsidR="00040467" w:rsidRPr="00B349D5">
        <w:t xml:space="preserve">which was </w:t>
      </w:r>
      <w:r w:rsidR="00475D20" w:rsidRPr="00B349D5">
        <w:t>subjected to extensive audit and investigation</w:t>
      </w:r>
      <w:r w:rsidR="00EB3E22" w:rsidRPr="00B349D5">
        <w:t>,</w:t>
      </w:r>
      <w:r w:rsidR="00475D20" w:rsidRPr="00B349D5">
        <w:t xml:space="preserve"> </w:t>
      </w:r>
      <w:r w:rsidR="008336CB" w:rsidRPr="00B349D5">
        <w:t xml:space="preserve">suspended in November, 2014 </w:t>
      </w:r>
      <w:r w:rsidR="00475D20" w:rsidRPr="00B349D5">
        <w:t xml:space="preserve">and </w:t>
      </w:r>
      <w:r w:rsidR="00040467" w:rsidRPr="00B349D5">
        <w:t xml:space="preserve">dismissed in </w:t>
      </w:r>
      <w:r w:rsidR="00B349D5" w:rsidRPr="00B349D5">
        <w:fldChar w:fldCharType="begin"/>
      </w:r>
      <w:r w:rsidR="00B349D5" w:rsidRPr="00B349D5">
        <w:instrText xml:space="preserve"> ADDIN BA \xc &lt;@reg&gt; \xl 8 \s ECSSJP000009 \l "Order 05" </w:instrText>
      </w:r>
      <w:r w:rsidR="00B349D5" w:rsidRPr="00B349D5">
        <w:fldChar w:fldCharType="end"/>
      </w:r>
      <w:bookmarkStart w:id="22" w:name="_BA_Cite_127"/>
      <w:r w:rsidR="00040467" w:rsidRPr="00B349D5">
        <w:t>Order 05</w:t>
      </w:r>
      <w:bookmarkEnd w:id="22"/>
      <w:r w:rsidR="00040467" w:rsidRPr="00B349D5">
        <w:t xml:space="preserve">, </w:t>
      </w:r>
      <w:r w:rsidR="006E44BB" w:rsidRPr="00B349D5">
        <w:t xml:space="preserve">on </w:t>
      </w:r>
      <w:r w:rsidR="00040467" w:rsidRPr="00B349D5">
        <w:t>March 25, 2014</w:t>
      </w:r>
      <w:r w:rsidR="00F13AC3" w:rsidRPr="00B349D5">
        <w:t xml:space="preserve">.  </w:t>
      </w:r>
      <w:r w:rsidR="00040467" w:rsidRPr="00B349D5">
        <w:t xml:space="preserve">The Company </w:t>
      </w:r>
      <w:r w:rsidR="00F13AC3" w:rsidRPr="00B349D5">
        <w:t>refiled its general rate case on April 4, 2014</w:t>
      </w:r>
      <w:r w:rsidR="0023228F" w:rsidRPr="00B349D5">
        <w:t xml:space="preserve">. </w:t>
      </w:r>
      <w:r w:rsidR="00F13AC3" w:rsidRPr="00B349D5">
        <w:t xml:space="preserve"> </w:t>
      </w:r>
      <w:r w:rsidR="00040467" w:rsidRPr="00B349D5">
        <w:t>Staff filed their respective cases in the April-August 2014 interval</w:t>
      </w:r>
      <w:r w:rsidR="00A676E2" w:rsidRPr="00B349D5">
        <w:t xml:space="preserve">. </w:t>
      </w:r>
      <w:r w:rsidR="00040467" w:rsidRPr="00B349D5">
        <w:t xml:space="preserve"> </w:t>
      </w:r>
      <w:r w:rsidR="00A676E2" w:rsidRPr="00B349D5">
        <w:t xml:space="preserve">The parties </w:t>
      </w:r>
      <w:r w:rsidR="00040467" w:rsidRPr="00B349D5">
        <w:t xml:space="preserve">then engaged in settlement discussions resulting in a Partial Settlement Agreement </w:t>
      </w:r>
      <w:r w:rsidR="00A676E2" w:rsidRPr="00B349D5">
        <w:t xml:space="preserve">which was filed on </w:t>
      </w:r>
      <w:r w:rsidR="00475D20" w:rsidRPr="00B349D5">
        <w:t xml:space="preserve">October 14, 2014.  </w:t>
      </w:r>
      <w:r w:rsidR="006E44BB" w:rsidRPr="00B349D5">
        <w:t>Following the Partial Settlement Agreement filing</w:t>
      </w:r>
      <w:r w:rsidR="00713815" w:rsidRPr="00B349D5">
        <w:t>,</w:t>
      </w:r>
      <w:r w:rsidR="006E44BB" w:rsidRPr="00B349D5">
        <w:t xml:space="preserve"> the parties </w:t>
      </w:r>
      <w:r w:rsidR="00040467" w:rsidRPr="00B349D5">
        <w:t xml:space="preserve">agreed to address the four remaining accounting issues on a paper record </w:t>
      </w:r>
      <w:r w:rsidR="00A676E2" w:rsidRPr="00B349D5">
        <w:t xml:space="preserve">by </w:t>
      </w:r>
      <w:r w:rsidR="00040467" w:rsidRPr="00B349D5">
        <w:t>providing initial briefs and supplemental testimony</w:t>
      </w:r>
      <w:r w:rsidR="00E07E58" w:rsidRPr="00B349D5">
        <w:rPr>
          <w:rStyle w:val="FootnoteReference"/>
        </w:rPr>
        <w:footnoteReference w:id="5"/>
      </w:r>
      <w:r w:rsidR="00040467" w:rsidRPr="00B349D5">
        <w:t xml:space="preserve"> with the parties reserving the right to object to information provided in briefing or </w:t>
      </w:r>
      <w:r w:rsidR="00040467" w:rsidRPr="00B349D5">
        <w:lastRenderedPageBreak/>
        <w:t>supplemental testimony</w:t>
      </w:r>
      <w:r w:rsidR="00E07E58" w:rsidRPr="00B349D5">
        <w:t xml:space="preserve">.  That briefing and supplemental testimony was filed </w:t>
      </w:r>
      <w:r w:rsidR="00040467" w:rsidRPr="00B349D5">
        <w:t>on November 7, 2014.</w:t>
      </w:r>
      <w:r w:rsidR="006E44BB" w:rsidRPr="00B349D5">
        <w:rPr>
          <w:rStyle w:val="FootnoteReference"/>
        </w:rPr>
        <w:footnoteReference w:id="6"/>
      </w:r>
    </w:p>
    <w:p w:rsidR="000049C5" w:rsidRPr="00B349D5" w:rsidRDefault="007C3006" w:rsidP="00B36123">
      <w:pPr>
        <w:pStyle w:val="BodyText2"/>
        <w:numPr>
          <w:ilvl w:val="0"/>
          <w:numId w:val="35"/>
        </w:numPr>
        <w:spacing w:before="120" w:after="120"/>
        <w:ind w:hanging="720"/>
      </w:pPr>
      <w:r w:rsidRPr="00B349D5">
        <w:t>On November 17, 2014 -almost</w:t>
      </w:r>
      <w:r w:rsidR="0027611A" w:rsidRPr="00B349D5">
        <w:t xml:space="preserve"> on </w:t>
      </w:r>
      <w:r w:rsidRPr="00B349D5">
        <w:t>the eve of the Reply Brief</w:t>
      </w:r>
      <w:r w:rsidR="00DE6CF2" w:rsidRPr="00B349D5">
        <w:t xml:space="preserve"> deadline</w:t>
      </w:r>
      <w:r w:rsidRPr="00B349D5">
        <w:t>-</w:t>
      </w:r>
      <w:r w:rsidR="00F13AC3" w:rsidRPr="00B349D5">
        <w:t xml:space="preserve"> </w:t>
      </w:r>
      <w:r w:rsidR="00DE6CF2" w:rsidRPr="00B349D5">
        <w:t xml:space="preserve">Staff filed a Motion to Strike </w:t>
      </w:r>
      <w:r w:rsidRPr="00B349D5">
        <w:t>WCI’s</w:t>
      </w:r>
      <w:r w:rsidR="0027611A" w:rsidRPr="00B349D5">
        <w:t xml:space="preserve"> </w:t>
      </w:r>
      <w:r w:rsidR="00F13AC3" w:rsidRPr="00B349D5">
        <w:t>Supplemental T</w:t>
      </w:r>
      <w:r w:rsidR="0027611A" w:rsidRPr="00B349D5">
        <w:t>estimony</w:t>
      </w:r>
      <w:r w:rsidRPr="00B349D5">
        <w:t>,</w:t>
      </w:r>
      <w:r w:rsidR="0027611A" w:rsidRPr="00B349D5">
        <w:t xml:space="preserve"> </w:t>
      </w:r>
      <w:r w:rsidR="006E44BB" w:rsidRPr="00B349D5">
        <w:t xml:space="preserve">resulting in nearly a </w:t>
      </w:r>
      <w:r w:rsidR="00DE6CF2" w:rsidRPr="00B349D5">
        <w:t xml:space="preserve">two-month </w:t>
      </w:r>
      <w:r w:rsidRPr="00B349D5">
        <w:t>delay to</w:t>
      </w:r>
      <w:r w:rsidR="00DE6CF2" w:rsidRPr="00B349D5">
        <w:t xml:space="preserve"> resolv</w:t>
      </w:r>
      <w:r w:rsidRPr="00B349D5">
        <w:t>e</w:t>
      </w:r>
      <w:r w:rsidR="00DE6CF2" w:rsidRPr="00B349D5">
        <w:t xml:space="preserve"> that </w:t>
      </w:r>
      <w:r w:rsidR="00475D20" w:rsidRPr="00B349D5">
        <w:t xml:space="preserve">procedural </w:t>
      </w:r>
      <w:r w:rsidR="00F82FC5" w:rsidRPr="00B349D5">
        <w:t>question.  While that</w:t>
      </w:r>
      <w:r w:rsidRPr="00B349D5">
        <w:t xml:space="preserve"> Staff Motion was ultimately denied</w:t>
      </w:r>
      <w:r w:rsidR="00DE6CF2" w:rsidRPr="00B349D5">
        <w:t>, the procedural schedule was further extended by</w:t>
      </w:r>
      <w:r w:rsidR="00194A68" w:rsidRPr="00B349D5">
        <w:t xml:space="preserve"> a</w:t>
      </w:r>
      <w:r w:rsidR="00DE6CF2" w:rsidRPr="00B349D5">
        <w:t xml:space="preserve"> </w:t>
      </w:r>
      <w:r w:rsidR="00475D20" w:rsidRPr="00B349D5">
        <w:t xml:space="preserve">subsequent supplemental testimony filing </w:t>
      </w:r>
      <w:r w:rsidR="00DE6CF2" w:rsidRPr="00B349D5">
        <w:t>by Staff and a live hearing on the four remaining contested accounting issues o</w:t>
      </w:r>
      <w:r w:rsidR="00760F2B" w:rsidRPr="00B349D5">
        <w:t>n</w:t>
      </w:r>
      <w:r w:rsidR="00DE6CF2" w:rsidRPr="00B349D5">
        <w:t xml:space="preserve"> March 11, 201</w:t>
      </w:r>
      <w:r w:rsidR="00EB3E22" w:rsidRPr="00B349D5">
        <w:t>5.  Reply briefs were</w:t>
      </w:r>
      <w:r w:rsidR="00DE6CF2" w:rsidRPr="00B349D5">
        <w:t xml:space="preserve"> served and filed on March 27, 2015 and the </w:t>
      </w:r>
      <w:r w:rsidR="00B349D5" w:rsidRPr="00B349D5">
        <w:fldChar w:fldCharType="begin"/>
      </w:r>
      <w:r w:rsidR="00B349D5" w:rsidRPr="00B349D5">
        <w:instrText xml:space="preserve"> ADDIN BA \xc &lt;@$reg&gt; \xl 16 \s ECSSJP000003 </w:instrText>
      </w:r>
      <w:r w:rsidR="00B349D5" w:rsidRPr="00B349D5">
        <w:fldChar w:fldCharType="end"/>
      </w:r>
      <w:bookmarkStart w:id="25" w:name="_BA_Cite_130"/>
      <w:r w:rsidR="00DE6CF2" w:rsidRPr="00B349D5">
        <w:t>Initial Order 12</w:t>
      </w:r>
      <w:bookmarkEnd w:id="25"/>
      <w:r w:rsidR="00760F2B" w:rsidRPr="00B349D5">
        <w:t>,</w:t>
      </w:r>
      <w:r w:rsidR="00550875" w:rsidRPr="00B349D5">
        <w:t xml:space="preserve"> to which this</w:t>
      </w:r>
      <w:r w:rsidR="00DE6CF2" w:rsidRPr="00B349D5">
        <w:t xml:space="preserve"> Pet</w:t>
      </w:r>
      <w:r w:rsidR="00550875" w:rsidRPr="00B349D5">
        <w:t xml:space="preserve">ition </w:t>
      </w:r>
      <w:r w:rsidR="00475D20" w:rsidRPr="00B349D5">
        <w:t xml:space="preserve">is directed, </w:t>
      </w:r>
      <w:r w:rsidR="00DE6CF2" w:rsidRPr="00B349D5">
        <w:t xml:space="preserve">was issued following </w:t>
      </w:r>
      <w:r w:rsidR="008336CB" w:rsidRPr="00B349D5">
        <w:t>two</w:t>
      </w:r>
      <w:r w:rsidR="00194A68" w:rsidRPr="00B349D5">
        <w:t xml:space="preserve"> </w:t>
      </w:r>
      <w:r w:rsidR="00DE6CF2" w:rsidRPr="00B349D5">
        <w:t>e</w:t>
      </w:r>
      <w:r w:rsidR="00760F2B" w:rsidRPr="00B349D5">
        <w:t>x</w:t>
      </w:r>
      <w:r w:rsidR="00475D20" w:rsidRPr="00B349D5">
        <w:t>tension</w:t>
      </w:r>
      <w:r w:rsidR="008336CB" w:rsidRPr="00B349D5">
        <w:t>s</w:t>
      </w:r>
      <w:r w:rsidR="00475D20" w:rsidRPr="00B349D5">
        <w:t xml:space="preserve"> of</w:t>
      </w:r>
      <w:r w:rsidR="00DE6CF2" w:rsidRPr="00B349D5">
        <w:t xml:space="preserve"> the statutory </w:t>
      </w:r>
      <w:r w:rsidR="00194A68" w:rsidRPr="00B349D5">
        <w:t>suspension</w:t>
      </w:r>
      <w:r w:rsidR="00DE6CF2" w:rsidRPr="00B349D5">
        <w:t xml:space="preserve"> period</w:t>
      </w:r>
      <w:r w:rsidR="00475D20" w:rsidRPr="00B349D5">
        <w:t xml:space="preserve"> and</w:t>
      </w:r>
      <w:r w:rsidR="00DE6CF2" w:rsidRPr="00B349D5">
        <w:t xml:space="preserve"> served on</w:t>
      </w:r>
      <w:r w:rsidR="00475D20" w:rsidRPr="00B349D5">
        <w:t xml:space="preserve">, </w:t>
      </w:r>
      <w:r w:rsidR="00DE6CF2" w:rsidRPr="00B349D5">
        <w:t>June 8, 2015.</w:t>
      </w:r>
    </w:p>
    <w:p w:rsidR="00760F2B" w:rsidRPr="00B349D5" w:rsidRDefault="00760F2B" w:rsidP="00B36123">
      <w:pPr>
        <w:pStyle w:val="BodyText2"/>
        <w:numPr>
          <w:ilvl w:val="0"/>
          <w:numId w:val="35"/>
        </w:numPr>
        <w:spacing w:before="120" w:after="120"/>
        <w:ind w:hanging="720"/>
      </w:pPr>
      <w:r w:rsidRPr="00B349D5">
        <w:t>“</w:t>
      </w:r>
      <w:r w:rsidR="006E44BB" w:rsidRPr="00B349D5">
        <w:t>A</w:t>
      </w:r>
      <w:r w:rsidRPr="00B349D5">
        <w:t>rduous” is likely an understatement to describe the rate filings for all concerned both in the current docket, TG-140560, and its oft-referenced predecessor filing, TG-131794.  Suffice it to say this has been almost a two-year odyssey that is, and hopefully remains</w:t>
      </w:r>
      <w:r w:rsidR="0027611A" w:rsidRPr="00B349D5">
        <w:t>,</w:t>
      </w:r>
      <w:r w:rsidR="00F13AC3" w:rsidRPr="00B349D5">
        <w:t xml:space="preserve"> an unfortunate, </w:t>
      </w:r>
      <w:r w:rsidR="003861D0" w:rsidRPr="00B349D5">
        <w:t>isolated</w:t>
      </w:r>
      <w:r w:rsidR="00194A68" w:rsidRPr="00B349D5">
        <w:t xml:space="preserve"> and</w:t>
      </w:r>
      <w:r w:rsidR="003861D0" w:rsidRPr="00B349D5">
        <w:t xml:space="preserve"> </w:t>
      </w:r>
      <w:r w:rsidR="00F13AC3" w:rsidRPr="00B349D5">
        <w:t xml:space="preserve">unique </w:t>
      </w:r>
      <w:r w:rsidRPr="00B349D5">
        <w:t>exception to the standard</w:t>
      </w:r>
      <w:r w:rsidR="00150EB3" w:rsidRPr="00B349D5">
        <w:t xml:space="preserve"> efficacy</w:t>
      </w:r>
      <w:r w:rsidRPr="00B349D5">
        <w:t xml:space="preserve"> of submitting, </w:t>
      </w:r>
      <w:r w:rsidR="00194A68" w:rsidRPr="00B349D5">
        <w:t>investigating</w:t>
      </w:r>
      <w:r w:rsidRPr="00B349D5">
        <w:t xml:space="preserve">, auditing and resolving solid waste general rate cases </w:t>
      </w:r>
      <w:r w:rsidR="006E44BB" w:rsidRPr="00B349D5">
        <w:t xml:space="preserve">before </w:t>
      </w:r>
      <w:r w:rsidRPr="00B349D5">
        <w:t xml:space="preserve">the Commission under </w:t>
      </w:r>
      <w:r w:rsidR="00B349D5" w:rsidRPr="00B349D5">
        <w:fldChar w:fldCharType="begin"/>
      </w:r>
      <w:r w:rsidR="00B349D5" w:rsidRPr="00B349D5">
        <w:instrText xml:space="preserve"> ADDIN BA \xc &lt;@st&gt; \xl 13 \s ECSSJP000011 \l "RCW 81.77.030" </w:instrText>
      </w:r>
      <w:r w:rsidR="00B349D5" w:rsidRPr="00B349D5">
        <w:fldChar w:fldCharType="end"/>
      </w:r>
      <w:bookmarkStart w:id="26" w:name="_BA_Cite_131"/>
      <w:r w:rsidRPr="00B349D5">
        <w:t>RCW 81.77.030</w:t>
      </w:r>
      <w:bookmarkEnd w:id="26"/>
      <w:r w:rsidRPr="00B349D5">
        <w:t xml:space="preserve"> and </w:t>
      </w:r>
      <w:r w:rsidR="00B349D5" w:rsidRPr="00B349D5">
        <w:fldChar w:fldCharType="begin"/>
      </w:r>
      <w:r w:rsidR="00B349D5" w:rsidRPr="00B349D5">
        <w:instrText xml:space="preserve"> ADDIN BA \xc &lt;@st&gt; \xl 13 \s ECSSJP000012 \l "RCW 81.28.050" </w:instrText>
      </w:r>
      <w:r w:rsidR="00B349D5" w:rsidRPr="00B349D5">
        <w:fldChar w:fldCharType="end"/>
      </w:r>
      <w:bookmarkStart w:id="27" w:name="_BA_Cite_132"/>
      <w:r w:rsidRPr="00B349D5">
        <w:t>RCW 81.28.050</w:t>
      </w:r>
      <w:bookmarkEnd w:id="27"/>
      <w:r w:rsidRPr="00B349D5">
        <w:t>.</w:t>
      </w:r>
    </w:p>
    <w:p w:rsidR="00760F2B" w:rsidRPr="00B349D5" w:rsidRDefault="00B349D5" w:rsidP="00B94DE4">
      <w:pPr>
        <w:pStyle w:val="Heading1"/>
      </w:pPr>
      <w:r w:rsidRPr="00B349D5">
        <w:rPr>
          <w:caps w:val="0"/>
        </w:rPr>
        <w:fldChar w:fldCharType="begin"/>
      </w:r>
      <w:r w:rsidRPr="00B349D5">
        <w:rPr>
          <w:caps w:val="0"/>
        </w:rPr>
        <w:instrText xml:space="preserve"> ADDIN BA \xc &lt;@reg&gt; \xl 30 \s ECSSJP000013 \l "</w:instrText>
      </w:r>
      <w:r w:rsidRPr="00B349D5">
        <w:instrText>exceptions to initial order 12</w:instrText>
      </w:r>
      <w:r w:rsidRPr="00B349D5">
        <w:rPr>
          <w:caps w:val="0"/>
        </w:rPr>
        <w:instrText xml:space="preserve">" </w:instrText>
      </w:r>
      <w:r w:rsidRPr="00B349D5">
        <w:rPr>
          <w:caps w:val="0"/>
        </w:rPr>
        <w:fldChar w:fldCharType="end"/>
      </w:r>
      <w:bookmarkStart w:id="28" w:name="_BA_Cite_133"/>
      <w:bookmarkStart w:id="29" w:name="_Toc423327087"/>
      <w:r w:rsidR="00B94DE4" w:rsidRPr="00B349D5">
        <w:t>exceptions to initial order 12</w:t>
      </w:r>
      <w:bookmarkEnd w:id="28"/>
      <w:bookmarkEnd w:id="29"/>
    </w:p>
    <w:p w:rsidR="00B94DE4" w:rsidRPr="00B349D5" w:rsidRDefault="00B94DE4" w:rsidP="00B36123">
      <w:pPr>
        <w:pStyle w:val="BodyText2"/>
        <w:numPr>
          <w:ilvl w:val="0"/>
          <w:numId w:val="35"/>
        </w:numPr>
        <w:spacing w:before="120" w:after="120"/>
        <w:ind w:hanging="720"/>
      </w:pPr>
      <w:r w:rsidRPr="00B349D5">
        <w:t xml:space="preserve">Pursuant to </w:t>
      </w:r>
      <w:r w:rsidR="00B349D5" w:rsidRPr="00B349D5">
        <w:fldChar w:fldCharType="begin"/>
      </w:r>
      <w:r w:rsidR="00B349D5" w:rsidRPr="00B349D5">
        <w:instrText xml:space="preserve"> ADDIN BA \xc &lt;@reg&gt; \xl 17 \s ECSSJP000014 \l "WAC 480-07-825(3)" </w:instrText>
      </w:r>
      <w:r w:rsidR="00B349D5" w:rsidRPr="00B349D5">
        <w:fldChar w:fldCharType="end"/>
      </w:r>
      <w:bookmarkStart w:id="30" w:name="_BA_Cite_134"/>
      <w:r w:rsidRPr="00B349D5">
        <w:t>WAC 480-07-825</w:t>
      </w:r>
      <w:r w:rsidR="00B16C73" w:rsidRPr="00B349D5">
        <w:t>(3)</w:t>
      </w:r>
      <w:bookmarkEnd w:id="30"/>
      <w:r w:rsidR="00B16C73" w:rsidRPr="00B349D5">
        <w:t>,</w:t>
      </w:r>
      <w:r w:rsidR="00111334" w:rsidRPr="00B349D5">
        <w:t xml:space="preserve"> the Petitioner takes specific exception to the following </w:t>
      </w:r>
      <w:r w:rsidR="00B16C73" w:rsidRPr="00B349D5">
        <w:t>Findings/C</w:t>
      </w:r>
      <w:r w:rsidR="00111334" w:rsidRPr="00B349D5">
        <w:t xml:space="preserve">onclusions set forth at pages 31 and 32 </w:t>
      </w:r>
      <w:r w:rsidR="00B349D5" w:rsidRPr="00B349D5">
        <w:fldChar w:fldCharType="begin"/>
      </w:r>
      <w:r w:rsidR="00B349D5" w:rsidRPr="00B349D5">
        <w:instrText xml:space="preserve"> ADDIN BA \xc &lt;@reg&gt; \xl 19 \s ECSSJP000015 \l "of Initial Order 12" </w:instrText>
      </w:r>
      <w:r w:rsidR="00B349D5" w:rsidRPr="00B349D5">
        <w:fldChar w:fldCharType="end"/>
      </w:r>
      <w:bookmarkStart w:id="31" w:name="_BA_Cite_135"/>
      <w:r w:rsidR="00111334" w:rsidRPr="00B349D5">
        <w:t xml:space="preserve">of </w:t>
      </w:r>
      <w:r w:rsidR="00594070" w:rsidRPr="00B349D5">
        <w:t xml:space="preserve">Initial </w:t>
      </w:r>
      <w:r w:rsidR="00111334" w:rsidRPr="00B349D5">
        <w:t>Order 12</w:t>
      </w:r>
      <w:bookmarkEnd w:id="31"/>
      <w:r w:rsidR="00111334" w:rsidRPr="00B349D5">
        <w:t>.  Because the administrative law judge did not</w:t>
      </w:r>
      <w:r w:rsidR="00B16C73" w:rsidRPr="00B349D5">
        <w:t xml:space="preserve"> separately</w:t>
      </w:r>
      <w:r w:rsidR="00111334" w:rsidRPr="00B349D5">
        <w:t xml:space="preserve"> </w:t>
      </w:r>
      <w:r w:rsidR="00194A68" w:rsidRPr="00B349D5">
        <w:t>delineate</w:t>
      </w:r>
      <w:r w:rsidR="00111334" w:rsidRPr="00B349D5">
        <w:t xml:space="preserve"> findings </w:t>
      </w:r>
      <w:r w:rsidR="00B16C73" w:rsidRPr="00B349D5">
        <w:t>of</w:t>
      </w:r>
      <w:r w:rsidR="00111334" w:rsidRPr="00B349D5">
        <w:t xml:space="preserve"> facts and conclusions of law but combined them in </w:t>
      </w:r>
      <w:r w:rsidR="00475D20" w:rsidRPr="00B349D5">
        <w:t>a</w:t>
      </w:r>
      <w:r w:rsidR="003855BD" w:rsidRPr="00B349D5">
        <w:t xml:space="preserve"> </w:t>
      </w:r>
      <w:r w:rsidR="00B349D5" w:rsidRPr="00B349D5">
        <w:fldChar w:fldCharType="begin"/>
      </w:r>
      <w:r w:rsidR="00B349D5" w:rsidRPr="00B349D5">
        <w:instrText xml:space="preserve"> ADDIN BA \xc &lt;@osdv&gt; \xl 34 \s ECSSJP000051 \l "“Findings and Conclusions” section" </w:instrText>
      </w:r>
      <w:r w:rsidR="00B349D5" w:rsidRPr="00B349D5">
        <w:fldChar w:fldCharType="end"/>
      </w:r>
      <w:bookmarkStart w:id="32" w:name="_BA_Cite_136"/>
      <w:r w:rsidR="00111334" w:rsidRPr="00B349D5">
        <w:t>“Findings and Conclusions” section</w:t>
      </w:r>
      <w:bookmarkEnd w:id="32"/>
      <w:r w:rsidR="00111334" w:rsidRPr="00B349D5">
        <w:t xml:space="preserve">, the Petitioner characterizes the below </w:t>
      </w:r>
      <w:r w:rsidR="00111334" w:rsidRPr="00B349D5">
        <w:lastRenderedPageBreak/>
        <w:t>as either exceptions to findings of fact, mixed findings of fact and law</w:t>
      </w:r>
      <w:r w:rsidR="006E44BB" w:rsidRPr="00B349D5">
        <w:t>,</w:t>
      </w:r>
      <w:r w:rsidR="00111334" w:rsidRPr="00B349D5">
        <w:t xml:space="preserve"> or conclusions of law</w:t>
      </w:r>
      <w:r w:rsidR="006E44BB" w:rsidRPr="00B349D5">
        <w:t>,</w:t>
      </w:r>
      <w:r w:rsidR="00111334" w:rsidRPr="00B349D5">
        <w:t xml:space="preserve"> and objects </w:t>
      </w:r>
      <w:r w:rsidR="004B600B" w:rsidRPr="00B349D5">
        <w:t xml:space="preserve">to same </w:t>
      </w:r>
      <w:r w:rsidR="00111334" w:rsidRPr="00B349D5">
        <w:t>specifically as follows</w:t>
      </w:r>
      <w:r w:rsidR="00B16C73" w:rsidRPr="00B349D5">
        <w:t>:</w:t>
      </w:r>
      <w:r w:rsidR="00111334" w:rsidRPr="00B349D5">
        <w:t xml:space="preserve">  </w:t>
      </w:r>
    </w:p>
    <w:p w:rsidR="00111334" w:rsidRPr="00B349D5" w:rsidRDefault="00111334" w:rsidP="00B16C73">
      <w:pPr>
        <w:pStyle w:val="Quote"/>
      </w:pPr>
      <w:r w:rsidRPr="00B349D5">
        <w:rPr>
          <w:u w:val="single"/>
        </w:rPr>
        <w:t xml:space="preserve">Exception to Finding/Conclusion </w:t>
      </w:r>
      <w:r w:rsidR="00672258" w:rsidRPr="00B349D5">
        <w:rPr>
          <w:u w:val="single"/>
        </w:rPr>
        <w:t>(8) at</w:t>
      </w:r>
      <w:r w:rsidRPr="00B349D5">
        <w:rPr>
          <w:u w:val="single"/>
        </w:rPr>
        <w:t xml:space="preserve"> ¶90</w:t>
      </w:r>
      <w:r w:rsidRPr="00B349D5">
        <w:t>.  With regard to the shared utility</w:t>
      </w:r>
      <w:r w:rsidR="00672258" w:rsidRPr="00B349D5">
        <w:t xml:space="preserve"> expenses adjustment, Staff’s three-factor allocation proposal is consistent with generally accepted a</w:t>
      </w:r>
      <w:r w:rsidR="00640A73" w:rsidRPr="00B349D5">
        <w:t>llocation</w:t>
      </w:r>
      <w:r w:rsidR="00672258" w:rsidRPr="00B349D5">
        <w:t xml:space="preserve"> principles and is more reasonable than WCI’s position assigning direct costs as shared expenses. </w:t>
      </w:r>
    </w:p>
    <w:p w:rsidR="00672258" w:rsidRPr="00B349D5" w:rsidRDefault="00672258" w:rsidP="00B16C73">
      <w:pPr>
        <w:pStyle w:val="Quote"/>
        <w:rPr>
          <w:rFonts w:cs="Arial"/>
          <w:u w:val="single"/>
        </w:rPr>
      </w:pPr>
      <w:r w:rsidRPr="00B349D5">
        <w:rPr>
          <w:u w:val="single"/>
        </w:rPr>
        <w:t>Exception to Finding/Conclusion (9) at ¶91</w:t>
      </w:r>
      <w:r w:rsidRPr="00B349D5">
        <w:t>.  We accept Staff’s proposed utility expense Adjustment R-</w:t>
      </w:r>
      <w:proofErr w:type="spellStart"/>
      <w:r w:rsidRPr="00B349D5">
        <w:t>6D</w:t>
      </w:r>
      <w:proofErr w:type="spellEnd"/>
      <w:r w:rsidRPr="00B349D5">
        <w:t xml:space="preserve"> allocating $15,424 of shared utility expense to WCI’s regulated operations as fair, just, reasonable, and sufficient.</w:t>
      </w:r>
    </w:p>
    <w:p w:rsidR="00672258" w:rsidRPr="00B349D5" w:rsidRDefault="00672258" w:rsidP="00B16C73">
      <w:pPr>
        <w:pStyle w:val="Quote"/>
        <w:rPr>
          <w:u w:val="single"/>
        </w:rPr>
      </w:pPr>
      <w:r w:rsidRPr="00B349D5">
        <w:rPr>
          <w:u w:val="single"/>
        </w:rPr>
        <w:t xml:space="preserve">Exception to Finding/Conclusion (10) at </w:t>
      </w:r>
      <w:r w:rsidR="00874595" w:rsidRPr="00B349D5">
        <w:rPr>
          <w:u w:val="single"/>
        </w:rPr>
        <w:t>¶</w:t>
      </w:r>
      <w:r w:rsidRPr="00B349D5">
        <w:rPr>
          <w:u w:val="single"/>
        </w:rPr>
        <w:t>92</w:t>
      </w:r>
      <w:r w:rsidRPr="00B349D5">
        <w:t>.  Staff’s use of the capital structure and actual costs of debt of Heirborne Investments, LLC (HBI) and Heirborne Investments II, LLC (HBII) is appropriate to calculate the allowed return on equity for the land rents WCI pays to its affiliates HBI and HBII.</w:t>
      </w:r>
    </w:p>
    <w:p w:rsidR="00284266" w:rsidRPr="00B349D5" w:rsidRDefault="00284266" w:rsidP="00B16C73">
      <w:pPr>
        <w:pStyle w:val="Quote"/>
        <w:rPr>
          <w:u w:val="single"/>
        </w:rPr>
      </w:pPr>
      <w:r w:rsidRPr="00B349D5">
        <w:rPr>
          <w:u w:val="single"/>
        </w:rPr>
        <w:t>Exception to Finding/Conclusion (11) at ¶93</w:t>
      </w:r>
      <w:r w:rsidRPr="00B349D5">
        <w:t>.  The discounted cash flow methodology proposed by Staff for calculating returns on the land WCI rents from its affiliates is reasonable.</w:t>
      </w:r>
    </w:p>
    <w:p w:rsidR="00284266" w:rsidRPr="00B349D5" w:rsidRDefault="00284266" w:rsidP="00B16C73">
      <w:pPr>
        <w:pStyle w:val="Quote"/>
        <w:rPr>
          <w:u w:val="single"/>
        </w:rPr>
      </w:pPr>
      <w:r w:rsidRPr="00B349D5">
        <w:rPr>
          <w:u w:val="single"/>
        </w:rPr>
        <w:t>Exception to Finding/Conclusion (12) at ¶94</w:t>
      </w:r>
      <w:r w:rsidRPr="00B349D5">
        <w:t>.  Staff’s approach employing the landlords’ actual cost of debt, in this case, 2.2 percent for HBI’s rents and 4.3 percent for HBII’s rents, is easily verifiable, captures the combined landlords’ risk profile, and connects a fair return to that risk profile.</w:t>
      </w:r>
    </w:p>
    <w:p w:rsidR="00284266" w:rsidRPr="00B349D5" w:rsidRDefault="00284266" w:rsidP="00B16C73">
      <w:pPr>
        <w:pStyle w:val="Quote"/>
        <w:rPr>
          <w:u w:val="single"/>
        </w:rPr>
      </w:pPr>
      <w:r w:rsidRPr="00B349D5">
        <w:rPr>
          <w:u w:val="single"/>
        </w:rPr>
        <w:t>Exception to Finding/Conclusion (13) at ¶95</w:t>
      </w:r>
      <w:r w:rsidRPr="00B349D5">
        <w:t>.  Staff’s three-factor allocator is consistent with the regulatory principle of cost-causation allocation and should be applied to allocate depreciation and average net investment among tenants of HBI and HBII’s facilities.</w:t>
      </w:r>
    </w:p>
    <w:p w:rsidR="00284266" w:rsidRPr="00B349D5" w:rsidRDefault="00284266" w:rsidP="00B16C73">
      <w:pPr>
        <w:pStyle w:val="Quote"/>
        <w:rPr>
          <w:u w:val="single"/>
        </w:rPr>
      </w:pPr>
      <w:r w:rsidRPr="00B349D5">
        <w:rPr>
          <w:u w:val="single"/>
        </w:rPr>
        <w:t>Exception to Finding/Conclusion (14) at ¶96</w:t>
      </w:r>
      <w:r w:rsidRPr="00B349D5">
        <w:t>.  The rate case expenses of which WCI has requested recovery are excessive.  The Commission finds that Staff’s proposal to allow 100 percent recovery of the expenses from the informal audit process in Docket TG-131794 and 50 percent recovery of the expenses from the formal adjudications in Dockets TG-131794 and TG-140560, as described in paragraph 69, is reasonable.  The rate case costs will be amortized over a four year period.</w:t>
      </w:r>
    </w:p>
    <w:p w:rsidR="00284266" w:rsidRPr="00B349D5" w:rsidRDefault="00284266" w:rsidP="00B16C73">
      <w:pPr>
        <w:pStyle w:val="Quote"/>
        <w:rPr>
          <w:u w:val="single"/>
        </w:rPr>
      </w:pPr>
      <w:r w:rsidRPr="00B349D5">
        <w:rPr>
          <w:u w:val="single"/>
        </w:rPr>
        <w:t>Exception to Finding/Conclusion (15) at ¶97</w:t>
      </w:r>
      <w:r w:rsidRPr="00B349D5">
        <w:t xml:space="preserve">.  </w:t>
      </w:r>
      <w:r w:rsidR="00B349D5" w:rsidRPr="00B349D5">
        <w:fldChar w:fldCharType="begin"/>
      </w:r>
      <w:r w:rsidR="00B349D5" w:rsidRPr="00B349D5">
        <w:instrText xml:space="preserve"> ADDIN BA \xc &lt;@st&gt; \xl 13 \s ECSSJP000016 \xqt \l "RCW 81.20.020" </w:instrText>
      </w:r>
      <w:r w:rsidR="00B349D5" w:rsidRPr="00B349D5">
        <w:fldChar w:fldCharType="end"/>
      </w:r>
      <w:r w:rsidRPr="00B349D5">
        <w:t>RCW 81.20.020 provides that the public service company subject to a Commission investigation shall pay the costs incurred by the Commission for such an investigation up to one percent of its gross intrastate operating revenues for the preceding calendar year.</w:t>
      </w:r>
    </w:p>
    <w:p w:rsidR="00284266" w:rsidRPr="00B349D5" w:rsidRDefault="00284266" w:rsidP="00B16C73">
      <w:pPr>
        <w:pStyle w:val="Quote"/>
        <w:rPr>
          <w:u w:val="single"/>
        </w:rPr>
      </w:pPr>
      <w:r w:rsidRPr="00B349D5">
        <w:rPr>
          <w:u w:val="single"/>
        </w:rPr>
        <w:t>Exception to Finding/Conclusion (17) at ¶99</w:t>
      </w:r>
      <w:r w:rsidRPr="00B349D5">
        <w:t>.  WCI shall pay $43,818.82, or one percent of its intrastate gross operating revenues for calendar year 2013.</w:t>
      </w:r>
    </w:p>
    <w:p w:rsidR="00134484" w:rsidRPr="00B349D5" w:rsidRDefault="00134484" w:rsidP="00B16C73">
      <w:pPr>
        <w:pStyle w:val="Quote"/>
      </w:pPr>
      <w:r w:rsidRPr="00B349D5">
        <w:rPr>
          <w:u w:val="single"/>
        </w:rPr>
        <w:lastRenderedPageBreak/>
        <w:t>Exception to Ordering Provision</w:t>
      </w:r>
      <w:r w:rsidRPr="00B349D5">
        <w:t>.  In conjunction with its objections to Findings/Conclusion (17) the Petitioner also takes exception to Ordering provision (5)</w:t>
      </w:r>
      <w:r w:rsidR="0080351B" w:rsidRPr="00B349D5">
        <w:t>,</w:t>
      </w:r>
      <w:r w:rsidRPr="00B349D5">
        <w:t xml:space="preserve"> ¶104 at page 33 that says as follows:</w:t>
      </w:r>
      <w:r w:rsidR="00B16C73" w:rsidRPr="00B349D5">
        <w:t xml:space="preserve">  </w:t>
      </w:r>
      <w:r w:rsidRPr="00B349D5">
        <w:t xml:space="preserve">“The Commission shall render a bill in the amount of $43,818.82 to WCI pursuant to the requirements in </w:t>
      </w:r>
      <w:r w:rsidR="00B349D5" w:rsidRPr="00B349D5">
        <w:fldChar w:fldCharType="begin"/>
      </w:r>
      <w:r w:rsidR="00B349D5" w:rsidRPr="00B349D5">
        <w:instrText xml:space="preserve"> ADDIN BA \xc &lt;@$st&gt; \xl 13 \s ECSSJP000016 \xqt </w:instrText>
      </w:r>
      <w:r w:rsidR="00B349D5" w:rsidRPr="00B349D5">
        <w:fldChar w:fldCharType="end"/>
      </w:r>
      <w:r w:rsidRPr="00B349D5">
        <w:t>RCW 81.20.020.”</w:t>
      </w:r>
    </w:p>
    <w:p w:rsidR="00134484" w:rsidRPr="00B349D5" w:rsidRDefault="00134484" w:rsidP="00B36123">
      <w:pPr>
        <w:pStyle w:val="BodyText2"/>
        <w:numPr>
          <w:ilvl w:val="0"/>
          <w:numId w:val="35"/>
        </w:numPr>
        <w:spacing w:before="120" w:after="120"/>
        <w:ind w:hanging="720"/>
      </w:pPr>
      <w:r w:rsidRPr="00B349D5">
        <w:t xml:space="preserve">In order to address </w:t>
      </w:r>
      <w:r w:rsidR="004B600B" w:rsidRPr="00B349D5">
        <w:t>its</w:t>
      </w:r>
      <w:r w:rsidRPr="00B349D5">
        <w:t xml:space="preserve"> exceptions to </w:t>
      </w:r>
      <w:r w:rsidR="00B16C73" w:rsidRPr="00B349D5">
        <w:t xml:space="preserve">the </w:t>
      </w:r>
      <w:r w:rsidRPr="00B349D5">
        <w:t xml:space="preserve">Findings/Conclusions and the Order provision, </w:t>
      </w:r>
      <w:r w:rsidR="004B600B" w:rsidRPr="00B349D5">
        <w:t xml:space="preserve">WCI </w:t>
      </w:r>
      <w:r w:rsidRPr="00B349D5">
        <w:t xml:space="preserve">will organize its </w:t>
      </w:r>
      <w:r w:rsidR="00B16C73" w:rsidRPr="00B349D5">
        <w:t xml:space="preserve">subsequent </w:t>
      </w:r>
      <w:r w:rsidRPr="00B349D5">
        <w:t xml:space="preserve">arguments and discussion </w:t>
      </w:r>
      <w:r w:rsidR="00594070" w:rsidRPr="00B349D5">
        <w:t>in conformance with</w:t>
      </w:r>
      <w:r w:rsidRPr="00B349D5">
        <w:t xml:space="preserve"> the four contested accounting</w:t>
      </w:r>
      <w:r w:rsidR="00DE193B" w:rsidRPr="00B349D5">
        <w:t xml:space="preserve"> </w:t>
      </w:r>
      <w:r w:rsidR="00B16C73" w:rsidRPr="00B349D5">
        <w:t xml:space="preserve">issues </w:t>
      </w:r>
      <w:r w:rsidR="00DE193B" w:rsidRPr="00B349D5">
        <w:t>and</w:t>
      </w:r>
      <w:r w:rsidR="00194A68" w:rsidRPr="00B349D5">
        <w:t xml:space="preserve"> organization in</w:t>
      </w:r>
      <w:r w:rsidR="004B600B" w:rsidRPr="00B349D5">
        <w:t xml:space="preserve"> </w:t>
      </w:r>
      <w:r w:rsidR="00B349D5" w:rsidRPr="00B349D5">
        <w:fldChar w:fldCharType="begin"/>
      </w:r>
      <w:r w:rsidR="00B349D5" w:rsidRPr="00B349D5">
        <w:instrText xml:space="preserve"> ADDIN BA \xc &lt;@$reg&gt; \xl 16 \s ECSSJP000003 </w:instrText>
      </w:r>
      <w:r w:rsidR="00B349D5" w:rsidRPr="00B349D5">
        <w:fldChar w:fldCharType="end"/>
      </w:r>
      <w:bookmarkStart w:id="33" w:name="_BA_Cite_137"/>
      <w:r w:rsidR="004B600B" w:rsidRPr="00B349D5">
        <w:t>Initial</w:t>
      </w:r>
      <w:r w:rsidR="00194A68" w:rsidRPr="00B349D5">
        <w:t xml:space="preserve"> Order 12</w:t>
      </w:r>
      <w:bookmarkEnd w:id="33"/>
      <w:r w:rsidR="00194A68" w:rsidRPr="00B349D5">
        <w:t xml:space="preserve"> on</w:t>
      </w:r>
      <w:r w:rsidR="00DE193B" w:rsidRPr="00B349D5">
        <w:t xml:space="preserve"> th</w:t>
      </w:r>
      <w:r w:rsidR="00594070" w:rsidRPr="00B349D5">
        <w:t>ose</w:t>
      </w:r>
      <w:r w:rsidR="00DE193B" w:rsidRPr="00B349D5">
        <w:t xml:space="preserve"> remaining disputed issues</w:t>
      </w:r>
      <w:r w:rsidR="00B16C73" w:rsidRPr="00B349D5">
        <w:t xml:space="preserve">:  utility expense allocations, land rents, rate case costs and the statutory investigation fees </w:t>
      </w:r>
      <w:r w:rsidR="006E44BB" w:rsidRPr="00B349D5">
        <w:t xml:space="preserve">Staff seeks to impose </w:t>
      </w:r>
      <w:r w:rsidR="00B16C73" w:rsidRPr="00B349D5">
        <w:t>on</w:t>
      </w:r>
      <w:r w:rsidR="00550875" w:rsidRPr="00B349D5">
        <w:t xml:space="preserve"> WCI</w:t>
      </w:r>
      <w:r w:rsidR="00B16C73" w:rsidRPr="00B349D5">
        <w:t>.</w:t>
      </w:r>
    </w:p>
    <w:p w:rsidR="00111334" w:rsidRPr="00B349D5" w:rsidRDefault="00FF300E" w:rsidP="00FF300E">
      <w:pPr>
        <w:pStyle w:val="Heading3"/>
      </w:pPr>
      <w:bookmarkStart w:id="34" w:name="_Toc423327088"/>
      <w:r w:rsidRPr="00B349D5">
        <w:t>Exceptions To F</w:t>
      </w:r>
      <w:r w:rsidR="003855BD" w:rsidRPr="00B349D5">
        <w:t>indings</w:t>
      </w:r>
      <w:r w:rsidRPr="00B349D5">
        <w:t>/Conclusions 8 &amp; 9</w:t>
      </w:r>
      <w:r w:rsidR="00F13AC3" w:rsidRPr="00B349D5">
        <w:t>:</w:t>
      </w:r>
      <w:r w:rsidRPr="00B349D5">
        <w:t xml:space="preserve"> Contest</w:t>
      </w:r>
      <w:r w:rsidR="00F13AC3" w:rsidRPr="00B349D5">
        <w:t>ed</w:t>
      </w:r>
      <w:r w:rsidRPr="00B349D5">
        <w:t xml:space="preserve"> Accounting Adjustment </w:t>
      </w:r>
      <w:r w:rsidR="00DE6298" w:rsidRPr="00B349D5">
        <w:t>R-</w:t>
      </w:r>
      <w:proofErr w:type="spellStart"/>
      <w:r w:rsidR="00DE6298" w:rsidRPr="00B349D5">
        <w:t>6D</w:t>
      </w:r>
      <w:proofErr w:type="spellEnd"/>
      <w:r w:rsidRPr="00B349D5">
        <w:t>, Shared Utility Expenses</w:t>
      </w:r>
      <w:bookmarkEnd w:id="34"/>
    </w:p>
    <w:p w:rsidR="000926F8" w:rsidRPr="00B349D5" w:rsidRDefault="00D66C2F" w:rsidP="00B36123">
      <w:pPr>
        <w:pStyle w:val="BodyText2"/>
        <w:numPr>
          <w:ilvl w:val="0"/>
          <w:numId w:val="35"/>
        </w:numPr>
        <w:spacing w:before="120" w:after="120"/>
        <w:ind w:hanging="720"/>
      </w:pPr>
      <w:r w:rsidRPr="00B349D5">
        <w:t>U</w:t>
      </w:r>
      <w:r w:rsidR="00A93105" w:rsidRPr="00B349D5">
        <w:t xml:space="preserve">tility expense allocation goes to the heart of the </w:t>
      </w:r>
      <w:r w:rsidR="00F13AC3" w:rsidRPr="00B349D5">
        <w:t xml:space="preserve">dispute over the characterization </w:t>
      </w:r>
      <w:r w:rsidR="00A93105" w:rsidRPr="00B349D5">
        <w:t xml:space="preserve">of affiliated transactions under </w:t>
      </w:r>
      <w:r w:rsidR="00B349D5" w:rsidRPr="00B349D5">
        <w:fldChar w:fldCharType="begin"/>
      </w:r>
      <w:r w:rsidR="00B349D5" w:rsidRPr="00B349D5">
        <w:instrText xml:space="preserve"> ADDIN BA \xc &lt;@st&gt; \xl 13 \s ECSSJP000017 \l "RCW 81.16.030" </w:instrText>
      </w:r>
      <w:r w:rsidR="00B349D5" w:rsidRPr="00B349D5">
        <w:fldChar w:fldCharType="end"/>
      </w:r>
      <w:bookmarkStart w:id="35" w:name="_BA_Cite_138"/>
      <w:r w:rsidR="00A93105" w:rsidRPr="00B349D5">
        <w:t>RCW 81.16.030</w:t>
      </w:r>
      <w:bookmarkEnd w:id="35"/>
      <w:r w:rsidR="00A93105" w:rsidRPr="00B349D5">
        <w:t xml:space="preserve">.  </w:t>
      </w:r>
      <w:r w:rsidR="00F13AC3" w:rsidRPr="00B349D5">
        <w:t>In Petitioner’s view a</w:t>
      </w:r>
      <w:r w:rsidR="00A93105" w:rsidRPr="00B349D5">
        <w:t>t this advanced juncture, the present accounting dispute can be boiled down to the following:</w:t>
      </w:r>
      <w:r w:rsidR="000926F8" w:rsidRPr="00B349D5">
        <w:t xml:space="preserve">  </w:t>
      </w:r>
      <w:r w:rsidR="00A93105" w:rsidRPr="00B349D5">
        <w:t>In circumstances of shared utility expense among properties rented by the regula</w:t>
      </w:r>
      <w:r w:rsidR="000926F8" w:rsidRPr="00B349D5">
        <w:t>ted entity</w:t>
      </w:r>
      <w:r w:rsidR="00550875" w:rsidRPr="00B349D5">
        <w:t xml:space="preserve"> WCI</w:t>
      </w:r>
      <w:r w:rsidR="00A93105" w:rsidRPr="00B349D5">
        <w:t xml:space="preserve"> from the nonregulated affiliates</w:t>
      </w:r>
      <w:r w:rsidR="00F13AC3" w:rsidRPr="00B349D5">
        <w:t xml:space="preserve"> </w:t>
      </w:r>
      <w:r w:rsidRPr="00B349D5">
        <w:t>Heirborne (“</w:t>
      </w:r>
      <w:r w:rsidR="00F13AC3" w:rsidRPr="00B349D5">
        <w:t>HB I</w:t>
      </w:r>
      <w:r w:rsidRPr="00B349D5">
        <w:t>”)</w:t>
      </w:r>
      <w:r w:rsidR="00F13AC3" w:rsidRPr="00B349D5">
        <w:t xml:space="preserve"> and </w:t>
      </w:r>
      <w:r w:rsidRPr="00B349D5">
        <w:t>Heirborne II (“</w:t>
      </w:r>
      <w:r w:rsidR="00F13AC3" w:rsidRPr="00B349D5">
        <w:t>HB II</w:t>
      </w:r>
      <w:r w:rsidRPr="00B349D5">
        <w:t>”)</w:t>
      </w:r>
      <w:r w:rsidR="00194A68" w:rsidRPr="00B349D5">
        <w:t>,</w:t>
      </w:r>
      <w:r w:rsidR="00F13AC3" w:rsidRPr="00B349D5">
        <w:t xml:space="preserve"> is </w:t>
      </w:r>
      <w:r w:rsidR="00A93105" w:rsidRPr="00B349D5">
        <w:t xml:space="preserve">the Staff proposal on </w:t>
      </w:r>
      <w:r w:rsidR="00F13AC3" w:rsidRPr="00B349D5">
        <w:t xml:space="preserve">utility expense </w:t>
      </w:r>
      <w:r w:rsidR="00A93105" w:rsidRPr="00B349D5">
        <w:t>allocation</w:t>
      </w:r>
      <w:r w:rsidR="00F13AC3" w:rsidRPr="00B349D5">
        <w:t>s</w:t>
      </w:r>
      <w:r w:rsidR="00A93105" w:rsidRPr="00B349D5">
        <w:t xml:space="preserve"> reasonable or is the Company’s</w:t>
      </w:r>
      <w:r w:rsidR="006B3154" w:rsidRPr="00B349D5">
        <w:t xml:space="preserve"> </w:t>
      </w:r>
      <w:r w:rsidR="005D0572" w:rsidRPr="00B349D5">
        <w:t>counter-</w:t>
      </w:r>
      <w:r w:rsidR="00A93105" w:rsidRPr="00B349D5">
        <w:t>proposal in attempting to true-up the actual aggregate costs of utility expense consumption</w:t>
      </w:r>
      <w:r w:rsidR="006B3154" w:rsidRPr="00B349D5">
        <w:t xml:space="preserve"> by the regulated company </w:t>
      </w:r>
      <w:r w:rsidR="00A93105" w:rsidRPr="00B349D5">
        <w:t>more rational, logical and</w:t>
      </w:r>
      <w:r w:rsidR="001E069A" w:rsidRPr="00B349D5">
        <w:t xml:space="preserve"> reflective of the division of actual</w:t>
      </w:r>
      <w:r w:rsidR="00A93105" w:rsidRPr="00B349D5">
        <w:t xml:space="preserve"> cost causation when it comes to utility service consumption </w:t>
      </w:r>
      <w:r w:rsidR="004B600B" w:rsidRPr="00B349D5">
        <w:t>on</w:t>
      </w:r>
      <w:r w:rsidR="00A93105" w:rsidRPr="00B349D5">
        <w:t xml:space="preserve"> all properties owned and operated by</w:t>
      </w:r>
      <w:r w:rsidR="000926F8" w:rsidRPr="00B349D5">
        <w:t xml:space="preserve"> Waste </w:t>
      </w:r>
      <w:r w:rsidR="00194A68" w:rsidRPr="00B349D5">
        <w:t>Control and its affiliates</w:t>
      </w:r>
      <w:r w:rsidR="000926F8" w:rsidRPr="00B349D5">
        <w:t>?</w:t>
      </w:r>
    </w:p>
    <w:p w:rsidR="00A93105" w:rsidRPr="00B349D5" w:rsidRDefault="008C13BF" w:rsidP="00B36123">
      <w:pPr>
        <w:pStyle w:val="BodyText2"/>
        <w:numPr>
          <w:ilvl w:val="0"/>
          <w:numId w:val="35"/>
        </w:numPr>
        <w:spacing w:before="120" w:after="120"/>
        <w:ind w:hanging="720"/>
      </w:pPr>
      <w:r w:rsidRPr="00B349D5">
        <w:t xml:space="preserve">When faced with </w:t>
      </w:r>
      <w:r w:rsidR="006B3154" w:rsidRPr="00B349D5">
        <w:t xml:space="preserve">abrupt </w:t>
      </w:r>
      <w:r w:rsidRPr="00B349D5">
        <w:t xml:space="preserve">disallowance of the previously utilized </w:t>
      </w:r>
      <w:r w:rsidR="006B3154" w:rsidRPr="00B349D5">
        <w:t>and acce</w:t>
      </w:r>
      <w:r w:rsidR="004B600B" w:rsidRPr="00B349D5">
        <w:t xml:space="preserve">pted methodologies </w:t>
      </w:r>
      <w:r w:rsidR="006B3154" w:rsidRPr="00B349D5">
        <w:t>of</w:t>
      </w:r>
      <w:r w:rsidRPr="00B349D5">
        <w:t xml:space="preserve"> WCI in its non-adjudicated </w:t>
      </w:r>
      <w:r w:rsidR="006B3154" w:rsidRPr="00B349D5">
        <w:t xml:space="preserve">general </w:t>
      </w:r>
      <w:r w:rsidRPr="00B349D5">
        <w:t>rate cases</w:t>
      </w:r>
      <w:r w:rsidR="00685031">
        <w:t xml:space="preserve"> here</w:t>
      </w:r>
      <w:r w:rsidR="00150EB3" w:rsidRPr="00B349D5">
        <w:t>,</w:t>
      </w:r>
      <w:r w:rsidR="001E069A" w:rsidRPr="00B349D5">
        <w:rPr>
          <w:vertAlign w:val="superscript"/>
        </w:rPr>
        <w:footnoteReference w:id="7"/>
      </w:r>
      <w:r w:rsidRPr="00B349D5">
        <w:t xml:space="preserve"> both </w:t>
      </w:r>
      <w:r w:rsidR="00550875" w:rsidRPr="00B349D5">
        <w:t>the Company</w:t>
      </w:r>
      <w:r w:rsidRPr="00B349D5">
        <w:t xml:space="preserve"> and the Staff examined alternative criteria upon which to fairly allocate </w:t>
      </w:r>
      <w:r w:rsidR="004B600B" w:rsidRPr="00B349D5">
        <w:t xml:space="preserve">utility </w:t>
      </w:r>
      <w:r w:rsidR="006B3154" w:rsidRPr="00B349D5">
        <w:t xml:space="preserve">costs </w:t>
      </w:r>
      <w:r w:rsidRPr="00B349D5">
        <w:t xml:space="preserve">in acknowledgment that shared costs </w:t>
      </w:r>
      <w:r w:rsidRPr="00B349D5">
        <w:lastRenderedPageBreak/>
        <w:t>should be allocated based on cost-drivers.  During the discovery process and in the original filings for both the</w:t>
      </w:r>
      <w:r w:rsidR="006B3154" w:rsidRPr="00B349D5">
        <w:t xml:space="preserve"> Company and </w:t>
      </w:r>
      <w:r w:rsidRPr="00B349D5">
        <w:t xml:space="preserve">Staff and the rebuttal </w:t>
      </w:r>
      <w:r w:rsidR="006B3154" w:rsidRPr="00B349D5">
        <w:t xml:space="preserve">case, </w:t>
      </w:r>
      <w:r w:rsidRPr="00B349D5">
        <w:t xml:space="preserve">the parties sought to come to agreement </w:t>
      </w:r>
      <w:r w:rsidR="006B3154" w:rsidRPr="00B349D5">
        <w:t xml:space="preserve">on </w:t>
      </w:r>
      <w:r w:rsidRPr="00B349D5">
        <w:t>the bases for these allocations.  While narrowing the divide, the identified factors for deriving the ultimate cost allocation</w:t>
      </w:r>
      <w:r w:rsidR="006B3154" w:rsidRPr="00B349D5">
        <w:t>s</w:t>
      </w:r>
      <w:r w:rsidRPr="00B349D5">
        <w:t xml:space="preserve"> proved insurmountable.  However, in order to resolve the issue and as a basis of compromise to move past th</w:t>
      </w:r>
      <w:r w:rsidR="006B3154" w:rsidRPr="00B349D5">
        <w:t>is particular</w:t>
      </w:r>
      <w:r w:rsidRPr="00B349D5">
        <w:t xml:space="preserve"> dispute, the Company ultimately accepted the Staff’s “three-factor allocator</w:t>
      </w:r>
      <w:r w:rsidR="005B47BB" w:rsidRPr="00B349D5">
        <w:t>, subject to it being applied consistent with the development of the Staff’s cost drivers which would include the full amount of those costs</w:t>
      </w:r>
      <w:r w:rsidR="000926F8" w:rsidRPr="00B349D5">
        <w:t>.</w:t>
      </w:r>
      <w:r w:rsidRPr="00B349D5">
        <w:t>”</w:t>
      </w:r>
      <w:r w:rsidRPr="00B349D5">
        <w:rPr>
          <w:vertAlign w:val="superscript"/>
        </w:rPr>
        <w:footnoteReference w:id="8"/>
      </w:r>
      <w:r w:rsidRPr="00B349D5">
        <w:t xml:space="preserve">  As the </w:t>
      </w:r>
      <w:r w:rsidR="00B349D5" w:rsidRPr="00B349D5">
        <w:fldChar w:fldCharType="begin"/>
      </w:r>
      <w:r w:rsidR="00B349D5" w:rsidRPr="00B349D5">
        <w:instrText xml:space="preserve"> ADDIN BA \xc &lt;@rec&gt; \xl 19 \s ECSSJP000056 \l "Initial Order notes" </w:instrText>
      </w:r>
      <w:r w:rsidR="00B349D5" w:rsidRPr="00B349D5">
        <w:fldChar w:fldCharType="end"/>
      </w:r>
      <w:bookmarkStart w:id="40" w:name="_BA_Cite_143"/>
      <w:r w:rsidRPr="00B349D5">
        <w:t>Initial Order notes</w:t>
      </w:r>
      <w:bookmarkEnd w:id="40"/>
      <w:r w:rsidR="006B3154" w:rsidRPr="00B349D5">
        <w:t>,</w:t>
      </w:r>
      <w:r w:rsidRPr="00B349D5">
        <w:t xml:space="preserve"> </w:t>
      </w:r>
      <w:r w:rsidR="000926F8" w:rsidRPr="00B349D5">
        <w:t xml:space="preserve">the </w:t>
      </w:r>
      <w:r w:rsidRPr="00B349D5">
        <w:t>Company thus proposed</w:t>
      </w:r>
      <w:r w:rsidR="00550875" w:rsidRPr="00B349D5">
        <w:t xml:space="preserve"> that it be allowed</w:t>
      </w:r>
      <w:r w:rsidR="00713815" w:rsidRPr="00B349D5">
        <w:t xml:space="preserve"> $27,749</w:t>
      </w:r>
      <w:r w:rsidRPr="00B349D5">
        <w:t xml:space="preserve"> </w:t>
      </w:r>
      <w:r w:rsidR="00550875" w:rsidRPr="00B349D5">
        <w:t xml:space="preserve">in </w:t>
      </w:r>
      <w:r w:rsidRPr="00B349D5">
        <w:t>shared utility rates</w:t>
      </w:r>
      <w:r w:rsidR="00550875" w:rsidRPr="00B349D5">
        <w:t xml:space="preserve"> in its Opening Brief</w:t>
      </w:r>
      <w:r w:rsidRPr="00B349D5">
        <w:t>.</w:t>
      </w:r>
      <w:r w:rsidR="006B04A0" w:rsidRPr="00B349D5">
        <w:t xml:space="preserve">  </w:t>
      </w:r>
    </w:p>
    <w:p w:rsidR="008C13BF" w:rsidRPr="00B349D5" w:rsidRDefault="008C13BF" w:rsidP="00B36123">
      <w:pPr>
        <w:pStyle w:val="BodyText2"/>
        <w:numPr>
          <w:ilvl w:val="0"/>
          <w:numId w:val="35"/>
        </w:numPr>
        <w:spacing w:before="120" w:after="120"/>
        <w:ind w:hanging="720"/>
      </w:pPr>
      <w:r w:rsidRPr="00B349D5">
        <w:t>Again</w:t>
      </w:r>
      <w:r w:rsidR="000926F8" w:rsidRPr="00B349D5">
        <w:t>,</w:t>
      </w:r>
      <w:r w:rsidRPr="00B349D5">
        <w:t xml:space="preserve"> at this </w:t>
      </w:r>
      <w:r w:rsidR="006B3154" w:rsidRPr="00B349D5">
        <w:t xml:space="preserve">late </w:t>
      </w:r>
      <w:r w:rsidRPr="00B349D5">
        <w:t>stage of the proceeding</w:t>
      </w:r>
      <w:r w:rsidR="008C7CFA" w:rsidRPr="00B349D5">
        <w:t>,</w:t>
      </w:r>
      <w:r w:rsidRPr="00B349D5">
        <w:t xml:space="preserve"> the</w:t>
      </w:r>
      <w:r w:rsidR="004B600B" w:rsidRPr="00B349D5">
        <w:t xml:space="preserve"> Company has</w:t>
      </w:r>
      <w:r w:rsidRPr="00B349D5">
        <w:t xml:space="preserve"> thoroughly</w:t>
      </w:r>
      <w:r w:rsidR="004A26DB">
        <w:t xml:space="preserve"> attempted to</w:t>
      </w:r>
      <w:r w:rsidR="00685031">
        <w:t xml:space="preserve"> explain</w:t>
      </w:r>
      <w:r w:rsidR="00D66C2F" w:rsidRPr="00B349D5">
        <w:rPr>
          <w:rStyle w:val="FootnoteReference"/>
        </w:rPr>
        <w:footnoteReference w:id="9"/>
      </w:r>
      <w:r w:rsidRPr="00B349D5">
        <w:t xml:space="preserve"> </w:t>
      </w:r>
      <w:r w:rsidR="006313BB" w:rsidRPr="00B349D5">
        <w:t xml:space="preserve">why the </w:t>
      </w:r>
      <w:r w:rsidR="00AC0619" w:rsidRPr="00B349D5">
        <w:t xml:space="preserve">selection of </w:t>
      </w:r>
      <w:r w:rsidR="006313BB" w:rsidRPr="00B349D5">
        <w:t xml:space="preserve">Staff’s three-factor allocators </w:t>
      </w:r>
      <w:r w:rsidR="00D66C2F" w:rsidRPr="00B349D5">
        <w:t xml:space="preserve">is </w:t>
      </w:r>
      <w:r w:rsidR="006313BB" w:rsidRPr="00B349D5">
        <w:t>wrong</w:t>
      </w:r>
      <w:r w:rsidR="004B600B" w:rsidRPr="00B349D5">
        <w:t>,</w:t>
      </w:r>
      <w:r w:rsidR="006313BB" w:rsidRPr="00B349D5">
        <w:t xml:space="preserve"> why the compromise proposal is at least partially ameliorative of that Staff error</w:t>
      </w:r>
      <w:r w:rsidR="00D66C2F" w:rsidRPr="00B349D5">
        <w:t>,</w:t>
      </w:r>
      <w:r w:rsidR="006313BB" w:rsidRPr="00B349D5">
        <w:t xml:space="preserve"> and </w:t>
      </w:r>
      <w:r w:rsidR="004B600B" w:rsidRPr="00B349D5">
        <w:t xml:space="preserve">finally </w:t>
      </w:r>
      <w:r w:rsidR="006313BB" w:rsidRPr="00B349D5">
        <w:t xml:space="preserve">why </w:t>
      </w:r>
      <w:r w:rsidR="006B3154" w:rsidRPr="00B349D5">
        <w:t>the</w:t>
      </w:r>
      <w:r w:rsidR="006313BB" w:rsidRPr="00B349D5">
        <w:t xml:space="preserve"> compromised monetary amount with </w:t>
      </w:r>
      <w:r w:rsidR="006B3154" w:rsidRPr="00B349D5">
        <w:t xml:space="preserve">the current </w:t>
      </w:r>
      <w:r w:rsidR="006313BB" w:rsidRPr="00B349D5">
        <w:t xml:space="preserve">insignificant price differential </w:t>
      </w:r>
      <w:r w:rsidR="00B349D5" w:rsidRPr="00B349D5">
        <w:fldChar w:fldCharType="begin"/>
      </w:r>
      <w:r w:rsidR="00B349D5" w:rsidRPr="00B349D5">
        <w:instrText xml:space="preserve"> ADDIN BA \xc &lt;@rec&gt; \xl 40 \s ECSSJP000058 \xpl 1 \l "($27,749 v. $15,424, Initial Order, ¶35)" </w:instrText>
      </w:r>
      <w:r w:rsidR="00B349D5" w:rsidRPr="00B349D5">
        <w:fldChar w:fldCharType="end"/>
      </w:r>
      <w:bookmarkStart w:id="42" w:name="_BA_Cite_145"/>
      <w:r w:rsidR="008336CB" w:rsidRPr="00B349D5">
        <w:t>($27,749</w:t>
      </w:r>
      <w:r w:rsidR="00AC0619" w:rsidRPr="00B349D5">
        <w:t xml:space="preserve"> v. $15,424, Initial Order</w:t>
      </w:r>
      <w:r w:rsidR="00550875" w:rsidRPr="00B349D5">
        <w:t>,</w:t>
      </w:r>
      <w:r w:rsidR="00AC0619" w:rsidRPr="00B349D5">
        <w:t xml:space="preserve"> ¶35)</w:t>
      </w:r>
      <w:bookmarkEnd w:id="42"/>
      <w:r w:rsidR="00AC0619" w:rsidRPr="00B349D5">
        <w:t xml:space="preserve"> </w:t>
      </w:r>
      <w:r w:rsidR="006313BB" w:rsidRPr="00B349D5">
        <w:t>is a far more accurate rendition of truly allocated utility expense</w:t>
      </w:r>
      <w:r w:rsidR="006B3154" w:rsidRPr="00B349D5">
        <w:t>s</w:t>
      </w:r>
      <w:r w:rsidR="006313BB" w:rsidRPr="00B349D5">
        <w:t xml:space="preserve"> here.</w:t>
      </w:r>
    </w:p>
    <w:p w:rsidR="006313BB" w:rsidRPr="00B349D5" w:rsidRDefault="00D66C2F" w:rsidP="00B36123">
      <w:pPr>
        <w:pStyle w:val="BodyText2"/>
        <w:numPr>
          <w:ilvl w:val="0"/>
          <w:numId w:val="35"/>
        </w:numPr>
        <w:spacing w:before="120" w:after="120"/>
        <w:ind w:hanging="720"/>
      </w:pPr>
      <w:r w:rsidRPr="00B349D5">
        <w:t xml:space="preserve">Apart </w:t>
      </w:r>
      <w:r w:rsidR="004B600B" w:rsidRPr="00B349D5">
        <w:t>from that</w:t>
      </w:r>
      <w:r w:rsidR="00AC0619" w:rsidRPr="00B349D5">
        <w:t xml:space="preserve"> overall analysis</w:t>
      </w:r>
      <w:r w:rsidR="00194A68" w:rsidRPr="00B349D5">
        <w:t>,</w:t>
      </w:r>
      <w:r w:rsidR="00AC0619" w:rsidRPr="00B349D5">
        <w:t xml:space="preserve"> </w:t>
      </w:r>
      <w:r w:rsidR="006B3154" w:rsidRPr="00B349D5">
        <w:t xml:space="preserve">pertinent </w:t>
      </w:r>
      <w:r w:rsidR="00550875" w:rsidRPr="00B349D5">
        <w:t>to</w:t>
      </w:r>
      <w:r w:rsidR="006313BB" w:rsidRPr="00B349D5">
        <w:t xml:space="preserve"> further discussion </w:t>
      </w:r>
      <w:r w:rsidR="006B3154" w:rsidRPr="00B349D5">
        <w:t xml:space="preserve">on review </w:t>
      </w:r>
      <w:r w:rsidR="006313BB" w:rsidRPr="00B349D5">
        <w:t>is the Initi</w:t>
      </w:r>
      <w:r w:rsidR="000926F8" w:rsidRPr="00B349D5">
        <w:t>al Order’s Finding at page 12</w:t>
      </w:r>
      <w:r w:rsidR="006B3154" w:rsidRPr="00B349D5">
        <w:t>,</w:t>
      </w:r>
      <w:r w:rsidR="000926F8" w:rsidRPr="00B349D5">
        <w:t xml:space="preserve"> particularly portions of ¶33</w:t>
      </w:r>
      <w:r w:rsidR="006B3154" w:rsidRPr="00B349D5">
        <w:t>,</w:t>
      </w:r>
      <w:r w:rsidRPr="00B349D5">
        <w:t xml:space="preserve"> which states </w:t>
      </w:r>
      <w:r w:rsidR="000926F8" w:rsidRPr="00B349D5">
        <w:t xml:space="preserve">in part: </w:t>
      </w:r>
    </w:p>
    <w:p w:rsidR="000926F8" w:rsidRPr="00B349D5" w:rsidRDefault="00487FB9" w:rsidP="005B47BB">
      <w:pPr>
        <w:pStyle w:val="Quote"/>
        <w:keepLines/>
        <w:widowControl w:val="0"/>
      </w:pPr>
      <w:r w:rsidRPr="00B349D5">
        <w:t xml:space="preserve">Any residual should be allocated using a multi-factor formula that recognizes the areas of management concern, including employees, revenues, and plant investment.  We find that the Company’s final allocation position contravenes this standard because it treats directly assignable costs, </w:t>
      </w:r>
      <w:r w:rsidRPr="00B349D5">
        <w:rPr>
          <w:i/>
        </w:rPr>
        <w:t>i.e</w:t>
      </w:r>
      <w:r w:rsidRPr="00B349D5">
        <w:t>. costs not shared and only incurred by the non-regulated entity, as indirect costs which WCI proposes to share among its ratepayers and its affiliates.</w:t>
      </w:r>
      <w:r w:rsidRPr="00B349D5">
        <w:rPr>
          <w:rStyle w:val="FootnoteReference"/>
        </w:rPr>
        <w:footnoteReference w:id="10"/>
      </w:r>
    </w:p>
    <w:p w:rsidR="00333DE6" w:rsidRPr="00B349D5" w:rsidRDefault="00D66C2F" w:rsidP="00B36123">
      <w:pPr>
        <w:pStyle w:val="BodyText2"/>
        <w:numPr>
          <w:ilvl w:val="0"/>
          <w:numId w:val="35"/>
        </w:numPr>
        <w:spacing w:before="120" w:after="120"/>
        <w:ind w:hanging="720"/>
      </w:pPr>
      <w:r w:rsidRPr="00B349D5">
        <w:lastRenderedPageBreak/>
        <w:t>T</w:t>
      </w:r>
      <w:r w:rsidR="00487FB9" w:rsidRPr="00B349D5">
        <w:t>his central finding fails to acknowledge the inconsistency involved in the</w:t>
      </w:r>
      <w:r w:rsidR="008C7CFA" w:rsidRPr="00B349D5">
        <w:t xml:space="preserve"> Staff</w:t>
      </w:r>
      <w:r w:rsidR="00487FB9" w:rsidRPr="00B349D5">
        <w:t xml:space="preserve"> al</w:t>
      </w:r>
      <w:r w:rsidR="00A51DAD" w:rsidRPr="00B349D5">
        <w:t>location methodology selection</w:t>
      </w:r>
      <w:r w:rsidR="00C600DE" w:rsidRPr="00B349D5">
        <w:t>,</w:t>
      </w:r>
      <w:r w:rsidR="00A51DAD" w:rsidRPr="00B349D5">
        <w:t xml:space="preserve"> omitting </w:t>
      </w:r>
      <w:r w:rsidR="00487FB9" w:rsidRPr="00B349D5">
        <w:t xml:space="preserve">to include all utility </w:t>
      </w:r>
      <w:r w:rsidR="00487FB9" w:rsidRPr="00B349D5">
        <w:rPr>
          <w:i/>
        </w:rPr>
        <w:t>costs</w:t>
      </w:r>
      <w:r w:rsidR="00487FB9" w:rsidRPr="00B349D5">
        <w:t xml:space="preserve"> incurred by all three affiliates, Waste Control, Inc.</w:t>
      </w:r>
      <w:r w:rsidR="001467E3" w:rsidRPr="00B349D5">
        <w:t xml:space="preserve">, </w:t>
      </w:r>
      <w:r w:rsidR="00487FB9" w:rsidRPr="00B349D5">
        <w:t xml:space="preserve">Waste Control Recycling </w:t>
      </w:r>
      <w:r w:rsidR="001467E3" w:rsidRPr="00B349D5">
        <w:t xml:space="preserve">(“WCR”) </w:t>
      </w:r>
      <w:r w:rsidR="00487FB9" w:rsidRPr="00B349D5">
        <w:t xml:space="preserve">and Waste Control Equipment </w:t>
      </w:r>
      <w:r w:rsidR="001467E3" w:rsidRPr="00B349D5">
        <w:t xml:space="preserve">(“WCE”).  </w:t>
      </w:r>
      <w:r w:rsidR="00C60430" w:rsidRPr="00B349D5">
        <w:t>The flaw in the Initial Order’s Finding is that if costs can be directly assignable</w:t>
      </w:r>
      <w:r w:rsidRPr="00B349D5">
        <w:t>,</w:t>
      </w:r>
      <w:r w:rsidR="00C60430" w:rsidRPr="00B349D5">
        <w:t xml:space="preserve"> so can revenues</w:t>
      </w:r>
      <w:r w:rsidR="00AC0619" w:rsidRPr="00B349D5">
        <w:t xml:space="preserve">. </w:t>
      </w:r>
      <w:r w:rsidR="00C60430" w:rsidRPr="00B349D5">
        <w:t xml:space="preserve"> </w:t>
      </w:r>
      <w:r w:rsidR="00C600DE" w:rsidRPr="00B349D5">
        <w:t>The Staff</w:t>
      </w:r>
      <w:r w:rsidR="00D447FE" w:rsidRPr="00B349D5">
        <w:t xml:space="preserve"> three-factor allocator has an apples and oranges/pick-and-choose element that renders the alloc</w:t>
      </w:r>
      <w:r w:rsidR="008336CB" w:rsidRPr="00B349D5">
        <w:t>ation computation incomplete</w:t>
      </w:r>
      <w:r w:rsidR="00D447FE" w:rsidRPr="00B349D5">
        <w:t>.  Indeed</w:t>
      </w:r>
      <w:r w:rsidR="00AC0619" w:rsidRPr="00B349D5">
        <w:t>,</w:t>
      </w:r>
      <w:r w:rsidR="00D447FE" w:rsidRPr="00B349D5">
        <w:t xml:space="preserve"> this means that the calculation of aggregate utility costs is artificial and inconsistent when the non-shared operating revenues</w:t>
      </w:r>
      <w:r w:rsidR="00333DE6" w:rsidRPr="00B349D5">
        <w:t>, employees and fixed assets</w:t>
      </w:r>
      <w:r w:rsidR="00D447FE" w:rsidRPr="00B349D5">
        <w:t xml:space="preserve"> of WCR are</w:t>
      </w:r>
      <w:r w:rsidR="00333DE6" w:rsidRPr="00B349D5">
        <w:t xml:space="preserve"> included</w:t>
      </w:r>
      <w:r w:rsidR="000C612A" w:rsidRPr="00B349D5">
        <w:t>, resulting</w:t>
      </w:r>
      <w:r w:rsidR="00D447FE" w:rsidRPr="00B349D5">
        <w:t xml:space="preserve"> in </w:t>
      </w:r>
      <w:r w:rsidR="000C612A" w:rsidRPr="00B349D5">
        <w:t xml:space="preserve">a </w:t>
      </w:r>
      <w:r w:rsidR="00C600DE" w:rsidRPr="00B349D5">
        <w:t xml:space="preserve">diminution </w:t>
      </w:r>
      <w:r w:rsidR="00D447FE" w:rsidRPr="00B349D5">
        <w:t xml:space="preserve">of the </w:t>
      </w:r>
      <w:r w:rsidR="00594070" w:rsidRPr="00B349D5">
        <w:t xml:space="preserve">proportion </w:t>
      </w:r>
      <w:r w:rsidR="008F3B46" w:rsidRPr="00B349D5">
        <w:t xml:space="preserve">of </w:t>
      </w:r>
      <w:r w:rsidR="00D447FE" w:rsidRPr="00B349D5">
        <w:t>true</w:t>
      </w:r>
      <w:r w:rsidR="008C7CFA" w:rsidRPr="00B349D5">
        <w:t xml:space="preserve"> utility costs incurred by WCI</w:t>
      </w:r>
      <w:r w:rsidR="00333DE6" w:rsidRPr="00B349D5">
        <w:t xml:space="preserve"> allocated to that Company.  In Staff’s analysis, WCR receives an allocation of  all of the utilities related to the transfer station, </w:t>
      </w:r>
      <w:proofErr w:type="spellStart"/>
      <w:r w:rsidR="00333DE6" w:rsidRPr="00B349D5">
        <w:t>MRF</w:t>
      </w:r>
      <w:proofErr w:type="spellEnd"/>
      <w:r w:rsidR="00333DE6" w:rsidRPr="00B349D5">
        <w:t xml:space="preserve"> recycling building, covered parking and employee parking in addition to the majority of the “shared” utility expenses for the office and shop.</w:t>
      </w:r>
      <w:r w:rsidR="008C7CFA" w:rsidRPr="00B349D5">
        <w:rPr>
          <w:rStyle w:val="FootnoteReference"/>
        </w:rPr>
        <w:footnoteReference w:id="11"/>
      </w:r>
      <w:r w:rsidR="00333DE6" w:rsidRPr="00B349D5">
        <w:t xml:space="preserve"> </w:t>
      </w:r>
      <w:r w:rsidR="00D447FE" w:rsidRPr="00B349D5">
        <w:t xml:space="preserve"> </w:t>
      </w:r>
      <w:r w:rsidR="0027457B" w:rsidRPr="00B349D5">
        <w:t>This c</w:t>
      </w:r>
      <w:r w:rsidR="00333DE6" w:rsidRPr="00B349D5">
        <w:t>ost-driver cannot be consistently</w:t>
      </w:r>
      <w:r w:rsidR="00D447FE" w:rsidRPr="00B349D5">
        <w:t xml:space="preserve"> and logical</w:t>
      </w:r>
      <w:r w:rsidR="00333DE6" w:rsidRPr="00B349D5">
        <w:t>ly applied to a g</w:t>
      </w:r>
      <w:r w:rsidR="007D47B5" w:rsidRPr="00B349D5">
        <w:t>roup</w:t>
      </w:r>
      <w:r w:rsidR="00333DE6" w:rsidRPr="00B349D5">
        <w:t xml:space="preserve"> or category of expenses when a portion of </w:t>
      </w:r>
      <w:r w:rsidR="008C7CFA" w:rsidRPr="00B349D5">
        <w:t>the</w:t>
      </w:r>
      <w:r w:rsidR="00333DE6" w:rsidRPr="00B349D5">
        <w:t xml:space="preserve"> expenses relevant to the</w:t>
      </w:r>
      <w:r w:rsidR="0027457B" w:rsidRPr="00B349D5">
        <w:t xml:space="preserve"> drivers </w:t>
      </w:r>
      <w:r w:rsidR="00333DE6" w:rsidRPr="00B349D5">
        <w:t>are excluded from the calculation.  Moreover, the “excluded” utility expenses paid by WCR and not subject to allocation also include those for the shared covered parking and employee parking</w:t>
      </w:r>
      <w:r w:rsidR="00713815" w:rsidRPr="00B349D5">
        <w:t xml:space="preserve"> </w:t>
      </w:r>
      <w:r w:rsidR="008C7CFA" w:rsidRPr="00B349D5">
        <w:t>facilities</w:t>
      </w:r>
      <w:r w:rsidR="0027457B" w:rsidRPr="00B349D5">
        <w:t xml:space="preserve"> utilized by WCI</w:t>
      </w:r>
      <w:r w:rsidR="00333DE6" w:rsidRPr="00B349D5">
        <w:t xml:space="preserve">.  </w:t>
      </w:r>
    </w:p>
    <w:p w:rsidR="008336CB" w:rsidRPr="00B349D5" w:rsidRDefault="00C600DE" w:rsidP="008336CB">
      <w:pPr>
        <w:pStyle w:val="BodyText2"/>
        <w:numPr>
          <w:ilvl w:val="0"/>
          <w:numId w:val="35"/>
        </w:numPr>
        <w:spacing w:before="120" w:after="120"/>
        <w:ind w:hanging="720"/>
      </w:pPr>
      <w:r w:rsidRPr="00B349D5">
        <w:t>Th</w:t>
      </w:r>
      <w:r w:rsidR="00487FB9" w:rsidRPr="00B349D5">
        <w:t xml:space="preserve">e Staff </w:t>
      </w:r>
      <w:r w:rsidR="005C3524" w:rsidRPr="00B349D5">
        <w:t xml:space="preserve">would have us understand that this type of formulaic inconsistency </w:t>
      </w:r>
      <w:r w:rsidR="00463A57" w:rsidRPr="00B349D5">
        <w:t xml:space="preserve">in its allocators </w:t>
      </w:r>
      <w:r w:rsidR="005C3524" w:rsidRPr="00B349D5">
        <w:t xml:space="preserve">does not matter in the overall analysis of the workability of Staff’s three-factor allocators.  As the Company </w:t>
      </w:r>
      <w:r w:rsidR="00550875" w:rsidRPr="00B349D5">
        <w:t>noted</w:t>
      </w:r>
      <w:r w:rsidR="005C3524" w:rsidRPr="00B349D5">
        <w:t xml:space="preserve"> in its </w:t>
      </w:r>
      <w:r w:rsidR="00B349D5" w:rsidRPr="00B349D5">
        <w:fldChar w:fldCharType="begin"/>
      </w:r>
      <w:r w:rsidR="00B349D5" w:rsidRPr="00B349D5">
        <w:instrText xml:space="preserve"> ADDIN BA \xc &lt;@rec&gt; \xl 30 \s ECSSJP000060 \l "Reply Brief at pages 11 and 12" </w:instrText>
      </w:r>
      <w:r w:rsidR="00B349D5" w:rsidRPr="00B349D5">
        <w:fldChar w:fldCharType="end"/>
      </w:r>
      <w:bookmarkStart w:id="45" w:name="_BA_Cite_148"/>
      <w:r w:rsidR="005C3524" w:rsidRPr="00B349D5">
        <w:t>Reply Brief at pages 11 and 12</w:t>
      </w:r>
      <w:bookmarkEnd w:id="45"/>
      <w:r w:rsidR="001467E3" w:rsidRPr="00B349D5">
        <w:t>, the hearing on March 11</w:t>
      </w:r>
      <w:r w:rsidR="005C3524" w:rsidRPr="00B349D5">
        <w:t xml:space="preserve"> revealed some rather startling </w:t>
      </w:r>
      <w:r w:rsidR="001467E3" w:rsidRPr="00B349D5">
        <w:t>asymmetric</w:t>
      </w:r>
      <w:r w:rsidR="005C3524" w:rsidRPr="00B349D5">
        <w:t xml:space="preserve"> logic relied on by the Staff </w:t>
      </w:r>
      <w:r w:rsidR="00150EB3" w:rsidRPr="00B349D5">
        <w:t xml:space="preserve">auditor </w:t>
      </w:r>
      <w:r w:rsidR="0027457B" w:rsidRPr="00B349D5">
        <w:t xml:space="preserve">in defending </w:t>
      </w:r>
      <w:r w:rsidR="00685031">
        <w:t xml:space="preserve">the </w:t>
      </w:r>
      <w:r w:rsidR="001467E3" w:rsidRPr="00B349D5">
        <w:t xml:space="preserve">three-factor </w:t>
      </w:r>
      <w:r w:rsidR="005C3524" w:rsidRPr="00B349D5">
        <w:t xml:space="preserve">formula particularly with respect to why removal of </w:t>
      </w:r>
      <w:r w:rsidR="001467E3" w:rsidRPr="00B349D5">
        <w:t>exclusive</w:t>
      </w:r>
      <w:r w:rsidR="0060332E" w:rsidRPr="00B349D5">
        <w:t>-</w:t>
      </w:r>
      <w:r w:rsidR="001467E3" w:rsidRPr="00B349D5">
        <w:t xml:space="preserve">use </w:t>
      </w:r>
      <w:r w:rsidR="0027457B" w:rsidRPr="00B349D5">
        <w:t>utility expense,</w:t>
      </w:r>
      <w:r w:rsidR="005C3524" w:rsidRPr="00B349D5">
        <w:t xml:space="preserve"> when a nonregulated affiliate </w:t>
      </w:r>
      <w:r w:rsidR="000C612A" w:rsidRPr="00B349D5">
        <w:t xml:space="preserve">solely </w:t>
      </w:r>
      <w:r w:rsidR="008D648C" w:rsidRPr="00B349D5">
        <w:t xml:space="preserve">occupies </w:t>
      </w:r>
      <w:r w:rsidR="005C3524" w:rsidRPr="00B349D5">
        <w:t>a facility generating those revenues</w:t>
      </w:r>
      <w:r w:rsidR="00550875" w:rsidRPr="00B349D5">
        <w:t>,</w:t>
      </w:r>
      <w:r w:rsidR="005D0572" w:rsidRPr="00B349D5">
        <w:t xml:space="preserve"> </w:t>
      </w:r>
      <w:r w:rsidR="00594070" w:rsidRPr="00B349D5">
        <w:t xml:space="preserve">could be </w:t>
      </w:r>
      <w:r w:rsidR="005D0572" w:rsidRPr="00B349D5">
        <w:t>accurate</w:t>
      </w:r>
      <w:r w:rsidR="005C3524" w:rsidRPr="00B349D5">
        <w:t>.  In</w:t>
      </w:r>
      <w:r w:rsidR="008D648C" w:rsidRPr="00B349D5">
        <w:t xml:space="preserve"> </w:t>
      </w:r>
      <w:r w:rsidR="008D648C" w:rsidRPr="00B349D5">
        <w:lastRenderedPageBreak/>
        <w:t>essence</w:t>
      </w:r>
      <w:r w:rsidR="005C3524" w:rsidRPr="00B349D5">
        <w:t xml:space="preserve">, the Staff </w:t>
      </w:r>
      <w:r w:rsidR="008F3B46" w:rsidRPr="00B349D5">
        <w:t xml:space="preserve">simplistically </w:t>
      </w:r>
      <w:r w:rsidR="00A51DAD" w:rsidRPr="00B349D5">
        <w:t xml:space="preserve">defends the formula on the basis </w:t>
      </w:r>
      <w:r w:rsidR="005C3524" w:rsidRPr="00B349D5">
        <w:t xml:space="preserve">that you cannot isolate any one of the three factors, (here, gross revenues) and derive a logical </w:t>
      </w:r>
      <w:r w:rsidR="00150EB3" w:rsidRPr="00B349D5">
        <w:t xml:space="preserve">conclusion </w:t>
      </w:r>
      <w:r w:rsidR="00A51DAD" w:rsidRPr="00B349D5">
        <w:t xml:space="preserve">of the superiority of the </w:t>
      </w:r>
      <w:r w:rsidR="005C3524" w:rsidRPr="00B349D5">
        <w:t xml:space="preserve">Staff allocation of utility expense versus the Company’s </w:t>
      </w:r>
      <w:r w:rsidR="00A51DAD" w:rsidRPr="00B349D5">
        <w:t xml:space="preserve">proposed </w:t>
      </w:r>
      <w:r w:rsidR="005C3524" w:rsidRPr="00B349D5">
        <w:t>compromise</w:t>
      </w:r>
      <w:r w:rsidR="008D648C" w:rsidRPr="00B349D5">
        <w:t xml:space="preserve">. </w:t>
      </w:r>
      <w:r w:rsidRPr="00B349D5">
        <w:t xml:space="preserve"> </w:t>
      </w:r>
      <w:r w:rsidR="00685031">
        <w:t xml:space="preserve">Staff </w:t>
      </w:r>
      <w:r w:rsidR="008F3B46" w:rsidRPr="00B349D5">
        <w:t xml:space="preserve">instead </w:t>
      </w:r>
      <w:r w:rsidRPr="00B349D5">
        <w:t>contend</w:t>
      </w:r>
      <w:r w:rsidR="005D0572" w:rsidRPr="00B349D5">
        <w:t xml:space="preserve"> </w:t>
      </w:r>
      <w:r w:rsidRPr="00B349D5">
        <w:t>o</w:t>
      </w:r>
      <w:r w:rsidR="005D0572" w:rsidRPr="00B349D5">
        <w:t>nly in the aggregate would their expense allocators make sense</w:t>
      </w:r>
      <w:r w:rsidR="008D648C" w:rsidRPr="00B349D5">
        <w:t>.</w:t>
      </w:r>
      <w:r w:rsidR="008336CB" w:rsidRPr="00B349D5">
        <w:rPr>
          <w:rStyle w:val="FootnoteReference"/>
        </w:rPr>
        <w:footnoteReference w:id="12"/>
      </w:r>
      <w:r w:rsidR="008D648C" w:rsidRPr="00B349D5">
        <w:t xml:space="preserve">  This</w:t>
      </w:r>
      <w:r w:rsidR="005C3524" w:rsidRPr="00B349D5">
        <w:t xml:space="preserve"> equivalent of “throwing things against the wall” for a successful defense of the three-factor formula </w:t>
      </w:r>
      <w:r w:rsidR="008F3B46" w:rsidRPr="00B349D5">
        <w:t>is</w:t>
      </w:r>
      <w:r w:rsidR="00594070" w:rsidRPr="00B349D5">
        <w:t xml:space="preserve"> jarring</w:t>
      </w:r>
      <w:r w:rsidR="005C3524" w:rsidRPr="00B349D5">
        <w:t xml:space="preserve">.  </w:t>
      </w:r>
    </w:p>
    <w:p w:rsidR="00487FB9" w:rsidRPr="00B349D5" w:rsidRDefault="000C612A" w:rsidP="008336CB">
      <w:pPr>
        <w:pStyle w:val="BodyText2"/>
        <w:numPr>
          <w:ilvl w:val="0"/>
          <w:numId w:val="35"/>
        </w:numPr>
        <w:spacing w:before="120" w:after="120"/>
        <w:ind w:hanging="720"/>
      </w:pPr>
      <w:r w:rsidRPr="00B349D5">
        <w:t>In contrast, t</w:t>
      </w:r>
      <w:r w:rsidR="005C3524" w:rsidRPr="00B349D5">
        <w:t xml:space="preserve">he Company’s </w:t>
      </w:r>
      <w:r w:rsidR="0060332E" w:rsidRPr="00B349D5">
        <w:t xml:space="preserve">proposed compromise </w:t>
      </w:r>
      <w:r w:rsidR="00150EB3" w:rsidRPr="00B349D5">
        <w:t xml:space="preserve">simply </w:t>
      </w:r>
      <w:r w:rsidR="005C3524" w:rsidRPr="00B349D5">
        <w:t>modifies the Staff’s three-factor formula to include</w:t>
      </w:r>
      <w:r w:rsidR="00CC7FF1" w:rsidRPr="00B349D5">
        <w:t>,</w:t>
      </w:r>
      <w:r w:rsidR="005C3524" w:rsidRPr="00B349D5">
        <w:t xml:space="preserve"> in the calculation</w:t>
      </w:r>
      <w:r w:rsidR="00CC7FF1" w:rsidRPr="00B349D5">
        <w:t>,</w:t>
      </w:r>
      <w:r w:rsidR="005C3524" w:rsidRPr="00B349D5">
        <w:t xml:space="preserve"> all aggregate Company </w:t>
      </w:r>
      <w:r w:rsidR="00594070" w:rsidRPr="00B349D5">
        <w:t xml:space="preserve">expenses </w:t>
      </w:r>
      <w:r w:rsidR="008D648C" w:rsidRPr="00B349D5">
        <w:t>(</w:t>
      </w:r>
      <w:r w:rsidR="005C3524" w:rsidRPr="00B349D5">
        <w:t>whether generated in exclusive-use buildings or not</w:t>
      </w:r>
      <w:r w:rsidR="008D648C" w:rsidRPr="00B349D5">
        <w:t>)</w:t>
      </w:r>
      <w:r w:rsidR="0060332E" w:rsidRPr="00B349D5">
        <w:t xml:space="preserve"> and</w:t>
      </w:r>
      <w:r w:rsidR="005C3524" w:rsidRPr="00B349D5">
        <w:t xml:space="preserve"> conforms far more logically </w:t>
      </w:r>
      <w:r w:rsidR="0060332E" w:rsidRPr="00B349D5">
        <w:t xml:space="preserve">as </w:t>
      </w:r>
      <w:r w:rsidR="005C3524" w:rsidRPr="00B349D5">
        <w:t xml:space="preserve">an allocator factor that </w:t>
      </w:r>
      <w:r w:rsidR="00A51DAD" w:rsidRPr="00B349D5">
        <w:t xml:space="preserve">is designed </w:t>
      </w:r>
      <w:r w:rsidR="005C3524" w:rsidRPr="00B349D5">
        <w:t xml:space="preserve">to </w:t>
      </w:r>
      <w:r w:rsidR="00A51DAD" w:rsidRPr="00B349D5">
        <w:t xml:space="preserve">capture </w:t>
      </w:r>
      <w:r w:rsidR="005C3524" w:rsidRPr="00B349D5">
        <w:rPr>
          <w:i/>
        </w:rPr>
        <w:t>all</w:t>
      </w:r>
      <w:r w:rsidR="005C3524" w:rsidRPr="00B349D5">
        <w:t xml:space="preserve"> utility consumption costs incurred by the three affected affiliates in</w:t>
      </w:r>
      <w:r w:rsidR="005D0572" w:rsidRPr="00B349D5">
        <w:t xml:space="preserve"> proportion to the actual revenues of the affected company.  Either all of the affiliate (WCR’s) revenues and expenses need to be included for allocation purposes or WCR’s revenues</w:t>
      </w:r>
      <w:r w:rsidR="00333DE6" w:rsidRPr="00B349D5">
        <w:t>, employees and fixed assets</w:t>
      </w:r>
      <w:r w:rsidR="005D0572" w:rsidRPr="00B349D5">
        <w:t xml:space="preserve"> should be proportionately </w:t>
      </w:r>
      <w:r w:rsidR="00595B48" w:rsidRPr="00B349D5">
        <w:t>reduced to</w:t>
      </w:r>
      <w:r w:rsidR="008D648C" w:rsidRPr="00B349D5">
        <w:t xml:space="preserve"> conform to the exclusive-</w:t>
      </w:r>
      <w:r w:rsidR="005D0572" w:rsidRPr="00B349D5">
        <w:t>u</w:t>
      </w:r>
      <w:r w:rsidR="008D648C" w:rsidRPr="00B349D5">
        <w:t>s</w:t>
      </w:r>
      <w:r w:rsidR="005D0572" w:rsidRPr="00B349D5">
        <w:t xml:space="preserve">e </w:t>
      </w:r>
      <w:r w:rsidR="008D648C" w:rsidRPr="00B349D5">
        <w:t xml:space="preserve">utility consumption expenses </w:t>
      </w:r>
      <w:r w:rsidR="005D0572" w:rsidRPr="00B349D5">
        <w:t>that are removed under Staff’s approach.</w:t>
      </w:r>
    </w:p>
    <w:p w:rsidR="00487FB9" w:rsidRPr="00B349D5" w:rsidRDefault="0027457B" w:rsidP="00B36123">
      <w:pPr>
        <w:pStyle w:val="BodyText2"/>
        <w:numPr>
          <w:ilvl w:val="0"/>
          <w:numId w:val="35"/>
        </w:numPr>
        <w:spacing w:before="120" w:after="120"/>
        <w:ind w:hanging="720"/>
      </w:pPr>
      <w:r w:rsidRPr="00B349D5">
        <w:t>T</w:t>
      </w:r>
      <w:r w:rsidR="00D54654" w:rsidRPr="00B349D5">
        <w:t xml:space="preserve">he object of </w:t>
      </w:r>
      <w:r w:rsidRPr="00B349D5">
        <w:t xml:space="preserve">identifying </w:t>
      </w:r>
      <w:r w:rsidR="00D54654" w:rsidRPr="00B349D5">
        <w:t xml:space="preserve">direct cost drivers is to allocate </w:t>
      </w:r>
      <w:r w:rsidR="0060332E" w:rsidRPr="00B349D5">
        <w:t xml:space="preserve">direct </w:t>
      </w:r>
      <w:r w:rsidR="00D54654" w:rsidRPr="00B349D5">
        <w:t xml:space="preserve">costs directly </w:t>
      </w:r>
      <w:r w:rsidR="00CC7FF1" w:rsidRPr="00B349D5">
        <w:t xml:space="preserve">and </w:t>
      </w:r>
      <w:r w:rsidR="00D54654" w:rsidRPr="00B349D5">
        <w:t xml:space="preserve">shared costs indirectly.  However, using a methodology or three-factor formula that simply excludes </w:t>
      </w:r>
      <w:r w:rsidRPr="00B349D5">
        <w:t xml:space="preserve">portions of utility expenses </w:t>
      </w:r>
      <w:r w:rsidR="00EB3E22" w:rsidRPr="00B349D5">
        <w:t xml:space="preserve">either </w:t>
      </w:r>
      <w:r w:rsidR="00D54654" w:rsidRPr="00B349D5">
        <w:t xml:space="preserve">generated </w:t>
      </w:r>
      <w:r w:rsidR="00EB3E22" w:rsidRPr="00B349D5">
        <w:t xml:space="preserve">or paid for </w:t>
      </w:r>
      <w:r w:rsidR="00D54654" w:rsidRPr="00B349D5">
        <w:t>by the affiliate</w:t>
      </w:r>
      <w:r w:rsidR="00757C10" w:rsidRPr="00B349D5">
        <w:t xml:space="preserve"> </w:t>
      </w:r>
      <w:r w:rsidRPr="00B349D5">
        <w:t xml:space="preserve">incompletely </w:t>
      </w:r>
      <w:r w:rsidR="00550875" w:rsidRPr="00B349D5">
        <w:t xml:space="preserve">and </w:t>
      </w:r>
      <w:r w:rsidR="00757C10" w:rsidRPr="00B349D5">
        <w:t>in</w:t>
      </w:r>
      <w:r w:rsidR="00D54654" w:rsidRPr="00B349D5">
        <w:t xml:space="preserve">accurately </w:t>
      </w:r>
      <w:r w:rsidR="00550875" w:rsidRPr="00B349D5">
        <w:t xml:space="preserve">produces </w:t>
      </w:r>
      <w:r w:rsidR="00D54654" w:rsidRPr="00B349D5">
        <w:t xml:space="preserve">a </w:t>
      </w:r>
      <w:r w:rsidR="00EB3E22" w:rsidRPr="00B349D5">
        <w:t xml:space="preserve">flawed </w:t>
      </w:r>
      <w:r w:rsidR="00D54654" w:rsidRPr="00B349D5">
        <w:t>formula for allocati</w:t>
      </w:r>
      <w:r w:rsidR="00550875" w:rsidRPr="00B349D5">
        <w:t>ng</w:t>
      </w:r>
      <w:r w:rsidR="00D54654" w:rsidRPr="00B349D5">
        <w:t xml:space="preserve"> shared costs.</w:t>
      </w:r>
      <w:r w:rsidR="00DE2351" w:rsidRPr="00B349D5">
        <w:rPr>
          <w:rStyle w:val="FootnoteReference"/>
        </w:rPr>
        <w:footnoteReference w:id="13"/>
      </w:r>
    </w:p>
    <w:p w:rsidR="00A763D5" w:rsidRPr="00B349D5" w:rsidRDefault="00A763D5" w:rsidP="00B36123">
      <w:pPr>
        <w:pStyle w:val="BodyText2"/>
        <w:numPr>
          <w:ilvl w:val="0"/>
          <w:numId w:val="35"/>
        </w:numPr>
        <w:spacing w:before="120" w:after="120"/>
        <w:ind w:hanging="720"/>
      </w:pPr>
      <w:r w:rsidRPr="00B349D5">
        <w:lastRenderedPageBreak/>
        <w:t xml:space="preserve">WCI reluctantly accepted the Staff’s three-factor allocator formula in this case despite its </w:t>
      </w:r>
      <w:r w:rsidR="008C7CFA" w:rsidRPr="00B349D5">
        <w:t>disagreement</w:t>
      </w:r>
      <w:r w:rsidRPr="00B349D5">
        <w:t xml:space="preserve"> with gross revenues and net book values as two of the three factors </w:t>
      </w:r>
      <w:r w:rsidR="008336CB" w:rsidRPr="00B349D5">
        <w:t xml:space="preserve">as well as </w:t>
      </w:r>
      <w:r w:rsidR="00170B39" w:rsidRPr="00B349D5">
        <w:t>its</w:t>
      </w:r>
      <w:r w:rsidRPr="00B349D5">
        <w:t xml:space="preserve"> objections to an attempted transposition of an apparent regulated utility allocation model formula (albeit inapplicable and incomplete)</w:t>
      </w:r>
      <w:r w:rsidRPr="00B349D5">
        <w:rPr>
          <w:rStyle w:val="FootnoteReference"/>
        </w:rPr>
        <w:footnoteReference w:id="14"/>
      </w:r>
      <w:r w:rsidR="00170B39" w:rsidRPr="00B349D5">
        <w:t xml:space="preserve"> i</w:t>
      </w:r>
      <w:r w:rsidRPr="00B349D5">
        <w:t xml:space="preserve">n </w:t>
      </w:r>
      <w:r w:rsidR="008F3B46" w:rsidRPr="00B349D5">
        <w:t>efforts</w:t>
      </w:r>
      <w:r w:rsidRPr="00B349D5">
        <w:t xml:space="preserve"> to efficiently and </w:t>
      </w:r>
      <w:r w:rsidR="008336CB" w:rsidRPr="00B349D5">
        <w:t>expeditiously</w:t>
      </w:r>
      <w:r w:rsidRPr="00B349D5">
        <w:t xml:space="preserve"> resolve the dispute</w:t>
      </w:r>
      <w:r w:rsidR="00170B39" w:rsidRPr="00B349D5">
        <w:t xml:space="preserve">. </w:t>
      </w:r>
      <w:r w:rsidRPr="00B349D5">
        <w:t xml:space="preserve"> </w:t>
      </w:r>
      <w:r w:rsidR="00170B39" w:rsidRPr="00B349D5">
        <w:t xml:space="preserve">This concession was </w:t>
      </w:r>
      <w:r w:rsidR="00CC7FF1" w:rsidRPr="00B349D5">
        <w:t xml:space="preserve">qualified </w:t>
      </w:r>
      <w:r w:rsidRPr="00B349D5">
        <w:t xml:space="preserve">only </w:t>
      </w:r>
      <w:r w:rsidR="00CC7FF1" w:rsidRPr="00B349D5">
        <w:t>by</w:t>
      </w:r>
      <w:r w:rsidRPr="00B349D5">
        <w:t xml:space="preserve"> </w:t>
      </w:r>
      <w:r w:rsidR="006C4AB2" w:rsidRPr="00B349D5">
        <w:t xml:space="preserve">the proposed </w:t>
      </w:r>
      <w:r w:rsidRPr="00B349D5">
        <w:t xml:space="preserve">modification of the computation in that three-factor formula to make it consistent </w:t>
      </w:r>
      <w:r w:rsidR="00170B39" w:rsidRPr="00B349D5">
        <w:t xml:space="preserve">in </w:t>
      </w:r>
      <w:r w:rsidRPr="00B349D5">
        <w:t xml:space="preserve">utilizing the </w:t>
      </w:r>
      <w:r w:rsidR="008F3B46" w:rsidRPr="00B349D5">
        <w:t>total</w:t>
      </w:r>
      <w:r w:rsidRPr="00B349D5">
        <w:t xml:space="preserve"> amount of </w:t>
      </w:r>
      <w:r w:rsidR="00CC7FF1" w:rsidRPr="00B349D5">
        <w:t>the</w:t>
      </w:r>
      <w:r w:rsidRPr="00B349D5">
        <w:t xml:space="preserve"> affiliate’s revenues as against the allocated costs of shared utility ex</w:t>
      </w:r>
      <w:r w:rsidR="00170B39" w:rsidRPr="00B349D5">
        <w:t>penses.</w:t>
      </w:r>
      <w:r w:rsidRPr="00B349D5">
        <w:t xml:space="preserve">  The Staff position</w:t>
      </w:r>
      <w:r w:rsidR="008336CB" w:rsidRPr="00B349D5">
        <w:t>,</w:t>
      </w:r>
      <w:r w:rsidRPr="00B349D5">
        <w:t xml:space="preserve"> </w:t>
      </w:r>
      <w:r w:rsidR="008F3B46" w:rsidRPr="00B349D5">
        <w:t>as now endorsed by</w:t>
      </w:r>
      <w:r w:rsidRPr="00B349D5">
        <w:t xml:space="preserve"> the Initial Order</w:t>
      </w:r>
      <w:r w:rsidR="008336CB" w:rsidRPr="00B349D5">
        <w:t>,</w:t>
      </w:r>
      <w:r w:rsidRPr="00B349D5">
        <w:t xml:space="preserve"> </w:t>
      </w:r>
      <w:r w:rsidR="008F3B46" w:rsidRPr="00B349D5">
        <w:t>rejects that modest adjustment</w:t>
      </w:r>
      <w:r w:rsidR="00170B39" w:rsidRPr="00B349D5">
        <w:t>,</w:t>
      </w:r>
      <w:r w:rsidR="00150EB3" w:rsidRPr="00B349D5">
        <w:rPr>
          <w:rStyle w:val="FootnoteReference"/>
        </w:rPr>
        <w:footnoteReference w:id="15"/>
      </w:r>
      <w:r w:rsidR="0027457B" w:rsidRPr="00B349D5">
        <w:t xml:space="preserve"> which the Company contends is imperative </w:t>
      </w:r>
      <w:r w:rsidR="00550875" w:rsidRPr="00B349D5">
        <w:t>to</w:t>
      </w:r>
      <w:r w:rsidR="0027457B" w:rsidRPr="00B349D5">
        <w:t xml:space="preserve"> properly applying the identified cost drivers.  </w:t>
      </w:r>
      <w:r w:rsidR="00150EB3" w:rsidRPr="00B349D5">
        <w:t>Ultimately</w:t>
      </w:r>
      <w:r w:rsidR="00D15194" w:rsidRPr="00B349D5">
        <w:t>,</w:t>
      </w:r>
      <w:r w:rsidR="00150EB3" w:rsidRPr="00B349D5">
        <w:t xml:space="preserve"> the formula must include all revenues</w:t>
      </w:r>
      <w:r w:rsidR="0027457B" w:rsidRPr="00B349D5">
        <w:t>, employees and fixed assets and correspondingly allocate all utility costs to the three companies</w:t>
      </w:r>
      <w:r w:rsidR="00150EB3" w:rsidRPr="00B349D5">
        <w:t xml:space="preserve"> (</w:t>
      </w:r>
      <w:r w:rsidR="00D15194" w:rsidRPr="00B349D5">
        <w:t>a formula the Initial Order</w:t>
      </w:r>
      <w:r w:rsidR="008336CB" w:rsidRPr="00B349D5">
        <w:t xml:space="preserve"> also</w:t>
      </w:r>
      <w:r w:rsidR="00D15194" w:rsidRPr="00B349D5">
        <w:t xml:space="preserve"> rejects</w:t>
      </w:r>
      <w:r w:rsidR="00150EB3" w:rsidRPr="00B349D5">
        <w:t xml:space="preserve">), </w:t>
      </w:r>
      <w:r w:rsidR="00387389" w:rsidRPr="00B349D5">
        <w:t>or alternatively, the cost drivers for WCR must be adjusted to reflect only those revenues, employee</w:t>
      </w:r>
      <w:r w:rsidR="00685031">
        <w:t xml:space="preserve">s and fixed assets involved in generating </w:t>
      </w:r>
      <w:r w:rsidR="00387389" w:rsidRPr="00B349D5">
        <w:t>the utility expenses being allocated.</w:t>
      </w:r>
    </w:p>
    <w:p w:rsidR="008B7956" w:rsidRPr="00B349D5" w:rsidRDefault="00594206" w:rsidP="0048093B">
      <w:pPr>
        <w:pStyle w:val="Heading4"/>
      </w:pPr>
      <w:bookmarkStart w:id="50" w:name="_Toc423327089"/>
      <w:r w:rsidRPr="00B349D5">
        <w:rPr>
          <w:u w:val="single"/>
        </w:rPr>
        <w:t xml:space="preserve">Recommended </w:t>
      </w:r>
      <w:r w:rsidR="00C8733C" w:rsidRPr="00B349D5">
        <w:rPr>
          <w:u w:val="single"/>
        </w:rPr>
        <w:t>Finding</w:t>
      </w:r>
      <w:r w:rsidR="00C004A0" w:rsidRPr="00B349D5">
        <w:rPr>
          <w:u w:val="single"/>
        </w:rPr>
        <w:t>s</w:t>
      </w:r>
      <w:r w:rsidR="00C8733C" w:rsidRPr="00B349D5">
        <w:rPr>
          <w:u w:val="single"/>
        </w:rPr>
        <w:t>/Conclusion</w:t>
      </w:r>
      <w:r w:rsidR="008752D1" w:rsidRPr="00B349D5">
        <w:rPr>
          <w:u w:val="single"/>
        </w:rPr>
        <w:t>s</w:t>
      </w:r>
      <w:r w:rsidR="00170B39" w:rsidRPr="00B349D5">
        <w:rPr>
          <w:u w:val="single"/>
        </w:rPr>
        <w:t xml:space="preserve"> on Accounting Adjustment 6-D</w:t>
      </w:r>
      <w:r w:rsidR="008B7956" w:rsidRPr="00B349D5">
        <w:t>.</w:t>
      </w:r>
      <w:bookmarkEnd w:id="50"/>
      <w:r w:rsidR="00170B39" w:rsidRPr="00B349D5">
        <w:t xml:space="preserve"> </w:t>
      </w:r>
    </w:p>
    <w:p w:rsidR="00C004A0" w:rsidRPr="00B349D5" w:rsidRDefault="00170B39" w:rsidP="008B7956">
      <w:pPr>
        <w:pStyle w:val="Heading2"/>
        <w:numPr>
          <w:ilvl w:val="0"/>
          <w:numId w:val="0"/>
        </w:numPr>
        <w:spacing w:after="240" w:line="240" w:lineRule="auto"/>
      </w:pPr>
      <w:r w:rsidRPr="00B349D5">
        <w:t>WCI therefore recommends the Following Revised Findings and Conclusions:</w:t>
      </w:r>
      <w:r w:rsidR="00C8733C" w:rsidRPr="00B349D5">
        <w:t xml:space="preserve"> </w:t>
      </w:r>
    </w:p>
    <w:p w:rsidR="005C3524" w:rsidRPr="00B349D5" w:rsidRDefault="00DA471E" w:rsidP="00FC2903">
      <w:pPr>
        <w:pStyle w:val="Quote"/>
        <w:rPr>
          <w:b/>
        </w:rPr>
      </w:pPr>
      <w:r w:rsidRPr="00B349D5">
        <w:rPr>
          <w:b/>
          <w:u w:val="single"/>
        </w:rPr>
        <w:t>Recomme</w:t>
      </w:r>
      <w:r w:rsidR="00E96FF8" w:rsidRPr="00B349D5">
        <w:rPr>
          <w:b/>
          <w:u w:val="single"/>
        </w:rPr>
        <w:t>n</w:t>
      </w:r>
      <w:r w:rsidRPr="00B349D5">
        <w:rPr>
          <w:b/>
          <w:u w:val="single"/>
        </w:rPr>
        <w:t xml:space="preserve">ded Finding/Conclusion (8).  </w:t>
      </w:r>
      <w:r w:rsidR="0023228F" w:rsidRPr="00B349D5">
        <w:rPr>
          <w:b/>
        </w:rPr>
        <w:t xml:space="preserve">Regarding the shared utility expense adjustment and utilizing the Staff’s three-factor allocators for this proceeding only, Commission finds that because the calculation of revenues, employees and assets used in the Staff’s allocators includes revenues, employees and fixed assets in all properties owned by all three Waste Control companies and because some utility expenses paid by WCR are for the </w:t>
      </w:r>
      <w:r w:rsidR="0023228F" w:rsidRPr="00B349D5">
        <w:rPr>
          <w:b/>
        </w:rPr>
        <w:lastRenderedPageBreak/>
        <w:t>benefit of WCI</w:t>
      </w:r>
      <w:r w:rsidR="008336CB" w:rsidRPr="00B349D5">
        <w:rPr>
          <w:b/>
        </w:rPr>
        <w:t xml:space="preserve"> (i.e</w:t>
      </w:r>
      <w:r w:rsidR="008D69E0" w:rsidRPr="00B349D5">
        <w:rPr>
          <w:b/>
        </w:rPr>
        <w:t>.</w:t>
      </w:r>
      <w:r w:rsidR="008336CB" w:rsidRPr="00B349D5">
        <w:rPr>
          <w:b/>
        </w:rPr>
        <w:t>,</w:t>
      </w:r>
      <w:r w:rsidR="0023228F" w:rsidRPr="00B349D5">
        <w:rPr>
          <w:b/>
        </w:rPr>
        <w:t xml:space="preserve"> for shared covered parking and employee parking utilities</w:t>
      </w:r>
      <w:r w:rsidR="008336CB" w:rsidRPr="00B349D5">
        <w:rPr>
          <w:b/>
        </w:rPr>
        <w:t>)</w:t>
      </w:r>
      <w:r w:rsidR="0023228F" w:rsidRPr="00B349D5">
        <w:rPr>
          <w:b/>
        </w:rPr>
        <w:t>, all utilities paid by the three companies must be included in the allocation formula to derive an accurate allocation for shared utility expenses so as not to under allocate actual utility expenses to WCI.</w:t>
      </w:r>
    </w:p>
    <w:p w:rsidR="00085916" w:rsidRPr="00B349D5" w:rsidRDefault="00085916" w:rsidP="00170B39">
      <w:pPr>
        <w:pStyle w:val="Quote"/>
        <w:keepLines/>
        <w:widowControl w:val="0"/>
        <w:rPr>
          <w:b/>
        </w:rPr>
      </w:pPr>
      <w:r w:rsidRPr="00B349D5">
        <w:rPr>
          <w:b/>
          <w:u w:val="single"/>
        </w:rPr>
        <w:t xml:space="preserve">Recommended Finding/Conclusion </w:t>
      </w:r>
      <w:r w:rsidR="008752D1" w:rsidRPr="00B349D5">
        <w:rPr>
          <w:b/>
          <w:u w:val="single"/>
        </w:rPr>
        <w:t>(</w:t>
      </w:r>
      <w:r w:rsidRPr="00B349D5">
        <w:rPr>
          <w:b/>
          <w:u w:val="single"/>
        </w:rPr>
        <w:t>9</w:t>
      </w:r>
      <w:r w:rsidR="008752D1" w:rsidRPr="00B349D5">
        <w:rPr>
          <w:b/>
          <w:u w:val="single"/>
        </w:rPr>
        <w:t>)</w:t>
      </w:r>
      <w:r w:rsidRPr="00B349D5">
        <w:rPr>
          <w:b/>
        </w:rPr>
        <w:t xml:space="preserve">.  We therefore accept the Company’s recommended adjustment to the revenue element in the Staff’s three-factor allocator here and find utility costs should properly be $27,749 in </w:t>
      </w:r>
      <w:r w:rsidR="00CC7FF1" w:rsidRPr="00B349D5">
        <w:rPr>
          <w:b/>
        </w:rPr>
        <w:t xml:space="preserve">accounting </w:t>
      </w:r>
      <w:r w:rsidRPr="00B349D5">
        <w:rPr>
          <w:b/>
        </w:rPr>
        <w:t xml:space="preserve">adjustment </w:t>
      </w:r>
      <w:proofErr w:type="spellStart"/>
      <w:r w:rsidRPr="00B349D5">
        <w:rPr>
          <w:b/>
        </w:rPr>
        <w:t>6D</w:t>
      </w:r>
      <w:proofErr w:type="spellEnd"/>
      <w:r w:rsidRPr="00B349D5">
        <w:rPr>
          <w:b/>
        </w:rPr>
        <w:t xml:space="preserve">.  </w:t>
      </w:r>
      <w:r w:rsidR="00C111A3" w:rsidRPr="00B349D5">
        <w:rPr>
          <w:b/>
        </w:rPr>
        <w:t xml:space="preserve">Attributing </w:t>
      </w:r>
      <w:r w:rsidRPr="00B349D5">
        <w:rPr>
          <w:b/>
        </w:rPr>
        <w:t>that revised amount accurately reflect</w:t>
      </w:r>
      <w:r w:rsidR="00C111A3" w:rsidRPr="00B349D5">
        <w:rPr>
          <w:b/>
        </w:rPr>
        <w:t>s</w:t>
      </w:r>
      <w:r w:rsidRPr="00B349D5">
        <w:rPr>
          <w:b/>
        </w:rPr>
        <w:t xml:space="preserve"> the total</w:t>
      </w:r>
      <w:r w:rsidR="00E93D7D" w:rsidRPr="00B349D5">
        <w:rPr>
          <w:b/>
        </w:rPr>
        <w:t xml:space="preserve"> allocated</w:t>
      </w:r>
      <w:r w:rsidRPr="00B349D5">
        <w:rPr>
          <w:b/>
        </w:rPr>
        <w:t xml:space="preserve"> </w:t>
      </w:r>
      <w:r w:rsidR="00A2642C" w:rsidRPr="00B349D5">
        <w:rPr>
          <w:b/>
        </w:rPr>
        <w:t>expenses</w:t>
      </w:r>
      <w:r w:rsidRPr="00B349D5">
        <w:rPr>
          <w:b/>
        </w:rPr>
        <w:t xml:space="preserve"> generated by WCI and its nonregulated affiliates in the test year </w:t>
      </w:r>
      <w:r w:rsidR="00C111A3" w:rsidRPr="00B349D5">
        <w:rPr>
          <w:b/>
        </w:rPr>
        <w:t xml:space="preserve">period </w:t>
      </w:r>
      <w:r w:rsidRPr="00B349D5">
        <w:rPr>
          <w:b/>
        </w:rPr>
        <w:t>for which utility expenses were</w:t>
      </w:r>
      <w:r w:rsidR="00FA20C3" w:rsidRPr="00B349D5">
        <w:rPr>
          <w:b/>
        </w:rPr>
        <w:t xml:space="preserve"> </w:t>
      </w:r>
      <w:r w:rsidR="004E0D03" w:rsidRPr="00B349D5">
        <w:rPr>
          <w:b/>
        </w:rPr>
        <w:t>incurred.</w:t>
      </w:r>
    </w:p>
    <w:p w:rsidR="00737FB9" w:rsidRPr="00B349D5" w:rsidRDefault="00737FB9" w:rsidP="006C4AB2">
      <w:pPr>
        <w:pStyle w:val="Heading3"/>
        <w:widowControl w:val="0"/>
        <w:spacing w:before="240"/>
      </w:pPr>
      <w:bookmarkStart w:id="51" w:name="_Toc423327090"/>
      <w:r w:rsidRPr="00B349D5">
        <w:t>Exceptions to Findings/Conclusions</w:t>
      </w:r>
      <w:r w:rsidR="008336CB" w:rsidRPr="00B349D5">
        <w:t xml:space="preserve"> 10, 11, 12 and 13: </w:t>
      </w:r>
      <w:r w:rsidR="008752D1" w:rsidRPr="00B349D5">
        <w:t xml:space="preserve"> Accounting Adjustment R-</w:t>
      </w:r>
      <w:proofErr w:type="spellStart"/>
      <w:r w:rsidR="008752D1" w:rsidRPr="00B349D5">
        <w:t>6E</w:t>
      </w:r>
      <w:proofErr w:type="spellEnd"/>
      <w:r w:rsidR="008752D1" w:rsidRPr="00B349D5">
        <w:t>, Return on Land Rents</w:t>
      </w:r>
      <w:r w:rsidR="008752D1" w:rsidRPr="00B349D5">
        <w:rPr>
          <w:u w:val="none"/>
        </w:rPr>
        <w:t>.</w:t>
      </w:r>
      <w:bookmarkEnd w:id="51"/>
    </w:p>
    <w:p w:rsidR="008752D1" w:rsidRPr="00B349D5" w:rsidRDefault="00170B39" w:rsidP="00B36123">
      <w:pPr>
        <w:pStyle w:val="BodyText2"/>
        <w:numPr>
          <w:ilvl w:val="0"/>
          <w:numId w:val="35"/>
        </w:numPr>
        <w:spacing w:before="120" w:after="120"/>
        <w:ind w:hanging="720"/>
      </w:pPr>
      <w:r w:rsidRPr="00B349D5">
        <w:t>The d</w:t>
      </w:r>
      <w:r w:rsidR="008752D1" w:rsidRPr="00B349D5">
        <w:t xml:space="preserve">ispute on land rent </w:t>
      </w:r>
      <w:r w:rsidR="008752D1" w:rsidRPr="00B349D5">
        <w:rPr>
          <w:b/>
        </w:rPr>
        <w:t>returns</w:t>
      </w:r>
      <w:r w:rsidR="008B7956" w:rsidRPr="00B349D5">
        <w:t>,</w:t>
      </w:r>
      <w:r w:rsidR="008752D1" w:rsidRPr="00B349D5">
        <w:t xml:space="preserve"> and what will be allowed in rates to the regulated affiliate</w:t>
      </w:r>
      <w:r w:rsidR="00150EB3" w:rsidRPr="00B349D5">
        <w:t>,</w:t>
      </w:r>
      <w:r w:rsidR="008752D1" w:rsidRPr="00B349D5">
        <w:t xml:space="preserve"> WCI</w:t>
      </w:r>
      <w:r w:rsidR="00150EB3" w:rsidRPr="00B349D5">
        <w:t>,</w:t>
      </w:r>
      <w:r w:rsidR="008752D1" w:rsidRPr="00B349D5">
        <w:t xml:space="preserve"> for reasonable rents </w:t>
      </w:r>
      <w:r w:rsidR="00CC7FF1" w:rsidRPr="00B349D5">
        <w:t xml:space="preserve">again </w:t>
      </w:r>
      <w:r w:rsidR="008752D1" w:rsidRPr="00B349D5">
        <w:t xml:space="preserve">epitomizes the </w:t>
      </w:r>
      <w:r w:rsidR="00CC7FF1" w:rsidRPr="00B349D5">
        <w:t xml:space="preserve">previous </w:t>
      </w:r>
      <w:r w:rsidR="008752D1" w:rsidRPr="00B349D5">
        <w:t xml:space="preserve">premise here for the Company as to who sets regulatory ratemaking policy:  The Commission or the individual </w:t>
      </w:r>
      <w:r w:rsidR="00C111A3" w:rsidRPr="00B349D5">
        <w:t xml:space="preserve">assigned </w:t>
      </w:r>
      <w:r w:rsidR="008752D1" w:rsidRPr="00B349D5">
        <w:t>staff auditor</w:t>
      </w:r>
      <w:r w:rsidR="008B7956" w:rsidRPr="00B349D5">
        <w:t>?</w:t>
      </w:r>
      <w:r w:rsidR="008752D1" w:rsidRPr="00B349D5">
        <w:t xml:space="preserve">  </w:t>
      </w:r>
      <w:r w:rsidR="00CC7FF1" w:rsidRPr="00B349D5">
        <w:t xml:space="preserve">In this regard, </w:t>
      </w:r>
      <w:r w:rsidR="008752D1" w:rsidRPr="00B349D5">
        <w:t xml:space="preserve">WCI has operated for decades as a tenant in commercial properties owned by its affiliates.  </w:t>
      </w:r>
      <w:r w:rsidR="00D15194" w:rsidRPr="00B349D5">
        <w:t>WCI’s</w:t>
      </w:r>
      <w:r w:rsidR="008752D1" w:rsidRPr="00B349D5">
        <w:t xml:space="preserve"> owner explained that owning real estate was relatively risky for a regulated company in the soli</w:t>
      </w:r>
      <w:r w:rsidR="00D15194" w:rsidRPr="00B349D5">
        <w:t>d waste collection and disposal industry.</w:t>
      </w:r>
      <w:r w:rsidR="008752D1" w:rsidRPr="00B349D5">
        <w:rPr>
          <w:rStyle w:val="FootnoteReference"/>
        </w:rPr>
        <w:footnoteReference w:id="16"/>
      </w:r>
      <w:r w:rsidR="005B3ABD" w:rsidRPr="00B349D5">
        <w:t xml:space="preserve">  While all WCI assets are cross-collateralized for bank loan purposes and particularly for the 2006 bond offering that allowed for the construction of the </w:t>
      </w:r>
      <w:r w:rsidR="00656CD4" w:rsidRPr="00B349D5">
        <w:t xml:space="preserve">county </w:t>
      </w:r>
      <w:r w:rsidR="005B3ABD" w:rsidRPr="00B349D5">
        <w:t>transfer station facility owned by the Heirborne affiliate, prevailing commercial lending practices require borrow</w:t>
      </w:r>
      <w:r w:rsidR="00656CD4" w:rsidRPr="00B349D5">
        <w:t xml:space="preserve">ers and all their corporate and, </w:t>
      </w:r>
      <w:r w:rsidR="005B3ABD" w:rsidRPr="00B349D5">
        <w:t>typically</w:t>
      </w:r>
      <w:r w:rsidR="00656CD4" w:rsidRPr="00B349D5">
        <w:t>, individual affiliates to cross-</w:t>
      </w:r>
      <w:r w:rsidR="005B3ABD" w:rsidRPr="00B349D5">
        <w:t>collateralize debt offerings to maximize lender security.</w:t>
      </w:r>
      <w:r w:rsidR="005B3ABD" w:rsidRPr="00B349D5">
        <w:rPr>
          <w:rStyle w:val="FootnoteReference"/>
        </w:rPr>
        <w:footnoteReference w:id="17"/>
      </w:r>
      <w:r w:rsidR="005B3ABD" w:rsidRPr="00B349D5">
        <w:t xml:space="preserve">  Neither the ownership o</w:t>
      </w:r>
      <w:r w:rsidR="00656CD4" w:rsidRPr="00B349D5">
        <w:t>f</w:t>
      </w:r>
      <w:r w:rsidR="005B3ABD" w:rsidRPr="00B349D5">
        <w:t xml:space="preserve"> property occupied by WCI nor the structuring of the sizeable bond offering or the bank debt incurred by its affiliates to acquire additional properties utilized for regulated operations </w:t>
      </w:r>
      <w:r w:rsidR="00C111A3" w:rsidRPr="00B349D5">
        <w:t>is a first-time revelation</w:t>
      </w:r>
      <w:r w:rsidR="00D15194" w:rsidRPr="00B349D5">
        <w:t>,</w:t>
      </w:r>
      <w:r w:rsidR="00C111A3" w:rsidRPr="00B349D5">
        <w:t xml:space="preserve"> nor </w:t>
      </w:r>
      <w:r w:rsidR="005B3ABD" w:rsidRPr="00B349D5">
        <w:t>was</w:t>
      </w:r>
      <w:r w:rsidR="00713815" w:rsidRPr="00B349D5">
        <w:t xml:space="preserve"> </w:t>
      </w:r>
      <w:r w:rsidR="00C111A3" w:rsidRPr="00B349D5">
        <w:t xml:space="preserve">it </w:t>
      </w:r>
      <w:r w:rsidR="00713815" w:rsidRPr="00B349D5">
        <w:t>ever</w:t>
      </w:r>
      <w:r w:rsidR="005B3ABD" w:rsidRPr="00B349D5">
        <w:t xml:space="preserve"> concealed from </w:t>
      </w:r>
      <w:r w:rsidR="00CC7FF1" w:rsidRPr="00B349D5">
        <w:t xml:space="preserve">or overlooked by </w:t>
      </w:r>
      <w:r w:rsidR="005B3ABD" w:rsidRPr="00B349D5">
        <w:t>previous audit staffs.  In fact, Waste Control’s Certificate G-</w:t>
      </w:r>
      <w:r w:rsidR="000155AC" w:rsidRPr="00B349D5">
        <w:t>101</w:t>
      </w:r>
      <w:r w:rsidR="005B3ABD" w:rsidRPr="00B349D5">
        <w:t xml:space="preserve"> was actually the subject of a mortgage </w:t>
      </w:r>
      <w:r w:rsidR="00656CD4" w:rsidRPr="00B349D5">
        <w:t>application</w:t>
      </w:r>
      <w:r w:rsidR="005B3ABD" w:rsidRPr="00B349D5">
        <w:t xml:space="preserve"> </w:t>
      </w:r>
      <w:r w:rsidR="00CC7FF1" w:rsidRPr="00B349D5">
        <w:t xml:space="preserve">with </w:t>
      </w:r>
      <w:r w:rsidR="005B3ABD" w:rsidRPr="00B349D5">
        <w:t>accompanying debt</w:t>
      </w:r>
      <w:r w:rsidR="00656CD4" w:rsidRPr="00B349D5">
        <w:t xml:space="preserve"> circulars</w:t>
      </w:r>
      <w:r w:rsidR="003E4FBF" w:rsidRPr="00B349D5">
        <w:t xml:space="preserve"> and indenture agreements </w:t>
      </w:r>
      <w:r w:rsidR="005B3ABD" w:rsidRPr="00B349D5">
        <w:t>in 2007</w:t>
      </w:r>
      <w:r w:rsidR="00713815" w:rsidRPr="00B349D5">
        <w:t xml:space="preserve"> following the </w:t>
      </w:r>
      <w:r w:rsidR="00713815" w:rsidRPr="00B349D5">
        <w:lastRenderedPageBreak/>
        <w:t>bond offering</w:t>
      </w:r>
      <w:r w:rsidR="00C111A3" w:rsidRPr="00B349D5">
        <w:t xml:space="preserve">. </w:t>
      </w:r>
      <w:r w:rsidR="005B3ABD" w:rsidRPr="00B349D5">
        <w:t xml:space="preserve"> </w:t>
      </w:r>
      <w:r w:rsidR="00C111A3" w:rsidRPr="00B349D5">
        <w:t>U</w:t>
      </w:r>
      <w:r w:rsidR="005B3ABD" w:rsidRPr="00B349D5">
        <w:t>nder Docket No. TG-070396</w:t>
      </w:r>
      <w:r w:rsidR="00656CD4" w:rsidRPr="00B349D5">
        <w:t>,</w:t>
      </w:r>
      <w:r w:rsidR="005B3ABD" w:rsidRPr="00B349D5">
        <w:t xml:space="preserve"> the Commission </w:t>
      </w:r>
      <w:r w:rsidR="003E4FBF" w:rsidRPr="00B349D5">
        <w:t xml:space="preserve">vetted </w:t>
      </w:r>
      <w:r w:rsidR="00656CD4" w:rsidRPr="00B349D5">
        <w:t xml:space="preserve">and approved </w:t>
      </w:r>
      <w:r w:rsidR="005B3ABD" w:rsidRPr="00B349D5">
        <w:t>the underlying transaction</w:t>
      </w:r>
      <w:r w:rsidR="003E4FBF" w:rsidRPr="00B349D5">
        <w:t>,</w:t>
      </w:r>
      <w:r w:rsidR="005B3ABD" w:rsidRPr="00B349D5">
        <w:t xml:space="preserve"> including the pledging/mortgaging of </w:t>
      </w:r>
      <w:r w:rsidR="00CC7FF1" w:rsidRPr="00B349D5">
        <w:t xml:space="preserve">WCI’s </w:t>
      </w:r>
      <w:r w:rsidR="005B3ABD" w:rsidRPr="00B349D5">
        <w:t>property rights in its solid waste certificate.</w:t>
      </w:r>
    </w:p>
    <w:p w:rsidR="005B3ABD" w:rsidRPr="00B349D5" w:rsidRDefault="005B3ABD" w:rsidP="00B36123">
      <w:pPr>
        <w:pStyle w:val="BodyText2"/>
        <w:numPr>
          <w:ilvl w:val="0"/>
          <w:numId w:val="35"/>
        </w:numPr>
        <w:spacing w:before="120" w:after="120"/>
        <w:ind w:hanging="720"/>
      </w:pPr>
      <w:r w:rsidRPr="00B349D5">
        <w:t>Indeed, the subject</w:t>
      </w:r>
      <w:r w:rsidR="00CC7FF1" w:rsidRPr="00B349D5">
        <w:t>s</w:t>
      </w:r>
      <w:r w:rsidRPr="00B349D5">
        <w:t xml:space="preserve"> of the ownership of rental properties, the cross-collateralization of debt and the theoretical utilization of WCI affiliate capital structures w</w:t>
      </w:r>
      <w:r w:rsidR="00CC7FF1" w:rsidRPr="00B349D5">
        <w:t>ere</w:t>
      </w:r>
      <w:r w:rsidRPr="00B349D5">
        <w:t xml:space="preserve"> </w:t>
      </w:r>
      <w:r w:rsidR="00656CD4" w:rsidRPr="00B349D5">
        <w:t xml:space="preserve">also </w:t>
      </w:r>
      <w:r w:rsidRPr="00B349D5">
        <w:t xml:space="preserve">the subject of a </w:t>
      </w:r>
      <w:r w:rsidR="00713815" w:rsidRPr="00B349D5">
        <w:t xml:space="preserve">later </w:t>
      </w:r>
      <w:r w:rsidRPr="00B349D5">
        <w:t xml:space="preserve">Staff </w:t>
      </w:r>
      <w:r w:rsidR="00CC7FF1" w:rsidRPr="00B349D5">
        <w:t>audit</w:t>
      </w:r>
      <w:r w:rsidRPr="00B349D5">
        <w:t xml:space="preserve"> initiative for the purposes of deriving a revenue requirement under Lurito-Gallagher in WCI’s last general rate case in 2009.</w:t>
      </w:r>
      <w:r w:rsidRPr="00B349D5">
        <w:rPr>
          <w:rStyle w:val="FootnoteReference"/>
        </w:rPr>
        <w:footnoteReference w:id="18"/>
      </w:r>
      <w:r w:rsidRPr="00B349D5">
        <w:t xml:space="preserve">  </w:t>
      </w:r>
      <w:r w:rsidR="00D35943" w:rsidRPr="00B349D5">
        <w:t>As reflected in</w:t>
      </w:r>
      <w:r w:rsidR="00CC7FF1" w:rsidRPr="00B349D5">
        <w:t xml:space="preserve"> </w:t>
      </w:r>
      <w:r w:rsidR="00B349D5" w:rsidRPr="00B349D5">
        <w:fldChar w:fldCharType="begin"/>
      </w:r>
      <w:r w:rsidR="00B349D5" w:rsidRPr="00B349D5">
        <w:instrText xml:space="preserve"> ADDIN BA \xc &lt;@rec&gt; \xl 12 \s ECSSJP000068 \l "Exhibit JW-9" </w:instrText>
      </w:r>
      <w:r w:rsidR="00B349D5" w:rsidRPr="00B349D5">
        <w:fldChar w:fldCharType="end"/>
      </w:r>
      <w:bookmarkStart w:id="55" w:name="_BA_Cite_156"/>
      <w:r w:rsidR="00CC7FF1" w:rsidRPr="00B349D5">
        <w:t>Exhibit JW-9</w:t>
      </w:r>
      <w:bookmarkEnd w:id="55"/>
      <w:r w:rsidR="00CC7FF1" w:rsidRPr="00B349D5">
        <w:t>, “Top of the File</w:t>
      </w:r>
      <w:r w:rsidR="00D35943" w:rsidRPr="00B349D5">
        <w:t xml:space="preserve"> Memorandum,</w:t>
      </w:r>
      <w:r w:rsidR="00CC7FF1" w:rsidRPr="00B349D5">
        <w:t>”</w:t>
      </w:r>
      <w:r w:rsidR="00D35943" w:rsidRPr="00B349D5">
        <w:t xml:space="preserve"> the issue of imputing/utilizing aff</w:t>
      </w:r>
      <w:r w:rsidR="00164076" w:rsidRPr="00B349D5">
        <w:t>iliate capital structures for Lurito-</w:t>
      </w:r>
      <w:r w:rsidR="00D35943" w:rsidRPr="00B349D5">
        <w:t>G</w:t>
      </w:r>
      <w:r w:rsidR="00164076" w:rsidRPr="00B349D5">
        <w:t>allagher</w:t>
      </w:r>
      <w:r w:rsidR="00D35943" w:rsidRPr="00B349D5">
        <w:t xml:space="preserve"> ratemaking </w:t>
      </w:r>
      <w:r w:rsidR="00164076" w:rsidRPr="00B349D5">
        <w:t xml:space="preserve">was ultimately rebuffed by the Company which relied on the 1991 </w:t>
      </w:r>
      <w:r w:rsidR="00B349D5" w:rsidRPr="00B349D5">
        <w:fldChar w:fldCharType="begin"/>
      </w:r>
      <w:r w:rsidR="00B349D5" w:rsidRPr="00B349D5">
        <w:instrText xml:space="preserve"> ADDIN BA \xc &lt;@$cs&gt; \xl 8 \s ECSSJP000019 </w:instrText>
      </w:r>
      <w:r w:rsidR="00B349D5" w:rsidRPr="00B349D5">
        <w:fldChar w:fldCharType="end"/>
      </w:r>
      <w:r w:rsidR="00164076" w:rsidRPr="00B349D5">
        <w:rPr>
          <w:i/>
        </w:rPr>
        <w:t>Sno-King</w:t>
      </w:r>
      <w:r w:rsidR="00164076" w:rsidRPr="00B349D5">
        <w:t xml:space="preserve"> Final Order</w:t>
      </w:r>
      <w:r w:rsidR="00164076" w:rsidRPr="00B349D5">
        <w:rPr>
          <w:rStyle w:val="FootnoteReference"/>
        </w:rPr>
        <w:footnoteReference w:id="19"/>
      </w:r>
      <w:r w:rsidR="00164076" w:rsidRPr="00B349D5">
        <w:t xml:space="preserve"> and the uncontroverted rejection of the </w:t>
      </w:r>
      <w:r w:rsidR="00656CD4" w:rsidRPr="00B349D5">
        <w:t xml:space="preserve">Staff </w:t>
      </w:r>
      <w:r w:rsidR="00164076" w:rsidRPr="00B349D5">
        <w:t xml:space="preserve">theory by then Regulatory Requirements Chief, Anne </w:t>
      </w:r>
      <w:proofErr w:type="spellStart"/>
      <w:r w:rsidR="00164076" w:rsidRPr="00B349D5">
        <w:t>Solwick</w:t>
      </w:r>
      <w:proofErr w:type="spellEnd"/>
      <w:r w:rsidR="00164076" w:rsidRPr="00B349D5">
        <w:t>,</w:t>
      </w:r>
      <w:r w:rsidR="00164076" w:rsidRPr="00B349D5">
        <w:rPr>
          <w:rStyle w:val="FootnoteReference"/>
        </w:rPr>
        <w:footnoteReference w:id="20"/>
      </w:r>
      <w:r w:rsidR="00164076" w:rsidRPr="00B349D5">
        <w:t xml:space="preserve"> to </w:t>
      </w:r>
      <w:r w:rsidR="00CC7FF1" w:rsidRPr="00B349D5">
        <w:t>calculate allowed revenue</w:t>
      </w:r>
      <w:r w:rsidR="00164076" w:rsidRPr="00B349D5">
        <w:t xml:space="preserve"> margin under Lurito.  But clearly</w:t>
      </w:r>
      <w:r w:rsidR="00656CD4" w:rsidRPr="00B349D5">
        <w:t xml:space="preserve">, the concept </w:t>
      </w:r>
      <w:r w:rsidR="00944571" w:rsidRPr="00B349D5">
        <w:t>of aggregating</w:t>
      </w:r>
      <w:r w:rsidR="00164076" w:rsidRPr="00B349D5">
        <w:t xml:space="preserve"> capital structures for WCI ratemaking purposes</w:t>
      </w:r>
      <w:r w:rsidR="00713815" w:rsidRPr="00B349D5">
        <w:t>,</w:t>
      </w:r>
      <w:r w:rsidR="00164076" w:rsidRPr="00B349D5">
        <w:t xml:space="preserve"> </w:t>
      </w:r>
      <w:r w:rsidR="003E4FBF" w:rsidRPr="00B349D5">
        <w:t>unbeknownst to WCI</w:t>
      </w:r>
      <w:r w:rsidR="00713815" w:rsidRPr="00B349D5">
        <w:t>,</w:t>
      </w:r>
      <w:r w:rsidR="003E4FBF" w:rsidRPr="00B349D5">
        <w:t xml:space="preserve"> </w:t>
      </w:r>
      <w:r w:rsidR="00164076" w:rsidRPr="00B349D5">
        <w:t>was not dead</w:t>
      </w:r>
      <w:r w:rsidR="00CC7FF1" w:rsidRPr="00B349D5">
        <w:t xml:space="preserve">. </w:t>
      </w:r>
      <w:r w:rsidR="00164076" w:rsidRPr="00B349D5">
        <w:t xml:space="preserve"> </w:t>
      </w:r>
      <w:r w:rsidR="00CC7FF1" w:rsidRPr="00B349D5">
        <w:t>W</w:t>
      </w:r>
      <w:r w:rsidR="00164076" w:rsidRPr="00B349D5">
        <w:t xml:space="preserve">ith the change in Commission Staff </w:t>
      </w:r>
      <w:r w:rsidR="003E4FBF" w:rsidRPr="00B349D5">
        <w:t xml:space="preserve">management </w:t>
      </w:r>
      <w:r w:rsidR="00164076" w:rsidRPr="00B349D5">
        <w:t>personnel</w:t>
      </w:r>
      <w:r w:rsidR="00656CD4" w:rsidRPr="00B349D5">
        <w:t>,</w:t>
      </w:r>
      <w:r w:rsidR="00164076" w:rsidRPr="00B349D5">
        <w:t xml:space="preserve"> it re-emerged </w:t>
      </w:r>
      <w:r w:rsidR="003E4FBF" w:rsidRPr="00B349D5">
        <w:t xml:space="preserve">in </w:t>
      </w:r>
      <w:r w:rsidR="00164076" w:rsidRPr="00B349D5">
        <w:t>a modified form in the current</w:t>
      </w:r>
      <w:r w:rsidR="00CC7FF1" w:rsidRPr="00B349D5">
        <w:t xml:space="preserve"> rate</w:t>
      </w:r>
      <w:r w:rsidR="00164076" w:rsidRPr="00B349D5">
        <w:t xml:space="preserve"> case, </w:t>
      </w:r>
      <w:r w:rsidR="00CC7FF1" w:rsidRPr="00B349D5">
        <w:t>now</w:t>
      </w:r>
      <w:r w:rsidR="00C111A3" w:rsidRPr="00B349D5">
        <w:t>,</w:t>
      </w:r>
      <w:r w:rsidR="00CC7FF1" w:rsidRPr="00B349D5">
        <w:t xml:space="preserve"> </w:t>
      </w:r>
      <w:r w:rsidR="003E4FBF" w:rsidRPr="00B349D5">
        <w:t>not for the purposes of deriving a revenue requirement under Lurito</w:t>
      </w:r>
      <w:r w:rsidR="00C4266D" w:rsidRPr="00B349D5">
        <w:t>,</w:t>
      </w:r>
      <w:r w:rsidR="003E4FBF" w:rsidRPr="00B349D5">
        <w:t xml:space="preserve"> but in </w:t>
      </w:r>
      <w:r w:rsidR="00CC7FF1" w:rsidRPr="00B349D5">
        <w:t>calculating</w:t>
      </w:r>
      <w:r w:rsidR="00164076" w:rsidRPr="00B349D5">
        <w:t xml:space="preserve"> return on rents to be allowed in rates to</w:t>
      </w:r>
      <w:r w:rsidR="00656CD4" w:rsidRPr="00B349D5">
        <w:t xml:space="preserve"> the regulated tenant-</w:t>
      </w:r>
      <w:r w:rsidR="00164076" w:rsidRPr="00B349D5">
        <w:t>affiliate, WCI.</w:t>
      </w:r>
    </w:p>
    <w:p w:rsidR="0031579B" w:rsidRPr="00B349D5" w:rsidRDefault="00D15194" w:rsidP="00B36123">
      <w:pPr>
        <w:pStyle w:val="BodyText2"/>
        <w:numPr>
          <w:ilvl w:val="0"/>
          <w:numId w:val="35"/>
        </w:numPr>
        <w:spacing w:before="120" w:after="120"/>
        <w:ind w:hanging="720"/>
      </w:pPr>
      <w:r w:rsidRPr="00B349D5">
        <w:t>The 2009 rate case</w:t>
      </w:r>
      <w:r w:rsidR="0031579B" w:rsidRPr="00B349D5">
        <w:t xml:space="preserve"> used a modified return on investment plus costs return methodology and set affiliated rents at approximately $80,250 before Kalama.</w:t>
      </w:r>
      <w:r w:rsidR="0031579B" w:rsidRPr="00B349D5">
        <w:rPr>
          <w:rStyle w:val="FootnoteReference"/>
        </w:rPr>
        <w:footnoteReference w:id="21"/>
      </w:r>
      <w:r w:rsidR="0031579B" w:rsidRPr="00B349D5">
        <w:t xml:space="preserve">  Since that </w:t>
      </w:r>
      <w:r w:rsidR="00084ABD" w:rsidRPr="00B349D5">
        <w:t>case was resolved</w:t>
      </w:r>
      <w:r w:rsidR="0031579B" w:rsidRPr="00B349D5">
        <w:t xml:space="preserve"> in January 2010</w:t>
      </w:r>
      <w:r w:rsidR="00084ABD" w:rsidRPr="00B349D5">
        <w:t>,</w:t>
      </w:r>
      <w:r w:rsidR="0031579B" w:rsidRPr="00B349D5">
        <w:t xml:space="preserve"> </w:t>
      </w:r>
      <w:r w:rsidRPr="00B349D5">
        <w:t>WCI has</w:t>
      </w:r>
      <w:r w:rsidR="0031579B" w:rsidRPr="00B349D5">
        <w:t xml:space="preserve"> added new rental properties used and useful </w:t>
      </w:r>
      <w:r w:rsidR="00084ABD" w:rsidRPr="00B349D5">
        <w:t>for</w:t>
      </w:r>
      <w:r w:rsidR="0031579B" w:rsidRPr="00B349D5">
        <w:t xml:space="preserve"> regulated service </w:t>
      </w:r>
      <w:r w:rsidR="0031579B" w:rsidRPr="00B349D5">
        <w:lastRenderedPageBreak/>
        <w:t>including a paint warehouse, covered parking for trucks and a new shop facility.</w:t>
      </w:r>
      <w:r w:rsidR="0031579B" w:rsidRPr="00B349D5">
        <w:rPr>
          <w:rStyle w:val="FootnoteReference"/>
        </w:rPr>
        <w:footnoteReference w:id="22"/>
      </w:r>
      <w:r w:rsidR="00084ABD" w:rsidRPr="00B349D5">
        <w:t xml:space="preserve">  While t</w:t>
      </w:r>
      <w:r w:rsidR="0031579B" w:rsidRPr="00B349D5">
        <w:t xml:space="preserve">hese facilities are regularly utilized by the Company, the new auditor’s three-factor allocation methodology and “temporal updates” to costs of debt and return on equity utilizing the nonregulated affiliates’ capital structure </w:t>
      </w:r>
      <w:r w:rsidR="00084ABD" w:rsidRPr="00B349D5">
        <w:t xml:space="preserve">in the test year </w:t>
      </w:r>
      <w:r w:rsidR="0031579B" w:rsidRPr="00B349D5">
        <w:t xml:space="preserve">now yield less than $5,000 more in allowable rents </w:t>
      </w:r>
      <w:r w:rsidRPr="00B349D5">
        <w:t xml:space="preserve">under the new Staff recommendation </w:t>
      </w:r>
      <w:r w:rsidR="0031579B" w:rsidRPr="00B349D5">
        <w:t xml:space="preserve">than the </w:t>
      </w:r>
      <w:r w:rsidR="00084ABD" w:rsidRPr="00B349D5">
        <w:t xml:space="preserve">Company’s </w:t>
      </w:r>
      <w:r w:rsidR="0031579B" w:rsidRPr="00B349D5">
        <w:t>much smaller rental property profile in 2009.  That allowance represents a substantial roll-back in allowable rents when considered on an individual rental property</w:t>
      </w:r>
      <w:r w:rsidR="00084ABD" w:rsidRPr="00B349D5">
        <w:t xml:space="preserve"> parcel</w:t>
      </w:r>
      <w:r w:rsidR="0031579B" w:rsidRPr="00B349D5">
        <w:t xml:space="preserve"> basis and reverses </w:t>
      </w:r>
      <w:r w:rsidR="00084ABD" w:rsidRPr="00B349D5">
        <w:t xml:space="preserve">the prior pattern </w:t>
      </w:r>
      <w:r w:rsidR="0031579B" w:rsidRPr="00B349D5">
        <w:t>of pro rata rental return methodology u</w:t>
      </w:r>
      <w:r w:rsidR="00084ABD" w:rsidRPr="00B349D5">
        <w:t>sed</w:t>
      </w:r>
      <w:r w:rsidR="0031579B" w:rsidRPr="00B349D5">
        <w:t xml:space="preserve"> by previous Staff auditors. </w:t>
      </w:r>
    </w:p>
    <w:p w:rsidR="00290E83" w:rsidRPr="00B349D5" w:rsidRDefault="00290E83" w:rsidP="00B36123">
      <w:pPr>
        <w:pStyle w:val="BodyText2"/>
        <w:numPr>
          <w:ilvl w:val="0"/>
          <w:numId w:val="35"/>
        </w:numPr>
        <w:spacing w:before="120" w:after="120"/>
        <w:ind w:hanging="720"/>
      </w:pPr>
      <w:r w:rsidRPr="00B349D5">
        <w:t xml:space="preserve">Land rents and the controversy surrounding restating adjustments thereto were thoroughly addressed in the Company’s Reply Brief beginning at page 14 and continuing to page 24.  For the </w:t>
      </w:r>
      <w:r w:rsidR="00C4266D" w:rsidRPr="00B349D5">
        <w:t xml:space="preserve">specific </w:t>
      </w:r>
      <w:r w:rsidRPr="00B349D5">
        <w:t>analytical threads of that analysis, Petitioner expressly incorporates by reference that analysis here</w:t>
      </w:r>
      <w:r w:rsidR="00C4266D" w:rsidRPr="00B349D5">
        <w:t>.  That detailed discussion</w:t>
      </w:r>
      <w:r w:rsidRPr="00B349D5">
        <w:t xml:space="preserve"> received </w:t>
      </w:r>
      <w:r w:rsidR="0048093B" w:rsidRPr="00B349D5">
        <w:t xml:space="preserve">rather </w:t>
      </w:r>
      <w:r w:rsidRPr="00B349D5">
        <w:t>short shrift in the Initial Order, at least in its relative</w:t>
      </w:r>
      <w:r w:rsidR="008336CB" w:rsidRPr="00B349D5">
        <w:t>ly</w:t>
      </w:r>
      <w:r w:rsidRPr="00B349D5">
        <w:t xml:space="preserve"> truncated dismissal in the </w:t>
      </w:r>
      <w:r w:rsidR="00036E8F" w:rsidRPr="00B349D5">
        <w:t xml:space="preserve">pertinent </w:t>
      </w:r>
      <w:r w:rsidRPr="00B349D5">
        <w:t>discussions/decision section.</w:t>
      </w:r>
      <w:r w:rsidRPr="00B349D5">
        <w:rPr>
          <w:rStyle w:val="FootnoteReference"/>
        </w:rPr>
        <w:footnoteReference w:id="23"/>
      </w:r>
      <w:r w:rsidRPr="00B349D5">
        <w:t xml:space="preserve">  In</w:t>
      </w:r>
      <w:r w:rsidR="00036E8F" w:rsidRPr="00B349D5">
        <w:t xml:space="preserve"> essence</w:t>
      </w:r>
      <w:r w:rsidRPr="00B349D5">
        <w:t xml:space="preserve">, the Initial Order, while purportedly </w:t>
      </w:r>
      <w:r w:rsidR="00D15194" w:rsidRPr="00B349D5">
        <w:t xml:space="preserve">summarizing </w:t>
      </w:r>
      <w:r w:rsidRPr="00B349D5">
        <w:t xml:space="preserve">the argument of the Company in immediately </w:t>
      </w:r>
      <w:r w:rsidR="00150EB3" w:rsidRPr="00B349D5">
        <w:t xml:space="preserve">previous </w:t>
      </w:r>
      <w:r w:rsidRPr="00B349D5">
        <w:t xml:space="preserve">pages, appears to </w:t>
      </w:r>
      <w:r w:rsidR="00C4266D" w:rsidRPr="00B349D5">
        <w:t>abruptly</w:t>
      </w:r>
      <w:r w:rsidRPr="00B349D5">
        <w:t xml:space="preserve"> dismiss WCI’s position on land rents as “not supported” and as not “offer[</w:t>
      </w:r>
      <w:proofErr w:type="spellStart"/>
      <w:r w:rsidRPr="00B349D5">
        <w:t>ing</w:t>
      </w:r>
      <w:proofErr w:type="spellEnd"/>
      <w:r w:rsidRPr="00B349D5">
        <w:t>] a reasonable justification for using the capital structure of the tenant instead of the landlord to calculate a fair return on rents charged by the landlord affiliates.”</w:t>
      </w:r>
      <w:r w:rsidRPr="00B349D5">
        <w:rPr>
          <w:vertAlign w:val="superscript"/>
        </w:rPr>
        <w:footnoteReference w:id="24"/>
      </w:r>
      <w:r w:rsidRPr="00B349D5">
        <w:t xml:space="preserve">  Once again, the Staff position</w:t>
      </w:r>
      <w:r w:rsidR="00D15194" w:rsidRPr="00B349D5">
        <w:t>,</w:t>
      </w:r>
      <w:r w:rsidR="00036E8F" w:rsidRPr="00B349D5">
        <w:t xml:space="preserve"> now adopted wholesale</w:t>
      </w:r>
      <w:r w:rsidRPr="00B349D5">
        <w:t xml:space="preserve"> by the Initial Order, substantially overlooks the theories, analogous case law facts and arguments supporting the Company’s position here.</w:t>
      </w:r>
      <w:r w:rsidR="00160634" w:rsidRPr="00B349D5">
        <w:rPr>
          <w:rStyle w:val="FootnoteReference"/>
        </w:rPr>
        <w:footnoteReference w:id="25"/>
      </w:r>
      <w:r w:rsidRPr="00B349D5">
        <w:t xml:space="preserve">  </w:t>
      </w:r>
    </w:p>
    <w:p w:rsidR="00290E83" w:rsidRPr="00B349D5" w:rsidRDefault="00290E83" w:rsidP="00B36123">
      <w:pPr>
        <w:pStyle w:val="BodyText2"/>
        <w:numPr>
          <w:ilvl w:val="0"/>
          <w:numId w:val="35"/>
        </w:numPr>
        <w:spacing w:before="120" w:after="120"/>
        <w:ind w:hanging="720"/>
      </w:pPr>
      <w:r w:rsidRPr="00B349D5">
        <w:lastRenderedPageBreak/>
        <w:t xml:space="preserve">To briefly </w:t>
      </w:r>
      <w:r w:rsidR="00D15194" w:rsidRPr="00B349D5">
        <w:t>summarize</w:t>
      </w:r>
      <w:r w:rsidRPr="00B349D5">
        <w:t xml:space="preserve"> those arguments</w:t>
      </w:r>
      <w:r w:rsidR="00C4266D" w:rsidRPr="00B349D5">
        <w:t>,</w:t>
      </w:r>
      <w:r w:rsidRPr="00B349D5">
        <w:t xml:space="preserve"> the Company </w:t>
      </w:r>
      <w:r w:rsidR="00036E8F" w:rsidRPr="00B349D5">
        <w:t xml:space="preserve">recaps </w:t>
      </w:r>
      <w:r w:rsidRPr="00B349D5">
        <w:t>the following</w:t>
      </w:r>
      <w:r w:rsidR="00036E8F" w:rsidRPr="00B349D5">
        <w:t xml:space="preserve"> points</w:t>
      </w:r>
      <w:r w:rsidRPr="00B349D5">
        <w:t>:</w:t>
      </w:r>
    </w:p>
    <w:p w:rsidR="00290E83" w:rsidRPr="00B349D5" w:rsidRDefault="00290E83" w:rsidP="00DA471E">
      <w:pPr>
        <w:pStyle w:val="Heading2"/>
        <w:keepNext w:val="0"/>
        <w:numPr>
          <w:ilvl w:val="0"/>
          <w:numId w:val="24"/>
        </w:numPr>
        <w:spacing w:line="240" w:lineRule="auto"/>
      </w:pPr>
      <w:r w:rsidRPr="00B349D5">
        <w:t>There is no evidence whatsoever in this record that utilizing an asset-specific capital structure</w:t>
      </w:r>
      <w:r w:rsidR="00036E8F" w:rsidRPr="00B349D5">
        <w:t>,</w:t>
      </w:r>
      <w:r w:rsidRPr="00B349D5">
        <w:t xml:space="preserve"> as WCI alternatively proposed to the audit staff and endorsed in </w:t>
      </w:r>
      <w:r w:rsidRPr="00B349D5">
        <w:rPr>
          <w:i/>
        </w:rPr>
        <w:t>Bremerton-Kitsap Airporter</w:t>
      </w:r>
      <w:r w:rsidR="008336CB" w:rsidRPr="00B349D5">
        <w:rPr>
          <w:i/>
        </w:rPr>
        <w:t>,</w:t>
      </w:r>
      <w:r w:rsidR="008336CB" w:rsidRPr="00B349D5">
        <w:rPr>
          <w:rStyle w:val="FootnoteReference"/>
          <w:i/>
        </w:rPr>
        <w:footnoteReference w:id="26"/>
      </w:r>
      <w:r w:rsidRPr="00B349D5">
        <w:t xml:space="preserve"> would result in equity shifting to regulated properties and debt encumbrance to nonregulated affiliates.</w:t>
      </w:r>
    </w:p>
    <w:p w:rsidR="00290E83" w:rsidRPr="00B349D5" w:rsidRDefault="00290E83" w:rsidP="00DA471E">
      <w:pPr>
        <w:pStyle w:val="Heading2"/>
        <w:keepNext w:val="0"/>
        <w:numPr>
          <w:ilvl w:val="0"/>
          <w:numId w:val="24"/>
        </w:numPr>
        <w:spacing w:line="240" w:lineRule="auto"/>
      </w:pPr>
      <w:r w:rsidRPr="00B349D5">
        <w:t xml:space="preserve">The pledging or cross-collateralization of assets by corporate debtors is to be distinguished from outright mortgaging of assets.  Contingent liabilities are not the same as actual, guarantors are not direct borrowers and the reality that conventional lenders take blanket security interests in </w:t>
      </w:r>
      <w:r w:rsidR="00C4266D" w:rsidRPr="00B349D5">
        <w:t xml:space="preserve">total </w:t>
      </w:r>
      <w:r w:rsidRPr="00B349D5">
        <w:t xml:space="preserve">company assets does not convert the cross-collateralized obligor into </w:t>
      </w:r>
      <w:r w:rsidR="00036E8F" w:rsidRPr="00B349D5">
        <w:t xml:space="preserve">a </w:t>
      </w:r>
      <w:r w:rsidRPr="00B349D5">
        <w:t>primary debtor.</w:t>
      </w:r>
    </w:p>
    <w:p w:rsidR="00290E83" w:rsidRPr="00B349D5" w:rsidRDefault="00290E83" w:rsidP="00DA471E">
      <w:pPr>
        <w:pStyle w:val="Heading2"/>
        <w:keepNext w:val="0"/>
        <w:numPr>
          <w:ilvl w:val="0"/>
          <w:numId w:val="24"/>
        </w:numPr>
        <w:spacing w:line="240" w:lineRule="auto"/>
      </w:pPr>
      <w:r w:rsidRPr="00B349D5">
        <w:t xml:space="preserve">Lurito-Gallagher has never sanctioned consolidation of </w:t>
      </w:r>
      <w:r w:rsidR="00A2642C" w:rsidRPr="00B349D5">
        <w:t>nonregulated</w:t>
      </w:r>
      <w:r w:rsidRPr="00B349D5">
        <w:t xml:space="preserve"> assets </w:t>
      </w:r>
      <w:r w:rsidR="00A2642C" w:rsidRPr="00B349D5">
        <w:t xml:space="preserve">of sister companies </w:t>
      </w:r>
      <w:r w:rsidRPr="00B349D5">
        <w:t xml:space="preserve">to establish returns on </w:t>
      </w:r>
      <w:r w:rsidR="00A2642C" w:rsidRPr="00B349D5">
        <w:t>rental properties</w:t>
      </w:r>
      <w:r w:rsidRPr="00B349D5">
        <w:t xml:space="preserve"> nor does the imputation of debt loads on </w:t>
      </w:r>
      <w:r w:rsidR="00036E8F" w:rsidRPr="00B349D5">
        <w:t xml:space="preserve">a </w:t>
      </w:r>
      <w:r w:rsidRPr="00B349D5">
        <w:t xml:space="preserve">specific property have any bearing on either the use of the property or its actual </w:t>
      </w:r>
      <w:r w:rsidR="00036E8F" w:rsidRPr="00B349D5">
        <w:t>capital profile</w:t>
      </w:r>
      <w:r w:rsidRPr="00B349D5">
        <w:t>.</w:t>
      </w:r>
    </w:p>
    <w:p w:rsidR="00290E83" w:rsidRPr="00B349D5" w:rsidRDefault="00290E83" w:rsidP="00DA471E">
      <w:pPr>
        <w:pStyle w:val="Heading2"/>
        <w:keepNext w:val="0"/>
        <w:numPr>
          <w:ilvl w:val="0"/>
          <w:numId w:val="24"/>
        </w:numPr>
        <w:spacing w:line="240" w:lineRule="auto"/>
      </w:pPr>
      <w:r w:rsidRPr="00B349D5">
        <w:t xml:space="preserve">Analogies to and reliance upon regulated utility rate cases for calculating costs of debt and return on equity for </w:t>
      </w:r>
      <w:r w:rsidR="00036E8F" w:rsidRPr="00B349D5">
        <w:t xml:space="preserve">rental returns for </w:t>
      </w:r>
      <w:r w:rsidRPr="00B349D5">
        <w:t>small</w:t>
      </w:r>
      <w:r w:rsidR="00036E8F" w:rsidRPr="00B349D5">
        <w:t>,</w:t>
      </w:r>
      <w:r w:rsidRPr="00B349D5">
        <w:t xml:space="preserve"> privately-held </w:t>
      </w:r>
      <w:r w:rsidR="00036E8F" w:rsidRPr="00B349D5">
        <w:t xml:space="preserve">companies </w:t>
      </w:r>
      <w:r w:rsidRPr="00B349D5">
        <w:t xml:space="preserve">is a slippery slope.  </w:t>
      </w:r>
      <w:r w:rsidR="00A2642C" w:rsidRPr="00B349D5">
        <w:t xml:space="preserve">As the </w:t>
      </w:r>
      <w:r w:rsidR="00B349D5" w:rsidRPr="00B349D5">
        <w:fldChar w:fldCharType="begin"/>
      </w:r>
      <w:r w:rsidR="00B349D5" w:rsidRPr="00B349D5">
        <w:instrText xml:space="preserve"> ADDIN BA \xc &lt;@rec&gt; \xl 30 \s ECSSJP000074 \l "Company’s Reply Brief at p. 22" </w:instrText>
      </w:r>
      <w:r w:rsidR="00B349D5" w:rsidRPr="00B349D5">
        <w:fldChar w:fldCharType="end"/>
      </w:r>
      <w:bookmarkStart w:id="66" w:name="_BA_Cite_167"/>
      <w:r w:rsidR="00A2642C" w:rsidRPr="00B349D5">
        <w:t>Company’s Reply Brief at p. 22</w:t>
      </w:r>
      <w:bookmarkEnd w:id="66"/>
      <w:r w:rsidR="00A2642C" w:rsidRPr="00B349D5">
        <w:t xml:space="preserve"> quotes, </w:t>
      </w:r>
      <w:r w:rsidRPr="00B349D5">
        <w:t xml:space="preserve">Dr. Lurito’s testimony in the 1991 </w:t>
      </w:r>
      <w:r w:rsidR="00B349D5" w:rsidRPr="00B349D5">
        <w:fldChar w:fldCharType="begin"/>
      </w:r>
      <w:r w:rsidR="00B349D5" w:rsidRPr="00B349D5">
        <w:instrText xml:space="preserve"> ADDIN BA \xc &lt;@$cs&gt; \xl 8 \s ECSSJP000019 </w:instrText>
      </w:r>
      <w:r w:rsidR="00B349D5" w:rsidRPr="00B349D5">
        <w:fldChar w:fldCharType="end"/>
      </w:r>
      <w:bookmarkStart w:id="67" w:name="_BA_Cite_168"/>
      <w:r w:rsidRPr="00B349D5">
        <w:rPr>
          <w:i/>
        </w:rPr>
        <w:t>Sno-King</w:t>
      </w:r>
      <w:bookmarkEnd w:id="67"/>
      <w:r w:rsidRPr="00B349D5">
        <w:rPr>
          <w:i/>
        </w:rPr>
        <w:t xml:space="preserve"> </w:t>
      </w:r>
      <w:r w:rsidRPr="00B349D5">
        <w:t>case was</w:t>
      </w:r>
      <w:r w:rsidR="00C111A3" w:rsidRPr="00B349D5">
        <w:t xml:space="preserve"> developed in knowing contrast </w:t>
      </w:r>
      <w:r w:rsidRPr="00B349D5">
        <w:t>to cost</w:t>
      </w:r>
      <w:r w:rsidR="00C111A3" w:rsidRPr="00B349D5">
        <w:t>s</w:t>
      </w:r>
      <w:r w:rsidRPr="00B349D5">
        <w:t xml:space="preserve"> of debt, cost</w:t>
      </w:r>
      <w:r w:rsidR="00AE3CC9" w:rsidRPr="00B349D5">
        <w:t>s</w:t>
      </w:r>
      <w:r w:rsidRPr="00B349D5">
        <w:t xml:space="preserve"> of equity, risk profiles and </w:t>
      </w:r>
      <w:r w:rsidR="00036E8F" w:rsidRPr="00B349D5">
        <w:t xml:space="preserve">allowable </w:t>
      </w:r>
      <w:r w:rsidR="0048093B" w:rsidRPr="00B349D5">
        <w:t>returns in the publicly-</w:t>
      </w:r>
      <w:r w:rsidRPr="00B349D5">
        <w:t xml:space="preserve">traded </w:t>
      </w:r>
      <w:r w:rsidR="00036E8F" w:rsidRPr="00B349D5">
        <w:t xml:space="preserve">marketplace </w:t>
      </w:r>
      <w:r w:rsidRPr="00B349D5">
        <w:t>and broadly rejects use of such factors in regulating the rates of Washington solid waste collection companies.</w:t>
      </w:r>
    </w:p>
    <w:p w:rsidR="00290E83" w:rsidRPr="00B349D5" w:rsidRDefault="00290E83" w:rsidP="00DA471E">
      <w:pPr>
        <w:pStyle w:val="Heading2"/>
        <w:keepNext w:val="0"/>
        <w:numPr>
          <w:ilvl w:val="0"/>
          <w:numId w:val="24"/>
        </w:numPr>
        <w:spacing w:line="240" w:lineRule="auto"/>
      </w:pPr>
      <w:r w:rsidRPr="00B349D5">
        <w:t xml:space="preserve">The Initial Order compounds the Staff’s error in this regard here by favorably </w:t>
      </w:r>
      <w:r w:rsidR="00A2642C" w:rsidRPr="00B349D5">
        <w:t xml:space="preserve">citing </w:t>
      </w:r>
      <w:r w:rsidRPr="00B349D5">
        <w:t>the Staff’s discounted cash flow (“</w:t>
      </w:r>
      <w:proofErr w:type="spellStart"/>
      <w:r w:rsidRPr="00B349D5">
        <w:t>DCF</w:t>
      </w:r>
      <w:proofErr w:type="spellEnd"/>
      <w:r w:rsidR="00036E8F" w:rsidRPr="00B349D5">
        <w:t>”)-</w:t>
      </w:r>
      <w:r w:rsidRPr="00B349D5">
        <w:t xml:space="preserve">based cost of equity </w:t>
      </w:r>
      <w:r w:rsidR="00036E8F" w:rsidRPr="00B349D5">
        <w:t xml:space="preserve">factors </w:t>
      </w:r>
      <w:r w:rsidRPr="00B349D5">
        <w:t xml:space="preserve">which </w:t>
      </w:r>
      <w:r w:rsidR="00036E8F" w:rsidRPr="00B349D5">
        <w:t>utilize</w:t>
      </w:r>
      <w:r w:rsidR="00A2642C" w:rsidRPr="00B349D5">
        <w:t xml:space="preserve"> </w:t>
      </w:r>
      <w:r w:rsidR="00036E8F" w:rsidRPr="00B349D5">
        <w:t>huge publicly traded real estate conglomerates</w:t>
      </w:r>
      <w:r w:rsidR="008336CB" w:rsidRPr="00B349D5">
        <w:t xml:space="preserve"> (i.e.</w:t>
      </w:r>
      <w:r w:rsidR="0048093B" w:rsidRPr="00B349D5">
        <w:t>,</w:t>
      </w:r>
      <w:r w:rsidR="004A26DB">
        <w:t xml:space="preserve"> “REITs</w:t>
      </w:r>
      <w:r w:rsidR="008336CB" w:rsidRPr="00B349D5">
        <w:t>”)</w:t>
      </w:r>
      <w:r w:rsidR="00036E8F" w:rsidRPr="00B349D5">
        <w:t xml:space="preserve"> </w:t>
      </w:r>
      <w:r w:rsidRPr="00B349D5">
        <w:t>and</w:t>
      </w:r>
      <w:r w:rsidR="00036E8F" w:rsidRPr="00B349D5">
        <w:t xml:space="preserve"> also by</w:t>
      </w:r>
      <w:r w:rsidRPr="00B349D5">
        <w:t xml:space="preserve"> </w:t>
      </w:r>
      <w:r w:rsidR="006C4AB2" w:rsidRPr="00B349D5">
        <w:t xml:space="preserve">adopting </w:t>
      </w:r>
      <w:r w:rsidRPr="00B349D5">
        <w:t xml:space="preserve"> the Commission’s historic approval</w:t>
      </w:r>
      <w:r w:rsidR="00036E8F" w:rsidRPr="00B349D5">
        <w:t xml:space="preserve"> of dynamic costs of capital </w:t>
      </w:r>
      <w:r w:rsidR="0048093B" w:rsidRPr="00B349D5">
        <w:t xml:space="preserve">in </w:t>
      </w:r>
      <w:r w:rsidR="00AE3CC9" w:rsidRPr="00B349D5">
        <w:t xml:space="preserve">establishing </w:t>
      </w:r>
      <w:r w:rsidR="00036E8F" w:rsidRPr="00B349D5">
        <w:t>returns on equity for</w:t>
      </w:r>
      <w:r w:rsidR="006C4AB2" w:rsidRPr="00B349D5">
        <w:t xml:space="preserve"> large</w:t>
      </w:r>
      <w:r w:rsidR="00036E8F" w:rsidRPr="00B349D5">
        <w:t xml:space="preserve"> public utilities.</w:t>
      </w:r>
    </w:p>
    <w:p w:rsidR="00290E83" w:rsidRPr="00B349D5" w:rsidRDefault="00290E83" w:rsidP="00264377">
      <w:pPr>
        <w:pStyle w:val="Heading2"/>
        <w:keepNext w:val="0"/>
        <w:numPr>
          <w:ilvl w:val="0"/>
          <w:numId w:val="24"/>
        </w:numPr>
        <w:spacing w:line="240" w:lineRule="auto"/>
      </w:pPr>
      <w:r w:rsidRPr="00B349D5">
        <w:t xml:space="preserve">Dr. Lurito specifically rejected analogies </w:t>
      </w:r>
      <w:r w:rsidR="00A2642C" w:rsidRPr="00B349D5">
        <w:t>o</w:t>
      </w:r>
      <w:r w:rsidR="004A26DB">
        <w:t>f</w:t>
      </w:r>
      <w:r w:rsidR="00A2642C" w:rsidRPr="00B349D5">
        <w:t xml:space="preserve"> </w:t>
      </w:r>
      <w:r w:rsidRPr="00B349D5">
        <w:t xml:space="preserve">the comparative risk factors of small, privately-held garbage companies </w:t>
      </w:r>
      <w:r w:rsidR="00036E8F" w:rsidRPr="00B349D5">
        <w:t xml:space="preserve">to </w:t>
      </w:r>
      <w:r w:rsidRPr="00B349D5">
        <w:t>public utility companies</w:t>
      </w:r>
      <w:r w:rsidR="00036E8F" w:rsidRPr="00B349D5">
        <w:t>,</w:t>
      </w:r>
      <w:r w:rsidRPr="00B349D5">
        <w:t xml:space="preserve"> finding returns on equity and cost of debt to be </w:t>
      </w:r>
      <w:r w:rsidR="00036E8F" w:rsidRPr="00B349D5">
        <w:t xml:space="preserve">considerably </w:t>
      </w:r>
      <w:r w:rsidRPr="00B349D5">
        <w:t>higher in inherently riskier businesses</w:t>
      </w:r>
      <w:r w:rsidR="00036E8F" w:rsidRPr="00B349D5">
        <w:t>, i</w:t>
      </w:r>
      <w:r w:rsidRPr="00B349D5">
        <w:t>.</w:t>
      </w:r>
      <w:r w:rsidR="00036E8F" w:rsidRPr="00B349D5">
        <w:t>e. Washington p</w:t>
      </w:r>
      <w:r w:rsidR="00B64366" w:rsidRPr="00B349D5">
        <w:t>rivately-held</w:t>
      </w:r>
      <w:r w:rsidR="00036E8F" w:rsidRPr="00B349D5">
        <w:t xml:space="preserve"> solid waste collection companies.</w:t>
      </w:r>
      <w:r w:rsidR="006C4AB2" w:rsidRPr="00B349D5">
        <w:t xml:space="preserve">  The Staff auditor</w:t>
      </w:r>
      <w:r w:rsidR="008336CB" w:rsidRPr="00B349D5">
        <w:t xml:space="preserve"> specifically</w:t>
      </w:r>
      <w:r w:rsidR="006C4AB2" w:rsidRPr="00B349D5">
        <w:t xml:space="preserve"> did not examine comparative risk premiums in recommending her ROE factors nor does the Initial Order discuss this factor</w:t>
      </w:r>
      <w:r w:rsidR="00AE3CC9" w:rsidRPr="00B349D5">
        <w:t>,</w:t>
      </w:r>
      <w:r w:rsidR="006C4AB2" w:rsidRPr="00B349D5">
        <w:t xml:space="preserve"> either</w:t>
      </w:r>
      <w:r w:rsidR="00160634" w:rsidRPr="00B349D5">
        <w:t>.</w:t>
      </w:r>
      <w:r w:rsidR="00160634" w:rsidRPr="00B349D5">
        <w:rPr>
          <w:rStyle w:val="FootnoteReference"/>
        </w:rPr>
        <w:footnoteReference w:id="27"/>
      </w:r>
    </w:p>
    <w:p w:rsidR="00290E83" w:rsidRPr="00B349D5" w:rsidRDefault="00290E83" w:rsidP="00264377">
      <w:pPr>
        <w:pStyle w:val="Heading2"/>
        <w:keepNext w:val="0"/>
        <w:numPr>
          <w:ilvl w:val="0"/>
          <w:numId w:val="24"/>
        </w:numPr>
        <w:spacing w:line="240" w:lineRule="auto"/>
      </w:pPr>
      <w:r w:rsidRPr="00B349D5">
        <w:t>There is no precedent in any</w:t>
      </w:r>
      <w:r w:rsidR="008336CB" w:rsidRPr="00B349D5">
        <w:t xml:space="preserve"> Final Order </w:t>
      </w:r>
      <w:r w:rsidRPr="00B349D5">
        <w:t xml:space="preserve">adjudicated </w:t>
      </w:r>
      <w:r w:rsidR="00B349D5" w:rsidRPr="00B349D5">
        <w:fldChar w:fldCharType="begin"/>
      </w:r>
      <w:r w:rsidR="00B349D5" w:rsidRPr="00B349D5">
        <w:instrText xml:space="preserve"> ADDIN BA \xc &lt;@osdv&gt; \xl 8 \s ECSSJP000076 \l "Title 81" </w:instrText>
      </w:r>
      <w:r w:rsidR="00B349D5" w:rsidRPr="00B349D5">
        <w:fldChar w:fldCharType="end"/>
      </w:r>
      <w:bookmarkStart w:id="69" w:name="_BA_Cite_170"/>
      <w:r w:rsidRPr="00B349D5">
        <w:t>Title 81</w:t>
      </w:r>
      <w:bookmarkEnd w:id="69"/>
      <w:r w:rsidRPr="00B349D5">
        <w:t xml:space="preserve"> cases for the update or “modernization” the Staff seeks to engraft in calculating returns on affiliate rental properties in this case.  Any such temporal update or </w:t>
      </w:r>
      <w:r w:rsidR="00B428B5" w:rsidRPr="00B349D5">
        <w:t xml:space="preserve">comparisons </w:t>
      </w:r>
      <w:r w:rsidRPr="00B349D5">
        <w:t>to public utilities</w:t>
      </w:r>
      <w:r w:rsidR="00AE3CC9" w:rsidRPr="00B349D5">
        <w:t>’ costs of capital pronouncement</w:t>
      </w:r>
      <w:r w:rsidR="00B428B5" w:rsidRPr="00B349D5">
        <w:t>s</w:t>
      </w:r>
      <w:r w:rsidR="00AE3CC9" w:rsidRPr="00B349D5">
        <w:t xml:space="preserve"> </w:t>
      </w:r>
      <w:r w:rsidRPr="00B349D5">
        <w:t xml:space="preserve">should await consideration in pending rulemaking </w:t>
      </w:r>
      <w:r w:rsidR="00160634" w:rsidRPr="00B349D5">
        <w:t xml:space="preserve">Docket </w:t>
      </w:r>
      <w:r w:rsidRPr="00B349D5">
        <w:t>TG-131255.</w:t>
      </w:r>
    </w:p>
    <w:p w:rsidR="00290E83" w:rsidRPr="00B349D5" w:rsidRDefault="00290E83" w:rsidP="00264377">
      <w:pPr>
        <w:pStyle w:val="Heading2"/>
        <w:keepLines/>
        <w:numPr>
          <w:ilvl w:val="0"/>
          <w:numId w:val="24"/>
        </w:numPr>
        <w:spacing w:line="240" w:lineRule="auto"/>
      </w:pPr>
      <w:r w:rsidRPr="00B349D5">
        <w:lastRenderedPageBreak/>
        <w:t xml:space="preserve">The proposed 15% return on equity </w:t>
      </w:r>
      <w:r w:rsidR="00036E8F" w:rsidRPr="00B349D5">
        <w:t xml:space="preserve">for WCI </w:t>
      </w:r>
      <w:r w:rsidR="00CB08ED" w:rsidRPr="00B349D5">
        <w:t xml:space="preserve">here </w:t>
      </w:r>
      <w:r w:rsidR="00036E8F" w:rsidRPr="00B349D5">
        <w:t>on rental properties</w:t>
      </w:r>
      <w:r w:rsidR="00CB08ED" w:rsidRPr="00B349D5">
        <w:t xml:space="preserve"> </w:t>
      </w:r>
      <w:r w:rsidRPr="00B349D5">
        <w:t xml:space="preserve">was ratified not only in the </w:t>
      </w:r>
      <w:r w:rsidRPr="00B349D5">
        <w:rPr>
          <w:i/>
        </w:rPr>
        <w:t>Bremerton-Kitsap</w:t>
      </w:r>
      <w:r w:rsidRPr="00B349D5">
        <w:t xml:space="preserve"> </w:t>
      </w:r>
      <w:r w:rsidRPr="00B349D5">
        <w:rPr>
          <w:i/>
        </w:rPr>
        <w:t>Airporter</w:t>
      </w:r>
      <w:r w:rsidRPr="00B349D5">
        <w:t xml:space="preserve"> case, the prior </w:t>
      </w:r>
      <w:r w:rsidR="00CB08ED" w:rsidRPr="00B349D5">
        <w:t xml:space="preserve">WCI </w:t>
      </w:r>
      <w:r w:rsidRPr="00B349D5">
        <w:t xml:space="preserve">2009 </w:t>
      </w:r>
      <w:r w:rsidR="00B428B5" w:rsidRPr="00B349D5">
        <w:t xml:space="preserve">general </w:t>
      </w:r>
      <w:r w:rsidR="00CB08ED" w:rsidRPr="00B349D5">
        <w:t xml:space="preserve">rate </w:t>
      </w:r>
      <w:r w:rsidRPr="00B349D5">
        <w:t>case</w:t>
      </w:r>
      <w:r w:rsidR="00AE3CC9" w:rsidRPr="00B349D5">
        <w:t>,</w:t>
      </w:r>
      <w:r w:rsidRPr="00B349D5">
        <w:t xml:space="preserve"> but also</w:t>
      </w:r>
      <w:r w:rsidR="007C3DBC" w:rsidRPr="00B349D5">
        <w:t>,</w:t>
      </w:r>
      <w:r w:rsidRPr="00B349D5">
        <w:t xml:space="preserve"> as noted in Mr. Demas’ testimony, his review of 12 </w:t>
      </w:r>
      <w:r w:rsidR="007C3DBC" w:rsidRPr="00B349D5">
        <w:t xml:space="preserve">recent </w:t>
      </w:r>
      <w:r w:rsidRPr="00B349D5">
        <w:t xml:space="preserve">solid waste rate cases </w:t>
      </w:r>
      <w:r w:rsidR="00CB08ED" w:rsidRPr="00B349D5">
        <w:t xml:space="preserve">through examination of </w:t>
      </w:r>
      <w:r w:rsidRPr="00B349D5">
        <w:t>the workpaper files.</w:t>
      </w:r>
      <w:r w:rsidR="00713815" w:rsidRPr="00B349D5">
        <w:rPr>
          <w:rStyle w:val="FootnoteReference"/>
        </w:rPr>
        <w:footnoteReference w:id="28"/>
      </w:r>
      <w:r w:rsidRPr="00B349D5">
        <w:t xml:space="preserve">  While </w:t>
      </w:r>
      <w:r w:rsidR="00713815" w:rsidRPr="00B349D5">
        <w:t xml:space="preserve">present </w:t>
      </w:r>
      <w:r w:rsidRPr="00B349D5">
        <w:t>Staff relied on public utility rate of return rate cases for developing returns on equity and costs of debt</w:t>
      </w:r>
      <w:r w:rsidR="00CB08ED" w:rsidRPr="00B349D5">
        <w:t xml:space="preserve"> here</w:t>
      </w:r>
      <w:r w:rsidRPr="00B349D5">
        <w:t xml:space="preserve">, the Company cited to previous solid waste general rate cases </w:t>
      </w:r>
      <w:r w:rsidR="00CB08ED" w:rsidRPr="00B349D5">
        <w:t xml:space="preserve">treatment </w:t>
      </w:r>
      <w:r w:rsidRPr="00B349D5">
        <w:t xml:space="preserve">and apparently the only </w:t>
      </w:r>
      <w:r w:rsidR="00B349D5" w:rsidRPr="00B349D5">
        <w:fldChar w:fldCharType="begin"/>
      </w:r>
      <w:r w:rsidR="00B349D5" w:rsidRPr="00B349D5">
        <w:instrText xml:space="preserve"> ADDIN BA \xc &lt;@$osdv&gt; \xl 8 \s ECSSJP000076 </w:instrText>
      </w:r>
      <w:r w:rsidR="00B349D5" w:rsidRPr="00B349D5">
        <w:fldChar w:fldCharType="end"/>
      </w:r>
      <w:r w:rsidRPr="00B349D5">
        <w:t xml:space="preserve">Title 81 adjudicated case, </w:t>
      </w:r>
      <w:r w:rsidRPr="00B349D5">
        <w:rPr>
          <w:i/>
        </w:rPr>
        <w:t>Bremerton-Kitsap Airporter</w:t>
      </w:r>
      <w:r w:rsidR="00CB08ED" w:rsidRPr="00B349D5">
        <w:rPr>
          <w:i/>
        </w:rPr>
        <w:t>,</w:t>
      </w:r>
      <w:r w:rsidRPr="00B349D5">
        <w:t xml:space="preserve"> </w:t>
      </w:r>
      <w:r w:rsidR="00A2642C" w:rsidRPr="00B349D5">
        <w:t>where comparable returns on equity and cost of capital were used</w:t>
      </w:r>
      <w:r w:rsidR="007C3DBC" w:rsidRPr="00B349D5">
        <w:t xml:space="preserve"> to derive returns on rents.</w:t>
      </w:r>
    </w:p>
    <w:p w:rsidR="00290E83" w:rsidRPr="00B349D5" w:rsidRDefault="00713815" w:rsidP="00042701">
      <w:pPr>
        <w:pStyle w:val="Heading2"/>
        <w:numPr>
          <w:ilvl w:val="0"/>
          <w:numId w:val="24"/>
        </w:numPr>
        <w:spacing w:line="240" w:lineRule="auto"/>
      </w:pPr>
      <w:r w:rsidRPr="00B349D5">
        <w:t xml:space="preserve">The </w:t>
      </w:r>
      <w:r w:rsidR="00D01A18">
        <w:t xml:space="preserve">wholesale </w:t>
      </w:r>
      <w:r w:rsidRPr="00B349D5">
        <w:t>transfer</w:t>
      </w:r>
      <w:r w:rsidR="00290E83" w:rsidRPr="00B349D5">
        <w:t xml:space="preserve"> of the three-factor allocators not only to shared utility expense but also in Staff’s allocation of depreciation and net investments in calculating return on rental properties does not include cost drivers relevant to the cost being allocated.  Staff’s three-factor analysis for depreciation and net investment for land rent allowance does not include allocation to all buildings occupied by WCI, WCR and WCE.  In using 100% of an individual company’s drivers for allocations when only an insignificant portion of that company is actually occupying shared</w:t>
      </w:r>
      <w:r w:rsidR="00CB08ED" w:rsidRPr="00B349D5">
        <w:t xml:space="preserve"> space with other affiliates</w:t>
      </w:r>
      <w:r w:rsidRPr="00B349D5">
        <w:t>,</w:t>
      </w:r>
      <w:r w:rsidR="00CB08ED" w:rsidRPr="00B349D5">
        <w:t xml:space="preserve"> an unreasonable rent is derived, </w:t>
      </w:r>
      <w:r w:rsidR="00290E83" w:rsidRPr="00B349D5">
        <w:t>allocating to the larger company</w:t>
      </w:r>
      <w:r w:rsidRPr="00B349D5">
        <w:t xml:space="preserve"> (WCR),</w:t>
      </w:r>
      <w:r w:rsidR="00CB08ED" w:rsidRPr="00B349D5">
        <w:t xml:space="preserve"> facilities </w:t>
      </w:r>
      <w:r w:rsidR="00160634" w:rsidRPr="00B349D5">
        <w:t>where</w:t>
      </w:r>
      <w:r w:rsidR="00CB08ED" w:rsidRPr="00B349D5">
        <w:t xml:space="preserve"> it </w:t>
      </w:r>
      <w:r w:rsidR="00290E83" w:rsidRPr="00B349D5">
        <w:t xml:space="preserve">is occupying only a negligible portion of the shared space.  WCI has never been subjected to calculation </w:t>
      </w:r>
      <w:r w:rsidR="00160634" w:rsidRPr="00B349D5">
        <w:t xml:space="preserve">of </w:t>
      </w:r>
      <w:r w:rsidR="00290E83" w:rsidRPr="00B349D5">
        <w:t xml:space="preserve">land rents based on </w:t>
      </w:r>
      <w:r w:rsidR="00CB08ED" w:rsidRPr="00B349D5">
        <w:t xml:space="preserve">the net depreciation </w:t>
      </w:r>
      <w:r w:rsidR="00290E83" w:rsidRPr="00B349D5">
        <w:t xml:space="preserve">value of </w:t>
      </w:r>
      <w:r w:rsidR="00CB08ED" w:rsidRPr="00B349D5">
        <w:t xml:space="preserve">real property </w:t>
      </w:r>
      <w:r w:rsidR="00290E83" w:rsidRPr="00B349D5">
        <w:t xml:space="preserve">assets.  Instead, its allowable rents have been calculated on a conventional return on investment scenario.  </w:t>
      </w:r>
    </w:p>
    <w:p w:rsidR="00290E83" w:rsidRPr="00B349D5" w:rsidRDefault="00290E83" w:rsidP="00042701">
      <w:pPr>
        <w:pStyle w:val="Heading2"/>
        <w:numPr>
          <w:ilvl w:val="0"/>
          <w:numId w:val="24"/>
        </w:numPr>
        <w:spacing w:line="240" w:lineRule="auto"/>
      </w:pPr>
      <w:r w:rsidRPr="00B349D5">
        <w:t>Clearly, Staff’s analysis to establish return on investment based on depreciation and average net investment transparently allows only the smallest of returns on older</w:t>
      </w:r>
      <w:r w:rsidR="00CB08ED" w:rsidRPr="00B349D5">
        <w:t>,</w:t>
      </w:r>
      <w:r w:rsidRPr="00B349D5">
        <w:t xml:space="preserve"> depreci</w:t>
      </w:r>
      <w:r w:rsidR="00CB08ED" w:rsidRPr="00B349D5">
        <w:t>ated buildings where</w:t>
      </w:r>
      <w:r w:rsidR="00AE3CC9" w:rsidRPr="00B349D5">
        <w:t>,</w:t>
      </w:r>
      <w:r w:rsidR="00CB08ED" w:rsidRPr="00B349D5">
        <w:t xml:space="preserve"> </w:t>
      </w:r>
      <w:r w:rsidR="00713815" w:rsidRPr="00B349D5">
        <w:t xml:space="preserve">just </w:t>
      </w:r>
      <w:r w:rsidR="00CB08ED" w:rsidRPr="00B349D5">
        <w:t xml:space="preserve">ironically, </w:t>
      </w:r>
      <w:r w:rsidRPr="00B349D5">
        <w:t>equity in the asset-specific capital structure of the property is the highest.</w:t>
      </w:r>
    </w:p>
    <w:p w:rsidR="00290E83" w:rsidRPr="00B349D5" w:rsidRDefault="007C3DBC" w:rsidP="00264377">
      <w:pPr>
        <w:pStyle w:val="Heading2"/>
        <w:keepNext w:val="0"/>
        <w:numPr>
          <w:ilvl w:val="0"/>
          <w:numId w:val="24"/>
        </w:numPr>
        <w:spacing w:line="240" w:lineRule="auto"/>
      </w:pPr>
      <w:r w:rsidRPr="00B349D5">
        <w:t>Transposing</w:t>
      </w:r>
      <w:r w:rsidR="00160634" w:rsidRPr="00B349D5">
        <w:t xml:space="preserve"> </w:t>
      </w:r>
      <w:r w:rsidR="00290E83" w:rsidRPr="00B349D5">
        <w:t xml:space="preserve">company capital structures and impressing </w:t>
      </w:r>
      <w:r w:rsidR="00713815" w:rsidRPr="00B349D5">
        <w:t xml:space="preserve">affiliate </w:t>
      </w:r>
      <w:r w:rsidR="00290E83" w:rsidRPr="00B349D5">
        <w:t xml:space="preserve">company-wide capital structures on </w:t>
      </w:r>
      <w:r w:rsidR="00160634" w:rsidRPr="00B349D5">
        <w:t>a regulated company</w:t>
      </w:r>
      <w:r w:rsidR="00A2642C" w:rsidRPr="00B349D5">
        <w:t>’s</w:t>
      </w:r>
      <w:r w:rsidR="00713815" w:rsidRPr="00B349D5">
        <w:t xml:space="preserve"> properties</w:t>
      </w:r>
      <w:r w:rsidR="00160634" w:rsidRPr="00B349D5">
        <w:t xml:space="preserve"> </w:t>
      </w:r>
      <w:r w:rsidR="00290E83" w:rsidRPr="00B349D5">
        <w:t xml:space="preserve">with no relation to </w:t>
      </w:r>
      <w:r w:rsidR="00CB08ED" w:rsidRPr="00B349D5">
        <w:t xml:space="preserve">their </w:t>
      </w:r>
      <w:r w:rsidR="00290E83" w:rsidRPr="00B349D5">
        <w:t xml:space="preserve">use by </w:t>
      </w:r>
      <w:r w:rsidR="00160634" w:rsidRPr="00B349D5">
        <w:t xml:space="preserve">that </w:t>
      </w:r>
      <w:r w:rsidR="00290E83" w:rsidRPr="00B349D5">
        <w:t>regulated company</w:t>
      </w:r>
      <w:r w:rsidR="00D15194" w:rsidRPr="00B349D5">
        <w:t>,</w:t>
      </w:r>
      <w:r w:rsidR="00290E83" w:rsidRPr="00B349D5">
        <w:t xml:space="preserve"> </w:t>
      </w:r>
      <w:r w:rsidR="00AE3CC9" w:rsidRPr="00B349D5">
        <w:t xml:space="preserve">while </w:t>
      </w:r>
      <w:r w:rsidR="00290E83" w:rsidRPr="00B349D5">
        <w:t xml:space="preserve">implementing </w:t>
      </w:r>
      <w:r w:rsidR="00713815" w:rsidRPr="00B349D5">
        <w:t>untested</w:t>
      </w:r>
      <w:r w:rsidR="001E437F" w:rsidRPr="00B349D5">
        <w:t xml:space="preserve"> </w:t>
      </w:r>
      <w:r w:rsidR="00290E83" w:rsidRPr="00B349D5">
        <w:t>allocations of depreciation and average net investme</w:t>
      </w:r>
      <w:r w:rsidR="00AE3CC9" w:rsidRPr="00B349D5">
        <w:t xml:space="preserve">nt to establish returns on </w:t>
      </w:r>
      <w:r w:rsidR="00B428B5" w:rsidRPr="00B349D5">
        <w:t xml:space="preserve">those </w:t>
      </w:r>
      <w:r w:rsidR="00AE3CC9" w:rsidRPr="00B349D5">
        <w:t xml:space="preserve">rents </w:t>
      </w:r>
      <w:r w:rsidR="00290E83" w:rsidRPr="00B349D5">
        <w:t>all have a singular purpose:  achieving a</w:t>
      </w:r>
      <w:r w:rsidR="00CB08ED" w:rsidRPr="00B349D5">
        <w:t xml:space="preserve"> substantially</w:t>
      </w:r>
      <w:r w:rsidR="00290E83" w:rsidRPr="00B349D5">
        <w:t xml:space="preserve"> reduced revenue requirement by unilaterally imposing return on rent theories that are both unprecedented and wholly contrary to past treatment of this and any other</w:t>
      </w:r>
      <w:r w:rsidR="00CB08ED" w:rsidRPr="00B349D5">
        <w:t xml:space="preserve"> previous</w:t>
      </w:r>
      <w:r w:rsidR="00290E83" w:rsidRPr="00B349D5">
        <w:t xml:space="preserve"> solid waste general rate case proponent.</w:t>
      </w:r>
    </w:p>
    <w:p w:rsidR="00AE3CC9" w:rsidRPr="00B349D5" w:rsidRDefault="0097741D" w:rsidP="00B36123">
      <w:pPr>
        <w:pStyle w:val="BodyText2"/>
        <w:numPr>
          <w:ilvl w:val="0"/>
          <w:numId w:val="35"/>
        </w:numPr>
        <w:spacing w:before="120" w:after="120"/>
        <w:ind w:hanging="720"/>
      </w:pPr>
      <w:r w:rsidRPr="00B349D5">
        <w:t>As</w:t>
      </w:r>
      <w:r w:rsidR="00164076" w:rsidRPr="00B349D5">
        <w:t xml:space="preserve">ide from </w:t>
      </w:r>
      <w:r w:rsidR="00656CD4" w:rsidRPr="00B349D5">
        <w:t>its</w:t>
      </w:r>
      <w:r w:rsidR="00164076" w:rsidRPr="00B349D5">
        <w:t xml:space="preserve"> threshold</w:t>
      </w:r>
      <w:r w:rsidR="003E4FBF" w:rsidRPr="00B349D5">
        <w:t xml:space="preserve"> </w:t>
      </w:r>
      <w:r w:rsidR="00656CD4" w:rsidRPr="00B349D5">
        <w:t xml:space="preserve">overarching </w:t>
      </w:r>
      <w:r w:rsidR="00164076" w:rsidRPr="00B349D5">
        <w:t>objection to the unprecedented establishment of land rent returns based on the nonregulated affiliates</w:t>
      </w:r>
      <w:r w:rsidR="00CC7FF1" w:rsidRPr="00B349D5">
        <w:t>’</w:t>
      </w:r>
      <w:r w:rsidR="00164076" w:rsidRPr="00B349D5">
        <w:t xml:space="preserve"> capital structures, WCI, its prior WUTC auditor</w:t>
      </w:r>
      <w:r w:rsidR="00656CD4" w:rsidRPr="00B349D5">
        <w:t>-</w:t>
      </w:r>
      <w:r w:rsidR="00164076" w:rsidRPr="00B349D5">
        <w:t xml:space="preserve">expert, Layne Demas, and its outside accountant with </w:t>
      </w:r>
      <w:r w:rsidR="00D15194" w:rsidRPr="00B349D5">
        <w:t xml:space="preserve">over </w:t>
      </w:r>
      <w:r w:rsidR="00164076" w:rsidRPr="00B349D5">
        <w:t>22 years of practic</w:t>
      </w:r>
      <w:r w:rsidR="004B600B" w:rsidRPr="00B349D5">
        <w:t>e</w:t>
      </w:r>
      <w:r w:rsidR="00164076" w:rsidRPr="00B349D5">
        <w:t xml:space="preserve"> experience, Jackie Davis,</w:t>
      </w:r>
      <w:r w:rsidR="00164076" w:rsidRPr="00B349D5">
        <w:rPr>
          <w:rStyle w:val="FootnoteReference"/>
        </w:rPr>
        <w:footnoteReference w:id="29"/>
      </w:r>
      <w:r w:rsidR="00164076" w:rsidRPr="00B349D5">
        <w:t xml:space="preserve"> all pointed to a </w:t>
      </w:r>
      <w:r w:rsidR="00656CD4" w:rsidRPr="00B349D5">
        <w:t xml:space="preserve">gaping </w:t>
      </w:r>
      <w:r w:rsidR="004B600B" w:rsidRPr="00B349D5">
        <w:t>hole</w:t>
      </w:r>
      <w:r w:rsidR="00164076" w:rsidRPr="00B349D5">
        <w:t xml:space="preserve"> in Staff’s threshold analysis of capital structures and nonregulated WCI affiliate debt:  </w:t>
      </w:r>
      <w:r w:rsidR="003E4FBF" w:rsidRPr="00B349D5">
        <w:t>t</w:t>
      </w:r>
      <w:r w:rsidR="00164076" w:rsidRPr="00B349D5">
        <w:t xml:space="preserve">he fact that only two of the five properties HBI and HBII </w:t>
      </w:r>
      <w:r w:rsidR="00D15194" w:rsidRPr="00B349D5">
        <w:t xml:space="preserve">rented </w:t>
      </w:r>
      <w:r w:rsidR="00164076" w:rsidRPr="00B349D5">
        <w:t xml:space="preserve">to WCI were in fact encumbered by debt.  </w:t>
      </w:r>
      <w:r w:rsidR="00656CD4" w:rsidRPr="00B349D5">
        <w:t xml:space="preserve">Deflecting this fact, Staff proceeded to </w:t>
      </w:r>
      <w:r w:rsidR="00656CD4" w:rsidRPr="00B349D5">
        <w:lastRenderedPageBreak/>
        <w:t xml:space="preserve">aggregate </w:t>
      </w:r>
      <w:r w:rsidR="00164076" w:rsidRPr="00B349D5">
        <w:t>all of the cumulative deb</w:t>
      </w:r>
      <w:r w:rsidR="00656CD4" w:rsidRPr="00B349D5">
        <w:t>t of the nonregulated affiliate</w:t>
      </w:r>
      <w:r w:rsidR="00164076" w:rsidRPr="00B349D5">
        <w:t xml:space="preserve"> and </w:t>
      </w:r>
      <w:r w:rsidR="00656CD4" w:rsidRPr="00B349D5">
        <w:t>simply impose that</w:t>
      </w:r>
      <w:r w:rsidR="00387389" w:rsidRPr="00B349D5">
        <w:t xml:space="preserve"> individual</w:t>
      </w:r>
      <w:r w:rsidR="00656CD4" w:rsidRPr="00B349D5">
        <w:t xml:space="preserve"> calculation on</w:t>
      </w:r>
      <w:r w:rsidR="00164076" w:rsidRPr="00B349D5">
        <w:t xml:space="preserve"> all properties owned by either HBI or HBII.  </w:t>
      </w:r>
      <w:r w:rsidR="00CC7FF1" w:rsidRPr="00B349D5">
        <w:t>W</w:t>
      </w:r>
      <w:r w:rsidR="00164076" w:rsidRPr="00B349D5">
        <w:t>hile</w:t>
      </w:r>
      <w:r w:rsidR="000155AC" w:rsidRPr="00B349D5">
        <w:t xml:space="preserve"> </w:t>
      </w:r>
      <w:r w:rsidR="0077684C" w:rsidRPr="00B349D5">
        <w:t xml:space="preserve">rejecting any label that this was </w:t>
      </w:r>
      <w:r w:rsidR="00CC7FF1" w:rsidRPr="00B349D5">
        <w:t>“</w:t>
      </w:r>
      <w:r w:rsidR="0077684C" w:rsidRPr="00B349D5">
        <w:t>hypothesizing</w:t>
      </w:r>
      <w:r w:rsidR="00CC7FF1" w:rsidRPr="00B349D5">
        <w:t>”</w:t>
      </w:r>
      <w:r w:rsidR="0077684C" w:rsidRPr="00B349D5">
        <w:t xml:space="preserve"> the capital structure</w:t>
      </w:r>
      <w:r w:rsidR="003E4FBF" w:rsidRPr="00B349D5">
        <w:t>s</w:t>
      </w:r>
      <w:r w:rsidR="0077684C" w:rsidRPr="00B349D5">
        <w:t>,</w:t>
      </w:r>
      <w:r w:rsidR="0077684C" w:rsidRPr="00B349D5">
        <w:rPr>
          <w:rStyle w:val="FootnoteReference"/>
        </w:rPr>
        <w:footnoteReference w:id="30"/>
      </w:r>
      <w:r w:rsidR="0077684C" w:rsidRPr="00B349D5">
        <w:t xml:space="preserve"> this is unquestionably a hypothecation of the </w:t>
      </w:r>
      <w:r w:rsidR="00713815" w:rsidRPr="00B349D5">
        <w:t xml:space="preserve">individual </w:t>
      </w:r>
      <w:r w:rsidR="0077684C" w:rsidRPr="00B349D5">
        <w:t>property’s actual debt structure wher</w:t>
      </w:r>
      <w:r w:rsidR="00713815" w:rsidRPr="00B349D5">
        <w:t xml:space="preserve">e the result of the calculation, for example, </w:t>
      </w:r>
      <w:r w:rsidR="0077684C" w:rsidRPr="00B349D5">
        <w:t>impresses a debt structure on an unencumbered piece of property.</w:t>
      </w:r>
      <w:r w:rsidR="00656CD4" w:rsidRPr="00B349D5">
        <w:t xml:space="preserve">  </w:t>
      </w:r>
    </w:p>
    <w:p w:rsidR="00164076" w:rsidRPr="00B349D5" w:rsidRDefault="00CC7FF1" w:rsidP="00B36123">
      <w:pPr>
        <w:pStyle w:val="BodyText2"/>
        <w:numPr>
          <w:ilvl w:val="0"/>
          <w:numId w:val="35"/>
        </w:numPr>
        <w:spacing w:before="120" w:after="120"/>
        <w:ind w:hanging="720"/>
      </w:pPr>
      <w:r w:rsidRPr="00B349D5">
        <w:t>T</w:t>
      </w:r>
      <w:r w:rsidR="00656CD4" w:rsidRPr="00B349D5">
        <w:t xml:space="preserve">here can </w:t>
      </w:r>
      <w:r w:rsidR="007C3DBC" w:rsidRPr="00B349D5">
        <w:t xml:space="preserve">also </w:t>
      </w:r>
      <w:r w:rsidR="00656CD4" w:rsidRPr="00B349D5">
        <w:t>be no dispute that affiliated rents are</w:t>
      </w:r>
      <w:r w:rsidRPr="00B349D5">
        <w:t>,</w:t>
      </w:r>
      <w:r w:rsidR="00656CD4" w:rsidRPr="00B349D5">
        <w:t xml:space="preserve"> by their nature, asset-specific</w:t>
      </w:r>
      <w:r w:rsidR="00B428B5" w:rsidRPr="00B349D5">
        <w:t>,</w:t>
      </w:r>
      <w:r w:rsidR="00656CD4" w:rsidRPr="00B349D5">
        <w:t xml:space="preserve"> with each individually-lea</w:t>
      </w:r>
      <w:r w:rsidR="00250BE3" w:rsidRPr="00B349D5">
        <w:t>s</w:t>
      </w:r>
      <w:r w:rsidR="00656CD4" w:rsidRPr="00B349D5">
        <w:t>ed</w:t>
      </w:r>
      <w:r w:rsidR="00250BE3" w:rsidRPr="00B349D5">
        <w:t xml:space="preserve"> property or parcel having </w:t>
      </w:r>
      <w:r w:rsidR="00D15194" w:rsidRPr="00B349D5">
        <w:t xml:space="preserve">a </w:t>
      </w:r>
      <w:r w:rsidR="001E437F" w:rsidRPr="00B349D5">
        <w:t xml:space="preserve">unique </w:t>
      </w:r>
      <w:r w:rsidR="00250BE3" w:rsidRPr="00B349D5">
        <w:t xml:space="preserve">capital structure profile.  </w:t>
      </w:r>
      <w:r w:rsidR="00D15194" w:rsidRPr="00B349D5">
        <w:t>B</w:t>
      </w:r>
      <w:r w:rsidR="00250BE3" w:rsidRPr="00B349D5">
        <w:t>ecause of this fact</w:t>
      </w:r>
      <w:r w:rsidR="007C3DBC" w:rsidRPr="00B349D5">
        <w:t>,</w:t>
      </w:r>
      <w:r w:rsidR="00250BE3" w:rsidRPr="00B349D5">
        <w:t xml:space="preserve"> the Company cited </w:t>
      </w:r>
      <w:r w:rsidR="00B349D5" w:rsidRPr="00B349D5">
        <w:fldChar w:fldCharType="begin"/>
      </w:r>
      <w:r w:rsidR="00B349D5" w:rsidRPr="00B349D5">
        <w:instrText xml:space="preserve"> ADDIN BA \xc &lt;@$regcs&gt; \xl 3 \s ECSSJP000023 </w:instrText>
      </w:r>
      <w:r w:rsidR="00B349D5" w:rsidRPr="00B349D5">
        <w:fldChar w:fldCharType="end"/>
      </w:r>
      <w:bookmarkStart w:id="75" w:name="_BA_Cite_176"/>
      <w:r w:rsidR="00250BE3" w:rsidRPr="00B349D5">
        <w:rPr>
          <w:i/>
        </w:rPr>
        <w:t>B</w:t>
      </w:r>
      <w:r w:rsidR="00036E8F" w:rsidRPr="00B349D5">
        <w:rPr>
          <w:i/>
        </w:rPr>
        <w:t>KA</w:t>
      </w:r>
      <w:bookmarkEnd w:id="75"/>
      <w:r w:rsidR="00250BE3" w:rsidRPr="00B349D5">
        <w:t xml:space="preserve"> as </w:t>
      </w:r>
      <w:r w:rsidR="00AE3CC9" w:rsidRPr="00B349D5">
        <w:t xml:space="preserve">a </w:t>
      </w:r>
      <w:r w:rsidR="00250BE3" w:rsidRPr="00B349D5">
        <w:t xml:space="preserve">relevant </w:t>
      </w:r>
      <w:r w:rsidR="00B349D5" w:rsidRPr="00B349D5">
        <w:fldChar w:fldCharType="begin"/>
      </w:r>
      <w:r w:rsidR="00B349D5" w:rsidRPr="00B349D5">
        <w:instrText xml:space="preserve"> ADDIN BA \xc &lt;@reg&gt; \xl 20 \s ECSSJP000024 \l "Final Order Title 81" </w:instrText>
      </w:r>
      <w:r w:rsidR="00B349D5" w:rsidRPr="00B349D5">
        <w:fldChar w:fldCharType="end"/>
      </w:r>
      <w:bookmarkStart w:id="76" w:name="_BA_Cite_177"/>
      <w:r w:rsidR="00036E8F" w:rsidRPr="00B349D5">
        <w:t xml:space="preserve">Final Order </w:t>
      </w:r>
      <w:r w:rsidR="00250BE3" w:rsidRPr="00B349D5">
        <w:t>Title 81</w:t>
      </w:r>
      <w:bookmarkEnd w:id="76"/>
      <w:r w:rsidR="00250BE3" w:rsidRPr="00B349D5">
        <w:t xml:space="preserve"> precedent for </w:t>
      </w:r>
      <w:r w:rsidR="00D15194" w:rsidRPr="00B349D5">
        <w:t xml:space="preserve">the </w:t>
      </w:r>
      <w:r w:rsidR="00250BE3" w:rsidRPr="00B349D5">
        <w:t>calculation of affiliate land rents on an asset-specific basis</w:t>
      </w:r>
      <w:r w:rsidR="00D15194" w:rsidRPr="00B349D5">
        <w:t xml:space="preserve"> when the previously-accepted rate case allocations for land rents were rejected by the auditor.</w:t>
      </w:r>
      <w:r w:rsidR="00D15194" w:rsidRPr="00B349D5">
        <w:rPr>
          <w:rStyle w:val="FootnoteReference"/>
        </w:rPr>
        <w:footnoteReference w:id="31"/>
      </w:r>
      <w:r w:rsidR="00D66F29" w:rsidRPr="00B349D5">
        <w:t xml:space="preserve">  The Staff</w:t>
      </w:r>
      <w:r w:rsidR="00B428B5" w:rsidRPr="00B349D5">
        <w:t xml:space="preserve"> auditor</w:t>
      </w:r>
      <w:r w:rsidR="00AE3CC9" w:rsidRPr="00B349D5">
        <w:t>,</w:t>
      </w:r>
      <w:r w:rsidR="00D66F29" w:rsidRPr="00B349D5">
        <w:t xml:space="preserve"> in contrast</w:t>
      </w:r>
      <w:r w:rsidR="00AE3CC9" w:rsidRPr="00B349D5">
        <w:t>,</w:t>
      </w:r>
      <w:r w:rsidR="00D66F29" w:rsidRPr="00B349D5">
        <w:t xml:space="preserve"> </w:t>
      </w:r>
      <w:r w:rsidR="00D15194" w:rsidRPr="00B349D5">
        <w:t xml:space="preserve">cited </w:t>
      </w:r>
      <w:r w:rsidR="00D66F29" w:rsidRPr="00B349D5">
        <w:t xml:space="preserve">no </w:t>
      </w:r>
      <w:r w:rsidR="00B349D5" w:rsidRPr="00B349D5">
        <w:fldChar w:fldCharType="begin"/>
      </w:r>
      <w:r w:rsidR="00B349D5" w:rsidRPr="00B349D5">
        <w:instrText xml:space="preserve"> ADDIN BA \xc &lt;@$osdv&gt; \xl 8 \s ECSSJP000076 </w:instrText>
      </w:r>
      <w:r w:rsidR="00B349D5" w:rsidRPr="00B349D5">
        <w:fldChar w:fldCharType="end"/>
      </w:r>
      <w:bookmarkStart w:id="78" w:name="_BA_Cite_179"/>
      <w:r w:rsidR="00D66F29" w:rsidRPr="00B349D5">
        <w:t>Title 81</w:t>
      </w:r>
      <w:bookmarkEnd w:id="78"/>
      <w:r w:rsidR="00D66F29" w:rsidRPr="00B349D5">
        <w:t xml:space="preserve"> </w:t>
      </w:r>
      <w:r w:rsidR="00387389" w:rsidRPr="00B349D5">
        <w:t xml:space="preserve">case </w:t>
      </w:r>
      <w:r w:rsidR="00D66F29" w:rsidRPr="00B349D5">
        <w:t xml:space="preserve">precedents to support </w:t>
      </w:r>
      <w:r w:rsidR="00D01A18">
        <w:t xml:space="preserve">the </w:t>
      </w:r>
      <w:r w:rsidR="00AE3CC9" w:rsidRPr="00B349D5">
        <w:t>novel</w:t>
      </w:r>
      <w:r w:rsidR="00D66F29" w:rsidRPr="00B349D5">
        <w:t xml:space="preserve"> theory for land rents </w:t>
      </w:r>
      <w:r w:rsidR="00AE3CC9" w:rsidRPr="00B349D5">
        <w:t xml:space="preserve">for </w:t>
      </w:r>
      <w:r w:rsidR="00150EB3" w:rsidRPr="00B349D5">
        <w:t xml:space="preserve">regulated </w:t>
      </w:r>
      <w:r w:rsidR="00AE3CC9" w:rsidRPr="00B349D5">
        <w:t>s</w:t>
      </w:r>
      <w:r w:rsidR="007C3DBC" w:rsidRPr="00B349D5">
        <w:t>olid waste collection companies</w:t>
      </w:r>
      <w:r w:rsidR="00B428B5" w:rsidRPr="00B349D5">
        <w:t xml:space="preserve"> </w:t>
      </w:r>
      <w:r w:rsidR="00D66F29" w:rsidRPr="00B349D5">
        <w:t>unceasingly pressed here.</w:t>
      </w:r>
    </w:p>
    <w:p w:rsidR="0077684C" w:rsidRPr="00B349D5" w:rsidRDefault="0077684C" w:rsidP="00B36123">
      <w:pPr>
        <w:pStyle w:val="BodyText2"/>
        <w:numPr>
          <w:ilvl w:val="0"/>
          <w:numId w:val="35"/>
        </w:numPr>
        <w:spacing w:before="120" w:after="120"/>
        <w:ind w:hanging="720"/>
      </w:pPr>
      <w:r w:rsidRPr="00B349D5">
        <w:t>The Staff and Company fundamentally disagree on whether it is appropriate to separate the actual rental property debt struc</w:t>
      </w:r>
      <w:r w:rsidR="00150EB3" w:rsidRPr="00B349D5">
        <w:t>ture at issue from the landlord-</w:t>
      </w:r>
      <w:r w:rsidRPr="00B349D5">
        <w:t>affiliate’s capital structure.  Staff blithely dismisses that concern based on the balance sheet transparency of the landlords</w:t>
      </w:r>
      <w:r w:rsidR="00D66F29" w:rsidRPr="00B349D5">
        <w:t xml:space="preserve">. </w:t>
      </w:r>
      <w:r w:rsidRPr="00B349D5">
        <w:t xml:space="preserve"> </w:t>
      </w:r>
      <w:r w:rsidR="00D66F29" w:rsidRPr="00B349D5">
        <w:t>B</w:t>
      </w:r>
      <w:r w:rsidRPr="00B349D5">
        <w:t xml:space="preserve">ut Staff also acknowledged repeatedly throughout its live testimony that the </w:t>
      </w:r>
      <w:r w:rsidR="003E4FBF" w:rsidRPr="00B349D5">
        <w:t xml:space="preserve">depreciated cost rather than the cost plus return formula </w:t>
      </w:r>
      <w:r w:rsidRPr="00B349D5">
        <w:t xml:space="preserve">utilized by the </w:t>
      </w:r>
      <w:r w:rsidR="00D15194" w:rsidRPr="00B349D5">
        <w:t>S</w:t>
      </w:r>
      <w:r w:rsidRPr="00B349D5">
        <w:t xml:space="preserve">taff here in relying on the affiliates’ capital structures </w:t>
      </w:r>
      <w:r w:rsidR="00036E8F" w:rsidRPr="00B349D5">
        <w:t xml:space="preserve">for return on rent calculations </w:t>
      </w:r>
      <w:r w:rsidRPr="00B349D5">
        <w:t xml:space="preserve">was wholly unprecedented in the </w:t>
      </w:r>
      <w:r w:rsidR="00D66F29" w:rsidRPr="00B349D5">
        <w:t xml:space="preserve">regulated </w:t>
      </w:r>
      <w:r w:rsidRPr="00B349D5">
        <w:t>solid waste</w:t>
      </w:r>
      <w:r w:rsidR="003E4FBF" w:rsidRPr="00B349D5">
        <w:t xml:space="preserve"> </w:t>
      </w:r>
      <w:r w:rsidR="00D66F29" w:rsidRPr="00B349D5">
        <w:t>arena</w:t>
      </w:r>
      <w:r w:rsidRPr="00B349D5">
        <w:t>.</w:t>
      </w:r>
      <w:r w:rsidR="00B428B5" w:rsidRPr="00B349D5">
        <w:rPr>
          <w:rStyle w:val="FootnoteReference"/>
        </w:rPr>
        <w:footnoteReference w:id="32"/>
      </w:r>
      <w:r w:rsidRPr="00B349D5">
        <w:t xml:space="preserve">  </w:t>
      </w:r>
      <w:r w:rsidR="0097741D" w:rsidRPr="00B349D5">
        <w:t xml:space="preserve">While the Initial Order approvingly describes Staff’s approach as “using the actual capital structures of WCI’s affiliates and the property landlords,  Heirborne Investments, LLC </w:t>
      </w:r>
      <w:r w:rsidR="0097741D" w:rsidRPr="00B349D5">
        <w:lastRenderedPageBreak/>
        <w:t>(“HBI”) and Heirborne Investments II, LLC (“HBII”)”</w:t>
      </w:r>
      <w:r w:rsidR="0097741D" w:rsidRPr="00B349D5">
        <w:rPr>
          <w:rStyle w:val="FootnoteReference"/>
        </w:rPr>
        <w:t xml:space="preserve"> </w:t>
      </w:r>
      <w:r w:rsidR="0097741D" w:rsidRPr="00B349D5">
        <w:rPr>
          <w:rStyle w:val="FootnoteReference"/>
        </w:rPr>
        <w:footnoteReference w:id="33"/>
      </w:r>
      <w:r w:rsidR="0097741D" w:rsidRPr="00B349D5">
        <w:t xml:space="preserve"> it </w:t>
      </w:r>
      <w:r w:rsidR="003E4FBF" w:rsidRPr="00B349D5">
        <w:t xml:space="preserve">singularly </w:t>
      </w:r>
      <w:r w:rsidR="0097741D" w:rsidRPr="00B349D5">
        <w:t xml:space="preserve">dismisses consideration of </w:t>
      </w:r>
      <w:r w:rsidR="00B349D5" w:rsidRPr="00B349D5">
        <w:fldChar w:fldCharType="begin"/>
      </w:r>
      <w:r w:rsidR="00B349D5" w:rsidRPr="00B349D5">
        <w:instrText xml:space="preserve"> ADDIN BA \xc &lt;@$cs&gt; \xl 26 \s ECSSJP000023 </w:instrText>
      </w:r>
      <w:r w:rsidR="00B349D5" w:rsidRPr="00B349D5">
        <w:fldChar w:fldCharType="end"/>
      </w:r>
      <w:bookmarkStart w:id="81" w:name="_BA_Cite_182"/>
      <w:r w:rsidR="0097741D" w:rsidRPr="00B349D5">
        <w:rPr>
          <w:i/>
        </w:rPr>
        <w:t>Bremerton Kitsap Airporter</w:t>
      </w:r>
      <w:bookmarkEnd w:id="81"/>
      <w:r w:rsidR="0097741D" w:rsidRPr="00B349D5">
        <w:t xml:space="preserve"> as having any bearing on this proceeding </w:t>
      </w:r>
      <w:r w:rsidR="00D66F29" w:rsidRPr="00B349D5">
        <w:t>despite</w:t>
      </w:r>
      <w:r w:rsidR="0097741D" w:rsidRPr="00B349D5">
        <w:t xml:space="preserve"> the fact that “airporter case”</w:t>
      </w:r>
      <w:r w:rsidR="0097741D" w:rsidRPr="00B349D5">
        <w:rPr>
          <w:rStyle w:val="FootnoteReference"/>
        </w:rPr>
        <w:footnoteReference w:id="34"/>
      </w:r>
      <w:r w:rsidR="0097741D" w:rsidRPr="00B349D5">
        <w:t xml:space="preserve"> involved an industry ratemaking regulatory model</w:t>
      </w:r>
      <w:r w:rsidR="00D15194" w:rsidRPr="00B349D5">
        <w:t xml:space="preserve"> </w:t>
      </w:r>
      <w:r w:rsidR="0097741D" w:rsidRPr="00B349D5">
        <w:t xml:space="preserve">far more akin to Lurito-Gallagher </w:t>
      </w:r>
      <w:r w:rsidR="00036E8F" w:rsidRPr="00B349D5">
        <w:t xml:space="preserve">and solid waste ratemaking </w:t>
      </w:r>
      <w:r w:rsidR="0097741D" w:rsidRPr="00B349D5">
        <w:t xml:space="preserve">than the </w:t>
      </w:r>
      <w:r w:rsidR="00D66F29" w:rsidRPr="00B349D5">
        <w:t xml:space="preserve">regulated </w:t>
      </w:r>
      <w:r w:rsidR="0097741D" w:rsidRPr="00B349D5">
        <w:t>utility rate of return model</w:t>
      </w:r>
      <w:r w:rsidR="00AE3CC9" w:rsidRPr="00B349D5">
        <w:t xml:space="preserve"> which observation </w:t>
      </w:r>
      <w:r w:rsidR="00150EB3" w:rsidRPr="00B349D5">
        <w:t xml:space="preserve">or analysis </w:t>
      </w:r>
      <w:r w:rsidR="00AE3CC9" w:rsidRPr="00B349D5">
        <w:t xml:space="preserve">is conspicuously missing </w:t>
      </w:r>
      <w:r w:rsidR="00B428B5" w:rsidRPr="00B349D5">
        <w:t xml:space="preserve">from </w:t>
      </w:r>
      <w:r w:rsidR="00AE3CC9" w:rsidRPr="00B349D5">
        <w:t>the Initial Order’s Findings</w:t>
      </w:r>
      <w:r w:rsidR="0097741D" w:rsidRPr="00B349D5">
        <w:t>.</w:t>
      </w:r>
    </w:p>
    <w:p w:rsidR="007C3DBC" w:rsidRPr="00B349D5" w:rsidRDefault="007C3DBC" w:rsidP="00B36123">
      <w:pPr>
        <w:pStyle w:val="BodyText2"/>
        <w:numPr>
          <w:ilvl w:val="0"/>
          <w:numId w:val="35"/>
        </w:numPr>
        <w:spacing w:before="120" w:after="120"/>
        <w:ind w:hanging="720"/>
      </w:pPr>
      <w:r w:rsidRPr="00B349D5">
        <w:t xml:space="preserve">The Initial Order </w:t>
      </w:r>
      <w:r w:rsidR="00D01A18">
        <w:t xml:space="preserve">next </w:t>
      </w:r>
      <w:r w:rsidRPr="00B349D5">
        <w:t>uses both the lack of “contemporary vitality”</w:t>
      </w:r>
      <w:r w:rsidR="00A16220" w:rsidRPr="00B349D5">
        <w:rPr>
          <w:rStyle w:val="FootnoteReference"/>
        </w:rPr>
        <w:footnoteReference w:id="35"/>
      </w:r>
      <w:r w:rsidRPr="00B349D5">
        <w:t xml:space="preserve"> and a reliance upon Commission energy rate proceedings’ </w:t>
      </w:r>
      <w:proofErr w:type="spellStart"/>
      <w:r w:rsidRPr="00B349D5">
        <w:t>DCF</w:t>
      </w:r>
      <w:proofErr w:type="spellEnd"/>
      <w:r w:rsidRPr="00B349D5">
        <w:t xml:space="preserve"> cost of equity factors</w:t>
      </w:r>
      <w:r w:rsidR="00A16220" w:rsidRPr="00B349D5">
        <w:rPr>
          <w:rStyle w:val="FootnoteReference"/>
        </w:rPr>
        <w:footnoteReference w:id="36"/>
      </w:r>
      <w:r w:rsidRPr="00B349D5">
        <w:t xml:space="preserve"> to reject the Company’s proposed 15% ROE factors on land rents.  There are two problems with this rationale.  First, the Commission has never announced that for solid waste ratemaking it would transplant returns on equity from contemporaneous large capital markets for publicly traded REITs or their equivalents to capture </w:t>
      </w:r>
      <w:proofErr w:type="spellStart"/>
      <w:r w:rsidRPr="00B349D5">
        <w:t>ROEs</w:t>
      </w:r>
      <w:proofErr w:type="spellEnd"/>
      <w:r w:rsidRPr="00B349D5">
        <w:t xml:space="preserve"> for nonregulated, affiliated-owned properties of regulated</w:t>
      </w:r>
      <w:r w:rsidR="004A26DB">
        <w:t>,</w:t>
      </w:r>
      <w:r w:rsidRPr="00B349D5">
        <w:t xml:space="preserve"> privately-held solid waste companies.  Secondly, doing so completely overlooks the comparative risk factor criteria Dr. Lurito examined both in the original TG-2016</w:t>
      </w:r>
      <w:r w:rsidR="00D01A18">
        <w:t xml:space="preserve"> et al</w:t>
      </w:r>
      <w:r w:rsidR="004A26DB">
        <w:t>.</w:t>
      </w:r>
      <w:r w:rsidR="00D01A18">
        <w:t xml:space="preserve"> (1988)</w:t>
      </w:r>
      <w:r w:rsidRPr="00B349D5">
        <w:t xml:space="preserve"> ratemaking proceeding and specific testimony offered by Dr. Lurito in the </w:t>
      </w:r>
      <w:r w:rsidR="00B349D5" w:rsidRPr="00B349D5">
        <w:fldChar w:fldCharType="begin"/>
      </w:r>
      <w:r w:rsidR="00B349D5" w:rsidRPr="00B349D5">
        <w:instrText xml:space="preserve"> ADDIN BA \xc &lt;@$cs&gt; \xl 8 \s ECSSJP000019 </w:instrText>
      </w:r>
      <w:r w:rsidR="00B349D5" w:rsidRPr="00B349D5">
        <w:fldChar w:fldCharType="end"/>
      </w:r>
      <w:bookmarkStart w:id="84" w:name="_BA_Cite_185"/>
      <w:r w:rsidRPr="00B349D5">
        <w:rPr>
          <w:i/>
        </w:rPr>
        <w:t>Sno-King</w:t>
      </w:r>
      <w:bookmarkEnd w:id="84"/>
      <w:r w:rsidRPr="00B349D5">
        <w:t xml:space="preserve"> case cited by the Company in its Reply </w:t>
      </w:r>
      <w:r w:rsidR="00A16220" w:rsidRPr="00B349D5">
        <w:t>Brief</w:t>
      </w:r>
      <w:r w:rsidR="00A16220" w:rsidRPr="00B349D5">
        <w:rPr>
          <w:rStyle w:val="FootnoteReference"/>
        </w:rPr>
        <w:footnoteReference w:id="37"/>
      </w:r>
      <w:r w:rsidRPr="00B349D5">
        <w:t xml:space="preserve"> where the Commission’s expert noted fair rates of return for riskier companies would be higher than those for less risky ones.  It is not a huge leap in presumption to suggest that a publicly-traded energy company is less risky than a Class B privately-held solid waste company and should command a higher ROE factor for land </w:t>
      </w:r>
      <w:r w:rsidR="00D01A18">
        <w:t xml:space="preserve">rent </w:t>
      </w:r>
      <w:r w:rsidRPr="00B349D5">
        <w:t>returns</w:t>
      </w:r>
      <w:r w:rsidR="004A26DB">
        <w:t>,</w:t>
      </w:r>
      <w:r w:rsidRPr="00B349D5">
        <w:t xml:space="preserve"> accordingly.</w:t>
      </w:r>
    </w:p>
    <w:p w:rsidR="00282ACC" w:rsidRPr="00B349D5" w:rsidRDefault="002F4661" w:rsidP="00B36123">
      <w:pPr>
        <w:pStyle w:val="BodyText2"/>
        <w:numPr>
          <w:ilvl w:val="0"/>
          <w:numId w:val="35"/>
        </w:numPr>
        <w:spacing w:before="120" w:after="120"/>
        <w:ind w:hanging="720"/>
      </w:pPr>
      <w:r w:rsidRPr="00B349D5">
        <w:t xml:space="preserve">Finally, in resolving the land rents allocation issue </w:t>
      </w:r>
      <w:r w:rsidR="00713815" w:rsidRPr="00B349D5">
        <w:t xml:space="preserve">the </w:t>
      </w:r>
      <w:r w:rsidRPr="00B349D5">
        <w:t>Commission should ask itself a question posed to the Staff auditor at the hearing</w:t>
      </w:r>
      <w:r w:rsidR="00713815" w:rsidRPr="00B349D5">
        <w:t>,</w:t>
      </w:r>
      <w:r w:rsidR="00AE3CC9" w:rsidRPr="00B349D5">
        <w:t xml:space="preserve"> which </w:t>
      </w:r>
      <w:r w:rsidRPr="00B349D5">
        <w:t>is</w:t>
      </w:r>
      <w:r w:rsidR="00B428B5" w:rsidRPr="00B349D5">
        <w:t>:</w:t>
      </w:r>
      <w:r w:rsidRPr="00B349D5">
        <w:t xml:space="preserve"> “Did you ever consider adopting that </w:t>
      </w:r>
      <w:r w:rsidR="00282ACC" w:rsidRPr="00B349D5">
        <w:lastRenderedPageBreak/>
        <w:t>[previous negotiated rate case allocation method]</w:t>
      </w:r>
      <w:r w:rsidRPr="00B349D5">
        <w:t xml:space="preserve"> in establishing land rents in this case and advising the Company, in your opinion, </w:t>
      </w:r>
      <w:r w:rsidR="00282ACC" w:rsidRPr="00B349D5">
        <w:t xml:space="preserve">to develop </w:t>
      </w:r>
      <w:r w:rsidRPr="00B349D5">
        <w:t>more relevant allocators in any future filing</w:t>
      </w:r>
      <w:r w:rsidR="00D15194" w:rsidRPr="00B349D5">
        <w:t>?</w:t>
      </w:r>
      <w:r w:rsidRPr="00B349D5">
        <w:rPr>
          <w:rStyle w:val="FootnoteReference"/>
        </w:rPr>
        <w:footnoteReference w:id="38"/>
      </w:r>
      <w:r w:rsidRPr="00B349D5">
        <w:t xml:space="preserve">  The 2009 rate case unequivocally adopted </w:t>
      </w:r>
      <w:r w:rsidR="00282ACC" w:rsidRPr="00B349D5">
        <w:t xml:space="preserve">the 1/3 allocation </w:t>
      </w:r>
      <w:r w:rsidRPr="00B349D5">
        <w:t xml:space="preserve">methodology as </w:t>
      </w:r>
      <w:r w:rsidR="00B349D5" w:rsidRPr="00B349D5">
        <w:fldChar w:fldCharType="begin"/>
      </w:r>
      <w:r w:rsidR="00B349D5" w:rsidRPr="00B349D5">
        <w:instrText xml:space="preserve"> ADDIN BA \xc &lt;@$rec&gt; \xl 13 \s ECSSJP000073 </w:instrText>
      </w:r>
      <w:r w:rsidR="00B349D5" w:rsidRPr="00B349D5">
        <w:fldChar w:fldCharType="end"/>
      </w:r>
      <w:bookmarkStart w:id="87" w:name="_BA_Cite_188"/>
      <w:r w:rsidRPr="00B349D5">
        <w:t>Exhibit MC-15</w:t>
      </w:r>
      <w:bookmarkEnd w:id="87"/>
      <w:r w:rsidRPr="00B349D5">
        <w:t xml:space="preserve"> and the underlying Staff response to Company Data </w:t>
      </w:r>
      <w:r w:rsidR="00B349D5" w:rsidRPr="00B349D5">
        <w:fldChar w:fldCharType="begin"/>
      </w:r>
      <w:r w:rsidR="00B349D5" w:rsidRPr="00B349D5">
        <w:instrText xml:space="preserve"> ADDIN BA \xc &lt;@admproc&gt; \xl 14 \s ECSSJP000027 \l "Request No. 01" </w:instrText>
      </w:r>
      <w:r w:rsidR="00B349D5" w:rsidRPr="00B349D5">
        <w:fldChar w:fldCharType="end"/>
      </w:r>
      <w:bookmarkStart w:id="88" w:name="_BA_Cite_189"/>
      <w:r w:rsidRPr="00B349D5">
        <w:t>Request No. 01</w:t>
      </w:r>
      <w:bookmarkEnd w:id="88"/>
      <w:r w:rsidRPr="00B349D5">
        <w:t xml:space="preserve"> in TG-131794 </w:t>
      </w:r>
      <w:r w:rsidR="00AE3CC9" w:rsidRPr="00B349D5">
        <w:t>(</w:t>
      </w:r>
      <w:r w:rsidRPr="00B349D5">
        <w:t>reconfirmed in TG-140560 by Staff</w:t>
      </w:r>
      <w:r w:rsidR="00282ACC" w:rsidRPr="00B349D5">
        <w:t xml:space="preserve"> </w:t>
      </w:r>
      <w:r w:rsidR="00AE3CC9" w:rsidRPr="00B349D5">
        <w:t xml:space="preserve">) </w:t>
      </w:r>
      <w:r w:rsidR="00282ACC" w:rsidRPr="00B349D5">
        <w:t>had established</w:t>
      </w:r>
      <w:r w:rsidRPr="00B349D5">
        <w:t xml:space="preserve">.  </w:t>
      </w:r>
      <w:r w:rsidR="00AE3CC9" w:rsidRPr="00B349D5">
        <w:t xml:space="preserve">With the test year period </w:t>
      </w:r>
      <w:r w:rsidR="00A35172" w:rsidRPr="00B349D5">
        <w:t xml:space="preserve">long </w:t>
      </w:r>
      <w:r w:rsidR="00AE3CC9" w:rsidRPr="00B349D5">
        <w:t>concluded and after b</w:t>
      </w:r>
      <w:r w:rsidRPr="00B349D5">
        <w:t>eing informed by the new auditor that the</w:t>
      </w:r>
      <w:r w:rsidR="00B428B5" w:rsidRPr="00B349D5">
        <w:t xml:space="preserve"> previous</w:t>
      </w:r>
      <w:r w:rsidRPr="00B349D5">
        <w:t xml:space="preserve"> 2009 methodology was “unsupported” </w:t>
      </w:r>
      <w:r w:rsidR="00D15194" w:rsidRPr="00B349D5">
        <w:t xml:space="preserve">and </w:t>
      </w:r>
      <w:r w:rsidRPr="00B349D5">
        <w:t>“overly simplistic</w:t>
      </w:r>
      <w:r w:rsidR="00282ACC" w:rsidRPr="00B349D5">
        <w:t>,</w:t>
      </w:r>
      <w:r w:rsidRPr="00B349D5">
        <w:t xml:space="preserve">” the Company </w:t>
      </w:r>
      <w:r w:rsidR="00282ACC" w:rsidRPr="00B349D5">
        <w:t xml:space="preserve">then </w:t>
      </w:r>
      <w:r w:rsidRPr="00B349D5">
        <w:t xml:space="preserve">proposed the methodology of land rents established in the </w:t>
      </w:r>
      <w:r w:rsidRPr="00B349D5">
        <w:rPr>
          <w:i/>
        </w:rPr>
        <w:t xml:space="preserve">Bremerton-Kitsap Airporter </w:t>
      </w:r>
      <w:r w:rsidRPr="00B349D5">
        <w:t xml:space="preserve">case.  Rather than accept the 2009 negotiated </w:t>
      </w:r>
      <w:r w:rsidR="00282ACC" w:rsidRPr="00B349D5">
        <w:t xml:space="preserve">rate </w:t>
      </w:r>
      <w:r w:rsidRPr="00B349D5">
        <w:t xml:space="preserve">case treatment or the Commission’s adopted analysis of affiliated land rents in </w:t>
      </w:r>
      <w:r w:rsidR="00B349D5" w:rsidRPr="00B349D5">
        <w:fldChar w:fldCharType="begin"/>
      </w:r>
      <w:r w:rsidR="00B349D5" w:rsidRPr="00B349D5">
        <w:instrText xml:space="preserve"> ADDIN BA \xc &lt;@$regcs&gt; \xl 3 \s ECSSJP000023 </w:instrText>
      </w:r>
      <w:r w:rsidR="00B349D5" w:rsidRPr="00B349D5">
        <w:fldChar w:fldCharType="end"/>
      </w:r>
      <w:bookmarkStart w:id="89" w:name="_BA_Cite_190"/>
      <w:r w:rsidRPr="00B349D5">
        <w:rPr>
          <w:i/>
        </w:rPr>
        <w:t>BKA</w:t>
      </w:r>
      <w:bookmarkEnd w:id="89"/>
      <w:r w:rsidR="00282ACC" w:rsidRPr="00B349D5">
        <w:rPr>
          <w:i/>
        </w:rPr>
        <w:t>,</w:t>
      </w:r>
      <w:r w:rsidRPr="00B349D5">
        <w:rPr>
          <w:i/>
        </w:rPr>
        <w:t xml:space="preserve"> </w:t>
      </w:r>
      <w:r w:rsidRPr="00B349D5">
        <w:t xml:space="preserve">the Staff instead embarked on brand new </w:t>
      </w:r>
      <w:r w:rsidR="00A35172" w:rsidRPr="00B349D5">
        <w:t xml:space="preserve">theorizing </w:t>
      </w:r>
      <w:r w:rsidR="00282ACC" w:rsidRPr="00B349D5">
        <w:t xml:space="preserve">by </w:t>
      </w:r>
      <w:r w:rsidRPr="00B349D5">
        <w:t>initiating scores of Data Re</w:t>
      </w:r>
      <w:r w:rsidR="009E6ED7" w:rsidRPr="00B349D5">
        <w:t>quests and deriving a wholly original</w:t>
      </w:r>
      <w:r w:rsidRPr="00B349D5">
        <w:t xml:space="preserve"> theory which also retroactively involved analysis of test year data that was not compiled in conformance </w:t>
      </w:r>
      <w:r w:rsidR="00A35172" w:rsidRPr="00B349D5">
        <w:t xml:space="preserve">with </w:t>
      </w:r>
      <w:r w:rsidR="009E6ED7" w:rsidRPr="00B349D5">
        <w:t>or awareness of the awkward</w:t>
      </w:r>
      <w:r w:rsidRPr="00B349D5">
        <w:t xml:space="preserve"> three-factor analysis or the Staff’s unrecognized</w:t>
      </w:r>
      <w:r w:rsidR="00713815" w:rsidRPr="00B349D5">
        <w:t>, unilateral</w:t>
      </w:r>
      <w:r w:rsidRPr="00B349D5">
        <w:t xml:space="preserve"> “temporal updates” to factors such as return on equity, cost of debt and other perspectives that so detrimentally impacted land rent calculations </w:t>
      </w:r>
      <w:r w:rsidR="00AE3CC9" w:rsidRPr="00B349D5">
        <w:t xml:space="preserve">for WCI </w:t>
      </w:r>
      <w:r w:rsidRPr="00B349D5">
        <w:t>here.</w:t>
      </w:r>
      <w:r w:rsidR="00D01A18" w:rsidRPr="00D01A18">
        <w:rPr>
          <w:rStyle w:val="FootnoteReference"/>
        </w:rPr>
        <w:t xml:space="preserve"> </w:t>
      </w:r>
      <w:r w:rsidR="00D01A18" w:rsidRPr="00B349D5">
        <w:rPr>
          <w:rStyle w:val="FootnoteReference"/>
        </w:rPr>
        <w:footnoteReference w:id="39"/>
      </w:r>
      <w:r w:rsidRPr="00B349D5">
        <w:t xml:space="preserve">  </w:t>
      </w:r>
    </w:p>
    <w:p w:rsidR="002F4661" w:rsidRPr="00B349D5" w:rsidRDefault="00282ACC" w:rsidP="00B36123">
      <w:pPr>
        <w:pStyle w:val="BodyText2"/>
        <w:numPr>
          <w:ilvl w:val="0"/>
          <w:numId w:val="35"/>
        </w:numPr>
        <w:spacing w:before="120" w:after="120"/>
        <w:ind w:hanging="720"/>
      </w:pPr>
      <w:r w:rsidRPr="00B349D5">
        <w:t>In WCI’s view, t</w:t>
      </w:r>
      <w:r w:rsidR="002F4661" w:rsidRPr="00B349D5">
        <w:t xml:space="preserve">he “regulatory compact” under which the Commission operates </w:t>
      </w:r>
      <w:r w:rsidRPr="00B349D5">
        <w:t xml:space="preserve">in rate filings </w:t>
      </w:r>
      <w:r w:rsidR="002F4661" w:rsidRPr="00B349D5">
        <w:t xml:space="preserve">requires considerably more notice and dialogue with regulated companies </w:t>
      </w:r>
      <w:r w:rsidRPr="00B349D5">
        <w:t>than</w:t>
      </w:r>
      <w:r w:rsidR="00A35172" w:rsidRPr="00B349D5">
        <w:t xml:space="preserve"> has</w:t>
      </w:r>
      <w:r w:rsidRPr="00B349D5">
        <w:t xml:space="preserve"> </w:t>
      </w:r>
      <w:r w:rsidR="002F4661" w:rsidRPr="00B349D5">
        <w:t xml:space="preserve">occurred in </w:t>
      </w:r>
      <w:r w:rsidR="002F4661" w:rsidRPr="00B349D5">
        <w:lastRenderedPageBreak/>
        <w:t xml:space="preserve">the affiliate land rent </w:t>
      </w:r>
      <w:r w:rsidR="009E6ED7" w:rsidRPr="00B349D5">
        <w:t xml:space="preserve">return </w:t>
      </w:r>
      <w:r w:rsidR="002F4661" w:rsidRPr="00B349D5">
        <w:t xml:space="preserve">dispute here.  </w:t>
      </w:r>
      <w:r w:rsidR="002279BD" w:rsidRPr="00B349D5">
        <w:t xml:space="preserve">For instance, rejecting previously accepted approaches in prior negotiated company rate cases and unilaterally dismissing previous </w:t>
      </w:r>
      <w:r w:rsidR="00B349D5" w:rsidRPr="00B349D5">
        <w:fldChar w:fldCharType="begin"/>
      </w:r>
      <w:r w:rsidR="00B349D5" w:rsidRPr="00B349D5">
        <w:instrText xml:space="preserve"> ADDIN BA \xc &lt;@$osdv&gt; \xl 8 \s ECSSJP000076 </w:instrText>
      </w:r>
      <w:r w:rsidR="00B349D5" w:rsidRPr="00B349D5">
        <w:fldChar w:fldCharType="end"/>
      </w:r>
      <w:bookmarkStart w:id="90" w:name="_BA_Cite_191"/>
      <w:r w:rsidR="002279BD" w:rsidRPr="00B349D5">
        <w:t>Title 81</w:t>
      </w:r>
      <w:bookmarkEnd w:id="90"/>
      <w:r w:rsidR="002279BD" w:rsidRPr="00B349D5">
        <w:t xml:space="preserve"> case law Final Orders based on age or other cursory theories of inapplicability</w:t>
      </w:r>
      <w:r w:rsidR="009E6ED7" w:rsidRPr="00B349D5">
        <w:t>,</w:t>
      </w:r>
      <w:r w:rsidR="002279BD" w:rsidRPr="00B349D5">
        <w:t xml:space="preserve"> </w:t>
      </w:r>
      <w:r w:rsidR="004A26DB">
        <w:t xml:space="preserve">labeling </w:t>
      </w:r>
      <w:r w:rsidR="002279BD" w:rsidRPr="00B349D5">
        <w:t xml:space="preserve">those approaches as “unsupported,” </w:t>
      </w:r>
      <w:r w:rsidR="00BB5C74" w:rsidRPr="00B349D5">
        <w:t xml:space="preserve">(particularly </w:t>
      </w:r>
      <w:r w:rsidR="002279BD" w:rsidRPr="00B349D5">
        <w:t>6-18 months after a test period closes</w:t>
      </w:r>
      <w:r w:rsidR="00BB5C74" w:rsidRPr="00B349D5">
        <w:t>)</w:t>
      </w:r>
      <w:r w:rsidR="002279BD" w:rsidRPr="00B349D5">
        <w:t xml:space="preserve"> should not suffice to engrain or otherwise establish a whole new </w:t>
      </w:r>
      <w:r w:rsidR="00D01A18">
        <w:t xml:space="preserve">paradigm </w:t>
      </w:r>
      <w:r w:rsidR="002279BD" w:rsidRPr="00B349D5">
        <w:t xml:space="preserve">on land rend returns in solid waste general rate cases.  </w:t>
      </w:r>
      <w:r w:rsidR="002F4661" w:rsidRPr="00B349D5">
        <w:t xml:space="preserve">Again, the ideal forums for </w:t>
      </w:r>
      <w:r w:rsidRPr="00B349D5">
        <w:t xml:space="preserve">considering </w:t>
      </w:r>
      <w:r w:rsidR="009E6ED7" w:rsidRPr="00B349D5">
        <w:t xml:space="preserve">any </w:t>
      </w:r>
      <w:r w:rsidRPr="00B349D5">
        <w:t xml:space="preserve">novel methodological </w:t>
      </w:r>
      <w:r w:rsidR="002F4661" w:rsidRPr="00B349D5">
        <w:t xml:space="preserve">theories </w:t>
      </w:r>
      <w:r w:rsidRPr="00B349D5">
        <w:t xml:space="preserve">for solid waste rate proponents </w:t>
      </w:r>
      <w:r w:rsidR="002F4661" w:rsidRPr="00B349D5">
        <w:t xml:space="preserve">are </w:t>
      </w:r>
      <w:r w:rsidR="002279BD" w:rsidRPr="00B349D5">
        <w:t>now before the Commission</w:t>
      </w:r>
      <w:r w:rsidR="002F4661" w:rsidRPr="00B349D5">
        <w:t xml:space="preserve"> in the Lurito-Gallagher </w:t>
      </w:r>
      <w:r w:rsidR="002279BD" w:rsidRPr="00B349D5">
        <w:t>rate</w:t>
      </w:r>
      <w:r w:rsidR="002F4661" w:rsidRPr="00B349D5">
        <w:t>making</w:t>
      </w:r>
      <w:r w:rsidR="00AE3CC9" w:rsidRPr="00B349D5">
        <w:t>,</w:t>
      </w:r>
      <w:r w:rsidR="002F4661" w:rsidRPr="00B349D5">
        <w:t xml:space="preserve"> and potentially</w:t>
      </w:r>
      <w:r w:rsidRPr="00B349D5">
        <w:t>,</w:t>
      </w:r>
      <w:r w:rsidR="002F4661" w:rsidRPr="00B349D5">
        <w:t xml:space="preserve"> the general rate </w:t>
      </w:r>
      <w:r w:rsidRPr="00B349D5">
        <w:t xml:space="preserve">case </w:t>
      </w:r>
      <w:r w:rsidR="002F4661" w:rsidRPr="00B349D5">
        <w:t>procedural rule review</w:t>
      </w:r>
      <w:r w:rsidR="002279BD" w:rsidRPr="00B349D5">
        <w:t>.</w:t>
      </w:r>
      <w:r w:rsidR="002F4661" w:rsidRPr="00B349D5">
        <w:t xml:space="preserve">  The Commission has </w:t>
      </w:r>
      <w:r w:rsidR="002279BD" w:rsidRPr="00B349D5">
        <w:t>repeatedly</w:t>
      </w:r>
      <w:r w:rsidR="002F4661" w:rsidRPr="00B349D5">
        <w:t xml:space="preserve"> endorsed a broader industry/stakeholder approach to such </w:t>
      </w:r>
      <w:r w:rsidR="002279BD" w:rsidRPr="00B349D5">
        <w:t>ratemaking reviews rather than a</w:t>
      </w:r>
      <w:r w:rsidR="00BB5C74" w:rsidRPr="00B349D5">
        <w:t>n</w:t>
      </w:r>
      <w:r w:rsidR="002279BD" w:rsidRPr="00B349D5">
        <w:t xml:space="preserve"> </w:t>
      </w:r>
      <w:r w:rsidR="00A35172" w:rsidRPr="00B349D5">
        <w:t xml:space="preserve">anecdotal </w:t>
      </w:r>
      <w:r w:rsidR="00BB5C74" w:rsidRPr="00B349D5">
        <w:t xml:space="preserve">or generic use </w:t>
      </w:r>
      <w:r w:rsidRPr="00B349D5">
        <w:t xml:space="preserve">approach </w:t>
      </w:r>
      <w:r w:rsidR="002F4661" w:rsidRPr="00B349D5">
        <w:t>and Waste Control, I</w:t>
      </w:r>
      <w:r w:rsidRPr="00B349D5">
        <w:t xml:space="preserve">nc. and the WRRA </w:t>
      </w:r>
      <w:r w:rsidR="00A35172" w:rsidRPr="00B349D5">
        <w:t xml:space="preserve">strongly </w:t>
      </w:r>
      <w:r w:rsidRPr="00B349D5">
        <w:t xml:space="preserve">support </w:t>
      </w:r>
      <w:r w:rsidR="002F4661" w:rsidRPr="00B349D5">
        <w:t>concepts</w:t>
      </w:r>
      <w:r w:rsidR="002279BD" w:rsidRPr="00B349D5">
        <w:t xml:space="preserve"> like land rent return</w:t>
      </w:r>
      <w:r w:rsidR="00B428B5" w:rsidRPr="00B349D5">
        <w:t>s</w:t>
      </w:r>
      <w:r w:rsidR="002279BD" w:rsidRPr="00B349D5">
        <w:t xml:space="preserve"> being considered there. </w:t>
      </w:r>
      <w:r w:rsidR="002F4661" w:rsidRPr="00B349D5">
        <w:t xml:space="preserve"> Once again, </w:t>
      </w:r>
      <w:r w:rsidR="008A4B29" w:rsidRPr="00B349D5">
        <w:t>the Company</w:t>
      </w:r>
      <w:r w:rsidR="002F4661" w:rsidRPr="00B349D5">
        <w:t xml:space="preserve"> </w:t>
      </w:r>
      <w:r w:rsidR="002279BD" w:rsidRPr="00B349D5">
        <w:t>suggests</w:t>
      </w:r>
      <w:r w:rsidR="002F4661" w:rsidRPr="00B349D5">
        <w:t xml:space="preserve"> the theoretical </w:t>
      </w:r>
      <w:r w:rsidR="008A4B29" w:rsidRPr="00B349D5">
        <w:t xml:space="preserve">Staff </w:t>
      </w:r>
      <w:r w:rsidR="002F4661" w:rsidRPr="00B349D5">
        <w:t xml:space="preserve">trailblazing </w:t>
      </w:r>
      <w:r w:rsidR="004A0480" w:rsidRPr="00B349D5">
        <w:t xml:space="preserve">for accounting adjustments </w:t>
      </w:r>
      <w:r w:rsidRPr="00B349D5">
        <w:t xml:space="preserve">advocated </w:t>
      </w:r>
      <w:r w:rsidR="002F4661" w:rsidRPr="00B349D5">
        <w:t xml:space="preserve">in this case is premature and potentially preemptive of the Commission’s overarching role in balancing the interests of ratepayers and regulated companies </w:t>
      </w:r>
      <w:r w:rsidR="00BB5C74" w:rsidRPr="00B349D5">
        <w:t xml:space="preserve">in </w:t>
      </w:r>
      <w:r w:rsidR="008A4B29" w:rsidRPr="00B349D5">
        <w:t xml:space="preserve">convening related rulemakings </w:t>
      </w:r>
      <w:r w:rsidR="002F4661" w:rsidRPr="00B349D5">
        <w:t xml:space="preserve">and </w:t>
      </w:r>
      <w:r w:rsidRPr="00B349D5">
        <w:t>ulti</w:t>
      </w:r>
      <w:r w:rsidR="00D01A18">
        <w:t xml:space="preserve">mately, </w:t>
      </w:r>
      <w:r w:rsidR="002F4661" w:rsidRPr="00B349D5">
        <w:t xml:space="preserve">maintaining a viable and dynamic </w:t>
      </w:r>
      <w:r w:rsidRPr="00B349D5">
        <w:t>state</w:t>
      </w:r>
      <w:r w:rsidR="008A4B29" w:rsidRPr="00B349D5">
        <w:t xml:space="preserve"> regulated</w:t>
      </w:r>
      <w:r w:rsidRPr="00B349D5">
        <w:t xml:space="preserve"> </w:t>
      </w:r>
      <w:r w:rsidR="002F4661" w:rsidRPr="00B349D5">
        <w:t xml:space="preserve">solid waste collection industry.  </w:t>
      </w:r>
    </w:p>
    <w:p w:rsidR="002F4661" w:rsidRPr="00B349D5" w:rsidRDefault="002F4661" w:rsidP="002B5422">
      <w:pPr>
        <w:pStyle w:val="Heading4"/>
        <w:spacing w:after="120"/>
        <w:rPr>
          <w:u w:val="single"/>
        </w:rPr>
      </w:pPr>
      <w:bookmarkStart w:id="91" w:name="_Toc423327091"/>
      <w:r w:rsidRPr="00B349D5">
        <w:rPr>
          <w:u w:val="single"/>
        </w:rPr>
        <w:t xml:space="preserve">Recommended </w:t>
      </w:r>
      <w:r w:rsidR="00594206" w:rsidRPr="00B349D5">
        <w:rPr>
          <w:u w:val="single"/>
        </w:rPr>
        <w:t xml:space="preserve">Revisions to </w:t>
      </w:r>
      <w:r w:rsidRPr="00B349D5">
        <w:rPr>
          <w:u w:val="single"/>
        </w:rPr>
        <w:t>Findings/Conclusions on Land Rent Adjustment 6-E</w:t>
      </w:r>
      <w:r w:rsidR="008C32B6" w:rsidRPr="00B349D5">
        <w:rPr>
          <w:i/>
          <w:u w:val="single"/>
        </w:rPr>
        <w:t>.</w:t>
      </w:r>
      <w:bookmarkEnd w:id="91"/>
    </w:p>
    <w:p w:rsidR="00500642" w:rsidRPr="00B349D5" w:rsidRDefault="00347AC3" w:rsidP="00347AC3">
      <w:pPr>
        <w:pStyle w:val="Quote"/>
        <w:rPr>
          <w:b/>
        </w:rPr>
      </w:pPr>
      <w:r w:rsidRPr="00B349D5">
        <w:rPr>
          <w:b/>
          <w:u w:val="single"/>
        </w:rPr>
        <w:t>Recommended Finding/Conclusion (10)</w:t>
      </w:r>
      <w:r w:rsidRPr="00B349D5">
        <w:rPr>
          <w:b/>
        </w:rPr>
        <w:t>:  Use of the capital structure costs of the debt of nonregulated landlords Heirborne Investment, LLC (“HBI”) and Heirborne Investments II,</w:t>
      </w:r>
      <w:r w:rsidR="009E6ED7" w:rsidRPr="00B349D5">
        <w:rPr>
          <w:b/>
        </w:rPr>
        <w:t xml:space="preserve"> LLC (“HBII”) has heretofore</w:t>
      </w:r>
      <w:r w:rsidRPr="00B349D5">
        <w:rPr>
          <w:b/>
        </w:rPr>
        <w:t xml:space="preserve"> been </w:t>
      </w:r>
      <w:r w:rsidR="009E6ED7" w:rsidRPr="00B349D5">
        <w:rPr>
          <w:b/>
        </w:rPr>
        <w:t>un</w:t>
      </w:r>
      <w:r w:rsidRPr="00B349D5">
        <w:rPr>
          <w:b/>
        </w:rPr>
        <w:t>recognized in a Final Order of the Commission for calculating returns on affiliate land rents to be allowed in rates for regulated solid waste collection c</w:t>
      </w:r>
      <w:r w:rsidR="00A35172" w:rsidRPr="00B349D5">
        <w:rPr>
          <w:b/>
        </w:rPr>
        <w:t>ompanies and merits considerable</w:t>
      </w:r>
      <w:r w:rsidRPr="00B349D5">
        <w:rPr>
          <w:b/>
        </w:rPr>
        <w:t xml:space="preserve"> further examination in the now pending rulemaking in Docket </w:t>
      </w:r>
      <w:r w:rsidR="00A35172" w:rsidRPr="00B349D5">
        <w:rPr>
          <w:b/>
        </w:rPr>
        <w:t>No.</w:t>
      </w:r>
      <w:r w:rsidRPr="00B349D5">
        <w:rPr>
          <w:b/>
        </w:rPr>
        <w:t xml:space="preserve"> TG-131255 before being adopted here. </w:t>
      </w:r>
    </w:p>
    <w:p w:rsidR="00347AC3" w:rsidRPr="00B349D5" w:rsidRDefault="00347AC3" w:rsidP="00347AC3">
      <w:pPr>
        <w:pStyle w:val="Quote"/>
        <w:rPr>
          <w:b/>
        </w:rPr>
      </w:pPr>
      <w:r w:rsidRPr="00B349D5">
        <w:rPr>
          <w:b/>
          <w:u w:val="single"/>
        </w:rPr>
        <w:t>Recommended Finding/Conclusion (11</w:t>
      </w:r>
      <w:r w:rsidRPr="00B349D5">
        <w:rPr>
          <w:b/>
        </w:rPr>
        <w:t>):  The discounted cash flow methodology proposed by Staff for calc</w:t>
      </w:r>
      <w:r w:rsidR="00CD669F" w:rsidRPr="00B349D5">
        <w:rPr>
          <w:b/>
        </w:rPr>
        <w:t>ulating returns on land rents is</w:t>
      </w:r>
      <w:r w:rsidRPr="00B349D5">
        <w:rPr>
          <w:b/>
        </w:rPr>
        <w:t xml:space="preserve"> also unprecedented, lacks an accompanying weighted cost of debt study and merits more evaluation particularly in the context of the pending Lurito-Gallagher rulemaking proceeding and the use</w:t>
      </w:r>
      <w:r w:rsidR="00CD669F" w:rsidRPr="00B349D5">
        <w:rPr>
          <w:b/>
        </w:rPr>
        <w:t xml:space="preserve"> of analogous “</w:t>
      </w:r>
      <w:r w:rsidRPr="00B349D5">
        <w:rPr>
          <w:b/>
        </w:rPr>
        <w:t xml:space="preserve">control” or </w:t>
      </w:r>
      <w:r w:rsidRPr="00B349D5">
        <w:rPr>
          <w:b/>
        </w:rPr>
        <w:lastRenderedPageBreak/>
        <w:t>industry groups appropriately correlated to the levels of risk and operational characteris</w:t>
      </w:r>
      <w:r w:rsidR="00CD669F" w:rsidRPr="00B349D5">
        <w:rPr>
          <w:b/>
        </w:rPr>
        <w:t>tics of the Company’s affiliates activities</w:t>
      </w:r>
      <w:r w:rsidRPr="00B349D5">
        <w:rPr>
          <w:b/>
        </w:rPr>
        <w:t xml:space="preserve"> and investments.</w:t>
      </w:r>
    </w:p>
    <w:p w:rsidR="00BB0C73" w:rsidRPr="001461A0" w:rsidRDefault="00BB0C73" w:rsidP="00BB0C73">
      <w:pPr>
        <w:pStyle w:val="Quote"/>
        <w:rPr>
          <w:b/>
          <w:i/>
        </w:rPr>
      </w:pPr>
      <w:r w:rsidRPr="00B349D5">
        <w:rPr>
          <w:b/>
          <w:u w:val="single"/>
        </w:rPr>
        <w:t>Recommended Finding/Conclusion (12)</w:t>
      </w:r>
      <w:r w:rsidRPr="00B349D5">
        <w:rPr>
          <w:b/>
        </w:rPr>
        <w:t>:  Similarly, Staff’s approach utilizing the landlord’s actual cost of debt in this proceeding at 2.2% for HBI rentals and 4.3% for HBII rentals</w:t>
      </w:r>
      <w:r w:rsidR="001461A0">
        <w:rPr>
          <w:b/>
        </w:rPr>
        <w:t xml:space="preserve"> is </w:t>
      </w:r>
      <w:r w:rsidR="000D2AC9">
        <w:rPr>
          <w:b/>
        </w:rPr>
        <w:t>not inclusive</w:t>
      </w:r>
      <w:r w:rsidR="001461A0">
        <w:rPr>
          <w:b/>
        </w:rPr>
        <w:t xml:space="preserve"> of all of the costs of debt for these companies and</w:t>
      </w:r>
      <w:r w:rsidRPr="00B349D5">
        <w:rPr>
          <w:b/>
        </w:rPr>
        <w:t xml:space="preserve"> </w:t>
      </w:r>
      <w:r w:rsidR="000D2AC9">
        <w:rPr>
          <w:b/>
        </w:rPr>
        <w:t xml:space="preserve">should </w:t>
      </w:r>
      <w:r w:rsidRPr="00B349D5">
        <w:rPr>
          <w:b/>
        </w:rPr>
        <w:t>await refinement in the larger construct of the methodology for land rent return calculations for the regulated solid waste industry in Docket No. TG-131255.  The t</w:t>
      </w:r>
      <w:r w:rsidR="000D2AC9">
        <w:rPr>
          <w:b/>
        </w:rPr>
        <w:t xml:space="preserve">raditional cost of debt method </w:t>
      </w:r>
      <w:r w:rsidRPr="00B349D5">
        <w:rPr>
          <w:b/>
        </w:rPr>
        <w:t xml:space="preserve">proposed by the Company as set forth at Table 1, </w:t>
      </w:r>
      <w:r w:rsidR="00B349D5" w:rsidRPr="00B349D5">
        <w:fldChar w:fldCharType="begin"/>
      </w:r>
      <w:r w:rsidR="00B349D5" w:rsidRPr="00B349D5">
        <w:instrText xml:space="preserve"> ADDIN BA \xc &lt;@rec&gt; \xl 13 \s ECSSJP000086 \xqt \l "</w:instrText>
      </w:r>
      <w:r w:rsidR="00B349D5" w:rsidRPr="00B349D5">
        <w:rPr>
          <w:b/>
        </w:rPr>
        <w:instrText>Exhibit LD-1T</w:instrText>
      </w:r>
      <w:r w:rsidR="00B349D5" w:rsidRPr="00B349D5">
        <w:instrText xml:space="preserve">" </w:instrText>
      </w:r>
      <w:r w:rsidR="00B349D5" w:rsidRPr="00B349D5">
        <w:fldChar w:fldCharType="end"/>
      </w:r>
      <w:r w:rsidRPr="00B349D5">
        <w:rPr>
          <w:b/>
        </w:rPr>
        <w:t xml:space="preserve">Exhibit LD-1T, which use 2.635% and 5.2% for debt </w:t>
      </w:r>
      <w:r w:rsidR="001461A0">
        <w:rPr>
          <w:b/>
        </w:rPr>
        <w:t xml:space="preserve">and </w:t>
      </w:r>
      <w:r w:rsidR="00D01A18">
        <w:rPr>
          <w:b/>
        </w:rPr>
        <w:t xml:space="preserve">which </w:t>
      </w:r>
      <w:r w:rsidR="001461A0">
        <w:rPr>
          <w:b/>
        </w:rPr>
        <w:t>include</w:t>
      </w:r>
      <w:r w:rsidR="00D01A18">
        <w:rPr>
          <w:b/>
        </w:rPr>
        <w:t>s</w:t>
      </w:r>
      <w:r w:rsidR="001461A0">
        <w:rPr>
          <w:b/>
        </w:rPr>
        <w:t xml:space="preserve"> both the amortization of loan fees and swap interest rate costs </w:t>
      </w:r>
      <w:r w:rsidR="00B428B5" w:rsidRPr="00B349D5">
        <w:rPr>
          <w:b/>
        </w:rPr>
        <w:t>of</w:t>
      </w:r>
      <w:r w:rsidRPr="00B349D5">
        <w:rPr>
          <w:b/>
        </w:rPr>
        <w:t xml:space="preserve"> the actual encumbered properties </w:t>
      </w:r>
      <w:r w:rsidR="000D2AC9">
        <w:rPr>
          <w:b/>
        </w:rPr>
        <w:t xml:space="preserve">is </w:t>
      </w:r>
      <w:r w:rsidRPr="00B349D5">
        <w:rPr>
          <w:b/>
        </w:rPr>
        <w:t>now accepted, pending analysis of appropriate cost of capital metrics in that rulemaking and closer evaluation of comparative industry and company risk factors in establishing costs of debt.</w:t>
      </w:r>
      <w:r w:rsidR="001461A0">
        <w:rPr>
          <w:b/>
        </w:rPr>
        <w:t xml:space="preserve">  </w:t>
      </w:r>
      <w:r w:rsidR="000D2AC9">
        <w:rPr>
          <w:b/>
        </w:rPr>
        <w:t>T</w:t>
      </w:r>
      <w:r w:rsidR="001461A0">
        <w:rPr>
          <w:b/>
        </w:rPr>
        <w:t xml:space="preserve">he </w:t>
      </w:r>
      <w:r w:rsidR="000D2AC9">
        <w:rPr>
          <w:b/>
        </w:rPr>
        <w:t xml:space="preserve">Staff’s </w:t>
      </w:r>
      <w:r w:rsidR="001461A0">
        <w:rPr>
          <w:b/>
        </w:rPr>
        <w:t>return on equity factors of 12.5 percent for HBI and 13.1 percent for HBII</w:t>
      </w:r>
      <w:r w:rsidR="000D2AC9">
        <w:rPr>
          <w:b/>
        </w:rPr>
        <w:t>,</w:t>
      </w:r>
      <w:r w:rsidR="001461A0">
        <w:rPr>
          <w:b/>
        </w:rPr>
        <w:t xml:space="preserve"> understate</w:t>
      </w:r>
      <w:r w:rsidR="00D01A18">
        <w:rPr>
          <w:b/>
        </w:rPr>
        <w:t>s</w:t>
      </w:r>
      <w:r w:rsidR="001461A0">
        <w:rPr>
          <w:b/>
        </w:rPr>
        <w:t xml:space="preserve"> the risk factors for solid waste collection companies as opposed to </w:t>
      </w:r>
      <w:r w:rsidR="000D2AC9">
        <w:rPr>
          <w:b/>
        </w:rPr>
        <w:t>transferring</w:t>
      </w:r>
      <w:r w:rsidR="001461A0">
        <w:rPr>
          <w:b/>
        </w:rPr>
        <w:t xml:space="preserve"> temporal updates based on </w:t>
      </w:r>
      <w:proofErr w:type="spellStart"/>
      <w:r w:rsidR="00D01A18">
        <w:rPr>
          <w:b/>
        </w:rPr>
        <w:t>ROE</w:t>
      </w:r>
      <w:r w:rsidR="001461A0">
        <w:rPr>
          <w:b/>
        </w:rPr>
        <w:t>s</w:t>
      </w:r>
      <w:proofErr w:type="spellEnd"/>
      <w:r w:rsidR="001461A0">
        <w:rPr>
          <w:b/>
        </w:rPr>
        <w:t xml:space="preserve"> for energy companies and growth factors for publicly traded real estate companies and their relevant dividend yields.  For now, the ROE factors here should remain at the long-accepted 15% level as allowed in the Company’s last rate case, </w:t>
      </w:r>
      <w:r w:rsidR="000D2AC9">
        <w:rPr>
          <w:b/>
        </w:rPr>
        <w:t xml:space="preserve">the </w:t>
      </w:r>
      <w:r w:rsidR="001461A0" w:rsidRPr="001461A0">
        <w:rPr>
          <w:b/>
          <w:i/>
        </w:rPr>
        <w:t>BKA</w:t>
      </w:r>
      <w:r w:rsidR="001461A0">
        <w:rPr>
          <w:b/>
          <w:i/>
        </w:rPr>
        <w:t xml:space="preserve"> </w:t>
      </w:r>
      <w:r w:rsidR="001461A0" w:rsidRPr="001461A0">
        <w:rPr>
          <w:b/>
        </w:rPr>
        <w:t xml:space="preserve">case, and as </w:t>
      </w:r>
      <w:r w:rsidR="000D2AC9">
        <w:rPr>
          <w:b/>
        </w:rPr>
        <w:t xml:space="preserve">suggested as an existing reality benchmark </w:t>
      </w:r>
      <w:r w:rsidR="001461A0" w:rsidRPr="001461A0">
        <w:rPr>
          <w:b/>
        </w:rPr>
        <w:t>in the recent survey of Washington solid waste collection companies as reported in December, 2014 by the Commission’s consultants.</w:t>
      </w:r>
    </w:p>
    <w:p w:rsidR="00E21F5D" w:rsidRPr="00B349D5" w:rsidRDefault="00E21F5D" w:rsidP="0023228F">
      <w:pPr>
        <w:pStyle w:val="Quote"/>
        <w:rPr>
          <w:b/>
        </w:rPr>
      </w:pPr>
      <w:r w:rsidRPr="00B349D5">
        <w:rPr>
          <w:b/>
          <w:u w:val="single"/>
        </w:rPr>
        <w:t>Recommended Finding/Conclusion (13)</w:t>
      </w:r>
      <w:r w:rsidRPr="00B349D5">
        <w:rPr>
          <w:b/>
        </w:rPr>
        <w:t>:  Staff’s three-factor allocator is not consistent in applying its cost drivers to all costs being allocated as found above in addressing the three-factor allocators for utility costs in reco</w:t>
      </w:r>
      <w:r w:rsidR="00CD669F" w:rsidRPr="00B349D5">
        <w:rPr>
          <w:b/>
        </w:rPr>
        <w:t>mmended Finding/Conclusion (8).  T</w:t>
      </w:r>
      <w:r w:rsidRPr="00B349D5">
        <w:rPr>
          <w:b/>
        </w:rPr>
        <w:t xml:space="preserve">he Staff’s allocator must be revised to reflect only revenues generated from shared facility operations and the corresponding number of employees and fixed assets working or contained in those facilities in order to be consistent and to avoid unreasonable allocation of </w:t>
      </w:r>
      <w:r w:rsidR="00B428B5" w:rsidRPr="00B349D5">
        <w:rPr>
          <w:b/>
        </w:rPr>
        <w:t xml:space="preserve">additional </w:t>
      </w:r>
      <w:r w:rsidRPr="00B349D5">
        <w:rPr>
          <w:b/>
        </w:rPr>
        <w:t xml:space="preserve">rent </w:t>
      </w:r>
      <w:r w:rsidR="00B428B5" w:rsidRPr="00B349D5">
        <w:rPr>
          <w:b/>
        </w:rPr>
        <w:t xml:space="preserve">expense </w:t>
      </w:r>
      <w:r w:rsidRPr="00B349D5">
        <w:rPr>
          <w:b/>
        </w:rPr>
        <w:t>to the nonregulated affiliate company wh</w:t>
      </w:r>
      <w:r w:rsidR="00CD669F" w:rsidRPr="00B349D5">
        <w:rPr>
          <w:b/>
        </w:rPr>
        <w:t xml:space="preserve">ich </w:t>
      </w:r>
      <w:r w:rsidRPr="00B349D5">
        <w:rPr>
          <w:b/>
        </w:rPr>
        <w:t xml:space="preserve">is not actually occupying space utilized in the Staff’s calculation.  In short, Staff’s three-factor allocator theory is not proven to be either internally consistent or accurate for allocation of shared </w:t>
      </w:r>
      <w:r w:rsidR="00B428B5" w:rsidRPr="00B349D5">
        <w:rPr>
          <w:b/>
        </w:rPr>
        <w:t xml:space="preserve">expenses </w:t>
      </w:r>
      <w:r w:rsidRPr="00B349D5">
        <w:rPr>
          <w:b/>
        </w:rPr>
        <w:t>and the partie</w:t>
      </w:r>
      <w:r w:rsidR="009E6ED7" w:rsidRPr="00B349D5">
        <w:rPr>
          <w:b/>
        </w:rPr>
        <w:t xml:space="preserve">s are </w:t>
      </w:r>
      <w:r w:rsidR="00660BC3">
        <w:rPr>
          <w:b/>
        </w:rPr>
        <w:t xml:space="preserve">again </w:t>
      </w:r>
      <w:r w:rsidR="009E6ED7" w:rsidRPr="00B349D5">
        <w:rPr>
          <w:b/>
        </w:rPr>
        <w:t>directed to further explore</w:t>
      </w:r>
      <w:r w:rsidRPr="00B349D5">
        <w:rPr>
          <w:b/>
        </w:rPr>
        <w:t xml:space="preserve"> and refine such allocation theories in the ongoing Lurito-Gallagher rulemaking where expert opinions and alternative theories can be vetted prior to  adoption or application in isolated solid waste general rate cases.</w:t>
      </w:r>
    </w:p>
    <w:p w:rsidR="00E30384" w:rsidRPr="00B349D5" w:rsidRDefault="00E30384" w:rsidP="009E6ED7">
      <w:pPr>
        <w:pStyle w:val="Heading3"/>
        <w:keepLines/>
      </w:pPr>
      <w:bookmarkStart w:id="92" w:name="_Toc423327092"/>
      <w:r w:rsidRPr="00B349D5">
        <w:t>Exceptions to Findings/Conclusions</w:t>
      </w:r>
      <w:r w:rsidR="00387389" w:rsidRPr="00B349D5">
        <w:t xml:space="preserve"> (14)</w:t>
      </w:r>
      <w:r w:rsidRPr="00B349D5">
        <w:t>:  Rate Case Costs</w:t>
      </w:r>
      <w:bookmarkEnd w:id="92"/>
      <w:r w:rsidRPr="00B349D5">
        <w:t xml:space="preserve"> </w:t>
      </w:r>
    </w:p>
    <w:p w:rsidR="00CD669F" w:rsidRPr="00B349D5" w:rsidRDefault="00E30384" w:rsidP="009E6ED7">
      <w:pPr>
        <w:pStyle w:val="BodyText2"/>
        <w:keepNext/>
        <w:numPr>
          <w:ilvl w:val="0"/>
          <w:numId w:val="35"/>
        </w:numPr>
        <w:spacing w:before="120" w:after="120"/>
        <w:ind w:hanging="720"/>
      </w:pPr>
      <w:r w:rsidRPr="00B349D5">
        <w:t>WCI also takes</w:t>
      </w:r>
      <w:r w:rsidR="00CD669F" w:rsidRPr="00B349D5">
        <w:t xml:space="preserve"> strong</w:t>
      </w:r>
      <w:r w:rsidRPr="00B349D5">
        <w:t xml:space="preserve"> exception to Finding/Conclusion (14) at ¶ 96, where the Administrative Law Judge finds that WCI’s rate case costs in this proceeding were “exorbitant” and broadly </w:t>
      </w:r>
      <w:r w:rsidRPr="00B349D5">
        <w:lastRenderedPageBreak/>
        <w:t xml:space="preserve">concurs with the Staff recommendation that WCI recover only half of the rate costs incurred since December 24, 2013.  </w:t>
      </w:r>
    </w:p>
    <w:p w:rsidR="00E30384" w:rsidRPr="00B349D5" w:rsidRDefault="00E30384" w:rsidP="00B36123">
      <w:pPr>
        <w:pStyle w:val="BodyText2"/>
        <w:numPr>
          <w:ilvl w:val="0"/>
          <w:numId w:val="35"/>
        </w:numPr>
        <w:spacing w:before="120" w:after="120"/>
        <w:ind w:hanging="720"/>
      </w:pPr>
      <w:r w:rsidRPr="00B349D5">
        <w:t>In theory, “[t]he costs of litigating commission and court proceedings arising in the normal course of business, including penalty actions and prudence reviews are generally allowed…”</w:t>
      </w:r>
      <w:r w:rsidRPr="00B349D5">
        <w:rPr>
          <w:rStyle w:val="FootnoteReference"/>
        </w:rPr>
        <w:footnoteReference w:id="40"/>
      </w:r>
      <w:r w:rsidRPr="00B349D5">
        <w:t xml:space="preserve">  WCI well understands and concurs with the premise that a litigant’s costs are </w:t>
      </w:r>
      <w:r w:rsidR="00D01A18">
        <w:t xml:space="preserve">nevertheless </w:t>
      </w:r>
      <w:r w:rsidRPr="00B349D5">
        <w:t>fully reviewable by the Commission and may be disallowed where they are “exorbitant and imprudent.”</w:t>
      </w:r>
      <w:r w:rsidRPr="00B349D5">
        <w:rPr>
          <w:rStyle w:val="FootnoteReference"/>
        </w:rPr>
        <w:footnoteReference w:id="41"/>
      </w:r>
      <w:r w:rsidRPr="00B349D5">
        <w:t xml:space="preserve">  Here, however, WCI’s ex</w:t>
      </w:r>
      <w:r w:rsidR="009E6ED7" w:rsidRPr="00B349D5">
        <w:t xml:space="preserve">penses in prosecuting this case, although sizeable, </w:t>
      </w:r>
      <w:r w:rsidRPr="00B349D5">
        <w:t>were not imprudent and should be recoverable in full.</w:t>
      </w:r>
      <w:r w:rsidR="00F7403B" w:rsidRPr="00B349D5">
        <w:t xml:space="preserve">  As described below</w:t>
      </w:r>
      <w:r w:rsidR="00D01A18">
        <w:t>,</w:t>
      </w:r>
      <w:r w:rsidR="00F7403B" w:rsidRPr="00B349D5">
        <w:t xml:space="preserve"> the only plausible alternative for limiting rate case costs is </w:t>
      </w:r>
      <w:r w:rsidR="009E6ED7" w:rsidRPr="00B349D5">
        <w:t xml:space="preserve">in </w:t>
      </w:r>
      <w:r w:rsidR="00F7403B" w:rsidRPr="00B349D5">
        <w:t>the first, not second rate proceeding.</w:t>
      </w:r>
    </w:p>
    <w:p w:rsidR="00E30384" w:rsidRPr="00B349D5" w:rsidRDefault="00E30384" w:rsidP="00B36123">
      <w:pPr>
        <w:pStyle w:val="BodyText2"/>
        <w:numPr>
          <w:ilvl w:val="0"/>
          <w:numId w:val="35"/>
        </w:numPr>
        <w:spacing w:before="120" w:after="120"/>
        <w:ind w:hanging="720"/>
      </w:pPr>
      <w:r w:rsidRPr="00B349D5">
        <w:t xml:space="preserve">No one disputes that this was a protracted, heavily contested case.  To date, as well, Staff has not had any issue with the </w:t>
      </w:r>
      <w:r w:rsidR="004A0480" w:rsidRPr="00B349D5">
        <w:t xml:space="preserve">number </w:t>
      </w:r>
      <w:r w:rsidRPr="00B349D5">
        <w:t>of hours expended nor the rates assessed by professionals to defend WCI’s position.</w:t>
      </w:r>
      <w:r w:rsidRPr="00B349D5">
        <w:rPr>
          <w:rStyle w:val="FootnoteReference"/>
        </w:rPr>
        <w:footnoteReference w:id="42"/>
      </w:r>
      <w:r w:rsidRPr="00B349D5">
        <w:t xml:space="preserve">  Indeed, as noted in briefing, Staff would be hard pressed to challenge the reasonableness of the amount of work WCI expended in pursuing this case, given that Staff’s own accountants had spent nearly 700 hours more in accounting time </w:t>
      </w:r>
      <w:r w:rsidR="00CD669F" w:rsidRPr="00B349D5">
        <w:t xml:space="preserve">alone </w:t>
      </w:r>
      <w:r w:rsidRPr="00B349D5">
        <w:t xml:space="preserve">than WCI’s accountants </w:t>
      </w:r>
      <w:r w:rsidR="00CD669F" w:rsidRPr="00B349D5">
        <w:t xml:space="preserve">in </w:t>
      </w:r>
      <w:r w:rsidRPr="00B349D5">
        <w:t>this matter through June 2014.</w:t>
      </w:r>
      <w:r w:rsidRPr="00B349D5">
        <w:rPr>
          <w:rStyle w:val="FootnoteReference"/>
        </w:rPr>
        <w:footnoteReference w:id="43"/>
      </w:r>
      <w:r w:rsidRPr="00B349D5">
        <w:t xml:space="preserve">  </w:t>
      </w:r>
    </w:p>
    <w:p w:rsidR="000931D8" w:rsidRPr="00B349D5" w:rsidRDefault="00E30384" w:rsidP="00B36123">
      <w:pPr>
        <w:pStyle w:val="BodyText2"/>
        <w:numPr>
          <w:ilvl w:val="0"/>
          <w:numId w:val="35"/>
        </w:numPr>
        <w:spacing w:before="120" w:after="120"/>
        <w:ind w:hanging="720"/>
      </w:pPr>
      <w:r w:rsidRPr="00B349D5">
        <w:t xml:space="preserve">Another reality of rate case costs is </w:t>
      </w:r>
      <w:r w:rsidR="00387389" w:rsidRPr="00B349D5">
        <w:t xml:space="preserve">quite </w:t>
      </w:r>
      <w:r w:rsidRPr="00B349D5">
        <w:t xml:space="preserve">pertinent here.  WCI is a relatively small, family-owned solid waste collection company which lacks the in-house professional resources of other investor-owned public service companies with whom the Commission deals in the vast majority of its contested rate cases.  Thus, all of the rate case marshalling and defense </w:t>
      </w:r>
      <w:r w:rsidR="000931D8" w:rsidRPr="00B349D5">
        <w:t xml:space="preserve">costs </w:t>
      </w:r>
      <w:r w:rsidRPr="00B349D5">
        <w:t xml:space="preserve">here </w:t>
      </w:r>
      <w:r w:rsidR="000931D8" w:rsidRPr="00B349D5">
        <w:t>were</w:t>
      </w:r>
      <w:r w:rsidR="00CD669F" w:rsidRPr="00B349D5">
        <w:t xml:space="preserve"> </w:t>
      </w:r>
      <w:r w:rsidRPr="00B349D5">
        <w:t xml:space="preserve">handled </w:t>
      </w:r>
      <w:r w:rsidR="004A0480" w:rsidRPr="00B349D5">
        <w:t xml:space="preserve">entirely </w:t>
      </w:r>
      <w:r w:rsidRPr="00B349D5">
        <w:t xml:space="preserve">by outside accountants and lawyers which concentrates the line item of rate case </w:t>
      </w:r>
      <w:r w:rsidRPr="00B349D5">
        <w:lastRenderedPageBreak/>
        <w:t>costs in a particularly myopic fashion and also has the tendency to magnify those expenses in relatio</w:t>
      </w:r>
      <w:r w:rsidR="004A0480" w:rsidRPr="00B349D5">
        <w:t>n to other test year expenses</w:t>
      </w:r>
      <w:r w:rsidRPr="00B349D5">
        <w:t xml:space="preserve">.  </w:t>
      </w:r>
      <w:r w:rsidR="00381A02" w:rsidRPr="00B349D5">
        <w:t xml:space="preserve">Where those professional resources are in-house, presumably they are addressed and/or imbedded in a company’s rate base and/or identified in corporate overhead expenses in contrast to their isolation here.  </w:t>
      </w:r>
      <w:r w:rsidRPr="00B349D5">
        <w:t>Additionally, no one has described the expenses incurred on both sides of this once-in-a-generation case as anything but “unusually high” nor has any party done anything but regret their size.</w:t>
      </w:r>
      <w:r w:rsidRPr="00B349D5">
        <w:rPr>
          <w:vertAlign w:val="superscript"/>
        </w:rPr>
        <w:footnoteReference w:id="44"/>
      </w:r>
      <w:r w:rsidRPr="00B349D5">
        <w:t xml:space="preserve">  </w:t>
      </w:r>
      <w:r w:rsidR="00D734DC" w:rsidRPr="00B349D5">
        <w:t>Thus</w:t>
      </w:r>
      <w:r w:rsidR="004A0480" w:rsidRPr="00B349D5">
        <w:t>,</w:t>
      </w:r>
      <w:r w:rsidR="00D734DC" w:rsidRPr="00B349D5">
        <w:t xml:space="preserve"> simply labeling them as “exorbitant” oversimplifies </w:t>
      </w:r>
      <w:r w:rsidR="009E6ED7" w:rsidRPr="00B349D5">
        <w:t xml:space="preserve">not only the cost size but </w:t>
      </w:r>
      <w:r w:rsidR="00D734DC" w:rsidRPr="00B349D5">
        <w:t>the significance and development of the contested issues’ evolution in this case.</w:t>
      </w:r>
    </w:p>
    <w:p w:rsidR="000931D8" w:rsidRPr="00B349D5" w:rsidRDefault="00D734DC" w:rsidP="00B36123">
      <w:pPr>
        <w:pStyle w:val="BodyText2"/>
        <w:numPr>
          <w:ilvl w:val="0"/>
          <w:numId w:val="35"/>
        </w:numPr>
        <w:spacing w:before="120" w:after="120"/>
        <w:ind w:hanging="720"/>
      </w:pPr>
      <w:r w:rsidRPr="00B349D5">
        <w:t xml:space="preserve">Ironically, “oversimplification” and “unsupported” could also characterize the Staff position on rate case cost allowance.  </w:t>
      </w:r>
      <w:r w:rsidR="00B428B5" w:rsidRPr="00B349D5">
        <w:t>The</w:t>
      </w:r>
      <w:r w:rsidR="00E30384" w:rsidRPr="00B349D5">
        <w:t xml:space="preserve"> </w:t>
      </w:r>
      <w:proofErr w:type="spellStart"/>
      <w:r w:rsidR="00E30384" w:rsidRPr="00B349D5">
        <w:t>ALJ</w:t>
      </w:r>
      <w:proofErr w:type="spellEnd"/>
      <w:r w:rsidR="00E30384" w:rsidRPr="00B349D5">
        <w:t xml:space="preserve"> </w:t>
      </w:r>
      <w:r w:rsidR="000931D8" w:rsidRPr="00B349D5">
        <w:t xml:space="preserve">has </w:t>
      </w:r>
      <w:r w:rsidR="00B428B5" w:rsidRPr="00B349D5">
        <w:t xml:space="preserve">however now </w:t>
      </w:r>
      <w:r w:rsidR="000931D8" w:rsidRPr="00B349D5">
        <w:t xml:space="preserve">summarily </w:t>
      </w:r>
      <w:r w:rsidR="00E30384" w:rsidRPr="00B349D5">
        <w:t>agreed</w:t>
      </w:r>
      <w:r w:rsidR="00B428B5" w:rsidRPr="00B349D5">
        <w:t xml:space="preserve"> with the Staff recommendation, reasoning</w:t>
      </w:r>
      <w:r w:rsidR="00E30384" w:rsidRPr="00B349D5">
        <w:t xml:space="preserve"> that WCI’s costs should be reduced</w:t>
      </w:r>
      <w:r w:rsidR="00BA2E78" w:rsidRPr="00B349D5">
        <w:t xml:space="preserve"> by 50% after December 24, 2013</w:t>
      </w:r>
      <w:r w:rsidR="00E30384" w:rsidRPr="00B349D5">
        <w:t xml:space="preserve"> because WCI and Staff should share equal responsibility for the protracted nature of this litigation.</w:t>
      </w:r>
      <w:r w:rsidR="00E30384" w:rsidRPr="00B349D5">
        <w:rPr>
          <w:vertAlign w:val="superscript"/>
        </w:rPr>
        <w:footnoteReference w:id="45"/>
      </w:r>
      <w:r w:rsidR="00E30384" w:rsidRPr="00B349D5">
        <w:t xml:space="preserve">  However, neither Staff nor the administrative law judge offers any legal support for the conclusion that cost recovery </w:t>
      </w:r>
      <w:r w:rsidR="00BA2E78" w:rsidRPr="00B349D5">
        <w:t xml:space="preserve">must </w:t>
      </w:r>
      <w:r w:rsidR="00E30384" w:rsidRPr="00B349D5">
        <w:t>be cut in half because a case is drawn out</w:t>
      </w:r>
      <w:r w:rsidR="00B428B5" w:rsidRPr="00B349D5">
        <w:t xml:space="preserve">, complicated, contentious and/or </w:t>
      </w:r>
      <w:r w:rsidR="00E30384" w:rsidRPr="00B349D5">
        <w:t xml:space="preserve">extraordinarily expensive.  </w:t>
      </w:r>
    </w:p>
    <w:p w:rsidR="004E50CE" w:rsidRPr="00B349D5" w:rsidRDefault="006F3842" w:rsidP="00B36123">
      <w:pPr>
        <w:pStyle w:val="BodyText2"/>
        <w:numPr>
          <w:ilvl w:val="0"/>
          <w:numId w:val="35"/>
        </w:numPr>
        <w:spacing w:before="120" w:after="120"/>
        <w:ind w:hanging="720"/>
      </w:pPr>
      <w:r w:rsidRPr="00B349D5">
        <w:t>Honoring</w:t>
      </w:r>
      <w:r w:rsidR="004E50CE" w:rsidRPr="00B349D5">
        <w:t xml:space="preserve"> at least part of the above admonition in the Initial Order about shared responsibility for the protraction of this proceeding</w:t>
      </w:r>
      <w:r w:rsidR="004A0480" w:rsidRPr="00B349D5">
        <w:t>,</w:t>
      </w:r>
      <w:r w:rsidR="004E50CE" w:rsidRPr="00B349D5">
        <w:t xml:space="preserve"> however, the Company is willing to offer </w:t>
      </w:r>
      <w:r w:rsidR="00F7403B" w:rsidRPr="00B349D5">
        <w:t>what it views as a reasonable alternative proposal on</w:t>
      </w:r>
      <w:r w:rsidR="004E50CE" w:rsidRPr="00B349D5">
        <w:t xml:space="preserve"> </w:t>
      </w:r>
      <w:r w:rsidR="004A0480" w:rsidRPr="00B349D5">
        <w:t xml:space="preserve">this </w:t>
      </w:r>
      <w:r w:rsidR="004E50CE" w:rsidRPr="00B349D5">
        <w:t xml:space="preserve">Petition for Administrative Review.  It </w:t>
      </w:r>
      <w:r w:rsidR="004A0480" w:rsidRPr="00B349D5">
        <w:t xml:space="preserve">is </w:t>
      </w:r>
      <w:r w:rsidR="00D01A18">
        <w:t xml:space="preserve">now </w:t>
      </w:r>
      <w:r w:rsidR="004A0480" w:rsidRPr="00B349D5">
        <w:t>willing to</w:t>
      </w:r>
      <w:r w:rsidR="004E50CE" w:rsidRPr="00B349D5">
        <w:t xml:space="preserve"> accept the Staff premise of 50% reduction in rate case costs in Docket No. TG-1317</w:t>
      </w:r>
      <w:r w:rsidR="00BA2E78" w:rsidRPr="00B349D5">
        <w:t>9</w:t>
      </w:r>
      <w:r w:rsidR="004E50CE" w:rsidRPr="00B349D5">
        <w:t>4 for the interval between the prehearing confere</w:t>
      </w:r>
      <w:r w:rsidRPr="00B349D5">
        <w:t>n</w:t>
      </w:r>
      <w:r w:rsidR="00D01A18">
        <w:t xml:space="preserve">ce Notice of December 24, 2013 and </w:t>
      </w:r>
      <w:r w:rsidRPr="00B349D5">
        <w:t xml:space="preserve">the unfortunate </w:t>
      </w:r>
      <w:r w:rsidRPr="00B349D5">
        <w:lastRenderedPageBreak/>
        <w:t xml:space="preserve">dismissal circumstances </w:t>
      </w:r>
      <w:r w:rsidR="004E50CE" w:rsidRPr="00B349D5">
        <w:t>and the refiling of the dismissed rate case on April 4, 2014.  In that interval, $62,922 in attorney’s fees and $32,722 in accounting costs were incurred for a total of $95,644</w:t>
      </w:r>
      <w:r w:rsidR="00BA2E78" w:rsidRPr="00B349D5">
        <w:t>.</w:t>
      </w:r>
      <w:r w:rsidR="004A0480" w:rsidRPr="00B349D5">
        <w:t xml:space="preserve">  50% of that amount is $47,</w:t>
      </w:r>
      <w:r w:rsidR="004E50CE" w:rsidRPr="00B349D5">
        <w:t xml:space="preserve">822 which WCI now offers as a plausible reduction in rate case costs which, when coupled with the unilateral professional fee reductions reflected in updated </w:t>
      </w:r>
      <w:r w:rsidR="00B349D5" w:rsidRPr="00B349D5">
        <w:fldChar w:fldCharType="begin"/>
      </w:r>
      <w:r w:rsidR="00B349D5" w:rsidRPr="00B349D5">
        <w:instrText xml:space="preserve"> ADDIN BA \xc &lt;@rec&gt; \xl 13 \s ECSSJP000091 \l "Exhibit JD-48" </w:instrText>
      </w:r>
      <w:r w:rsidR="00B349D5" w:rsidRPr="00B349D5">
        <w:fldChar w:fldCharType="end"/>
      </w:r>
      <w:bookmarkStart w:id="99" w:name="_BA_Cite_198"/>
      <w:r w:rsidR="004E50CE" w:rsidRPr="00B349D5">
        <w:t>Exhibit JD-48</w:t>
      </w:r>
      <w:bookmarkEnd w:id="99"/>
      <w:r w:rsidR="00051DB1" w:rsidRPr="00B349D5">
        <w:t>,</w:t>
      </w:r>
      <w:r w:rsidR="004E50CE" w:rsidRPr="00B349D5">
        <w:t xml:space="preserve"> total over $100,000 in rate case expense concessions by the Company.  </w:t>
      </w:r>
    </w:p>
    <w:p w:rsidR="004E50CE" w:rsidRPr="00B349D5" w:rsidRDefault="004E50CE" w:rsidP="00B36123">
      <w:pPr>
        <w:pStyle w:val="BodyText2"/>
        <w:numPr>
          <w:ilvl w:val="0"/>
          <w:numId w:val="35"/>
        </w:numPr>
        <w:spacing w:before="120" w:after="120"/>
        <w:ind w:hanging="720"/>
      </w:pPr>
      <w:r w:rsidRPr="00B349D5">
        <w:t xml:space="preserve">No one contests </w:t>
      </w:r>
      <w:r w:rsidR="00BA2E78" w:rsidRPr="00B349D5">
        <w:t xml:space="preserve">full </w:t>
      </w:r>
      <w:r w:rsidRPr="00B349D5">
        <w:t>allowance of rate case costs incurred in TG-131794 pri</w:t>
      </w:r>
      <w:r w:rsidR="00D263E4" w:rsidRPr="00B349D5">
        <w:t>or to December 24, 2013.  T</w:t>
      </w:r>
      <w:r w:rsidRPr="00B349D5">
        <w:t xml:space="preserve">he Company has </w:t>
      </w:r>
      <w:r w:rsidR="00D263E4" w:rsidRPr="00B349D5">
        <w:t xml:space="preserve">just </w:t>
      </w:r>
      <w:r w:rsidR="00F7403B" w:rsidRPr="00B349D5">
        <w:t>offered, in reference to</w:t>
      </w:r>
      <w:r w:rsidRPr="00B349D5">
        <w:t xml:space="preserve"> the Staff and Initial Order’s 50% reduction </w:t>
      </w:r>
      <w:r w:rsidR="00BA2E78" w:rsidRPr="00B349D5">
        <w:t xml:space="preserve">recommendation </w:t>
      </w:r>
      <w:r w:rsidRPr="00B349D5">
        <w:t>in rate case costs</w:t>
      </w:r>
      <w:r w:rsidR="00D263E4" w:rsidRPr="00B349D5">
        <w:t>, a 50% decrease</w:t>
      </w:r>
      <w:r w:rsidR="00F7403B" w:rsidRPr="00B349D5">
        <w:t xml:space="preserve"> in those costs for</w:t>
      </w:r>
      <w:r w:rsidR="00965F1E" w:rsidRPr="00B349D5">
        <w:t xml:space="preserve"> the</w:t>
      </w:r>
      <w:r w:rsidR="00387389" w:rsidRPr="00B349D5">
        <w:t xml:space="preserve"> balance of Docket TG-131794</w:t>
      </w:r>
      <w:r w:rsidR="00F7403B" w:rsidRPr="00B349D5">
        <w:t>,</w:t>
      </w:r>
      <w:r w:rsidR="00387389" w:rsidRPr="00B349D5">
        <w:t xml:space="preserve"> until</w:t>
      </w:r>
      <w:r w:rsidR="00051DB1" w:rsidRPr="00B349D5">
        <w:t xml:space="preserve"> the filing of the present proceeding</w:t>
      </w:r>
      <w:r w:rsidRPr="00B349D5">
        <w:t xml:space="preserve">.  </w:t>
      </w:r>
      <w:r w:rsidR="00BA2E78" w:rsidRPr="00B349D5">
        <w:t xml:space="preserve">Any </w:t>
      </w:r>
      <w:r w:rsidRPr="00B349D5">
        <w:t xml:space="preserve">remaining dispute would then center on the 50% </w:t>
      </w:r>
      <w:r w:rsidR="00BA2E78" w:rsidRPr="00B349D5">
        <w:t xml:space="preserve">reduction in rate case expense </w:t>
      </w:r>
      <w:r w:rsidR="00D263E4" w:rsidRPr="00B349D5">
        <w:t>recommendation of</w:t>
      </w:r>
      <w:r w:rsidRPr="00B349D5">
        <w:t xml:space="preserve"> Staff from April 4, 2014 to the present and whether such recommendation is defensible.  The Company contends that such a reduction is wholly indefensible and that there is </w:t>
      </w:r>
      <w:r w:rsidR="00051DB1" w:rsidRPr="00B349D5">
        <w:t xml:space="preserve">a complete lack of meaningful </w:t>
      </w:r>
      <w:r w:rsidRPr="00B349D5">
        <w:t xml:space="preserve">evidence in this record to suggest that rate case costs in TG-140560 should not all be allowed.  </w:t>
      </w:r>
      <w:r w:rsidR="004A0480" w:rsidRPr="00B349D5">
        <w:t>T</w:t>
      </w:r>
      <w:r w:rsidRPr="00B349D5">
        <w:t xml:space="preserve">he following factors support </w:t>
      </w:r>
      <w:r w:rsidR="004A0480" w:rsidRPr="00B349D5">
        <w:t xml:space="preserve">the Company’s </w:t>
      </w:r>
      <w:r w:rsidRPr="00B349D5">
        <w:t>opposition to rate case costs reduction</w:t>
      </w:r>
      <w:r w:rsidR="00D01A18">
        <w:t xml:space="preserve"> in this docket</w:t>
      </w:r>
      <w:r w:rsidRPr="00B349D5">
        <w:t>:</w:t>
      </w:r>
    </w:p>
    <w:p w:rsidR="004E50CE" w:rsidRPr="00B349D5" w:rsidRDefault="004E50CE" w:rsidP="004E50CE">
      <w:pPr>
        <w:pStyle w:val="ListParagraph"/>
        <w:numPr>
          <w:ilvl w:val="0"/>
          <w:numId w:val="33"/>
        </w:numPr>
        <w:spacing w:line="480" w:lineRule="auto"/>
      </w:pPr>
      <w:r w:rsidRPr="00B349D5">
        <w:t xml:space="preserve">The Staff has </w:t>
      </w:r>
      <w:r w:rsidR="00965F1E" w:rsidRPr="00B349D5">
        <w:t xml:space="preserve">neither </w:t>
      </w:r>
      <w:r w:rsidRPr="00B349D5">
        <w:t xml:space="preserve">contested the </w:t>
      </w:r>
      <w:r w:rsidR="00965F1E" w:rsidRPr="00B349D5">
        <w:t xml:space="preserve">quantity of time or the rates assessed </w:t>
      </w:r>
      <w:r w:rsidR="004A0480" w:rsidRPr="00B349D5">
        <w:t xml:space="preserve">by </w:t>
      </w:r>
      <w:r w:rsidR="00965F1E" w:rsidRPr="00B349D5">
        <w:t>the Company’s professionals</w:t>
      </w:r>
      <w:r w:rsidR="004A0480" w:rsidRPr="00B349D5">
        <w:t>,</w:t>
      </w:r>
      <w:r w:rsidR="00965F1E" w:rsidRPr="00B349D5">
        <w:t xml:space="preserve"> nor </w:t>
      </w:r>
      <w:r w:rsidR="004A0480" w:rsidRPr="00B349D5">
        <w:t xml:space="preserve">has it </w:t>
      </w:r>
      <w:r w:rsidR="00965F1E" w:rsidRPr="00B349D5">
        <w:t xml:space="preserve">contested the </w:t>
      </w:r>
      <w:r w:rsidR="00BA2E78" w:rsidRPr="00B349D5">
        <w:t>fact that it has incurred as muc</w:t>
      </w:r>
      <w:r w:rsidR="00D263E4" w:rsidRPr="00B349D5">
        <w:t>h and</w:t>
      </w:r>
      <w:r w:rsidRPr="00B349D5">
        <w:t xml:space="preserve"> more </w:t>
      </w:r>
      <w:r w:rsidR="004A0480" w:rsidRPr="00B349D5">
        <w:t xml:space="preserve">in </w:t>
      </w:r>
      <w:r w:rsidRPr="00B349D5">
        <w:t>professional time in prese</w:t>
      </w:r>
      <w:r w:rsidR="00BA2E78" w:rsidRPr="00B349D5">
        <w:t>nting its case than the Company’s outside</w:t>
      </w:r>
      <w:r w:rsidR="0056566E" w:rsidRPr="00B349D5">
        <w:t xml:space="preserve"> professionals</w:t>
      </w:r>
      <w:r w:rsidR="00BA2E78" w:rsidRPr="00B349D5">
        <w:t>.</w:t>
      </w:r>
      <w:r w:rsidR="00BA2E78" w:rsidRPr="00B349D5">
        <w:rPr>
          <w:rStyle w:val="FootnoteReference"/>
        </w:rPr>
        <w:footnoteReference w:id="46"/>
      </w:r>
    </w:p>
    <w:p w:rsidR="004E50CE" w:rsidRPr="00B349D5" w:rsidRDefault="004E50CE" w:rsidP="004E50CE">
      <w:pPr>
        <w:pStyle w:val="ListParagraph"/>
        <w:numPr>
          <w:ilvl w:val="0"/>
          <w:numId w:val="33"/>
        </w:numPr>
        <w:spacing w:line="480" w:lineRule="auto"/>
      </w:pPr>
      <w:r w:rsidRPr="00B349D5">
        <w:t>The original technical conference mandated by</w:t>
      </w:r>
      <w:r w:rsidR="00965F1E" w:rsidRPr="00B349D5">
        <w:t xml:space="preserve"> </w:t>
      </w:r>
      <w:r w:rsidR="00B349D5" w:rsidRPr="00B349D5">
        <w:fldChar w:fldCharType="begin"/>
      </w:r>
      <w:r w:rsidR="00B349D5" w:rsidRPr="00B349D5">
        <w:instrText xml:space="preserve"> ADDIN BA \xc &lt;@reg&gt; \xl 34 \s ECSSJP000031 \l "Prehearing Conference Order No. 02" </w:instrText>
      </w:r>
      <w:r w:rsidR="00B349D5" w:rsidRPr="00B349D5">
        <w:fldChar w:fldCharType="end"/>
      </w:r>
      <w:bookmarkStart w:id="103" w:name="_BA_Cite_202"/>
      <w:r w:rsidR="00965F1E" w:rsidRPr="00B349D5">
        <w:t>Prehearing Conference</w:t>
      </w:r>
      <w:r w:rsidRPr="00B349D5">
        <w:t xml:space="preserve"> Order No. 02</w:t>
      </w:r>
      <w:bookmarkEnd w:id="103"/>
      <w:r w:rsidR="00965F1E" w:rsidRPr="00B349D5">
        <w:t xml:space="preserve"> in April, 2014</w:t>
      </w:r>
      <w:r w:rsidR="00BA2E78" w:rsidRPr="00B349D5">
        <w:t xml:space="preserve"> </w:t>
      </w:r>
      <w:r w:rsidR="00B349D5" w:rsidRPr="00B349D5">
        <w:fldChar w:fldCharType="begin"/>
      </w:r>
      <w:r w:rsidR="00B349D5" w:rsidRPr="00B349D5">
        <w:instrText xml:space="preserve"> ADDIN BA \xc &lt;@rec&gt; \xl 18 \s ECSSJP000094 \xpl 1 \l "(Appendix A, p. 5)" </w:instrText>
      </w:r>
      <w:r w:rsidR="00B349D5" w:rsidRPr="00B349D5">
        <w:fldChar w:fldCharType="end"/>
      </w:r>
      <w:bookmarkStart w:id="104" w:name="_BA_Cite_203"/>
      <w:r w:rsidR="00BA2E78" w:rsidRPr="00B349D5">
        <w:t>(Appendix A, p. 5)</w:t>
      </w:r>
      <w:bookmarkEnd w:id="104"/>
      <w:r w:rsidRPr="00B349D5">
        <w:t xml:space="preserve"> set a technical </w:t>
      </w:r>
      <w:r w:rsidR="00D01A18">
        <w:t xml:space="preserve">meeting </w:t>
      </w:r>
      <w:r w:rsidRPr="00B349D5">
        <w:t xml:space="preserve">for the parties to resolve </w:t>
      </w:r>
      <w:r w:rsidRPr="00B349D5">
        <w:lastRenderedPageBreak/>
        <w:t xml:space="preserve">formatting issues </w:t>
      </w:r>
      <w:r w:rsidR="00BA2E78" w:rsidRPr="00B349D5">
        <w:t>in</w:t>
      </w:r>
      <w:r w:rsidRPr="00B349D5">
        <w:t xml:space="preserve"> schedules and spreadsheets filed </w:t>
      </w:r>
      <w:r w:rsidR="005C1670" w:rsidRPr="00B349D5">
        <w:t xml:space="preserve">with its case </w:t>
      </w:r>
      <w:r w:rsidRPr="00B349D5">
        <w:t>by the Company or exchanged between Company and Staff</w:t>
      </w:r>
      <w:r w:rsidR="00965F1E" w:rsidRPr="00B349D5">
        <w:t xml:space="preserve"> in discovery</w:t>
      </w:r>
      <w:r w:rsidRPr="00B349D5">
        <w:t xml:space="preserve">.  That technical conference </w:t>
      </w:r>
      <w:r w:rsidR="0056566E" w:rsidRPr="00B349D5">
        <w:t xml:space="preserve">was </w:t>
      </w:r>
      <w:r w:rsidRPr="00B349D5">
        <w:t xml:space="preserve">to be held </w:t>
      </w:r>
      <w:r w:rsidR="00BA2E78" w:rsidRPr="00B349D5">
        <w:t xml:space="preserve">May 15 and 16, 2014 </w:t>
      </w:r>
      <w:r w:rsidRPr="00B349D5">
        <w:t>in Longview at the Company’s accountants</w:t>
      </w:r>
      <w:r w:rsidR="00774D2E" w:rsidRPr="00B349D5">
        <w:t>’</w:t>
      </w:r>
      <w:r w:rsidRPr="00B349D5">
        <w:t xml:space="preserve"> office</w:t>
      </w:r>
      <w:r w:rsidR="00DA471E" w:rsidRPr="00B349D5">
        <w:t>.</w:t>
      </w:r>
      <w:r w:rsidRPr="00B349D5">
        <w:t xml:space="preserve"> </w:t>
      </w:r>
      <w:r w:rsidR="00DA471E" w:rsidRPr="00B349D5">
        <w:t>However,</w:t>
      </w:r>
      <w:r w:rsidRPr="00B349D5">
        <w:t xml:space="preserve"> Staff </w:t>
      </w:r>
      <w:r w:rsidR="00DA471E" w:rsidRPr="00B349D5">
        <w:t xml:space="preserve">canceled that conference </w:t>
      </w:r>
      <w:r w:rsidRPr="00B349D5">
        <w:t xml:space="preserve">and converted </w:t>
      </w:r>
      <w:r w:rsidR="00DA471E" w:rsidRPr="00B349D5">
        <w:t xml:space="preserve">it </w:t>
      </w:r>
      <w:r w:rsidRPr="00B349D5">
        <w:t xml:space="preserve">to a phone conference </w:t>
      </w:r>
      <w:r w:rsidR="0056566E" w:rsidRPr="00B349D5">
        <w:t xml:space="preserve">the day before it was to convene </w:t>
      </w:r>
      <w:r w:rsidRPr="00B349D5">
        <w:t xml:space="preserve">which </w:t>
      </w:r>
      <w:r w:rsidR="005C1670" w:rsidRPr="00B349D5">
        <w:t xml:space="preserve">cancellation </w:t>
      </w:r>
      <w:r w:rsidRPr="00B349D5">
        <w:t xml:space="preserve">of in-person meeting </w:t>
      </w:r>
      <w:r w:rsidR="00BA2E78" w:rsidRPr="00B349D5">
        <w:t xml:space="preserve">unquestionably </w:t>
      </w:r>
      <w:r w:rsidR="0056566E" w:rsidRPr="00B349D5">
        <w:t>prolonged lingering discovery d</w:t>
      </w:r>
      <w:r w:rsidRPr="00B349D5">
        <w:t>isputes ab</w:t>
      </w:r>
      <w:r w:rsidR="00BA2E78" w:rsidRPr="00B349D5">
        <w:t>out rate case formatting issues</w:t>
      </w:r>
      <w:r w:rsidR="00965F1E" w:rsidRPr="00B349D5">
        <w:t>,</w:t>
      </w:r>
      <w:r w:rsidR="00BA2E78" w:rsidRPr="00B349D5">
        <w:t xml:space="preserve"> </w:t>
      </w:r>
      <w:r w:rsidR="0056566E" w:rsidRPr="00B349D5">
        <w:t xml:space="preserve">culminating in </w:t>
      </w:r>
      <w:r w:rsidR="00BA2E78" w:rsidRPr="00B349D5">
        <w:t xml:space="preserve">discovery cross-motions </w:t>
      </w:r>
      <w:r w:rsidR="00DA471E" w:rsidRPr="00B349D5">
        <w:t xml:space="preserve">being filed </w:t>
      </w:r>
      <w:r w:rsidR="00BA2E78" w:rsidRPr="00B349D5">
        <w:t>a month later.</w:t>
      </w:r>
      <w:r w:rsidR="00BA2E78" w:rsidRPr="00B349D5">
        <w:rPr>
          <w:rStyle w:val="FootnoteReference"/>
        </w:rPr>
        <w:footnoteReference w:id="47"/>
      </w:r>
    </w:p>
    <w:p w:rsidR="00F7403B" w:rsidRPr="00B349D5" w:rsidRDefault="004E50CE" w:rsidP="004E50CE">
      <w:pPr>
        <w:pStyle w:val="ListParagraph"/>
        <w:numPr>
          <w:ilvl w:val="0"/>
          <w:numId w:val="33"/>
        </w:numPr>
        <w:spacing w:line="480" w:lineRule="auto"/>
      </w:pPr>
      <w:r w:rsidRPr="00B349D5">
        <w:t>As</w:t>
      </w:r>
      <w:r w:rsidR="005C1670" w:rsidRPr="00B349D5">
        <w:t xml:space="preserve"> the</w:t>
      </w:r>
      <w:r w:rsidR="0056566E" w:rsidRPr="00B349D5">
        <w:t xml:space="preserve"> over 20 separate exhibits and</w:t>
      </w:r>
      <w:r w:rsidR="00965F1E" w:rsidRPr="00B349D5">
        <w:t xml:space="preserve"> </w:t>
      </w:r>
      <w:r w:rsidR="0056566E" w:rsidRPr="00B349D5">
        <w:t xml:space="preserve">communications </w:t>
      </w:r>
      <w:r w:rsidRPr="00B349D5">
        <w:t xml:space="preserve">between April 16, </w:t>
      </w:r>
      <w:r w:rsidR="0056566E" w:rsidRPr="00B349D5">
        <w:t>2014 and June 3, 2014 reveal</w:t>
      </w:r>
      <w:r w:rsidR="00D01A18">
        <w:t>,</w:t>
      </w:r>
      <w:r w:rsidR="00A3024E" w:rsidRPr="00B349D5">
        <w:rPr>
          <w:rStyle w:val="FootnoteReference"/>
        </w:rPr>
        <w:footnoteReference w:id="48"/>
      </w:r>
      <w:r w:rsidRPr="00B349D5">
        <w:t xml:space="preserve"> </w:t>
      </w:r>
      <w:r w:rsidR="0056566E" w:rsidRPr="00B349D5">
        <w:t>early in this proceeding</w:t>
      </w:r>
      <w:r w:rsidR="00A3024E" w:rsidRPr="00B349D5">
        <w:t xml:space="preserve"> the Company</w:t>
      </w:r>
      <w:r w:rsidR="00754958" w:rsidRPr="00B349D5">
        <w:t xml:space="preserve"> </w:t>
      </w:r>
      <w:r w:rsidRPr="00B349D5">
        <w:t>attempted to resolve</w:t>
      </w:r>
      <w:r w:rsidR="006B2EE8" w:rsidRPr="00B349D5">
        <w:t>,</w:t>
      </w:r>
      <w:r w:rsidRPr="00B349D5">
        <w:t xml:space="preserve"> in good faith</w:t>
      </w:r>
      <w:r w:rsidR="006B2EE8" w:rsidRPr="00B349D5">
        <w:t>,</w:t>
      </w:r>
      <w:r w:rsidRPr="00B349D5">
        <w:t xml:space="preserve"> ongoing discovery disputes and communication concerns that were largely ignored or deflected </w:t>
      </w:r>
      <w:r w:rsidR="00A3024E" w:rsidRPr="00B349D5">
        <w:t>by</w:t>
      </w:r>
      <w:r w:rsidRPr="00B349D5">
        <w:t xml:space="preserve"> Commission Staff</w:t>
      </w:r>
      <w:r w:rsidR="00A3024E" w:rsidRPr="00B349D5">
        <w:t xml:space="preserve">.  The Commission </w:t>
      </w:r>
      <w:r w:rsidR="00D263E4" w:rsidRPr="00B349D5">
        <w:t xml:space="preserve">Staff </w:t>
      </w:r>
      <w:r w:rsidR="00A3024E" w:rsidRPr="00B349D5">
        <w:t xml:space="preserve">was </w:t>
      </w:r>
      <w:r w:rsidRPr="00B349D5">
        <w:t>forced to</w:t>
      </w:r>
      <w:r w:rsidR="0056566E" w:rsidRPr="00B349D5">
        <w:t xml:space="preserve"> formally</w:t>
      </w:r>
      <w:r w:rsidRPr="00B349D5">
        <w:t xml:space="preserve"> </w:t>
      </w:r>
      <w:r w:rsidR="0056566E" w:rsidRPr="00B349D5">
        <w:t>acknowledge</w:t>
      </w:r>
      <w:r w:rsidR="00774D2E" w:rsidRPr="00B349D5">
        <w:t xml:space="preserve"> </w:t>
      </w:r>
      <w:r w:rsidR="00A3024E" w:rsidRPr="00B349D5">
        <w:t xml:space="preserve">and defend the same </w:t>
      </w:r>
      <w:r w:rsidR="00774D2E" w:rsidRPr="00B349D5">
        <w:t>at the conclusion of</w:t>
      </w:r>
      <w:r w:rsidR="0056566E" w:rsidRPr="00B349D5">
        <w:t xml:space="preserve"> its </w:t>
      </w:r>
      <w:r w:rsidRPr="00B349D5">
        <w:t xml:space="preserve">case filing on July 18, 2014.  </w:t>
      </w:r>
    </w:p>
    <w:p w:rsidR="004E50CE" w:rsidRPr="00B349D5" w:rsidRDefault="0056566E" w:rsidP="004E50CE">
      <w:pPr>
        <w:pStyle w:val="ListParagraph"/>
        <w:numPr>
          <w:ilvl w:val="0"/>
          <w:numId w:val="33"/>
        </w:numPr>
        <w:spacing w:line="480" w:lineRule="auto"/>
      </w:pPr>
      <w:r w:rsidRPr="00B349D5">
        <w:t>T</w:t>
      </w:r>
      <w:r w:rsidR="004E50CE" w:rsidRPr="00B349D5">
        <w:t xml:space="preserve">he timing of the Staff’s period of non-communication was particularly </w:t>
      </w:r>
      <w:r w:rsidR="00D263E4" w:rsidRPr="00B349D5">
        <w:t xml:space="preserve">significant and </w:t>
      </w:r>
      <w:r w:rsidRPr="00B349D5">
        <w:t xml:space="preserve">costly </w:t>
      </w:r>
      <w:r w:rsidR="004E50CE" w:rsidRPr="00B349D5">
        <w:t xml:space="preserve">in </w:t>
      </w:r>
      <w:r w:rsidR="00774D2E" w:rsidRPr="00B349D5">
        <w:t>impeding</w:t>
      </w:r>
      <w:r w:rsidR="004E50CE" w:rsidRPr="00B349D5">
        <w:t xml:space="preserve"> resolution of </w:t>
      </w:r>
      <w:r w:rsidR="00D263E4" w:rsidRPr="00B349D5">
        <w:t xml:space="preserve">various technical </w:t>
      </w:r>
      <w:r w:rsidR="004E50CE" w:rsidRPr="00B349D5">
        <w:t>discovery disputes</w:t>
      </w:r>
      <w:r w:rsidR="00A3024E" w:rsidRPr="00B349D5">
        <w:t>,</w:t>
      </w:r>
      <w:r w:rsidR="004E50CE" w:rsidRPr="00B349D5">
        <w:t xml:space="preserve"> leading to an outright </w:t>
      </w:r>
      <w:r w:rsidRPr="00B349D5">
        <w:t xml:space="preserve">admitted </w:t>
      </w:r>
      <w:r w:rsidR="004E50CE" w:rsidRPr="00B349D5">
        <w:t>“blackout”</w:t>
      </w:r>
      <w:r w:rsidR="00D263E4" w:rsidRPr="00B349D5">
        <w:t>/“embargo”</w:t>
      </w:r>
      <w:r w:rsidR="004E50CE" w:rsidRPr="00B349D5">
        <w:t xml:space="preserve"> period of non-communication by the Staff in the second half of May 2014.</w:t>
      </w:r>
    </w:p>
    <w:p w:rsidR="004E50CE" w:rsidRPr="00B349D5" w:rsidRDefault="004E50CE" w:rsidP="004E50CE">
      <w:pPr>
        <w:pStyle w:val="ListParagraph"/>
        <w:numPr>
          <w:ilvl w:val="0"/>
          <w:numId w:val="33"/>
        </w:numPr>
        <w:spacing w:line="480" w:lineRule="auto"/>
      </w:pPr>
      <w:r w:rsidRPr="00B349D5">
        <w:t>That non-communication</w:t>
      </w:r>
      <w:r w:rsidR="00A3024E" w:rsidRPr="00B349D5">
        <w:t xml:space="preserve"> required the Company</w:t>
      </w:r>
      <w:r w:rsidRPr="00B349D5">
        <w:t xml:space="preserve"> to file a </w:t>
      </w:r>
      <w:r w:rsidR="00754958" w:rsidRPr="00B349D5">
        <w:t>M</w:t>
      </w:r>
      <w:r w:rsidRPr="00B349D5">
        <w:t xml:space="preserve">otion for </w:t>
      </w:r>
      <w:r w:rsidR="00754958" w:rsidRPr="00B349D5">
        <w:t>D</w:t>
      </w:r>
      <w:r w:rsidRPr="00B349D5">
        <w:t xml:space="preserve">iscovery </w:t>
      </w:r>
      <w:r w:rsidR="00754958" w:rsidRPr="00B349D5">
        <w:t>C</w:t>
      </w:r>
      <w:r w:rsidRPr="00B349D5">
        <w:t>onference</w:t>
      </w:r>
      <w:r w:rsidR="0056566E" w:rsidRPr="00B349D5">
        <w:t xml:space="preserve"> in </w:t>
      </w:r>
      <w:r w:rsidR="00D263E4" w:rsidRPr="00B349D5">
        <w:t xml:space="preserve">early </w:t>
      </w:r>
      <w:r w:rsidR="0056566E" w:rsidRPr="00B349D5">
        <w:t>June 2014</w:t>
      </w:r>
      <w:r w:rsidR="00D263E4" w:rsidRPr="00B349D5">
        <w:t xml:space="preserve"> to attempt to resolve the discovery issue impacts</w:t>
      </w:r>
      <w:r w:rsidR="006B2EE8" w:rsidRPr="00B349D5">
        <w:t xml:space="preserve">. </w:t>
      </w:r>
      <w:r w:rsidRPr="00B349D5">
        <w:t xml:space="preserve"> </w:t>
      </w:r>
      <w:r w:rsidR="006B2EE8" w:rsidRPr="00B349D5">
        <w:t>T</w:t>
      </w:r>
      <w:r w:rsidRPr="00B349D5">
        <w:t xml:space="preserve">he first formal </w:t>
      </w:r>
      <w:r w:rsidR="00754958" w:rsidRPr="00B349D5">
        <w:t xml:space="preserve">communication in response </w:t>
      </w:r>
      <w:r w:rsidRPr="00B349D5">
        <w:t xml:space="preserve">from Staff in that time period </w:t>
      </w:r>
      <w:r w:rsidR="006B2EE8" w:rsidRPr="00B349D5">
        <w:t xml:space="preserve">was </w:t>
      </w:r>
      <w:r w:rsidR="00D263E4" w:rsidRPr="00B349D5">
        <w:t xml:space="preserve">not informal communication, but </w:t>
      </w:r>
      <w:r w:rsidR="006B2EE8" w:rsidRPr="00B349D5">
        <w:t xml:space="preserve">actually </w:t>
      </w:r>
      <w:r w:rsidRPr="00B349D5">
        <w:t xml:space="preserve">a </w:t>
      </w:r>
      <w:r w:rsidR="0056566E" w:rsidRPr="00B349D5">
        <w:t xml:space="preserve">cross-motion </w:t>
      </w:r>
      <w:r w:rsidRPr="00B349D5">
        <w:t>Motion to Compel which</w:t>
      </w:r>
      <w:r w:rsidR="0056566E" w:rsidRPr="00B349D5">
        <w:t>,</w:t>
      </w:r>
      <w:r w:rsidRPr="00B349D5">
        <w:t xml:space="preserve"> in the Company’s </w:t>
      </w:r>
      <w:r w:rsidRPr="00B349D5">
        <w:lastRenderedPageBreak/>
        <w:t>view</w:t>
      </w:r>
      <w:r w:rsidR="0056566E" w:rsidRPr="00B349D5">
        <w:t>,</w:t>
      </w:r>
      <w:r w:rsidRPr="00B349D5">
        <w:t xml:space="preserve"> does not reflect </w:t>
      </w:r>
      <w:r w:rsidR="00D263E4" w:rsidRPr="00B349D5">
        <w:t xml:space="preserve">the </w:t>
      </w:r>
      <w:r w:rsidR="00957169" w:rsidRPr="00B349D5">
        <w:t xml:space="preserve">expectations </w:t>
      </w:r>
      <w:r w:rsidR="00754958" w:rsidRPr="00B349D5">
        <w:t xml:space="preserve">of </w:t>
      </w:r>
      <w:r w:rsidR="00B349D5" w:rsidRPr="00B349D5">
        <w:fldChar w:fldCharType="begin"/>
      </w:r>
      <w:r w:rsidR="00B349D5" w:rsidRPr="00B349D5">
        <w:instrText xml:space="preserve"> ADDIN BA \xc &lt;@reg&gt; \xl 14 \s ECSSJP000033 \l "WAC 480-07-425" </w:instrText>
      </w:r>
      <w:r w:rsidR="00B349D5" w:rsidRPr="00B349D5">
        <w:fldChar w:fldCharType="end"/>
      </w:r>
      <w:bookmarkStart w:id="107" w:name="_BA_Cite_206"/>
      <w:r w:rsidRPr="00B349D5">
        <w:t>WAC 480-07-425</w:t>
      </w:r>
      <w:bookmarkEnd w:id="107"/>
      <w:r w:rsidRPr="00B349D5">
        <w:t xml:space="preserve"> and the good faith</w:t>
      </w:r>
      <w:r w:rsidR="006B2EE8" w:rsidRPr="00B349D5">
        <w:t>, informal resolution</w:t>
      </w:r>
      <w:r w:rsidRPr="00B349D5">
        <w:t xml:space="preserve"> </w:t>
      </w:r>
      <w:r w:rsidR="00754958" w:rsidRPr="00B349D5">
        <w:t>approach</w:t>
      </w:r>
      <w:r w:rsidR="00965F1E" w:rsidRPr="00B349D5">
        <w:t>es</w:t>
      </w:r>
      <w:r w:rsidRPr="00B349D5">
        <w:t xml:space="preserve"> that the Commission’s procedural rules</w:t>
      </w:r>
      <w:r w:rsidR="00774D2E" w:rsidRPr="00B349D5">
        <w:t xml:space="preserve"> direct</w:t>
      </w:r>
      <w:r w:rsidR="00D263E4" w:rsidRPr="00B349D5">
        <w:t xml:space="preserve"> and has always been the Company’s experience.</w:t>
      </w:r>
    </w:p>
    <w:p w:rsidR="004E50CE" w:rsidRPr="00B349D5" w:rsidRDefault="00D263E4" w:rsidP="004E50CE">
      <w:pPr>
        <w:pStyle w:val="ListParagraph"/>
        <w:numPr>
          <w:ilvl w:val="0"/>
          <w:numId w:val="33"/>
        </w:numPr>
        <w:spacing w:line="480" w:lineRule="auto"/>
      </w:pPr>
      <w:r w:rsidRPr="00B349D5">
        <w:t xml:space="preserve">Up to </w:t>
      </w:r>
      <w:r w:rsidR="004A3D26">
        <w:t xml:space="preserve">the </w:t>
      </w:r>
      <w:r w:rsidRPr="00B349D5">
        <w:t>mandated discovery c</w:t>
      </w:r>
      <w:r w:rsidR="00957169" w:rsidRPr="00B349D5">
        <w:t xml:space="preserve">onference, </w:t>
      </w:r>
      <w:r w:rsidR="004E50CE" w:rsidRPr="00B349D5">
        <w:t xml:space="preserve">the Company </w:t>
      </w:r>
      <w:r w:rsidRPr="00B349D5">
        <w:t xml:space="preserve">had </w:t>
      </w:r>
      <w:r w:rsidR="004E50CE" w:rsidRPr="00B349D5">
        <w:t>receive</w:t>
      </w:r>
      <w:r w:rsidRPr="00B349D5">
        <w:t>d</w:t>
      </w:r>
      <w:r w:rsidR="004E50CE" w:rsidRPr="00B349D5">
        <w:t xml:space="preserve"> r</w:t>
      </w:r>
      <w:r w:rsidR="00754958" w:rsidRPr="00B349D5">
        <w:t xml:space="preserve">esponses to discovery requests </w:t>
      </w:r>
      <w:r w:rsidRPr="00B349D5">
        <w:t xml:space="preserve">often </w:t>
      </w:r>
      <w:r w:rsidR="006B2EE8" w:rsidRPr="00B349D5">
        <w:t xml:space="preserve">with </w:t>
      </w:r>
      <w:r w:rsidR="00754958" w:rsidRPr="00B349D5">
        <w:t>objection</w:t>
      </w:r>
      <w:r w:rsidR="006B2EE8" w:rsidRPr="00B349D5">
        <w:t xml:space="preserve">s </w:t>
      </w:r>
      <w:r w:rsidR="004E50CE" w:rsidRPr="00B349D5">
        <w:t>indicating that the position of the Staff on specific accounting and revenue requirement issue</w:t>
      </w:r>
      <w:r w:rsidR="00965F1E" w:rsidRPr="00B349D5">
        <w:t>s</w:t>
      </w:r>
      <w:r w:rsidR="004E50CE" w:rsidRPr="00B349D5">
        <w:t xml:space="preserve"> would b</w:t>
      </w:r>
      <w:r w:rsidRPr="00B349D5">
        <w:t xml:space="preserve">e revealed in their case filing.  </w:t>
      </w:r>
      <w:r w:rsidR="000653BF" w:rsidRPr="00B349D5">
        <w:t>T</w:t>
      </w:r>
      <w:r w:rsidR="004E50CE" w:rsidRPr="00B349D5">
        <w:t xml:space="preserve">hat </w:t>
      </w:r>
      <w:r w:rsidR="00965F1E" w:rsidRPr="00B349D5">
        <w:t xml:space="preserve">eventual </w:t>
      </w:r>
      <w:r w:rsidR="004E50CE" w:rsidRPr="00B349D5">
        <w:t xml:space="preserve">case filing contained </w:t>
      </w:r>
      <w:r w:rsidR="00754958" w:rsidRPr="00B349D5">
        <w:t xml:space="preserve">many </w:t>
      </w:r>
      <w:r w:rsidR="004E50CE" w:rsidRPr="00B349D5">
        <w:t xml:space="preserve">first-time </w:t>
      </w:r>
      <w:r w:rsidR="00754958" w:rsidRPr="00B349D5">
        <w:t>position revelation</w:t>
      </w:r>
      <w:r w:rsidR="00957169" w:rsidRPr="00B349D5">
        <w:t>s</w:t>
      </w:r>
      <w:r w:rsidR="00A3024E" w:rsidRPr="00B349D5">
        <w:t>,</w:t>
      </w:r>
      <w:r w:rsidR="004E50CE" w:rsidRPr="00B349D5">
        <w:t xml:space="preserve"> including arguments for the imposition of investigation fees, rate case cost paring and an initial recommendation</w:t>
      </w:r>
      <w:r w:rsidR="00754958" w:rsidRPr="00B349D5">
        <w:t xml:space="preserve"> to the Commission that it find the Company </w:t>
      </w:r>
      <w:r w:rsidR="00957169" w:rsidRPr="00B349D5">
        <w:t xml:space="preserve">actually </w:t>
      </w:r>
      <w:r w:rsidR="00754958" w:rsidRPr="00B349D5">
        <w:t>over</w:t>
      </w:r>
      <w:r w:rsidR="004E50CE" w:rsidRPr="00B349D5">
        <w:t xml:space="preserve">earning </w:t>
      </w:r>
      <w:r w:rsidR="00A3024E" w:rsidRPr="00B349D5">
        <w:t xml:space="preserve">based </w:t>
      </w:r>
      <w:r w:rsidR="006B2EE8" w:rsidRPr="00B349D5">
        <w:t>largely</w:t>
      </w:r>
      <w:r w:rsidR="004E50CE" w:rsidRPr="00B349D5">
        <w:t xml:space="preserve"> on a reconstructed route study that the Company was forced to </w:t>
      </w:r>
      <w:proofErr w:type="spellStart"/>
      <w:r w:rsidR="004E50CE" w:rsidRPr="00B349D5">
        <w:t>recommission</w:t>
      </w:r>
      <w:proofErr w:type="spellEnd"/>
      <w:r w:rsidR="004E50CE" w:rsidRPr="00B349D5">
        <w:t xml:space="preserve"> in</w:t>
      </w:r>
      <w:r w:rsidR="006B2EE8" w:rsidRPr="00B349D5">
        <w:t xml:space="preserve"> rebuttal</w:t>
      </w:r>
      <w:r w:rsidR="00D01A18">
        <w:t xml:space="preserve"> and which largely reconfirmed the prior allocations and results</w:t>
      </w:r>
      <w:r w:rsidR="004E50CE" w:rsidRPr="00B349D5">
        <w:t>.</w:t>
      </w:r>
    </w:p>
    <w:p w:rsidR="004E50CE" w:rsidRPr="00B349D5" w:rsidRDefault="004E50CE" w:rsidP="004E50CE">
      <w:pPr>
        <w:pStyle w:val="ListParagraph"/>
        <w:numPr>
          <w:ilvl w:val="0"/>
          <w:numId w:val="33"/>
        </w:numPr>
        <w:spacing w:line="480" w:lineRule="auto"/>
      </w:pPr>
      <w:r w:rsidRPr="00B349D5">
        <w:t xml:space="preserve">The Staff’s case filing </w:t>
      </w:r>
      <w:r w:rsidR="00957169" w:rsidRPr="00B349D5">
        <w:t xml:space="preserve">on </w:t>
      </w:r>
      <w:r w:rsidR="00965F1E" w:rsidRPr="00B349D5">
        <w:t xml:space="preserve">those </w:t>
      </w:r>
      <w:r w:rsidR="00957169" w:rsidRPr="00B349D5">
        <w:t xml:space="preserve">newly-revealed challenges </w:t>
      </w:r>
      <w:r w:rsidRPr="00B349D5">
        <w:t xml:space="preserve">caused </w:t>
      </w:r>
      <w:r w:rsidR="00A3024E" w:rsidRPr="00B349D5">
        <w:t xml:space="preserve">the Company to incur </w:t>
      </w:r>
      <w:r w:rsidRPr="00B349D5">
        <w:t xml:space="preserve">significant </w:t>
      </w:r>
      <w:r w:rsidR="00957169" w:rsidRPr="00B349D5">
        <w:t xml:space="preserve">additional </w:t>
      </w:r>
      <w:r w:rsidRPr="00B349D5">
        <w:t xml:space="preserve">costs in August </w:t>
      </w:r>
      <w:r w:rsidR="006B2EE8" w:rsidRPr="00B349D5">
        <w:t xml:space="preserve">and September, </w:t>
      </w:r>
      <w:r w:rsidRPr="00B349D5">
        <w:t xml:space="preserve">both for </w:t>
      </w:r>
      <w:r w:rsidR="00754958" w:rsidRPr="00B349D5">
        <w:t xml:space="preserve">its </w:t>
      </w:r>
      <w:r w:rsidRPr="00B349D5">
        <w:t xml:space="preserve">rebuttal case and for additional </w:t>
      </w:r>
      <w:r w:rsidR="00D263E4" w:rsidRPr="00B349D5">
        <w:t xml:space="preserve">settlement </w:t>
      </w:r>
      <w:r w:rsidRPr="00B349D5">
        <w:t>discussions</w:t>
      </w:r>
      <w:r w:rsidR="00A3024E" w:rsidRPr="00B349D5">
        <w:t>,</w:t>
      </w:r>
      <w:r w:rsidR="00957169" w:rsidRPr="00B349D5">
        <w:t xml:space="preserve"> ultimately</w:t>
      </w:r>
      <w:r w:rsidRPr="00B349D5">
        <w:t xml:space="preserve"> leading to the partial settlement </w:t>
      </w:r>
      <w:r w:rsidR="00D263E4" w:rsidRPr="00B349D5">
        <w:t xml:space="preserve">agreement </w:t>
      </w:r>
      <w:r w:rsidR="00957169" w:rsidRPr="00B349D5">
        <w:t xml:space="preserve">filing </w:t>
      </w:r>
      <w:r w:rsidRPr="00B349D5">
        <w:t>in October.</w:t>
      </w:r>
    </w:p>
    <w:p w:rsidR="004E50CE" w:rsidRPr="00B349D5" w:rsidRDefault="004E50CE" w:rsidP="004E50CE">
      <w:pPr>
        <w:pStyle w:val="ListParagraph"/>
        <w:numPr>
          <w:ilvl w:val="0"/>
          <w:numId w:val="33"/>
        </w:numPr>
        <w:spacing w:line="480" w:lineRule="auto"/>
      </w:pPr>
      <w:r w:rsidRPr="00B349D5">
        <w:t xml:space="preserve">Finally, the </w:t>
      </w:r>
      <w:r w:rsidR="00D263E4" w:rsidRPr="00B349D5">
        <w:t xml:space="preserve">ill-founded </w:t>
      </w:r>
      <w:r w:rsidR="004A3D26">
        <w:t>M</w:t>
      </w:r>
      <w:r w:rsidR="00D263E4" w:rsidRPr="00B349D5">
        <w:t xml:space="preserve">otion to </w:t>
      </w:r>
      <w:r w:rsidR="004A3D26">
        <w:t>S</w:t>
      </w:r>
      <w:r w:rsidR="00D263E4" w:rsidRPr="00B349D5">
        <w:t xml:space="preserve">trike </w:t>
      </w:r>
      <w:r w:rsidR="004A3D26">
        <w:t>S</w:t>
      </w:r>
      <w:r w:rsidR="00D263E4" w:rsidRPr="00B349D5">
        <w:t xml:space="preserve">upplemental </w:t>
      </w:r>
      <w:r w:rsidR="004A3D26">
        <w:t>T</w:t>
      </w:r>
      <w:r w:rsidR="00D263E4" w:rsidRPr="00B349D5">
        <w:t xml:space="preserve">estimony on </w:t>
      </w:r>
      <w:r w:rsidR="00A3024E" w:rsidRPr="00B349D5">
        <w:t>November 17, 2014</w:t>
      </w:r>
      <w:r w:rsidRPr="00B349D5">
        <w:t xml:space="preserve"> </w:t>
      </w:r>
      <w:r w:rsidR="00957169" w:rsidRPr="00B349D5">
        <w:t xml:space="preserve">to which </w:t>
      </w:r>
      <w:r w:rsidRPr="00B349D5">
        <w:t>the Staff had</w:t>
      </w:r>
      <w:r w:rsidR="00D01A18">
        <w:t xml:space="preserve"> previously</w:t>
      </w:r>
      <w:r w:rsidRPr="00B349D5">
        <w:t xml:space="preserve"> expressly stipulated </w:t>
      </w:r>
      <w:r w:rsidR="00957169" w:rsidRPr="00B349D5">
        <w:rPr>
          <w:rStyle w:val="FootnoteReference"/>
        </w:rPr>
        <w:footnoteReference w:id="49"/>
      </w:r>
      <w:r w:rsidR="00957169" w:rsidRPr="00B349D5">
        <w:t xml:space="preserve"> </w:t>
      </w:r>
      <w:r w:rsidR="004E257F" w:rsidRPr="00B349D5">
        <w:t>derailed this proceeding on the eve of the Re</w:t>
      </w:r>
      <w:r w:rsidR="00D01A18">
        <w:t>ply filing deadline.  That halt</w:t>
      </w:r>
      <w:r w:rsidR="004E257F" w:rsidRPr="00B349D5">
        <w:t xml:space="preserve"> </w:t>
      </w:r>
      <w:r w:rsidR="00957169" w:rsidRPr="00B349D5">
        <w:t>forced</w:t>
      </w:r>
      <w:r w:rsidRPr="00B349D5">
        <w:t xml:space="preserve"> a</w:t>
      </w:r>
      <w:r w:rsidR="001611C5" w:rsidRPr="00B349D5">
        <w:t>n</w:t>
      </w:r>
      <w:r w:rsidRPr="00B349D5">
        <w:t xml:space="preserve"> almost two-month delay</w:t>
      </w:r>
      <w:r w:rsidR="004E257F" w:rsidRPr="00B349D5">
        <w:t xml:space="preserve"> for a decision on the procedural motion which, in </w:t>
      </w:r>
      <w:r w:rsidR="00B349D5" w:rsidRPr="00B349D5">
        <w:fldChar w:fldCharType="begin"/>
      </w:r>
      <w:r w:rsidR="00B349D5" w:rsidRPr="00B349D5">
        <w:instrText xml:space="preserve"> ADDIN BA \xc &lt;@reg&gt; \xl 8 \s ECSSJP000034 \l "Order 10" </w:instrText>
      </w:r>
      <w:r w:rsidR="00B349D5" w:rsidRPr="00B349D5">
        <w:fldChar w:fldCharType="end"/>
      </w:r>
      <w:bookmarkStart w:id="108" w:name="_BA_Cite_207"/>
      <w:r w:rsidR="004E257F" w:rsidRPr="00B349D5">
        <w:t>Order 10</w:t>
      </w:r>
      <w:bookmarkEnd w:id="108"/>
      <w:r w:rsidR="004E257F" w:rsidRPr="00B349D5">
        <w:t xml:space="preserve">, rejected Staff’s motion but also included a subsequent two-month delay for live hearing on the supplemental testimony </w:t>
      </w:r>
      <w:r w:rsidR="004E257F" w:rsidRPr="00B349D5">
        <w:lastRenderedPageBreak/>
        <w:t>and added additional months to the decision timetable, resulting in now two extension</w:t>
      </w:r>
      <w:r w:rsidR="006517F4">
        <w:t>s</w:t>
      </w:r>
      <w:r w:rsidR="004E257F" w:rsidRPr="00B349D5">
        <w:t xml:space="preserve"> of th</w:t>
      </w:r>
      <w:r w:rsidR="006517F4">
        <w:t>at</w:t>
      </w:r>
      <w:r w:rsidR="004E257F" w:rsidRPr="00B349D5">
        <w:t xml:space="preserve"> statutory suspension</w:t>
      </w:r>
      <w:r w:rsidR="006517F4">
        <w:t xml:space="preserve"> period</w:t>
      </w:r>
      <w:r w:rsidR="00F44A2E" w:rsidRPr="00B349D5">
        <w:t>.</w:t>
      </w:r>
      <w:r w:rsidR="00A3024E" w:rsidRPr="00B349D5">
        <w:rPr>
          <w:rStyle w:val="FootnoteReference"/>
        </w:rPr>
        <w:footnoteReference w:id="50"/>
      </w:r>
    </w:p>
    <w:p w:rsidR="004E50CE" w:rsidRPr="00B349D5" w:rsidRDefault="004E50CE" w:rsidP="00B36123">
      <w:pPr>
        <w:pStyle w:val="BodyText2"/>
        <w:numPr>
          <w:ilvl w:val="0"/>
          <w:numId w:val="35"/>
        </w:numPr>
        <w:spacing w:before="120" w:after="120"/>
        <w:ind w:hanging="720"/>
      </w:pPr>
      <w:r w:rsidRPr="00B349D5">
        <w:t xml:space="preserve">All of the above factors </w:t>
      </w:r>
      <w:r w:rsidR="00BC2BA0" w:rsidRPr="00B349D5">
        <w:t>individually and in the aggregate trigger</w:t>
      </w:r>
      <w:r w:rsidR="00965F1E" w:rsidRPr="00B349D5">
        <w:t>ed</w:t>
      </w:r>
      <w:r w:rsidR="00BC2BA0" w:rsidRPr="00B349D5">
        <w:t xml:space="preserve"> </w:t>
      </w:r>
      <w:r w:rsidR="00D01A18">
        <w:t xml:space="preserve">substantial </w:t>
      </w:r>
      <w:r w:rsidRPr="00B349D5">
        <w:t>increased rate case costs</w:t>
      </w:r>
      <w:r w:rsidR="006F3842" w:rsidRPr="00B349D5">
        <w:t xml:space="preserve"> in TG-140560</w:t>
      </w:r>
      <w:r w:rsidR="00BC2BA0" w:rsidRPr="00B349D5">
        <w:t>,</w:t>
      </w:r>
      <w:r w:rsidRPr="00B349D5">
        <w:t xml:space="preserve"> </w:t>
      </w:r>
      <w:r w:rsidR="00A3024E" w:rsidRPr="00B349D5">
        <w:t>many</w:t>
      </w:r>
      <w:r w:rsidRPr="00B349D5">
        <w:t xml:space="preserve"> of which could have been avoided and hardly serve as a basis for lopping off 50% of the </w:t>
      </w:r>
      <w:r w:rsidR="00BC2BA0" w:rsidRPr="00B349D5">
        <w:t xml:space="preserve">Company’s </w:t>
      </w:r>
      <w:r w:rsidRPr="00B349D5">
        <w:t xml:space="preserve">costs in this proceeding.  </w:t>
      </w:r>
      <w:r w:rsidR="001611C5" w:rsidRPr="00B349D5">
        <w:t>A</w:t>
      </w:r>
      <w:r w:rsidRPr="00B349D5">
        <w:t xml:space="preserve">ny of the “blame” that the Company </w:t>
      </w:r>
      <w:r w:rsidR="004E257F" w:rsidRPr="00B349D5">
        <w:t xml:space="preserve">theoretically </w:t>
      </w:r>
      <w:r w:rsidRPr="00B349D5">
        <w:t>share</w:t>
      </w:r>
      <w:r w:rsidR="009142C3" w:rsidRPr="00B349D5">
        <w:t>s</w:t>
      </w:r>
      <w:r w:rsidRPr="00B349D5">
        <w:t xml:space="preserve"> for the protraction </w:t>
      </w:r>
      <w:r w:rsidR="001611C5" w:rsidRPr="00B349D5">
        <w:t xml:space="preserve">of </w:t>
      </w:r>
      <w:r w:rsidRPr="00B349D5">
        <w:t xml:space="preserve">this proceeding and duplication </w:t>
      </w:r>
      <w:r w:rsidR="004E257F" w:rsidRPr="00B349D5">
        <w:t xml:space="preserve">all </w:t>
      </w:r>
      <w:r w:rsidRPr="00B349D5">
        <w:t xml:space="preserve">relate to </w:t>
      </w:r>
      <w:r w:rsidR="004E257F" w:rsidRPr="00B349D5">
        <w:t xml:space="preserve">Docket No. </w:t>
      </w:r>
      <w:r w:rsidRPr="00B349D5">
        <w:t>TG-131794.  With the sole exception of the hard code controversy in spreadsheets which was the subject of the successful discovery conference on July 10, 2014</w:t>
      </w:r>
      <w:r w:rsidR="001611C5" w:rsidRPr="00B349D5">
        <w:t xml:space="preserve"> </w:t>
      </w:r>
      <w:r w:rsidR="00965F1E" w:rsidRPr="00B349D5">
        <w:t xml:space="preserve">sought </w:t>
      </w:r>
      <w:r w:rsidR="001611C5" w:rsidRPr="00B349D5">
        <w:t>by Respondent,</w:t>
      </w:r>
      <w:r w:rsidRPr="00B349D5">
        <w:t xml:space="preserve"> there is no </w:t>
      </w:r>
      <w:r w:rsidR="009142C3" w:rsidRPr="00B349D5">
        <w:t xml:space="preserve">evidence </w:t>
      </w:r>
      <w:r w:rsidRPr="00B349D5">
        <w:t>in this record</w:t>
      </w:r>
      <w:r w:rsidR="00BC2BA0" w:rsidRPr="00B349D5">
        <w:t xml:space="preserve"> that </w:t>
      </w:r>
      <w:r w:rsidR="009142C3" w:rsidRPr="00B349D5">
        <w:t xml:space="preserve">WCI </w:t>
      </w:r>
      <w:r w:rsidR="00BC2BA0" w:rsidRPr="00B349D5">
        <w:t xml:space="preserve">has ever been </w:t>
      </w:r>
      <w:r w:rsidR="004E257F" w:rsidRPr="00B349D5">
        <w:t xml:space="preserve">uncooperative, </w:t>
      </w:r>
      <w:r w:rsidR="00BC2BA0" w:rsidRPr="00B349D5">
        <w:t>non-communicative or</w:t>
      </w:r>
      <w:r w:rsidRPr="00B349D5">
        <w:t xml:space="preserve"> is otherwise culpable for increasing rate case costs in its defense of the filing </w:t>
      </w:r>
      <w:r w:rsidR="001611C5" w:rsidRPr="00B349D5">
        <w:t xml:space="preserve">in </w:t>
      </w:r>
      <w:r w:rsidRPr="00B349D5">
        <w:t xml:space="preserve">TG-140560.  </w:t>
      </w:r>
    </w:p>
    <w:p w:rsidR="001611C5" w:rsidRPr="00B349D5" w:rsidRDefault="00F7403B" w:rsidP="00B36123">
      <w:pPr>
        <w:pStyle w:val="BodyText2"/>
        <w:numPr>
          <w:ilvl w:val="0"/>
          <w:numId w:val="35"/>
        </w:numPr>
        <w:spacing w:before="120" w:after="120"/>
        <w:ind w:hanging="720"/>
      </w:pPr>
      <w:r w:rsidRPr="00B349D5">
        <w:t xml:space="preserve">There is </w:t>
      </w:r>
      <w:r w:rsidR="004E257F" w:rsidRPr="00B349D5">
        <w:t xml:space="preserve">thus </w:t>
      </w:r>
      <w:r w:rsidRPr="00B349D5">
        <w:t xml:space="preserve">an utter absence of support for Staff’s </w:t>
      </w:r>
      <w:r w:rsidR="00F44A2E" w:rsidRPr="00B349D5">
        <w:t>proposal</w:t>
      </w:r>
      <w:r w:rsidR="004E50CE" w:rsidRPr="00B349D5">
        <w:t xml:space="preserve"> to </w:t>
      </w:r>
      <w:r w:rsidR="001611C5" w:rsidRPr="00B349D5">
        <w:t xml:space="preserve">slash </w:t>
      </w:r>
      <w:r w:rsidR="004E50CE" w:rsidRPr="00B349D5">
        <w:t xml:space="preserve">rate case costs </w:t>
      </w:r>
      <w:r w:rsidR="001611C5" w:rsidRPr="00B349D5">
        <w:t xml:space="preserve">recovery </w:t>
      </w:r>
      <w:r w:rsidR="004E50CE" w:rsidRPr="00B349D5">
        <w:t>in the current proceeding</w:t>
      </w:r>
      <w:r w:rsidR="006B2EE8" w:rsidRPr="00B349D5">
        <w:t xml:space="preserve">. </w:t>
      </w:r>
      <w:r w:rsidR="004E50CE" w:rsidRPr="00B349D5">
        <w:t xml:space="preserve"> </w:t>
      </w:r>
      <w:r w:rsidR="006B2EE8" w:rsidRPr="00B349D5">
        <w:t xml:space="preserve">Indeed, </w:t>
      </w:r>
      <w:r w:rsidR="004E50CE" w:rsidRPr="00B349D5">
        <w:t>at the live hearing</w:t>
      </w:r>
      <w:r w:rsidR="001611C5" w:rsidRPr="00B349D5">
        <w:t>,</w:t>
      </w:r>
      <w:r w:rsidR="004E50CE" w:rsidRPr="00B349D5">
        <w:t xml:space="preserve"> the Staff auditor was asked how she </w:t>
      </w:r>
      <w:r w:rsidR="00BC2BA0" w:rsidRPr="00B349D5">
        <w:t xml:space="preserve">happened to come </w:t>
      </w:r>
      <w:r w:rsidR="004E50CE" w:rsidRPr="00B349D5">
        <w:t xml:space="preserve">up with the </w:t>
      </w:r>
      <w:r w:rsidR="00965F1E" w:rsidRPr="00B349D5">
        <w:t xml:space="preserve">proposed </w:t>
      </w:r>
      <w:r w:rsidR="004E50CE" w:rsidRPr="00B349D5">
        <w:t>50% reduction in rate case costs</w:t>
      </w:r>
      <w:r w:rsidR="001611C5" w:rsidRPr="00B349D5">
        <w:t xml:space="preserve">. </w:t>
      </w:r>
      <w:r w:rsidR="004E50CE" w:rsidRPr="00B349D5">
        <w:t xml:space="preserve"> </w:t>
      </w:r>
      <w:r w:rsidR="001611C5" w:rsidRPr="00B349D5">
        <w:t>W</w:t>
      </w:r>
      <w:r w:rsidR="004E50CE" w:rsidRPr="00B349D5">
        <w:t xml:space="preserve">hile admitting that </w:t>
      </w:r>
      <w:r w:rsidRPr="00B349D5">
        <w:t>Staff</w:t>
      </w:r>
      <w:r w:rsidR="001611C5" w:rsidRPr="00B349D5">
        <w:t xml:space="preserve"> </w:t>
      </w:r>
      <w:r w:rsidR="006B2EE8" w:rsidRPr="00B349D5">
        <w:t>had originated</w:t>
      </w:r>
      <w:r w:rsidR="001611C5" w:rsidRPr="00B349D5">
        <w:t xml:space="preserve"> that percentage</w:t>
      </w:r>
      <w:r w:rsidR="004E50CE" w:rsidRPr="00B349D5">
        <w:t>, she also said: “Well, I talked to  several different Staff members to think—just discuss, kick around the re - - reasonability</w:t>
      </w:r>
      <w:r w:rsidR="001611C5" w:rsidRPr="00B349D5">
        <w:t xml:space="preserve"> </w:t>
      </w:r>
      <w:r w:rsidR="004E50CE" w:rsidRPr="00B349D5">
        <w:t>of that 50%.”</w:t>
      </w:r>
      <w:r w:rsidR="004E50CE" w:rsidRPr="00B349D5">
        <w:rPr>
          <w:rStyle w:val="FootnoteReference"/>
        </w:rPr>
        <w:footnoteReference w:id="51"/>
      </w:r>
      <w:r w:rsidR="004E50CE" w:rsidRPr="00B349D5">
        <w:t xml:space="preserve">  In </w:t>
      </w:r>
      <w:r w:rsidR="008D69E0" w:rsidRPr="00B349D5">
        <w:t>follow-up</w:t>
      </w:r>
      <w:r w:rsidR="001611C5" w:rsidRPr="00B349D5">
        <w:t>,</w:t>
      </w:r>
      <w:r w:rsidR="004E50CE" w:rsidRPr="00B349D5">
        <w:t xml:space="preserve"> the witness was asked “Why not 40, 60, 70 or 30% as well?”  Other than referring to previous written testimony </w:t>
      </w:r>
      <w:r w:rsidRPr="00B349D5">
        <w:t xml:space="preserve">filed </w:t>
      </w:r>
      <w:r w:rsidR="004E50CE" w:rsidRPr="00B349D5">
        <w:t>in July</w:t>
      </w:r>
      <w:r w:rsidRPr="00B349D5">
        <w:t xml:space="preserve"> 2014</w:t>
      </w:r>
      <w:r w:rsidR="004E50CE" w:rsidRPr="00B349D5">
        <w:t xml:space="preserve">, </w:t>
      </w:r>
      <w:r w:rsidRPr="00B349D5">
        <w:t>the Staff</w:t>
      </w:r>
      <w:r w:rsidR="004E50CE" w:rsidRPr="00B349D5">
        <w:t xml:space="preserve"> had no effective </w:t>
      </w:r>
      <w:r w:rsidRPr="00B349D5">
        <w:t xml:space="preserve">rejoinder other </w:t>
      </w:r>
      <w:r w:rsidR="004E50CE" w:rsidRPr="00B349D5">
        <w:t xml:space="preserve">than </w:t>
      </w:r>
      <w:r w:rsidRPr="00B349D5">
        <w:t xml:space="preserve">a vague attempt </w:t>
      </w:r>
      <w:r w:rsidR="001611C5" w:rsidRPr="00B349D5">
        <w:t>to “balance” the rate</w:t>
      </w:r>
      <w:r w:rsidR="004E50CE" w:rsidRPr="00B349D5">
        <w:t>payer and the Company’s interest</w:t>
      </w:r>
      <w:r w:rsidR="001611C5" w:rsidRPr="00B349D5">
        <w:t>s</w:t>
      </w:r>
      <w:r w:rsidR="004E50CE" w:rsidRPr="00B349D5">
        <w:t xml:space="preserve">.  </w:t>
      </w:r>
    </w:p>
    <w:p w:rsidR="004E50CE" w:rsidRPr="00B349D5" w:rsidRDefault="004E50CE" w:rsidP="00B36123">
      <w:pPr>
        <w:pStyle w:val="BodyText2"/>
        <w:numPr>
          <w:ilvl w:val="0"/>
          <w:numId w:val="35"/>
        </w:numPr>
        <w:spacing w:before="120" w:after="120"/>
        <w:ind w:hanging="720"/>
      </w:pPr>
      <w:r w:rsidRPr="00B349D5">
        <w:lastRenderedPageBreak/>
        <w:t xml:space="preserve">The Company believes that such a premise is not only contrary to the general rule allowing rate case cost recovery but </w:t>
      </w:r>
      <w:r w:rsidR="006B2EE8" w:rsidRPr="00B349D5">
        <w:t xml:space="preserve">yields </w:t>
      </w:r>
      <w:r w:rsidRPr="00B349D5">
        <w:t xml:space="preserve">an arbitrary amount to be codified in this proceeding in a completely </w:t>
      </w:r>
      <w:r w:rsidR="00965F1E" w:rsidRPr="00B349D5">
        <w:t xml:space="preserve">subjective </w:t>
      </w:r>
      <w:r w:rsidR="001611C5" w:rsidRPr="00B349D5">
        <w:t>and illogical</w:t>
      </w:r>
      <w:r w:rsidRPr="00B349D5">
        <w:t xml:space="preserve"> fashion.  The Company ha</w:t>
      </w:r>
      <w:r w:rsidR="004E257F" w:rsidRPr="00B349D5">
        <w:t>s now alternatively proposed</w:t>
      </w:r>
      <w:r w:rsidRPr="00B349D5">
        <w:t xml:space="preserve"> a significant reduction in rate case costs.  The Staff’s previous response</w:t>
      </w:r>
      <w:r w:rsidR="00965F1E" w:rsidRPr="00B349D5">
        <w:t>,</w:t>
      </w:r>
      <w:r w:rsidRPr="00B349D5">
        <w:t xml:space="preserve"> adopted by the Initial Order</w:t>
      </w:r>
      <w:r w:rsidR="001611C5" w:rsidRPr="00B349D5">
        <w:t>,</w:t>
      </w:r>
      <w:r w:rsidRPr="00B349D5">
        <w:t xml:space="preserve"> is to broadly characterize alleged flaws and complications in </w:t>
      </w:r>
      <w:r w:rsidR="001611C5" w:rsidRPr="00B349D5">
        <w:t xml:space="preserve">this </w:t>
      </w:r>
      <w:r w:rsidRPr="00B349D5">
        <w:t>general rate case filing</w:t>
      </w:r>
      <w:r w:rsidR="004E257F" w:rsidRPr="00B349D5">
        <w:t xml:space="preserve"> issues</w:t>
      </w:r>
      <w:r w:rsidR="00965F1E" w:rsidRPr="00B349D5">
        <w:t xml:space="preserve"> which </w:t>
      </w:r>
      <w:r w:rsidR="004A26DB">
        <w:t>WCI</w:t>
      </w:r>
      <w:r w:rsidRPr="00B349D5">
        <w:t xml:space="preserve"> believes could have been solved by simple communication </w:t>
      </w:r>
      <w:r w:rsidR="006B2EE8" w:rsidRPr="00B349D5">
        <w:t xml:space="preserve">and internal resolution </w:t>
      </w:r>
      <w:r w:rsidR="00BC2BA0" w:rsidRPr="00B349D5">
        <w:t xml:space="preserve">overtures </w:t>
      </w:r>
      <w:r w:rsidRPr="00B349D5">
        <w:t>on the part of Staff</w:t>
      </w:r>
      <w:r w:rsidR="009142C3" w:rsidRPr="00B349D5">
        <w:t xml:space="preserve"> in spring </w:t>
      </w:r>
      <w:r w:rsidR="00BC2BA0" w:rsidRPr="00B349D5">
        <w:t>2014</w:t>
      </w:r>
      <w:r w:rsidR="001611C5" w:rsidRPr="00B349D5">
        <w:t xml:space="preserve">. </w:t>
      </w:r>
      <w:r w:rsidRPr="00B349D5">
        <w:t xml:space="preserve"> </w:t>
      </w:r>
      <w:r w:rsidR="001611C5" w:rsidRPr="00B349D5">
        <w:t>In that regard</w:t>
      </w:r>
      <w:r w:rsidR="00DF371A" w:rsidRPr="00B349D5">
        <w:t>, the Company</w:t>
      </w:r>
      <w:r w:rsidR="001611C5" w:rsidRPr="00B349D5">
        <w:t xml:space="preserve"> again </w:t>
      </w:r>
      <w:r w:rsidR="00DF371A" w:rsidRPr="00B349D5">
        <w:t>points to</w:t>
      </w:r>
      <w:r w:rsidRPr="00B349D5">
        <w:t xml:space="preserve"> </w:t>
      </w:r>
      <w:r w:rsidR="00B349D5" w:rsidRPr="00B349D5">
        <w:fldChar w:fldCharType="begin"/>
      </w:r>
      <w:r w:rsidR="00B349D5" w:rsidRPr="00B349D5">
        <w:instrText xml:space="preserve"> ADDIN BA \xc &lt;@rec&gt; \xl 13 \s ECSSJP000096 \l "Exhibit JD-42" </w:instrText>
      </w:r>
      <w:r w:rsidR="00B349D5" w:rsidRPr="00B349D5">
        <w:fldChar w:fldCharType="end"/>
      </w:r>
      <w:bookmarkStart w:id="110" w:name="_BA_Cite_209"/>
      <w:r w:rsidRPr="00B349D5">
        <w:t>Exhibit JD-42</w:t>
      </w:r>
      <w:bookmarkEnd w:id="110"/>
      <w:r w:rsidR="00DF371A" w:rsidRPr="00B349D5">
        <w:t xml:space="preserve"> as an example</w:t>
      </w:r>
      <w:r w:rsidR="001611C5" w:rsidRPr="00B349D5">
        <w:t>,</w:t>
      </w:r>
      <w:r w:rsidRPr="00B349D5">
        <w:t xml:space="preserve"> where the</w:t>
      </w:r>
      <w:r w:rsidR="00BC2BA0" w:rsidRPr="00B349D5">
        <w:t xml:space="preserve"> </w:t>
      </w:r>
      <w:r w:rsidR="000653BF" w:rsidRPr="00B349D5">
        <w:t xml:space="preserve">earlier </w:t>
      </w:r>
      <w:r w:rsidR="00BC2BA0" w:rsidRPr="00B349D5">
        <w:t>February</w:t>
      </w:r>
      <w:r w:rsidRPr="00B349D5">
        <w:t xml:space="preserve"> interchange between Company and Staff counsel that was nev</w:t>
      </w:r>
      <w:r w:rsidR="001611C5" w:rsidRPr="00B349D5">
        <w:t xml:space="preserve">er responded to by Staff </w:t>
      </w:r>
      <w:r w:rsidR="00D01A18">
        <w:t>might</w:t>
      </w:r>
      <w:r w:rsidR="001611C5" w:rsidRPr="00B349D5">
        <w:t xml:space="preserve"> </w:t>
      </w:r>
      <w:r w:rsidRPr="00B349D5">
        <w:t>have averted the whole issue of the original rate case dismissal</w:t>
      </w:r>
      <w:r w:rsidR="00BC2BA0" w:rsidRPr="00B349D5">
        <w:t xml:space="preserve"> in March, 2014</w:t>
      </w:r>
      <w:r w:rsidR="006B2EE8" w:rsidRPr="00B349D5">
        <w:t xml:space="preserve"> had </w:t>
      </w:r>
      <w:r w:rsidR="000653BF" w:rsidRPr="00B349D5">
        <w:t xml:space="preserve">so </w:t>
      </w:r>
      <w:r w:rsidR="006B2EE8" w:rsidRPr="00B349D5">
        <w:t>Staff desired</w:t>
      </w:r>
      <w:r w:rsidRPr="00B349D5">
        <w:t>.</w:t>
      </w:r>
      <w:r w:rsidR="00F7403B" w:rsidRPr="00B349D5">
        <w:rPr>
          <w:rStyle w:val="FootnoteReference"/>
        </w:rPr>
        <w:footnoteReference w:id="52"/>
      </w:r>
      <w:r w:rsidRPr="00B349D5">
        <w:t xml:space="preserve">  Again, the Company is willing to accept part of the </w:t>
      </w:r>
      <w:r w:rsidR="001611C5" w:rsidRPr="00B349D5">
        <w:t xml:space="preserve">penalty </w:t>
      </w:r>
      <w:r w:rsidRPr="00B349D5">
        <w:t xml:space="preserve">and blame for the protraction </w:t>
      </w:r>
      <w:r w:rsidR="00DF371A" w:rsidRPr="00B349D5">
        <w:t xml:space="preserve">and/or duplication </w:t>
      </w:r>
      <w:r w:rsidR="006B2EE8" w:rsidRPr="00B349D5">
        <w:t xml:space="preserve">in that </w:t>
      </w:r>
      <w:r w:rsidRPr="00B349D5">
        <w:t>proceeding</w:t>
      </w:r>
      <w:r w:rsidR="00DF371A" w:rsidRPr="00B349D5">
        <w:t>.</w:t>
      </w:r>
      <w:r w:rsidRPr="00B349D5">
        <w:t xml:space="preserve"> </w:t>
      </w:r>
      <w:r w:rsidR="00DF371A" w:rsidRPr="00B349D5">
        <w:t xml:space="preserve"> </w:t>
      </w:r>
      <w:r w:rsidRPr="00B349D5">
        <w:t>Staff’s approach</w:t>
      </w:r>
      <w:r w:rsidR="004E257F" w:rsidRPr="00B349D5">
        <w:t xml:space="preserve"> in</w:t>
      </w:r>
      <w:r w:rsidRPr="00B349D5">
        <w:t xml:space="preserve"> eliminat</w:t>
      </w:r>
      <w:r w:rsidR="009142C3" w:rsidRPr="00B349D5">
        <w:t>ing</w:t>
      </w:r>
      <w:r w:rsidRPr="00B349D5">
        <w:t xml:space="preserve"> 50% of rate case costs in TG-140560 </w:t>
      </w:r>
      <w:r w:rsidR="00D01A18">
        <w:t xml:space="preserve">though </w:t>
      </w:r>
      <w:r w:rsidRPr="00B349D5">
        <w:t xml:space="preserve">has never been </w:t>
      </w:r>
      <w:r w:rsidR="00F7403B" w:rsidRPr="00B349D5">
        <w:t xml:space="preserve">proven </w:t>
      </w:r>
      <w:r w:rsidR="009142C3" w:rsidRPr="00B349D5">
        <w:t>and</w:t>
      </w:r>
      <w:r w:rsidR="00BC2BA0" w:rsidRPr="00B349D5">
        <w:t xml:space="preserve"> is </w:t>
      </w:r>
      <w:r w:rsidR="009142C3" w:rsidRPr="00B349D5">
        <w:t>no</w:t>
      </w:r>
      <w:r w:rsidR="00BC2BA0" w:rsidRPr="00B349D5">
        <w:t xml:space="preserve">t </w:t>
      </w:r>
      <w:r w:rsidRPr="00B349D5">
        <w:t>based on an</w:t>
      </w:r>
      <w:r w:rsidR="00BC2BA0" w:rsidRPr="00B349D5">
        <w:t>y</w:t>
      </w:r>
      <w:r w:rsidRPr="00B349D5">
        <w:t xml:space="preserve"> analysis of </w:t>
      </w:r>
      <w:r w:rsidR="001611C5" w:rsidRPr="00B349D5">
        <w:t xml:space="preserve">how </w:t>
      </w:r>
      <w:r w:rsidRPr="00B349D5">
        <w:t xml:space="preserve">those costs were incurred </w:t>
      </w:r>
      <w:r w:rsidR="009142C3" w:rsidRPr="00B349D5">
        <w:t>or</w:t>
      </w:r>
      <w:r w:rsidRPr="00B349D5">
        <w:t xml:space="preserve"> why </w:t>
      </w:r>
      <w:r w:rsidRPr="00B349D5">
        <w:lastRenderedPageBreak/>
        <w:t xml:space="preserve">carrying </w:t>
      </w:r>
      <w:r w:rsidR="004E257F" w:rsidRPr="00B349D5">
        <w:t xml:space="preserve">over </w:t>
      </w:r>
      <w:r w:rsidRPr="00B349D5">
        <w:t xml:space="preserve">that punitive </w:t>
      </w:r>
      <w:r w:rsidR="001611C5" w:rsidRPr="00B349D5">
        <w:t xml:space="preserve">50% </w:t>
      </w:r>
      <w:r w:rsidR="004E257F" w:rsidRPr="00B349D5">
        <w:t>recommendation</w:t>
      </w:r>
      <w:r w:rsidRPr="00B349D5">
        <w:t xml:space="preserve"> into </w:t>
      </w:r>
      <w:r w:rsidR="00DF371A" w:rsidRPr="00B349D5">
        <w:t xml:space="preserve">this </w:t>
      </w:r>
      <w:r w:rsidR="001611C5" w:rsidRPr="00B349D5">
        <w:t>proceeding</w:t>
      </w:r>
      <w:r w:rsidR="00BC2BA0" w:rsidRPr="00B349D5">
        <w:t xml:space="preserve"> is logical or </w:t>
      </w:r>
      <w:r w:rsidR="009142C3" w:rsidRPr="00B349D5">
        <w:t xml:space="preserve">supported </w:t>
      </w:r>
      <w:r w:rsidR="00BC2BA0" w:rsidRPr="00B349D5">
        <w:t>by the record</w:t>
      </w:r>
      <w:r w:rsidRPr="00B349D5">
        <w:t>.</w:t>
      </w:r>
    </w:p>
    <w:p w:rsidR="00E30384" w:rsidRPr="00B349D5" w:rsidRDefault="00E30384" w:rsidP="00B36123">
      <w:pPr>
        <w:pStyle w:val="BodyText2"/>
        <w:numPr>
          <w:ilvl w:val="0"/>
          <w:numId w:val="35"/>
        </w:numPr>
        <w:spacing w:before="120" w:after="120"/>
        <w:ind w:hanging="720"/>
      </w:pPr>
      <w:r w:rsidRPr="00B349D5">
        <w:t xml:space="preserve">Further, WCI particularly disagrees with the Initial Order’s rationale </w:t>
      </w:r>
      <w:r w:rsidR="001C77CF">
        <w:t xml:space="preserve">on rate case costs </w:t>
      </w:r>
      <w:r w:rsidRPr="00B349D5">
        <w:t xml:space="preserve">that </w:t>
      </w:r>
      <w:r w:rsidR="00327C61" w:rsidRPr="00B349D5">
        <w:t>“…a prudent business person has to</w:t>
      </w:r>
      <w:r w:rsidR="001611C5" w:rsidRPr="00B349D5">
        <w:t xml:space="preserve"> consider whether the amount it is </w:t>
      </w:r>
      <w:r w:rsidR="00327C61" w:rsidRPr="00B349D5">
        <w:t>expending is producing a prudent or efficient result.  To expend</w:t>
      </w:r>
      <w:r w:rsidR="006B1C14" w:rsidRPr="00B349D5">
        <w:t xml:space="preserve"> approximately the same amount of money as your rate request tests the bounds of logic</w:t>
      </w:r>
      <w:r w:rsidRPr="00B349D5">
        <w:t>.</w:t>
      </w:r>
      <w:r w:rsidR="006B1C14" w:rsidRPr="00B349D5">
        <w:t>”</w:t>
      </w:r>
      <w:r w:rsidRPr="00B349D5">
        <w:rPr>
          <w:vertAlign w:val="superscript"/>
        </w:rPr>
        <w:footnoteReference w:id="53"/>
      </w:r>
      <w:r w:rsidRPr="00B349D5">
        <w:t xml:space="preserve">  While this may be true in isolation, a Company that makes successive</w:t>
      </w:r>
      <w:r w:rsidR="006B1C14" w:rsidRPr="00B349D5">
        <w:t xml:space="preserve"> contested</w:t>
      </w:r>
      <w:r w:rsidRPr="00B349D5">
        <w:t xml:space="preserve"> rate requests </w:t>
      </w:r>
      <w:r w:rsidR="00BC2BA0" w:rsidRPr="00B349D5">
        <w:t>due to</w:t>
      </w:r>
      <w:r w:rsidR="00327C61" w:rsidRPr="00B349D5">
        <w:t xml:space="preserve"> inconsistent treat</w:t>
      </w:r>
      <w:r w:rsidR="00E66F31" w:rsidRPr="00B349D5">
        <w:t xml:space="preserve">ment of certain expense items </w:t>
      </w:r>
      <w:r w:rsidR="00DF371A" w:rsidRPr="00B349D5">
        <w:t xml:space="preserve">due </w:t>
      </w:r>
      <w:r w:rsidR="00327C61" w:rsidRPr="00B349D5">
        <w:t>to subjective, individual auditor judgment</w:t>
      </w:r>
      <w:r w:rsidR="006B2EE8" w:rsidRPr="00B349D5">
        <w:t>s</w:t>
      </w:r>
      <w:r w:rsidR="00327C61" w:rsidRPr="00B349D5">
        <w:t xml:space="preserve"> </w:t>
      </w:r>
      <w:r w:rsidRPr="00B349D5">
        <w:t xml:space="preserve">could </w:t>
      </w:r>
      <w:r w:rsidR="006B2EE8" w:rsidRPr="00B349D5">
        <w:t xml:space="preserve">potentially </w:t>
      </w:r>
      <w:r w:rsidRPr="00B349D5">
        <w:t xml:space="preserve">benefit from actively pursuing a case to Final Order to achieve a </w:t>
      </w:r>
      <w:r w:rsidR="006B1C14" w:rsidRPr="00B349D5">
        <w:t xml:space="preserve">coherent </w:t>
      </w:r>
      <w:r w:rsidR="004E257F" w:rsidRPr="00B349D5">
        <w:t>basis</w:t>
      </w:r>
      <w:r w:rsidR="000653BF" w:rsidRPr="00B349D5">
        <w:t xml:space="preserve"> </w:t>
      </w:r>
      <w:r w:rsidRPr="00B349D5">
        <w:t>for future</w:t>
      </w:r>
      <w:r w:rsidR="00327C61" w:rsidRPr="00B349D5">
        <w:t xml:space="preserve"> filings</w:t>
      </w:r>
      <w:r w:rsidRPr="00B349D5">
        <w:t xml:space="preserve">.  Petitioner </w:t>
      </w:r>
      <w:r w:rsidR="00A84EB7" w:rsidRPr="00B349D5">
        <w:t>would also question</w:t>
      </w:r>
      <w:r w:rsidRPr="00B349D5">
        <w:t xml:space="preserve">, for instance, whether </w:t>
      </w:r>
      <w:r w:rsidR="00BC2BA0" w:rsidRPr="00B349D5">
        <w:t xml:space="preserve">a </w:t>
      </w:r>
      <w:r w:rsidRPr="00B349D5">
        <w:t xml:space="preserve">water company rate case proponent is confronted with this reality in a typical contested water case under </w:t>
      </w:r>
      <w:r w:rsidR="00B349D5" w:rsidRPr="00B349D5">
        <w:fldChar w:fldCharType="begin"/>
      </w:r>
      <w:r w:rsidR="00B349D5" w:rsidRPr="00B349D5">
        <w:instrText xml:space="preserve"> ADDIN BA \xc &lt;@osdv&gt; \xl 8 \s ECSSJP000097 \l "Title 80" </w:instrText>
      </w:r>
      <w:r w:rsidR="00B349D5" w:rsidRPr="00B349D5">
        <w:fldChar w:fldCharType="end"/>
      </w:r>
      <w:bookmarkStart w:id="112" w:name="_BA_Cite_211"/>
      <w:r w:rsidRPr="00B349D5">
        <w:t>Title 80</w:t>
      </w:r>
      <w:bookmarkEnd w:id="112"/>
      <w:r w:rsidR="00A84EB7" w:rsidRPr="00B349D5">
        <w:t>,</w:t>
      </w:r>
      <w:r w:rsidRPr="00B349D5">
        <w:t xml:space="preserve"> where the average requested revenue requirement and </w:t>
      </w:r>
      <w:r w:rsidR="00DF371A" w:rsidRPr="00B349D5">
        <w:t xml:space="preserve">rate case </w:t>
      </w:r>
      <w:r w:rsidRPr="00B349D5">
        <w:t xml:space="preserve">litigation costs </w:t>
      </w:r>
      <w:r w:rsidR="006B2EE8" w:rsidRPr="00B349D5">
        <w:t xml:space="preserve">might </w:t>
      </w:r>
      <w:r w:rsidRPr="00B349D5">
        <w:t xml:space="preserve">often diverge.  </w:t>
      </w:r>
    </w:p>
    <w:p w:rsidR="00E30384" w:rsidRPr="00B349D5" w:rsidRDefault="00E30384" w:rsidP="00B36123">
      <w:pPr>
        <w:pStyle w:val="BodyText2"/>
        <w:numPr>
          <w:ilvl w:val="0"/>
          <w:numId w:val="35"/>
        </w:numPr>
        <w:spacing w:before="120" w:after="120"/>
        <w:ind w:hanging="720"/>
      </w:pPr>
      <w:r w:rsidRPr="00B349D5">
        <w:t xml:space="preserve">However, in the more pertinent </w:t>
      </w:r>
      <w:r w:rsidR="006B1C14" w:rsidRPr="00B349D5">
        <w:t xml:space="preserve">and present </w:t>
      </w:r>
      <w:r w:rsidRPr="00B349D5">
        <w:t xml:space="preserve">solid waste rate filing context, this </w:t>
      </w:r>
      <w:r w:rsidR="00A84EB7" w:rsidRPr="00B349D5">
        <w:t xml:space="preserve">rather abrupt </w:t>
      </w:r>
      <w:r w:rsidR="000653BF" w:rsidRPr="00B349D5">
        <w:t xml:space="preserve">pronouncement </w:t>
      </w:r>
      <w:r w:rsidR="001C77CF">
        <w:t xml:space="preserve">ought to </w:t>
      </w:r>
      <w:r w:rsidRPr="00B349D5">
        <w:t xml:space="preserve">give </w:t>
      </w:r>
      <w:r w:rsidR="00BC2BA0" w:rsidRPr="00B349D5">
        <w:t xml:space="preserve">the Commission </w:t>
      </w:r>
      <w:r w:rsidRPr="00B349D5">
        <w:t xml:space="preserve">substantial pause.  Is the Initial Order saying that once the costs of defense </w:t>
      </w:r>
      <w:r w:rsidR="000653BF" w:rsidRPr="00B349D5">
        <w:t xml:space="preserve">achieve </w:t>
      </w:r>
      <w:r w:rsidRPr="00B349D5">
        <w:t xml:space="preserve">a certain level, a “tipping point” is reached at which the regulated company should “throw in the towel” and capitulate because otherwise it should </w:t>
      </w:r>
      <w:r w:rsidR="00BC2BA0" w:rsidRPr="00B349D5">
        <w:t xml:space="preserve">expect </w:t>
      </w:r>
      <w:r w:rsidRPr="00B349D5">
        <w:t>its subsequent</w:t>
      </w:r>
      <w:r w:rsidR="0029063A" w:rsidRPr="00B349D5">
        <w:t xml:space="preserve"> (or possibly</w:t>
      </w:r>
      <w:r w:rsidR="00A84EB7" w:rsidRPr="00B349D5">
        <w:t xml:space="preserve"> even</w:t>
      </w:r>
      <w:r w:rsidR="0029063A" w:rsidRPr="00B349D5">
        <w:t xml:space="preserve"> previous)</w:t>
      </w:r>
      <w:r w:rsidRPr="00B349D5">
        <w:t xml:space="preserve"> rate case costs will </w:t>
      </w:r>
      <w:r w:rsidR="006B1C14" w:rsidRPr="00B349D5">
        <w:t xml:space="preserve">almost assuredly </w:t>
      </w:r>
      <w:r w:rsidRPr="00B349D5">
        <w:t xml:space="preserve">be disallowed as </w:t>
      </w:r>
      <w:r w:rsidR="00A84EB7" w:rsidRPr="00B349D5">
        <w:t>“</w:t>
      </w:r>
      <w:r w:rsidRPr="00B349D5">
        <w:t>imprudent and exorbitant?</w:t>
      </w:r>
      <w:r w:rsidR="00A84EB7" w:rsidRPr="00B349D5">
        <w:t>”</w:t>
      </w:r>
      <w:r w:rsidRPr="00B349D5">
        <w:t xml:space="preserve">  How would this not incentivize the Staff and/or </w:t>
      </w:r>
      <w:r w:rsidR="009142C3" w:rsidRPr="00B349D5">
        <w:t>other opposing party simply to run up the costs</w:t>
      </w:r>
      <w:r w:rsidRPr="00B349D5">
        <w:t xml:space="preserve"> on a company with the knowledge that, directly or indirectly, once that particular point is reached, the company wi</w:t>
      </w:r>
      <w:r w:rsidR="006B1C14" w:rsidRPr="00B349D5">
        <w:t>l</w:t>
      </w:r>
      <w:r w:rsidR="00A84EB7" w:rsidRPr="00B349D5">
        <w:t xml:space="preserve">l be forced to concede, settle or otherwise </w:t>
      </w:r>
      <w:r w:rsidR="006B1C14" w:rsidRPr="00B349D5">
        <w:t>acquiesce to the Staff position</w:t>
      </w:r>
      <w:r w:rsidR="00A84EB7" w:rsidRPr="00B349D5">
        <w:t>s</w:t>
      </w:r>
      <w:r w:rsidR="006B1C14" w:rsidRPr="00B349D5">
        <w:t xml:space="preserve"> </w:t>
      </w:r>
      <w:r w:rsidRPr="00B349D5">
        <w:t xml:space="preserve">or possibly even withdraw its filing completely?  In contrast, the Staff has </w:t>
      </w:r>
      <w:r w:rsidR="001C77CF">
        <w:t xml:space="preserve">apparently </w:t>
      </w:r>
      <w:r w:rsidRPr="00B349D5">
        <w:t xml:space="preserve">no external check on its investigation costs and litigation </w:t>
      </w:r>
      <w:r w:rsidR="0029063A" w:rsidRPr="00B349D5">
        <w:t xml:space="preserve">strategy </w:t>
      </w:r>
      <w:r w:rsidRPr="00B349D5">
        <w:t xml:space="preserve">which </w:t>
      </w:r>
      <w:r w:rsidRPr="00B349D5">
        <w:lastRenderedPageBreak/>
        <w:t>costs are paid by the regulated industry and</w:t>
      </w:r>
      <w:r w:rsidR="006B1C14" w:rsidRPr="00B349D5">
        <w:t xml:space="preserve"> </w:t>
      </w:r>
      <w:r w:rsidRPr="00B349D5">
        <w:t xml:space="preserve">by state taxpayers.  The concept of a regulated company’s costs reaching a “tipping point” is </w:t>
      </w:r>
      <w:r w:rsidR="0029063A" w:rsidRPr="00B349D5">
        <w:t xml:space="preserve">thus </w:t>
      </w:r>
      <w:r w:rsidRPr="00B349D5">
        <w:t xml:space="preserve">particularly disturbing if it directly or indirectly </w:t>
      </w:r>
      <w:r w:rsidR="00BC2BA0" w:rsidRPr="00B349D5">
        <w:t xml:space="preserve">implicates </w:t>
      </w:r>
      <w:r w:rsidRPr="00B349D5">
        <w:t>an automatic point of disallowance of successive rate case costs</w:t>
      </w:r>
      <w:r w:rsidR="006B1C14" w:rsidRPr="00B349D5">
        <w:t xml:space="preserve"> or forces the </w:t>
      </w:r>
      <w:r w:rsidR="00A84EB7" w:rsidRPr="00B349D5">
        <w:t xml:space="preserve">strategic </w:t>
      </w:r>
      <w:r w:rsidR="006B1C14" w:rsidRPr="00B349D5">
        <w:t xml:space="preserve">hand of the Company </w:t>
      </w:r>
      <w:r w:rsidR="004E257F" w:rsidRPr="00B349D5">
        <w:t>when it maintains</w:t>
      </w:r>
      <w:r w:rsidR="006B1C14" w:rsidRPr="00B349D5">
        <w:t xml:space="preserve"> Staff positions </w:t>
      </w:r>
      <w:r w:rsidR="001C77CF">
        <w:t xml:space="preserve">remain </w:t>
      </w:r>
      <w:r w:rsidR="006B1C14" w:rsidRPr="00B349D5">
        <w:t>unfair, unjust or unreasonable</w:t>
      </w:r>
      <w:r w:rsidRPr="00B349D5">
        <w:t xml:space="preserve">.  This </w:t>
      </w:r>
      <w:r w:rsidR="0029063A" w:rsidRPr="00B349D5">
        <w:t xml:space="preserve">suggestion </w:t>
      </w:r>
      <w:r w:rsidRPr="00B349D5">
        <w:t>would also institutionalize an imbalance of resources which the Company perceives</w:t>
      </w:r>
      <w:r w:rsidR="001C77CF">
        <w:t xml:space="preserve"> already</w:t>
      </w:r>
      <w:r w:rsidRPr="00B349D5">
        <w:t xml:space="preserve"> exists between th</w:t>
      </w:r>
      <w:r w:rsidR="003102A2" w:rsidRPr="00B349D5">
        <w:t xml:space="preserve">e rate case proponent and Staff.  The Company </w:t>
      </w:r>
      <w:r w:rsidR="00965F1E" w:rsidRPr="00B349D5">
        <w:t>must</w:t>
      </w:r>
      <w:r w:rsidR="003102A2" w:rsidRPr="00B349D5">
        <w:t xml:space="preserve"> justify its rate case costs, the Staff has no such articulable burden </w:t>
      </w:r>
      <w:r w:rsidRPr="00B349D5">
        <w:t xml:space="preserve">and </w:t>
      </w:r>
      <w:r w:rsidR="003102A2" w:rsidRPr="00B349D5">
        <w:t xml:space="preserve">establishing such a “tipping point” would </w:t>
      </w:r>
      <w:r w:rsidR="009142C3" w:rsidRPr="00B349D5">
        <w:t xml:space="preserve">further </w:t>
      </w:r>
      <w:proofErr w:type="spellStart"/>
      <w:r w:rsidR="002B5422" w:rsidRPr="00B349D5">
        <w:t>disincentivize</w:t>
      </w:r>
      <w:proofErr w:type="spellEnd"/>
      <w:r w:rsidR="002B5422" w:rsidRPr="00B349D5">
        <w:t xml:space="preserve"> </w:t>
      </w:r>
      <w:r w:rsidR="006B1C14" w:rsidRPr="00B349D5">
        <w:t xml:space="preserve"> </w:t>
      </w:r>
      <w:r w:rsidRPr="00B349D5">
        <w:t>cooperation and effi</w:t>
      </w:r>
      <w:r w:rsidR="004E257F" w:rsidRPr="00B349D5">
        <w:t>ciency in contested cases if</w:t>
      </w:r>
      <w:r w:rsidRPr="00B349D5">
        <w:t xml:space="preserve"> Staff</w:t>
      </w:r>
      <w:r w:rsidR="001C77CF">
        <w:t>,</w:t>
      </w:r>
      <w:r w:rsidRPr="00B349D5">
        <w:t xml:space="preserve"> </w:t>
      </w:r>
      <w:r w:rsidR="004E257F" w:rsidRPr="00B349D5">
        <w:t>without financial resource limitations</w:t>
      </w:r>
      <w:r w:rsidR="001C77CF">
        <w:t>,</w:t>
      </w:r>
      <w:r w:rsidR="004E257F" w:rsidRPr="00B349D5">
        <w:t xml:space="preserve"> </w:t>
      </w:r>
      <w:r w:rsidR="00A84EB7" w:rsidRPr="00B349D5">
        <w:t xml:space="preserve">could </w:t>
      </w:r>
      <w:r w:rsidRPr="00B349D5">
        <w:t xml:space="preserve">decide to </w:t>
      </w:r>
      <w:r w:rsidR="006B2EE8" w:rsidRPr="00B349D5">
        <w:t>force</w:t>
      </w:r>
      <w:r w:rsidRPr="00B349D5">
        <w:t xml:space="preserve"> the party with the burden of proof to </w:t>
      </w:r>
      <w:r w:rsidR="00A84EB7" w:rsidRPr="00B349D5">
        <w:t xml:space="preserve">the financial </w:t>
      </w:r>
      <w:r w:rsidRPr="00B349D5">
        <w:t>brink in recognition that the Commission will cut off all subsequent rate case cost recovery.</w:t>
      </w:r>
    </w:p>
    <w:p w:rsidR="00E30384" w:rsidRPr="00B349D5" w:rsidRDefault="00E30384" w:rsidP="00B36123">
      <w:pPr>
        <w:pStyle w:val="BodyText2"/>
        <w:numPr>
          <w:ilvl w:val="0"/>
          <w:numId w:val="35"/>
        </w:numPr>
        <w:spacing w:before="120" w:after="120"/>
        <w:ind w:hanging="720"/>
      </w:pPr>
      <w:r w:rsidRPr="00B349D5">
        <w:t>WCI</w:t>
      </w:r>
      <w:r w:rsidR="00A84EB7" w:rsidRPr="00B349D5">
        <w:t xml:space="preserve"> therefore</w:t>
      </w:r>
      <w:r w:rsidRPr="00B349D5">
        <w:t xml:space="preserve"> respectfully requests the reversal of Finding/Conclusion </w:t>
      </w:r>
      <w:r w:rsidR="00047B0C" w:rsidRPr="00B349D5">
        <w:t>(</w:t>
      </w:r>
      <w:r w:rsidRPr="00B349D5">
        <w:t>14</w:t>
      </w:r>
      <w:r w:rsidR="00047B0C" w:rsidRPr="00B349D5">
        <w:t>)</w:t>
      </w:r>
      <w:r w:rsidRPr="00B349D5">
        <w:t xml:space="preserve"> and </w:t>
      </w:r>
      <w:r w:rsidR="005216ED" w:rsidRPr="00B349D5">
        <w:t xml:space="preserve">allowance </w:t>
      </w:r>
      <w:r w:rsidR="00A84EB7" w:rsidRPr="00B349D5">
        <w:t xml:space="preserve">instead </w:t>
      </w:r>
      <w:r w:rsidR="005216ED" w:rsidRPr="00B349D5">
        <w:t xml:space="preserve">of </w:t>
      </w:r>
      <w:r w:rsidR="006B2EE8" w:rsidRPr="00B349D5">
        <w:t xml:space="preserve">full </w:t>
      </w:r>
      <w:r w:rsidRPr="00B349D5">
        <w:t xml:space="preserve">recovery of </w:t>
      </w:r>
      <w:r w:rsidR="00A84EB7" w:rsidRPr="00B349D5">
        <w:t xml:space="preserve">Company rate case </w:t>
      </w:r>
      <w:r w:rsidRPr="00B349D5">
        <w:t>costs</w:t>
      </w:r>
      <w:r w:rsidR="00A84EB7" w:rsidRPr="00B349D5">
        <w:t xml:space="preserve"> less the $47,822</w:t>
      </w:r>
      <w:r w:rsidR="003102A2" w:rsidRPr="00B349D5">
        <w:t>,</w:t>
      </w:r>
      <w:r w:rsidR="00A84EB7" w:rsidRPr="00B349D5">
        <w:t xml:space="preserve"> 50% reduction in costs in TG-131794 in the referenced interval fro</w:t>
      </w:r>
      <w:r w:rsidR="004E257F" w:rsidRPr="00B349D5">
        <w:t xml:space="preserve">m December, 2013 to April, 2014.  It also </w:t>
      </w:r>
      <w:r w:rsidR="005216ED" w:rsidRPr="00B349D5">
        <w:t xml:space="preserve">specifically </w:t>
      </w:r>
      <w:r w:rsidRPr="00B349D5">
        <w:t xml:space="preserve">asks that the Commission reject </w:t>
      </w:r>
      <w:r w:rsidR="005216ED" w:rsidRPr="00B349D5">
        <w:t xml:space="preserve">any </w:t>
      </w:r>
      <w:r w:rsidR="001C77CF">
        <w:t>notion</w:t>
      </w:r>
      <w:r w:rsidRPr="00B349D5">
        <w:t xml:space="preserve"> </w:t>
      </w:r>
      <w:r w:rsidR="004E257F" w:rsidRPr="00B349D5">
        <w:t xml:space="preserve">(express or implicit) </w:t>
      </w:r>
      <w:r w:rsidRPr="00B349D5">
        <w:t xml:space="preserve">of a generalized “rate case </w:t>
      </w:r>
      <w:r w:rsidR="005216ED" w:rsidRPr="00B349D5">
        <w:t xml:space="preserve">cost </w:t>
      </w:r>
      <w:r w:rsidRPr="00B349D5">
        <w:t>tipping point”</w:t>
      </w:r>
      <w:r w:rsidR="003102A2" w:rsidRPr="00B349D5">
        <w:t xml:space="preserve"> (point of no return)</w:t>
      </w:r>
      <w:r w:rsidRPr="00B349D5">
        <w:t xml:space="preserve"> on this subject as </w:t>
      </w:r>
      <w:r w:rsidR="00DF371A" w:rsidRPr="00B349D5">
        <w:t>suggested by</w:t>
      </w:r>
      <w:r w:rsidRPr="00B349D5">
        <w:t xml:space="preserve"> the Initial Order.</w:t>
      </w:r>
    </w:p>
    <w:p w:rsidR="004465EC" w:rsidRPr="00B349D5" w:rsidRDefault="00047B0C" w:rsidP="004E257F">
      <w:pPr>
        <w:pStyle w:val="Heading4"/>
      </w:pPr>
      <w:bookmarkStart w:id="113" w:name="_Toc423327093"/>
      <w:r w:rsidRPr="00B349D5">
        <w:rPr>
          <w:u w:val="single"/>
        </w:rPr>
        <w:t xml:space="preserve">Recommended Revision to </w:t>
      </w:r>
      <w:r w:rsidR="00DF371A" w:rsidRPr="00B349D5">
        <w:rPr>
          <w:u w:val="single"/>
        </w:rPr>
        <w:t>(</w:t>
      </w:r>
      <w:r w:rsidR="00594206" w:rsidRPr="00B349D5">
        <w:rPr>
          <w:u w:val="single"/>
        </w:rPr>
        <w:t xml:space="preserve">and </w:t>
      </w:r>
      <w:r w:rsidR="00DF371A" w:rsidRPr="00B349D5">
        <w:rPr>
          <w:u w:val="single"/>
        </w:rPr>
        <w:t xml:space="preserve">Substitution of) </w:t>
      </w:r>
      <w:r w:rsidRPr="00B349D5">
        <w:rPr>
          <w:u w:val="single"/>
        </w:rPr>
        <w:t>Finding/Conclusion (14)</w:t>
      </w:r>
      <w:r w:rsidRPr="00B349D5">
        <w:t>:</w:t>
      </w:r>
      <w:bookmarkEnd w:id="113"/>
      <w:r w:rsidRPr="00B349D5">
        <w:t xml:space="preserve">  </w:t>
      </w:r>
    </w:p>
    <w:p w:rsidR="00047B0C" w:rsidRPr="00B349D5" w:rsidRDefault="00047B0C" w:rsidP="00752357">
      <w:pPr>
        <w:pStyle w:val="Quote"/>
        <w:rPr>
          <w:b/>
        </w:rPr>
      </w:pPr>
      <w:r w:rsidRPr="00B349D5">
        <w:rPr>
          <w:b/>
        </w:rPr>
        <w:t>The rate case expenses for both the Staff and the Company hav</w:t>
      </w:r>
      <w:r w:rsidR="004465EC" w:rsidRPr="00B349D5">
        <w:rPr>
          <w:b/>
        </w:rPr>
        <w:t>e</w:t>
      </w:r>
      <w:r w:rsidRPr="00B349D5">
        <w:rPr>
          <w:b/>
        </w:rPr>
        <w:t xml:space="preserve"> been unusually high in this </w:t>
      </w:r>
      <w:r w:rsidR="004465EC" w:rsidRPr="00B349D5">
        <w:rPr>
          <w:b/>
        </w:rPr>
        <w:t>contested solid waste general rate case filing</w:t>
      </w:r>
      <w:r w:rsidR="00DF371A" w:rsidRPr="00B349D5">
        <w:rPr>
          <w:b/>
        </w:rPr>
        <w:t xml:space="preserve"> which both sides regret</w:t>
      </w:r>
      <w:r w:rsidR="004465EC" w:rsidRPr="00B349D5">
        <w:rPr>
          <w:b/>
        </w:rPr>
        <w:t xml:space="preserve">.  The Staff has not </w:t>
      </w:r>
      <w:r w:rsidR="003102A2" w:rsidRPr="00B349D5">
        <w:rPr>
          <w:b/>
        </w:rPr>
        <w:t xml:space="preserve">challenged </w:t>
      </w:r>
      <w:r w:rsidR="004465EC" w:rsidRPr="00B349D5">
        <w:rPr>
          <w:b/>
        </w:rPr>
        <w:t xml:space="preserve">either the amount of time or the rates charged by the Company’s </w:t>
      </w:r>
      <w:r w:rsidR="008F7130" w:rsidRPr="00B349D5">
        <w:rPr>
          <w:b/>
        </w:rPr>
        <w:t xml:space="preserve">outside </w:t>
      </w:r>
      <w:r w:rsidR="004465EC" w:rsidRPr="00B349D5">
        <w:rPr>
          <w:b/>
        </w:rPr>
        <w:t>accountants and lawyers in this proceeding.  Unlike most companies involved in contested general rate case proceedings, the Company has no in-house accou</w:t>
      </w:r>
      <w:r w:rsidR="003102A2" w:rsidRPr="00B349D5">
        <w:rPr>
          <w:b/>
        </w:rPr>
        <w:t>nting and or legal staff which c</w:t>
      </w:r>
      <w:r w:rsidR="004465EC" w:rsidRPr="00B349D5">
        <w:rPr>
          <w:b/>
        </w:rPr>
        <w:t xml:space="preserve">ould be subject to inclusion in the rate base or in the corporate overhead percentage.  </w:t>
      </w:r>
      <w:r w:rsidR="003102A2" w:rsidRPr="00B349D5">
        <w:rPr>
          <w:b/>
        </w:rPr>
        <w:t>B</w:t>
      </w:r>
      <w:r w:rsidR="004465EC" w:rsidRPr="00B349D5">
        <w:rPr>
          <w:b/>
        </w:rPr>
        <w:t xml:space="preserve">ecause of the extensive time period </w:t>
      </w:r>
      <w:r w:rsidR="00A84EB7" w:rsidRPr="00B349D5">
        <w:rPr>
          <w:b/>
        </w:rPr>
        <w:t>these proceedings have been exta</w:t>
      </w:r>
      <w:r w:rsidR="004465EC" w:rsidRPr="00B349D5">
        <w:rPr>
          <w:b/>
        </w:rPr>
        <w:t>nt</w:t>
      </w:r>
      <w:r w:rsidR="003102A2" w:rsidRPr="00B349D5">
        <w:rPr>
          <w:b/>
        </w:rPr>
        <w:t xml:space="preserve">, </w:t>
      </w:r>
      <w:r w:rsidR="00DF371A" w:rsidRPr="00B349D5">
        <w:rPr>
          <w:b/>
        </w:rPr>
        <w:t xml:space="preserve">and due to </w:t>
      </w:r>
      <w:r w:rsidR="003102A2" w:rsidRPr="00B349D5">
        <w:rPr>
          <w:b/>
        </w:rPr>
        <w:t>discovery and various procedural issues</w:t>
      </w:r>
      <w:r w:rsidR="004465EC" w:rsidRPr="00B349D5">
        <w:rPr>
          <w:b/>
        </w:rPr>
        <w:t xml:space="preserve">, both </w:t>
      </w:r>
      <w:r w:rsidR="0029063A" w:rsidRPr="00B349D5">
        <w:rPr>
          <w:b/>
        </w:rPr>
        <w:t xml:space="preserve">the Company and the Commission </w:t>
      </w:r>
      <w:r w:rsidR="004465EC" w:rsidRPr="00B349D5">
        <w:rPr>
          <w:b/>
        </w:rPr>
        <w:t xml:space="preserve">Staff spent substantial time </w:t>
      </w:r>
      <w:r w:rsidR="008F7130" w:rsidRPr="00B349D5">
        <w:rPr>
          <w:b/>
        </w:rPr>
        <w:t xml:space="preserve">and resources </w:t>
      </w:r>
      <w:r w:rsidR="004465EC" w:rsidRPr="00B349D5">
        <w:rPr>
          <w:b/>
        </w:rPr>
        <w:t>in defending their respect</w:t>
      </w:r>
      <w:r w:rsidR="00A84EB7" w:rsidRPr="00B349D5">
        <w:rPr>
          <w:b/>
        </w:rPr>
        <w:t>ive positions in thi</w:t>
      </w:r>
      <w:r w:rsidR="004465EC" w:rsidRPr="00B349D5">
        <w:rPr>
          <w:b/>
        </w:rPr>
        <w:t xml:space="preserve">s matter.  Normally, the costs to </w:t>
      </w:r>
      <w:r w:rsidR="004465EC" w:rsidRPr="00B349D5">
        <w:rPr>
          <w:b/>
        </w:rPr>
        <w:lastRenderedPageBreak/>
        <w:t>defend general rate cases are recoverable in rates.  Despite their relatively high level, the Commission notes the Company’s rate case costs have been partially mitigated by unilateral reductions by the professionals in their monthly</w:t>
      </w:r>
      <w:r w:rsidR="008F7130" w:rsidRPr="00B349D5">
        <w:rPr>
          <w:b/>
        </w:rPr>
        <w:t xml:space="preserve"> invoices</w:t>
      </w:r>
      <w:r w:rsidR="004465EC" w:rsidRPr="00B349D5">
        <w:rPr>
          <w:b/>
        </w:rPr>
        <w:t xml:space="preserve">.  </w:t>
      </w:r>
      <w:r w:rsidR="00A84EB7" w:rsidRPr="00B349D5">
        <w:rPr>
          <w:b/>
        </w:rPr>
        <w:t xml:space="preserve">The Commission accepts the </w:t>
      </w:r>
      <w:r w:rsidR="001C77CF">
        <w:rPr>
          <w:b/>
        </w:rPr>
        <w:t xml:space="preserve">Company’s </w:t>
      </w:r>
      <w:r w:rsidR="003102A2" w:rsidRPr="00B349D5">
        <w:rPr>
          <w:b/>
        </w:rPr>
        <w:t>premise</w:t>
      </w:r>
      <w:r w:rsidR="00A84EB7" w:rsidRPr="00B349D5">
        <w:rPr>
          <w:b/>
        </w:rPr>
        <w:t xml:space="preserve"> to reduce rate case costs in TG-131794 in the December 2013 through April 2014 interval. </w:t>
      </w:r>
      <w:r w:rsidR="0043362C" w:rsidRPr="00B349D5">
        <w:rPr>
          <w:b/>
        </w:rPr>
        <w:t xml:space="preserve"> </w:t>
      </w:r>
      <w:r w:rsidR="00A84EB7" w:rsidRPr="00B349D5">
        <w:rPr>
          <w:b/>
        </w:rPr>
        <w:t xml:space="preserve">However, </w:t>
      </w:r>
      <w:r w:rsidR="0043362C" w:rsidRPr="00B349D5">
        <w:rPr>
          <w:b/>
        </w:rPr>
        <w:t xml:space="preserve">Staff’s approach to </w:t>
      </w:r>
      <w:r w:rsidR="003102A2" w:rsidRPr="00B349D5">
        <w:rPr>
          <w:b/>
        </w:rPr>
        <w:t xml:space="preserve">reduce </w:t>
      </w:r>
      <w:r w:rsidR="0043362C" w:rsidRPr="00B349D5">
        <w:rPr>
          <w:b/>
        </w:rPr>
        <w:t>50% of rate case costs after the initial pre-hearing conference was issued in TG-131794 on December 24, 2013</w:t>
      </w:r>
      <w:r w:rsidR="00D734DC" w:rsidRPr="00B349D5">
        <w:rPr>
          <w:b/>
        </w:rPr>
        <w:t xml:space="preserve"> forward</w:t>
      </w:r>
      <w:r w:rsidR="00DF371A" w:rsidRPr="00B349D5">
        <w:rPr>
          <w:b/>
        </w:rPr>
        <w:t>,</w:t>
      </w:r>
      <w:r w:rsidR="0043362C" w:rsidRPr="00B349D5">
        <w:rPr>
          <w:b/>
        </w:rPr>
        <w:t xml:space="preserve"> is </w:t>
      </w:r>
      <w:r w:rsidR="004E257F" w:rsidRPr="00B349D5">
        <w:rPr>
          <w:b/>
        </w:rPr>
        <w:t xml:space="preserve">arbitrary and </w:t>
      </w:r>
      <w:r w:rsidR="0043362C" w:rsidRPr="00B349D5">
        <w:rPr>
          <w:b/>
        </w:rPr>
        <w:t>unreasonable in light of all of the facts and circumstances of this case</w:t>
      </w:r>
      <w:r w:rsidR="00A84EB7" w:rsidRPr="00B349D5">
        <w:rPr>
          <w:b/>
        </w:rPr>
        <w:t xml:space="preserve">. </w:t>
      </w:r>
      <w:r w:rsidR="0043362C" w:rsidRPr="00B349D5">
        <w:rPr>
          <w:b/>
        </w:rPr>
        <w:t xml:space="preserve"> </w:t>
      </w:r>
      <w:r w:rsidR="00A84EB7" w:rsidRPr="00B349D5">
        <w:rPr>
          <w:b/>
        </w:rPr>
        <w:t xml:space="preserve">There is no basis for a reduction </w:t>
      </w:r>
      <w:r w:rsidR="003102A2" w:rsidRPr="00B349D5">
        <w:rPr>
          <w:b/>
        </w:rPr>
        <w:t xml:space="preserve">in </w:t>
      </w:r>
      <w:r w:rsidR="00A84EB7" w:rsidRPr="00B349D5">
        <w:rPr>
          <w:b/>
        </w:rPr>
        <w:t xml:space="preserve">rate case costs in TG-140560 which </w:t>
      </w:r>
      <w:r w:rsidR="0043362C" w:rsidRPr="00B349D5">
        <w:rPr>
          <w:b/>
        </w:rPr>
        <w:t xml:space="preserve">would unduly punish the Company in exercise of its basic ratemaking rights and responsibilities and jeopardize its ability to generate “just, reasonable and compensatory” rates pursuant to </w:t>
      </w:r>
      <w:r w:rsidR="00B349D5" w:rsidRPr="00B349D5">
        <w:fldChar w:fldCharType="begin"/>
      </w:r>
      <w:r w:rsidR="00B349D5" w:rsidRPr="00B349D5">
        <w:instrText xml:space="preserve"> ADDIN BA \xc &lt;@st&gt; \xl 13 \s ECSSJP000036 \xqt \l "</w:instrText>
      </w:r>
      <w:r w:rsidR="00B349D5" w:rsidRPr="00B349D5">
        <w:rPr>
          <w:b/>
        </w:rPr>
        <w:instrText>RCW 81.28.230</w:instrText>
      </w:r>
      <w:r w:rsidR="00B349D5" w:rsidRPr="00B349D5">
        <w:instrText xml:space="preserve">" </w:instrText>
      </w:r>
      <w:r w:rsidR="00B349D5" w:rsidRPr="00B349D5">
        <w:fldChar w:fldCharType="end"/>
      </w:r>
      <w:r w:rsidR="0043362C" w:rsidRPr="00B349D5">
        <w:rPr>
          <w:b/>
        </w:rPr>
        <w:t>RCW 81.28.230</w:t>
      </w:r>
      <w:r w:rsidR="008F7130" w:rsidRPr="00B349D5">
        <w:rPr>
          <w:b/>
        </w:rPr>
        <w:t xml:space="preserve"> in the process</w:t>
      </w:r>
      <w:r w:rsidR="0043362C" w:rsidRPr="00B349D5">
        <w:rPr>
          <w:b/>
        </w:rPr>
        <w:t xml:space="preserve">.  </w:t>
      </w:r>
      <w:r w:rsidR="0029063A" w:rsidRPr="00B349D5">
        <w:rPr>
          <w:b/>
        </w:rPr>
        <w:t>The Commission therefore allows the Company to recover its legitimate rate case costs</w:t>
      </w:r>
      <w:r w:rsidR="00FA42A3" w:rsidRPr="00B349D5">
        <w:rPr>
          <w:b/>
        </w:rPr>
        <w:t xml:space="preserve"> in TG-140560</w:t>
      </w:r>
      <w:r w:rsidR="0029063A" w:rsidRPr="00B349D5">
        <w:rPr>
          <w:b/>
        </w:rPr>
        <w:t xml:space="preserve"> amortized over four years</w:t>
      </w:r>
      <w:r w:rsidR="0043362C" w:rsidRPr="00B349D5">
        <w:rPr>
          <w:b/>
        </w:rPr>
        <w:t>.</w:t>
      </w:r>
    </w:p>
    <w:p w:rsidR="00047B0C" w:rsidRPr="00B349D5" w:rsidRDefault="00047B0C" w:rsidP="00FA42A3">
      <w:pPr>
        <w:pStyle w:val="Heading3"/>
        <w:keepLines/>
      </w:pPr>
      <w:bookmarkStart w:id="114" w:name="_Toc423327094"/>
      <w:r w:rsidRPr="00B349D5">
        <w:t>Exceptions to Findings/Conclusions (15) and (17</w:t>
      </w:r>
      <w:r w:rsidR="00594206" w:rsidRPr="00B349D5">
        <w:t>) and Parallel Order Provision</w:t>
      </w:r>
      <w:r w:rsidRPr="00B349D5">
        <w:t>: Imposition of Investigation Fee.</w:t>
      </w:r>
      <w:bookmarkEnd w:id="114"/>
    </w:p>
    <w:p w:rsidR="00047B0C" w:rsidRPr="00B349D5" w:rsidRDefault="00A84EB7" w:rsidP="00B36123">
      <w:pPr>
        <w:pStyle w:val="BodyText2"/>
        <w:numPr>
          <w:ilvl w:val="0"/>
          <w:numId w:val="35"/>
        </w:numPr>
        <w:spacing w:before="120" w:after="120"/>
        <w:ind w:hanging="720"/>
      </w:pPr>
      <w:r w:rsidRPr="00B349D5">
        <w:t xml:space="preserve">Perhaps the most disturbing </w:t>
      </w:r>
      <w:r w:rsidR="00B349D5" w:rsidRPr="00B349D5">
        <w:fldChar w:fldCharType="begin"/>
      </w:r>
      <w:r w:rsidR="00B349D5" w:rsidRPr="00B349D5">
        <w:instrText xml:space="preserve"> ADDIN BA \xc &lt;@reg&gt; \xl 44 \s ECSSJP000037 \l "Findings and Conclusions in Initial Order 12" </w:instrText>
      </w:r>
      <w:r w:rsidR="00B349D5" w:rsidRPr="00B349D5">
        <w:fldChar w:fldCharType="end"/>
      </w:r>
      <w:bookmarkStart w:id="115" w:name="_BA_Cite_212"/>
      <w:r w:rsidR="00047B0C" w:rsidRPr="00B349D5">
        <w:t>Finding</w:t>
      </w:r>
      <w:r w:rsidRPr="00B349D5">
        <w:t>s</w:t>
      </w:r>
      <w:r w:rsidR="00047B0C" w:rsidRPr="00B349D5">
        <w:t xml:space="preserve"> and Conclusion</w:t>
      </w:r>
      <w:r w:rsidRPr="00B349D5">
        <w:t>s</w:t>
      </w:r>
      <w:r w:rsidR="00047B0C" w:rsidRPr="00B349D5">
        <w:t xml:space="preserve"> in Initial Order 12</w:t>
      </w:r>
      <w:bookmarkEnd w:id="115"/>
      <w:r w:rsidR="00047B0C" w:rsidRPr="00B349D5">
        <w:t xml:space="preserve"> </w:t>
      </w:r>
      <w:r w:rsidRPr="00B349D5">
        <w:t xml:space="preserve">are </w:t>
      </w:r>
      <w:r w:rsidR="00047B0C" w:rsidRPr="00B349D5">
        <w:t>not the one</w:t>
      </w:r>
      <w:r w:rsidRPr="00B349D5">
        <w:t>s</w:t>
      </w:r>
      <w:r w:rsidR="00047B0C" w:rsidRPr="00B349D5">
        <w:t xml:space="preserve"> involving the highest dollar amount</w:t>
      </w:r>
      <w:r w:rsidR="0029063A" w:rsidRPr="00B349D5">
        <w:t>,</w:t>
      </w:r>
      <w:r w:rsidR="00047B0C" w:rsidRPr="00B349D5">
        <w:t xml:space="preserve"> but instead the one</w:t>
      </w:r>
      <w:r w:rsidR="004E257F" w:rsidRPr="00B349D5">
        <w:t>s</w:t>
      </w:r>
      <w:r w:rsidR="00047B0C" w:rsidRPr="00B349D5">
        <w:t xml:space="preserve"> most directed to sanction WCI.  </w:t>
      </w:r>
      <w:r w:rsidRPr="00B349D5">
        <w:t xml:space="preserve">Those are </w:t>
      </w:r>
      <w:r w:rsidR="00047B0C" w:rsidRPr="00B349D5">
        <w:t>Finding</w:t>
      </w:r>
      <w:r w:rsidR="0029063A" w:rsidRPr="00B349D5">
        <w:t>s</w:t>
      </w:r>
      <w:r w:rsidR="008A4B29" w:rsidRPr="00B349D5">
        <w:t>/Conclusion</w:t>
      </w:r>
      <w:r w:rsidR="0029063A" w:rsidRPr="00B349D5">
        <w:t>s</w:t>
      </w:r>
      <w:r w:rsidR="00047B0C" w:rsidRPr="00B349D5">
        <w:t xml:space="preserve"> </w:t>
      </w:r>
      <w:r w:rsidR="008A4B29" w:rsidRPr="00B349D5">
        <w:t>(</w:t>
      </w:r>
      <w:r w:rsidR="00047B0C" w:rsidRPr="00B349D5">
        <w:t>15</w:t>
      </w:r>
      <w:r w:rsidR="008A4B29" w:rsidRPr="00B349D5">
        <w:t>)</w:t>
      </w:r>
      <w:r w:rsidR="00047B0C" w:rsidRPr="00B349D5">
        <w:t xml:space="preserve"> and </w:t>
      </w:r>
      <w:r w:rsidR="008A4B29" w:rsidRPr="00B349D5">
        <w:t>(</w:t>
      </w:r>
      <w:r w:rsidR="00047B0C" w:rsidRPr="00B349D5">
        <w:t>17</w:t>
      </w:r>
      <w:r w:rsidR="008A4B29" w:rsidRPr="00B349D5">
        <w:t>)</w:t>
      </w:r>
      <w:r w:rsidR="0029063A" w:rsidRPr="00B349D5">
        <w:t xml:space="preserve"> and parallel order provision (5)</w:t>
      </w:r>
      <w:r w:rsidR="00047B0C" w:rsidRPr="00B349D5">
        <w:t xml:space="preserve">, </w:t>
      </w:r>
      <w:r w:rsidR="0029063A" w:rsidRPr="00B349D5">
        <w:t xml:space="preserve">all </w:t>
      </w:r>
      <w:r w:rsidR="00F7403B" w:rsidRPr="00B349D5">
        <w:t xml:space="preserve">of </w:t>
      </w:r>
      <w:r w:rsidR="00047B0C" w:rsidRPr="00B349D5">
        <w:t>which</w:t>
      </w:r>
      <w:r w:rsidR="00FA42A3" w:rsidRPr="00B349D5">
        <w:t xml:space="preserve"> seek to</w:t>
      </w:r>
      <w:r w:rsidR="00047B0C" w:rsidRPr="00B349D5">
        <w:t xml:space="preserve"> impose investigation costs of $43,818.82 on </w:t>
      </w:r>
      <w:r w:rsidR="009142C3" w:rsidRPr="00B349D5">
        <w:t>WCI</w:t>
      </w:r>
      <w:r w:rsidR="00047B0C" w:rsidRPr="00B349D5">
        <w:t xml:space="preserve">.  Since this suggestion was first formally floated in the Staff’s case filing of July 18, WCI has been </w:t>
      </w:r>
      <w:r w:rsidR="004E257F" w:rsidRPr="00B349D5">
        <w:t xml:space="preserve">completely perplexed </w:t>
      </w:r>
      <w:r w:rsidR="00047B0C" w:rsidRPr="00B349D5">
        <w:t xml:space="preserve">as to precisely why an investigation fee should be </w:t>
      </w:r>
      <w:r w:rsidR="009142C3" w:rsidRPr="00B349D5">
        <w:t>imposed</w:t>
      </w:r>
      <w:r w:rsidR="00047B0C" w:rsidRPr="00B349D5">
        <w:t>.  The Initial Order’s interpretation of the governing statute</w:t>
      </w:r>
      <w:r w:rsidRPr="00B349D5">
        <w:t>s</w:t>
      </w:r>
      <w:r w:rsidR="00047B0C" w:rsidRPr="00B349D5">
        <w:t xml:space="preserve">, the Commission’s </w:t>
      </w:r>
      <w:r w:rsidRPr="00B349D5">
        <w:t xml:space="preserve">alleged lack of </w:t>
      </w:r>
      <w:r w:rsidR="00047B0C" w:rsidRPr="00B349D5">
        <w:t>discretion in that regard, and an equivalent constructive notice</w:t>
      </w:r>
      <w:r w:rsidR="008A4B29" w:rsidRPr="00B349D5">
        <w:t>/</w:t>
      </w:r>
      <w:r w:rsidR="00047B0C" w:rsidRPr="00B349D5">
        <w:t xml:space="preserve">due process </w:t>
      </w:r>
      <w:r w:rsidR="008A4B29" w:rsidRPr="00B349D5">
        <w:t xml:space="preserve">and maximum fee calculation </w:t>
      </w:r>
      <w:r w:rsidR="00047B0C" w:rsidRPr="00B349D5">
        <w:t>finding</w:t>
      </w:r>
      <w:r w:rsidR="008A4B29" w:rsidRPr="00B349D5">
        <w:t>s</w:t>
      </w:r>
      <w:r w:rsidR="00047B0C" w:rsidRPr="00B349D5">
        <w:t xml:space="preserve"> are all in error</w:t>
      </w:r>
      <w:r w:rsidR="004E257F" w:rsidRPr="00B349D5">
        <w:t xml:space="preserve"> in </w:t>
      </w:r>
      <w:r w:rsidR="00EC09B0" w:rsidRPr="00B349D5">
        <w:t>WCI’s view</w:t>
      </w:r>
      <w:r w:rsidR="00047B0C" w:rsidRPr="00B349D5">
        <w:t>.  Further, public policy does not support the award of an investigation fee here.</w:t>
      </w:r>
    </w:p>
    <w:p w:rsidR="00047B0C" w:rsidRPr="00B349D5" w:rsidRDefault="00047B0C" w:rsidP="00AC1270">
      <w:pPr>
        <w:pStyle w:val="BodyText2"/>
        <w:numPr>
          <w:ilvl w:val="0"/>
          <w:numId w:val="35"/>
        </w:numPr>
        <w:spacing w:before="120" w:after="120"/>
        <w:ind w:hanging="720"/>
      </w:pPr>
      <w:r w:rsidRPr="00B349D5">
        <w:t xml:space="preserve">The Initial Order accurately quotes </w:t>
      </w:r>
      <w:r w:rsidR="00B349D5" w:rsidRPr="00B349D5">
        <w:fldChar w:fldCharType="begin"/>
      </w:r>
      <w:r w:rsidR="00B349D5" w:rsidRPr="00B349D5">
        <w:instrText xml:space="preserve"> ADDIN BA \xc &lt;@$st&gt; \xl 13 \s ECSSJP000016 </w:instrText>
      </w:r>
      <w:r w:rsidR="00B349D5" w:rsidRPr="00B349D5">
        <w:fldChar w:fldCharType="end"/>
      </w:r>
      <w:bookmarkStart w:id="116" w:name="_BA_Cite_213"/>
      <w:r w:rsidRPr="00B349D5">
        <w:t>RCW 81.20.020</w:t>
      </w:r>
      <w:bookmarkEnd w:id="116"/>
      <w:r w:rsidRPr="00B349D5">
        <w:t xml:space="preserve">, which provides that the Commission shall assess the costs of an investigation against a public service company in an amount not greater than one percent of the company’s gross operating revenues from the prior year.  Interestingly, though, the administrative law judge overlooks </w:t>
      </w:r>
      <w:r w:rsidR="00B349D5" w:rsidRPr="00B349D5">
        <w:fldChar w:fldCharType="begin"/>
      </w:r>
      <w:r w:rsidR="00B349D5" w:rsidRPr="00B349D5">
        <w:instrText xml:space="preserve"> ADDIN BA \xc &lt;@st&gt; \xl 21 \s ECSSJP000038 \l "RCW 81.20.020’s Title" </w:instrText>
      </w:r>
      <w:r w:rsidR="00B349D5" w:rsidRPr="00B349D5">
        <w:fldChar w:fldCharType="end"/>
      </w:r>
      <w:bookmarkStart w:id="117" w:name="_BA_Cite_214"/>
      <w:r w:rsidRPr="00B349D5">
        <w:t xml:space="preserve">RCW </w:t>
      </w:r>
      <w:proofErr w:type="spellStart"/>
      <w:r w:rsidRPr="00B349D5">
        <w:t>81.20.020’s</w:t>
      </w:r>
      <w:proofErr w:type="spellEnd"/>
      <w:r w:rsidRPr="00B349D5">
        <w:t xml:space="preserve"> title</w:t>
      </w:r>
      <w:bookmarkEnd w:id="117"/>
      <w:r w:rsidRPr="00B349D5">
        <w:t xml:space="preserve">, which states:  “Cost of investigation </w:t>
      </w:r>
      <w:r w:rsidRPr="00B349D5">
        <w:rPr>
          <w:b/>
        </w:rPr>
        <w:t>may</w:t>
      </w:r>
      <w:r w:rsidRPr="00B349D5">
        <w:t xml:space="preserve"> be assessed against company.” [Emphasis added].  </w:t>
      </w:r>
    </w:p>
    <w:p w:rsidR="00047B0C" w:rsidRPr="00B349D5" w:rsidRDefault="00047B0C" w:rsidP="00AC1270">
      <w:pPr>
        <w:pStyle w:val="BodyText2"/>
        <w:numPr>
          <w:ilvl w:val="0"/>
          <w:numId w:val="35"/>
        </w:numPr>
        <w:spacing w:before="120" w:after="120"/>
        <w:ind w:hanging="720"/>
      </w:pPr>
      <w:r w:rsidRPr="00B349D5">
        <w:lastRenderedPageBreak/>
        <w:t xml:space="preserve">Because the statute and its title are in conflict as to whether investigation fees must be imposed on a company, the statute is subject to more than one reasonable interpretation.  As a result, the statute is ambiguous, and the </w:t>
      </w:r>
      <w:r w:rsidR="008A4B29" w:rsidRPr="00B349D5">
        <w:t xml:space="preserve">Commission </w:t>
      </w:r>
      <w:r w:rsidRPr="00B349D5">
        <w:t>may use principles of statutory construction, legislative history, policy preferences, and rel</w:t>
      </w:r>
      <w:r w:rsidR="009142C3" w:rsidRPr="00B349D5">
        <w:t>evant case law to interpret it.</w:t>
      </w:r>
      <w:r w:rsidR="009142C3" w:rsidRPr="00B349D5">
        <w:rPr>
          <w:rStyle w:val="FootnoteReference"/>
        </w:rPr>
        <w:footnoteReference w:id="54"/>
      </w:r>
      <w:r w:rsidRPr="00B349D5">
        <w:t xml:space="preserve">  Additionally, the title of </w:t>
      </w:r>
      <w:r w:rsidR="00B558D3">
        <w:t>the</w:t>
      </w:r>
      <w:r w:rsidRPr="00B349D5">
        <w:t xml:space="preserve"> act may properly be referred to in a</w:t>
      </w:r>
      <w:r w:rsidR="009142C3" w:rsidRPr="00B349D5">
        <w:t>scertaining legislative intent.</w:t>
      </w:r>
      <w:r w:rsidR="009142C3" w:rsidRPr="00B349D5">
        <w:rPr>
          <w:rStyle w:val="FootnoteReference"/>
        </w:rPr>
        <w:footnoteReference w:id="55"/>
      </w:r>
    </w:p>
    <w:p w:rsidR="00047B0C" w:rsidRPr="00B349D5" w:rsidRDefault="00047B0C" w:rsidP="00AC1270">
      <w:pPr>
        <w:pStyle w:val="BodyText2"/>
        <w:numPr>
          <w:ilvl w:val="0"/>
          <w:numId w:val="35"/>
        </w:numPr>
        <w:spacing w:before="120" w:after="120"/>
        <w:ind w:hanging="720"/>
        <w:rPr>
          <w:u w:val="single"/>
        </w:rPr>
      </w:pPr>
      <w:r w:rsidRPr="00B349D5">
        <w:rPr>
          <w:u w:val="single"/>
        </w:rPr>
        <w:t>Statutory Construction</w:t>
      </w:r>
      <w:r w:rsidR="0029063A" w:rsidRPr="00B349D5">
        <w:rPr>
          <w:u w:val="single"/>
        </w:rPr>
        <w:t xml:space="preserve"> Analysis</w:t>
      </w:r>
    </w:p>
    <w:p w:rsidR="00047B0C" w:rsidRPr="00B349D5" w:rsidRDefault="00B349D5" w:rsidP="00047B0C">
      <w:pPr>
        <w:pStyle w:val="Heading2"/>
        <w:numPr>
          <w:ilvl w:val="0"/>
          <w:numId w:val="0"/>
        </w:numPr>
        <w:spacing w:after="0"/>
      </w:pPr>
      <w:r w:rsidRPr="00B349D5">
        <w:fldChar w:fldCharType="begin"/>
      </w:r>
      <w:r w:rsidRPr="00B349D5">
        <w:instrText xml:space="preserve"> ADDIN BA \xc &lt;@$st&gt; \xl 13 \s ECSSJP000016 </w:instrText>
      </w:r>
      <w:r w:rsidRPr="00B349D5">
        <w:fldChar w:fldCharType="end"/>
      </w:r>
      <w:r w:rsidR="00047B0C" w:rsidRPr="00B349D5">
        <w:t>RCW 81.20.020 provides:</w:t>
      </w:r>
    </w:p>
    <w:p w:rsidR="00047B0C" w:rsidRPr="00B349D5" w:rsidRDefault="00047B0C" w:rsidP="00047B0C">
      <w:pPr>
        <w:pStyle w:val="Quote"/>
      </w:pPr>
      <w:r w:rsidRPr="00B349D5">
        <w:t>[w]</w:t>
      </w:r>
      <w:proofErr w:type="spellStart"/>
      <w:r w:rsidRPr="00B349D5">
        <w:t>henever</w:t>
      </w:r>
      <w:proofErr w:type="spellEnd"/>
      <w:r w:rsidRPr="00B349D5">
        <w:t xml:space="preserve"> the commission…shall deem it necessary…to investigate the books, accounts, practices and activities…of any public service company…such public service company shall pay the expenses reasonably attributable and allocable to such investigation.</w:t>
      </w:r>
    </w:p>
    <w:p w:rsidR="00047B0C" w:rsidRPr="00B349D5" w:rsidRDefault="00047B0C" w:rsidP="002C3692">
      <w:pPr>
        <w:pStyle w:val="Heading2"/>
        <w:keepNext w:val="0"/>
        <w:numPr>
          <w:ilvl w:val="0"/>
          <w:numId w:val="0"/>
        </w:numPr>
        <w:spacing w:after="240"/>
        <w:rPr>
          <w:u w:val="single"/>
        </w:rPr>
      </w:pPr>
      <w:r w:rsidRPr="00B349D5">
        <w:t>A</w:t>
      </w:r>
      <w:bookmarkStart w:id="120" w:name="SWTOCUpdateStartHere"/>
      <w:bookmarkEnd w:id="120"/>
      <w:r w:rsidRPr="00B349D5">
        <w:t xml:space="preserve">lthough “shall” generally means imperative, this is not </w:t>
      </w:r>
      <w:r w:rsidR="00B558D3">
        <w:t xml:space="preserve">necessarily always </w:t>
      </w:r>
      <w:r w:rsidRPr="00B349D5">
        <w:t>true if a contrary legislative intent is shown.</w:t>
      </w:r>
      <w:r w:rsidR="009142C3" w:rsidRPr="00B349D5">
        <w:rPr>
          <w:rStyle w:val="FootnoteReference"/>
        </w:rPr>
        <w:footnoteReference w:id="56"/>
      </w:r>
      <w:r w:rsidRPr="00B349D5">
        <w:t xml:space="preserve">  Because the legislative intent, as evidenced by the legislative history, </w:t>
      </w:r>
      <w:r w:rsidR="0029063A" w:rsidRPr="00B349D5">
        <w:t>is</w:t>
      </w:r>
      <w:r w:rsidR="00A84EB7" w:rsidRPr="00B349D5">
        <w:t xml:space="preserve"> in part directed</w:t>
      </w:r>
      <w:r w:rsidR="0029063A" w:rsidRPr="00B349D5">
        <w:t xml:space="preserve"> </w:t>
      </w:r>
      <w:r w:rsidRPr="00B349D5">
        <w:t xml:space="preserve">to </w:t>
      </w:r>
      <w:r w:rsidR="0029063A" w:rsidRPr="00B349D5">
        <w:t xml:space="preserve">mitigate the effects </w:t>
      </w:r>
      <w:r w:rsidR="00A84EB7" w:rsidRPr="00B349D5">
        <w:t xml:space="preserve">of the fee provision </w:t>
      </w:r>
      <w:r w:rsidR="0029063A" w:rsidRPr="00B349D5">
        <w:t xml:space="preserve">upon </w:t>
      </w:r>
      <w:r w:rsidR="00E96FF8" w:rsidRPr="00B349D5">
        <w:t>public service</w:t>
      </w:r>
      <w:r w:rsidRPr="00B349D5">
        <w:t xml:space="preserve"> companies, the Commission should find </w:t>
      </w:r>
      <w:r w:rsidR="0029063A" w:rsidRPr="00B349D5">
        <w:t xml:space="preserve">here </w:t>
      </w:r>
      <w:r w:rsidRPr="00B349D5">
        <w:t>that the imposition of costs is discretionary</w:t>
      </w:r>
      <w:r w:rsidR="00EC09B0" w:rsidRPr="00B349D5">
        <w:t xml:space="preserve"> to it</w:t>
      </w:r>
      <w:r w:rsidRPr="00B349D5">
        <w:t xml:space="preserve">. </w:t>
      </w:r>
    </w:p>
    <w:p w:rsidR="00047B0C" w:rsidRPr="00B349D5" w:rsidRDefault="00047B0C" w:rsidP="00AC1270">
      <w:pPr>
        <w:pStyle w:val="BodyText2"/>
        <w:numPr>
          <w:ilvl w:val="0"/>
          <w:numId w:val="35"/>
        </w:numPr>
        <w:spacing w:before="120" w:after="120"/>
        <w:ind w:hanging="720"/>
        <w:rPr>
          <w:u w:val="single"/>
        </w:rPr>
      </w:pPr>
      <w:r w:rsidRPr="00B349D5">
        <w:rPr>
          <w:u w:val="single"/>
        </w:rPr>
        <w:t>Legislative History</w:t>
      </w:r>
    </w:p>
    <w:p w:rsidR="00047B0C" w:rsidRPr="00B349D5" w:rsidRDefault="00B349D5" w:rsidP="00856537">
      <w:pPr>
        <w:pStyle w:val="Heading2"/>
        <w:keepNext w:val="0"/>
        <w:numPr>
          <w:ilvl w:val="0"/>
          <w:numId w:val="0"/>
        </w:numPr>
      </w:pPr>
      <w:r w:rsidRPr="00B349D5">
        <w:fldChar w:fldCharType="begin"/>
      </w:r>
      <w:r w:rsidRPr="00B349D5">
        <w:instrText xml:space="preserve"> ADDIN BA \xc &lt;@$st&gt; \xl 13 \s ECSSJP000016 </w:instrText>
      </w:r>
      <w:r w:rsidRPr="00B349D5">
        <w:fldChar w:fldCharType="end"/>
      </w:r>
      <w:r w:rsidR="00047B0C" w:rsidRPr="00B349D5">
        <w:t>RCW 81.20.020 has been revised several times. Prior to 1933, the statute allowed the Commission’s predecesso</w:t>
      </w:r>
      <w:r w:rsidR="0029063A" w:rsidRPr="00B349D5">
        <w:t xml:space="preserve">r to conduct investigations of </w:t>
      </w:r>
      <w:r w:rsidR="00047B0C" w:rsidRPr="00B349D5">
        <w:t>public utilities but provided that the cost would be borne by the taxpayers.</w:t>
      </w:r>
      <w:r w:rsidR="009142C3" w:rsidRPr="00B349D5">
        <w:rPr>
          <w:rStyle w:val="FootnoteReference"/>
        </w:rPr>
        <w:footnoteReference w:id="57"/>
      </w:r>
      <w:r w:rsidR="00047B0C" w:rsidRPr="00B349D5">
        <w:t xml:space="preserve"> In 1933</w:t>
      </w:r>
      <w:r w:rsidR="0029063A" w:rsidRPr="00B349D5">
        <w:t>, at the height of the Depression,</w:t>
      </w:r>
      <w:r w:rsidR="00047B0C" w:rsidRPr="00B349D5">
        <w:t xml:space="preserve"> the Legislature amended the statute to shift the investigation costs onto public </w:t>
      </w:r>
      <w:r w:rsidR="00A84EB7" w:rsidRPr="00B349D5">
        <w:t xml:space="preserve">service </w:t>
      </w:r>
      <w:r w:rsidR="00047B0C" w:rsidRPr="00B349D5">
        <w:t xml:space="preserve">companies. </w:t>
      </w:r>
      <w:r w:rsidRPr="00B349D5">
        <w:fldChar w:fldCharType="begin"/>
      </w:r>
      <w:r w:rsidRPr="00B349D5">
        <w:instrText xml:space="preserve"> ADDIN BA \xc &lt;@$id&gt; \xecn &lt;@$st&gt; \xl 13 \s ECSSJP000016 \xhfl Rep </w:instrText>
      </w:r>
      <w:r w:rsidRPr="00B349D5">
        <w:fldChar w:fldCharType="end"/>
      </w:r>
      <w:r w:rsidR="00047B0C" w:rsidRPr="00B349D5">
        <w:rPr>
          <w:i/>
        </w:rPr>
        <w:t>Id</w:t>
      </w:r>
      <w:r w:rsidR="00047B0C" w:rsidRPr="00B349D5">
        <w:t>. at 185-86. The Washington Supreme Court, however</w:t>
      </w:r>
      <w:r w:rsidR="00EC09B0" w:rsidRPr="00B349D5">
        <w:t>,</w:t>
      </w:r>
      <w:r w:rsidR="008A4B29" w:rsidRPr="00B349D5">
        <w:t xml:space="preserve"> on review</w:t>
      </w:r>
      <w:r w:rsidR="00047B0C" w:rsidRPr="00B349D5">
        <w:t xml:space="preserve">, held that the act as written was unconstitutional because it authorized the department to charge public utility companies for </w:t>
      </w:r>
      <w:r w:rsidR="00047B0C" w:rsidRPr="00B349D5">
        <w:lastRenderedPageBreak/>
        <w:t>investigation costs without any limiting factor.</w:t>
      </w:r>
      <w:r w:rsidR="009142C3" w:rsidRPr="00B349D5">
        <w:rPr>
          <w:rStyle w:val="FootnoteReference"/>
        </w:rPr>
        <w:footnoteReference w:id="58"/>
      </w:r>
      <w:r w:rsidR="00047B0C" w:rsidRPr="00B349D5">
        <w:t xml:space="preserve"> Moreover, it left utility companies subject to favoritism or discrimination.</w:t>
      </w:r>
      <w:r w:rsidR="00C706E6" w:rsidRPr="00B349D5">
        <w:rPr>
          <w:rStyle w:val="FootnoteReference"/>
        </w:rPr>
        <w:footnoteReference w:id="59"/>
      </w:r>
      <w:r w:rsidR="00047B0C" w:rsidRPr="00B349D5">
        <w:t xml:space="preserve"> </w:t>
      </w:r>
    </w:p>
    <w:p w:rsidR="00047B0C" w:rsidRPr="00B349D5" w:rsidRDefault="00047B0C" w:rsidP="00AC1270">
      <w:pPr>
        <w:pStyle w:val="BodyText2"/>
        <w:numPr>
          <w:ilvl w:val="0"/>
          <w:numId w:val="35"/>
        </w:numPr>
        <w:spacing w:before="120" w:after="120"/>
        <w:ind w:hanging="720"/>
      </w:pPr>
      <w:r w:rsidRPr="00B349D5">
        <w:t>In 1969, the Legislature</w:t>
      </w:r>
      <w:r w:rsidR="0029063A" w:rsidRPr="00B349D5">
        <w:t xml:space="preserve"> finally</w:t>
      </w:r>
      <w:r w:rsidRPr="00B349D5">
        <w:t xml:space="preserve"> amended the statute to include a limitation. The amended statute provides:</w:t>
      </w:r>
    </w:p>
    <w:p w:rsidR="00047B0C" w:rsidRPr="00B349D5" w:rsidRDefault="00047B0C" w:rsidP="00047B0C">
      <w:pPr>
        <w:pStyle w:val="Quote"/>
      </w:pPr>
      <w:r w:rsidRPr="00B349D5">
        <w:t>the total amount which any public service company shall be required to pay under the provisions of this section in any calendar year shall not exceed one percent of the gross operating revenues derived by such public service company from its intrastate operations during the last preceding calendar year.</w:t>
      </w:r>
    </w:p>
    <w:p w:rsidR="00047B0C" w:rsidRPr="00B349D5" w:rsidRDefault="00047B0C" w:rsidP="00FC2903">
      <w:pPr>
        <w:pStyle w:val="Heading2"/>
        <w:keepNext w:val="0"/>
        <w:numPr>
          <w:ilvl w:val="0"/>
          <w:numId w:val="0"/>
        </w:numPr>
      </w:pPr>
      <w:r w:rsidRPr="00B349D5">
        <w:t xml:space="preserve">This amendment suggests that the Legislature’s further </w:t>
      </w:r>
      <w:r w:rsidR="008A4B29" w:rsidRPr="00B349D5">
        <w:t xml:space="preserve">intent was to mitigate </w:t>
      </w:r>
      <w:r w:rsidR="0029063A" w:rsidRPr="00B349D5">
        <w:t xml:space="preserve">any </w:t>
      </w:r>
      <w:r w:rsidRPr="00B349D5">
        <w:t>discriminatory impo</w:t>
      </w:r>
      <w:r w:rsidR="00EC09B0" w:rsidRPr="00B349D5">
        <w:t>sition of investigation costs for public utility companies.</w:t>
      </w:r>
    </w:p>
    <w:p w:rsidR="00047B0C" w:rsidRPr="00B349D5" w:rsidRDefault="00047B0C" w:rsidP="00AC1270">
      <w:pPr>
        <w:pStyle w:val="BodyText2"/>
        <w:numPr>
          <w:ilvl w:val="0"/>
          <w:numId w:val="35"/>
        </w:numPr>
        <w:spacing w:before="120" w:after="120"/>
        <w:ind w:hanging="720"/>
      </w:pPr>
      <w:r w:rsidRPr="00B349D5">
        <w:t>Moreover, statutes relating to recoupment of money spent for investigation, valuation, appraisal or services connected with public service corporation</w:t>
      </w:r>
      <w:r w:rsidR="008A4B29" w:rsidRPr="00B349D5">
        <w:t>s</w:t>
      </w:r>
      <w:r w:rsidRPr="00B349D5">
        <w:t xml:space="preserve"> are taxing statutes.</w:t>
      </w:r>
      <w:r w:rsidR="00C706E6" w:rsidRPr="00B349D5">
        <w:rPr>
          <w:rStyle w:val="FootnoteReference"/>
        </w:rPr>
        <w:footnoteReference w:id="60"/>
      </w:r>
      <w:r w:rsidRPr="00B349D5">
        <w:t xml:space="preserve"> Such statutes are strictly construed against the state and in favor of the corporation.</w:t>
      </w:r>
      <w:r w:rsidR="00C706E6" w:rsidRPr="00B349D5">
        <w:rPr>
          <w:rStyle w:val="FootnoteReference"/>
        </w:rPr>
        <w:footnoteReference w:id="61"/>
      </w:r>
      <w:r w:rsidRPr="00B349D5">
        <w:t xml:space="preserve"> Because the current version of </w:t>
      </w:r>
      <w:r w:rsidR="00B349D5" w:rsidRPr="00B349D5">
        <w:fldChar w:fldCharType="begin"/>
      </w:r>
      <w:r w:rsidR="00B349D5" w:rsidRPr="00B349D5">
        <w:instrText xml:space="preserve"> ADDIN BA \xc &lt;@$st&gt; \xl 13 \s ECSSJP000016 </w:instrText>
      </w:r>
      <w:r w:rsidR="00B349D5" w:rsidRPr="00B349D5">
        <w:fldChar w:fldCharType="end"/>
      </w:r>
      <w:r w:rsidRPr="00B349D5">
        <w:t xml:space="preserve">RCW 81.20.020 was enacted to better protect utility companies, and because the statute is ambiguous as to whether investigative fees are mandatory, that ambiguity should be construed in favor of WCI, and investigation fees should not be </w:t>
      </w:r>
      <w:r w:rsidR="0029063A" w:rsidRPr="00B349D5">
        <w:t xml:space="preserve">here </w:t>
      </w:r>
      <w:r w:rsidRPr="00B349D5">
        <w:t xml:space="preserve">imposed. </w:t>
      </w:r>
    </w:p>
    <w:p w:rsidR="00047B0C" w:rsidRPr="00B349D5" w:rsidRDefault="00047B0C" w:rsidP="00AC1270">
      <w:pPr>
        <w:pStyle w:val="BodyText2"/>
        <w:numPr>
          <w:ilvl w:val="0"/>
          <w:numId w:val="35"/>
        </w:numPr>
        <w:spacing w:before="120" w:after="120"/>
        <w:ind w:hanging="720"/>
        <w:rPr>
          <w:u w:val="single"/>
        </w:rPr>
      </w:pPr>
      <w:r w:rsidRPr="00B349D5">
        <w:rPr>
          <w:u w:val="single"/>
        </w:rPr>
        <w:t>Selective Enforcement</w:t>
      </w:r>
    </w:p>
    <w:p w:rsidR="00047B0C" w:rsidRPr="00B349D5" w:rsidRDefault="00047B0C" w:rsidP="00AC1270">
      <w:pPr>
        <w:pStyle w:val="Heading2"/>
        <w:keepNext w:val="0"/>
        <w:numPr>
          <w:ilvl w:val="0"/>
          <w:numId w:val="0"/>
        </w:numPr>
      </w:pPr>
      <w:r w:rsidRPr="00B349D5">
        <w:t xml:space="preserve">Additionally, </w:t>
      </w:r>
      <w:r w:rsidR="008A4B29" w:rsidRPr="00B349D5">
        <w:t xml:space="preserve">to the parties’ knowledge, </w:t>
      </w:r>
      <w:r w:rsidRPr="00B349D5">
        <w:t xml:space="preserve">the Commission has never enforced the investigation fee cost provision of </w:t>
      </w:r>
      <w:r w:rsidR="00B349D5" w:rsidRPr="00B349D5">
        <w:fldChar w:fldCharType="begin"/>
      </w:r>
      <w:r w:rsidR="00B349D5" w:rsidRPr="00B349D5">
        <w:instrText xml:space="preserve"> ADDIN BA \xc &lt;@$st&gt; \xl 13 \s ECSSJP000016 </w:instrText>
      </w:r>
      <w:r w:rsidR="00B349D5" w:rsidRPr="00B349D5">
        <w:fldChar w:fldCharType="end"/>
      </w:r>
      <w:r w:rsidRPr="00B349D5">
        <w:t xml:space="preserve">RCW 81.20.020 against a solid waste collection company general rate case proponent which the administrative law judge now </w:t>
      </w:r>
      <w:r w:rsidR="009B70F3" w:rsidRPr="00B349D5">
        <w:t xml:space="preserve">announces </w:t>
      </w:r>
      <w:r w:rsidR="00EC09B0" w:rsidRPr="00B349D5">
        <w:t xml:space="preserve">as </w:t>
      </w:r>
      <w:r w:rsidRPr="00B349D5">
        <w:t>mandatory.</w:t>
      </w:r>
      <w:r w:rsidR="0029063A" w:rsidRPr="00B349D5">
        <w:rPr>
          <w:rStyle w:val="FootnoteReference"/>
        </w:rPr>
        <w:footnoteReference w:id="62"/>
      </w:r>
      <w:r w:rsidRPr="00B349D5">
        <w:t xml:space="preserve">  Indeed, the Staff </w:t>
      </w:r>
      <w:r w:rsidRPr="00B349D5">
        <w:lastRenderedPageBreak/>
        <w:t>admits that it does not recall an instance where an investigation fee was actually imposed on a solid waste company</w:t>
      </w:r>
      <w:r w:rsidR="00991E1E" w:rsidRPr="00B349D5">
        <w:t>, nor any occasion where the Staff actually even advocated for imposing the fee.</w:t>
      </w:r>
      <w:r w:rsidR="00991E1E" w:rsidRPr="00B349D5">
        <w:rPr>
          <w:rStyle w:val="FootnoteReference"/>
        </w:rPr>
        <w:footnoteReference w:id="63"/>
      </w:r>
      <w:r w:rsidRPr="00B349D5">
        <w:t xml:space="preserve">  Although investigation fees have </w:t>
      </w:r>
      <w:r w:rsidR="00F71208" w:rsidRPr="00B349D5">
        <w:t xml:space="preserve">not </w:t>
      </w:r>
      <w:r w:rsidRPr="00B349D5">
        <w:t>been assessed</w:t>
      </w:r>
      <w:r w:rsidR="00C706E6" w:rsidRPr="00B349D5">
        <w:t xml:space="preserve"> in the past</w:t>
      </w:r>
      <w:r w:rsidRPr="00B349D5">
        <w:t>, in a typical proceeding, the company is notified that it may or will be “assessed investigation fees” for the rate case audit investigation.</w:t>
      </w:r>
      <w:r w:rsidR="009B70F3" w:rsidRPr="00B349D5">
        <w:rPr>
          <w:rStyle w:val="FootnoteReference"/>
        </w:rPr>
        <w:footnoteReference w:id="64"/>
      </w:r>
      <w:r w:rsidRPr="00B349D5">
        <w:t xml:space="preserve">  Here, the Commission did not include any routine admonition of possible investigation costs.</w:t>
      </w:r>
      <w:r w:rsidR="00C706E6" w:rsidRPr="00B349D5">
        <w:rPr>
          <w:rStyle w:val="FootnoteReference"/>
        </w:rPr>
        <w:footnoteReference w:id="65"/>
      </w:r>
      <w:r w:rsidRPr="00B349D5">
        <w:t xml:space="preserve">  </w:t>
      </w:r>
      <w:r w:rsidR="00F71208" w:rsidRPr="00B349D5">
        <w:t>While the I</w:t>
      </w:r>
      <w:r w:rsidR="00EC09B0" w:rsidRPr="00B349D5">
        <w:t>nitial Order reaches to find</w:t>
      </w:r>
      <w:r w:rsidR="00F71208" w:rsidRPr="00B349D5">
        <w:t xml:space="preserve"> “constructive notice</w:t>
      </w:r>
      <w:r w:rsidR="009B70F3" w:rsidRPr="00B349D5">
        <w:t>”</w:t>
      </w:r>
      <w:r w:rsidR="00F71208" w:rsidRPr="00B349D5">
        <w:t xml:space="preserve"> here by virtue of the fact that the </w:t>
      </w:r>
      <w:r w:rsidR="00F71208" w:rsidRPr="00B349D5">
        <w:rPr>
          <w:i/>
        </w:rPr>
        <w:t xml:space="preserve">Staff </w:t>
      </w:r>
      <w:r w:rsidR="00F71208" w:rsidRPr="00B349D5">
        <w:t>raised it in its testimony and because the topic was a conteste</w:t>
      </w:r>
      <w:r w:rsidR="009B70F3" w:rsidRPr="00B349D5">
        <w:t xml:space="preserve">d issue at the March 11 hearing, this </w:t>
      </w:r>
      <w:r w:rsidR="00F71208" w:rsidRPr="00B349D5">
        <w:t>hardly suffice</w:t>
      </w:r>
      <w:r w:rsidR="009B70F3" w:rsidRPr="00B349D5">
        <w:t>s</w:t>
      </w:r>
      <w:r w:rsidR="00F71208" w:rsidRPr="00B349D5">
        <w:t xml:space="preserve"> as formal notice from the </w:t>
      </w:r>
      <w:r w:rsidR="00F71208" w:rsidRPr="00B349D5">
        <w:rPr>
          <w:i/>
        </w:rPr>
        <w:t xml:space="preserve"> Commission </w:t>
      </w:r>
      <w:r w:rsidR="00F71208" w:rsidRPr="00B349D5">
        <w:t xml:space="preserve">that the fee would be imposed.  </w:t>
      </w:r>
      <w:r w:rsidRPr="00B349D5">
        <w:t xml:space="preserve">The fact that Staff cannot recall an instance where </w:t>
      </w:r>
      <w:r w:rsidR="009B70F3" w:rsidRPr="00B349D5">
        <w:t xml:space="preserve">investigation </w:t>
      </w:r>
      <w:r w:rsidRPr="00B349D5">
        <w:t xml:space="preserve">fees were assessed </w:t>
      </w:r>
      <w:r w:rsidR="009B70F3" w:rsidRPr="00B349D5">
        <w:t>on a solid wa</w:t>
      </w:r>
      <w:r w:rsidR="00C706E6" w:rsidRPr="00B349D5">
        <w:t>ste general rate case proponent</w:t>
      </w:r>
      <w:r w:rsidR="009B70F3" w:rsidRPr="00B349D5">
        <w:t xml:space="preserve"> </w:t>
      </w:r>
      <w:r w:rsidR="009B70F3" w:rsidRPr="00B349D5">
        <w:rPr>
          <w:rStyle w:val="FootnoteReference"/>
        </w:rPr>
        <w:footnoteReference w:id="66"/>
      </w:r>
      <w:r w:rsidRPr="00B349D5">
        <w:t>combined with the lack of actual notice to WCI that fees might be assessed further suggest that the imposition of investigation fees is permissive, not mandatory.</w:t>
      </w:r>
    </w:p>
    <w:p w:rsidR="00047B0C" w:rsidRPr="00B349D5" w:rsidRDefault="00047B0C" w:rsidP="00EC09B0">
      <w:pPr>
        <w:pStyle w:val="BodyText2"/>
        <w:numPr>
          <w:ilvl w:val="0"/>
          <w:numId w:val="35"/>
        </w:numPr>
        <w:spacing w:after="240" w:line="240" w:lineRule="auto"/>
        <w:ind w:hanging="720"/>
      </w:pPr>
      <w:r w:rsidRPr="00B349D5">
        <w:rPr>
          <w:u w:val="single"/>
        </w:rPr>
        <w:t>Even if the Commission finds that the imposition of investigation costs is mandatory, it is not required</w:t>
      </w:r>
      <w:r w:rsidR="008A4B29" w:rsidRPr="00B349D5">
        <w:rPr>
          <w:u w:val="single"/>
        </w:rPr>
        <w:t xml:space="preserve"> nor is it mandatory</w:t>
      </w:r>
      <w:r w:rsidRPr="00B349D5">
        <w:rPr>
          <w:u w:val="single"/>
        </w:rPr>
        <w:t xml:space="preserve"> to impose the maximum dollar amount</w:t>
      </w:r>
      <w:r w:rsidR="008A4B29" w:rsidRPr="00B349D5">
        <w:rPr>
          <w:u w:val="single"/>
        </w:rPr>
        <w:t xml:space="preserve"> of the investigation fee</w:t>
      </w:r>
      <w:r w:rsidRPr="00B349D5">
        <w:t xml:space="preserve">. </w:t>
      </w:r>
    </w:p>
    <w:p w:rsidR="00047B0C" w:rsidRPr="00B349D5" w:rsidRDefault="00047B0C" w:rsidP="00047B0C">
      <w:pPr>
        <w:pStyle w:val="Heading2"/>
        <w:numPr>
          <w:ilvl w:val="0"/>
          <w:numId w:val="0"/>
        </w:numPr>
      </w:pPr>
      <w:r w:rsidRPr="00B349D5">
        <w:t>Assuming,</w:t>
      </w:r>
      <w:r w:rsidRPr="00B349D5">
        <w:rPr>
          <w:i/>
        </w:rPr>
        <w:t xml:space="preserve"> arguendo</w:t>
      </w:r>
      <w:r w:rsidRPr="00B349D5">
        <w:t>, that the imposition of investigation costs is mandatory, the Commission is nevertheless not required to impose the full $43,818</w:t>
      </w:r>
      <w:r w:rsidR="00F71208" w:rsidRPr="00B349D5">
        <w:t xml:space="preserve"> amount</w:t>
      </w:r>
      <w:r w:rsidRPr="00B349D5">
        <w:t xml:space="preserve"> </w:t>
      </w:r>
      <w:r w:rsidR="00F71208" w:rsidRPr="00B349D5">
        <w:t xml:space="preserve">in investigation </w:t>
      </w:r>
      <w:r w:rsidRPr="00B349D5">
        <w:t xml:space="preserve">fees. The statute clearly provides that “the total amount which any public service company shall be required to pay under the provisions of this section in any calendar year </w:t>
      </w:r>
      <w:r w:rsidRPr="00B349D5">
        <w:rPr>
          <w:u w:val="single"/>
        </w:rPr>
        <w:t>shall not exceed</w:t>
      </w:r>
      <w:r w:rsidRPr="00B349D5">
        <w:t xml:space="preserve"> one percent of the </w:t>
      </w:r>
      <w:r w:rsidRPr="00B349D5">
        <w:lastRenderedPageBreak/>
        <w:t>[company’s] gross operating revenues.”</w:t>
      </w:r>
      <w:r w:rsidR="00EC09B0" w:rsidRPr="00B349D5">
        <w:t xml:space="preserve"> </w:t>
      </w:r>
      <w:r w:rsidRPr="00B349D5">
        <w:t xml:space="preserve"> </w:t>
      </w:r>
      <w:r w:rsidR="00B349D5" w:rsidRPr="00B349D5">
        <w:fldChar w:fldCharType="begin"/>
      </w:r>
      <w:r w:rsidR="00B349D5" w:rsidRPr="00B349D5">
        <w:instrText xml:space="preserve"> ADDIN BA \xc &lt;@$st&gt; \xl 13 \s ECSSJP000016 </w:instrText>
      </w:r>
      <w:r w:rsidR="00B349D5" w:rsidRPr="00B349D5">
        <w:fldChar w:fldCharType="end"/>
      </w:r>
      <w:r w:rsidRPr="00B349D5">
        <w:t xml:space="preserve">RCW 81.20.020 (emphasis added).  </w:t>
      </w:r>
      <w:r w:rsidR="008A4B29" w:rsidRPr="00B349D5">
        <w:t>U</w:t>
      </w:r>
      <w:r w:rsidRPr="00B349D5">
        <w:t xml:space="preserve">nder the statute, the Commission may not impose a fee greater than one percent of the Company’s gross </w:t>
      </w:r>
      <w:r w:rsidR="003F0D26" w:rsidRPr="00B349D5">
        <w:t xml:space="preserve">annual </w:t>
      </w:r>
      <w:r w:rsidRPr="00B349D5">
        <w:t xml:space="preserve">operating revenues.  The statute however, does not require the Commission to impose a one percent fee.  </w:t>
      </w:r>
    </w:p>
    <w:p w:rsidR="00047B0C" w:rsidRPr="00B349D5" w:rsidRDefault="00047B0C" w:rsidP="00AC1270">
      <w:pPr>
        <w:pStyle w:val="BodyText2"/>
        <w:numPr>
          <w:ilvl w:val="0"/>
          <w:numId w:val="35"/>
        </w:numPr>
        <w:spacing w:before="120" w:after="120"/>
        <w:ind w:hanging="720"/>
      </w:pPr>
      <w:r w:rsidRPr="00B349D5">
        <w:t>As noted above, the statute’s legislative history</w:t>
      </w:r>
      <w:r w:rsidR="009B70F3" w:rsidRPr="00B349D5">
        <w:t xml:space="preserve"> contrary to the Initial Order’s finding</w:t>
      </w:r>
      <w:r w:rsidRPr="00B349D5">
        <w:t xml:space="preserve"> suggests that the Commission has discretion and is not required to impose the maximum amount. Indeed, the prior language of </w:t>
      </w:r>
      <w:r w:rsidR="00B349D5" w:rsidRPr="00B349D5">
        <w:fldChar w:fldCharType="begin"/>
      </w:r>
      <w:r w:rsidR="00B349D5" w:rsidRPr="00B349D5">
        <w:instrText xml:space="preserve"> ADDIN BA \xc &lt;@$st&gt; \xl 13 \s ECSSJP000016 </w:instrText>
      </w:r>
      <w:r w:rsidR="00B349D5" w:rsidRPr="00B349D5">
        <w:fldChar w:fldCharType="end"/>
      </w:r>
      <w:r w:rsidRPr="00B349D5">
        <w:t xml:space="preserve">RCW 81.20.020 was </w:t>
      </w:r>
      <w:r w:rsidR="00F71208" w:rsidRPr="00B349D5">
        <w:t>struck down</w:t>
      </w:r>
      <w:r w:rsidRPr="00B349D5">
        <w:t xml:space="preserve"> </w:t>
      </w:r>
      <w:r w:rsidR="00EC09B0" w:rsidRPr="00B349D5">
        <w:t xml:space="preserve">in part </w:t>
      </w:r>
      <w:r w:rsidRPr="00B349D5">
        <w:t xml:space="preserve">because it failed to sufficiently protect </w:t>
      </w:r>
      <w:r w:rsidR="009B70F3" w:rsidRPr="00B349D5">
        <w:t xml:space="preserve">public service </w:t>
      </w:r>
      <w:r w:rsidRPr="00B349D5">
        <w:t xml:space="preserve">companies and provided a </w:t>
      </w:r>
      <w:r w:rsidR="009B70F3" w:rsidRPr="00B349D5">
        <w:t xml:space="preserve">potential </w:t>
      </w:r>
      <w:r w:rsidRPr="00B349D5">
        <w:t>blanket authorization for the Commission to impose all investigation costs it deemed necessary a</w:t>
      </w:r>
      <w:r w:rsidR="00C706E6" w:rsidRPr="00B349D5">
        <w:t>nd reasonable upon the company.</w:t>
      </w:r>
      <w:r w:rsidR="00C706E6" w:rsidRPr="00B349D5">
        <w:rPr>
          <w:rStyle w:val="FootnoteReference"/>
        </w:rPr>
        <w:footnoteReference w:id="67"/>
      </w:r>
      <w:r w:rsidR="00C706E6" w:rsidRPr="00B349D5">
        <w:t xml:space="preserve">  </w:t>
      </w:r>
      <w:r w:rsidRPr="00B349D5">
        <w:t>In response, the Legislature</w:t>
      </w:r>
      <w:r w:rsidR="000931D8" w:rsidRPr="00B349D5">
        <w:t xml:space="preserve"> eventually</w:t>
      </w:r>
      <w:r w:rsidRPr="00B349D5">
        <w:t xml:space="preserve"> imposed a ceiling which limited the Commission’s imposition of fees to a maximum of one percent.  </w:t>
      </w:r>
      <w:r w:rsidR="009B70F3" w:rsidRPr="00B349D5">
        <w:t>Again, c</w:t>
      </w:r>
      <w:r w:rsidRPr="00B349D5">
        <w:t>ontrary to the administrative law j</w:t>
      </w:r>
      <w:r w:rsidR="009B70F3" w:rsidRPr="00B349D5">
        <w:t>udge’s ruling</w:t>
      </w:r>
      <w:r w:rsidR="00F71208" w:rsidRPr="00B349D5">
        <w:t xml:space="preserve">, the Commission does have </w:t>
      </w:r>
      <w:r w:rsidRPr="00B349D5">
        <w:t xml:space="preserve">discretion not only as to whether it imposes a fee at all but also </w:t>
      </w:r>
      <w:r w:rsidR="009B70F3" w:rsidRPr="00B349D5">
        <w:t xml:space="preserve">in </w:t>
      </w:r>
      <w:r w:rsidRPr="00B349D5">
        <w:t>determin</w:t>
      </w:r>
      <w:r w:rsidR="00F71208" w:rsidRPr="00B349D5">
        <w:t>ing</w:t>
      </w:r>
      <w:r w:rsidRPr="00B349D5">
        <w:t xml:space="preserve"> the amount of the fee to impose.  In that regard, there is also absolutely no </w:t>
      </w:r>
      <w:r w:rsidR="001C77CF">
        <w:t>sign</w:t>
      </w:r>
      <w:r w:rsidRPr="00B349D5">
        <w:t xml:space="preserve"> here that the Company has violated any laws or rules in pursuing this rate case.  Indeed, the Staff auditor testified “I’m not implying any negative connotation of the Company’s character.”</w:t>
      </w:r>
      <w:r w:rsidRPr="00B349D5">
        <w:rPr>
          <w:vertAlign w:val="superscript"/>
        </w:rPr>
        <w:footnoteReference w:id="68"/>
      </w:r>
      <w:r w:rsidRPr="00B349D5">
        <w:rPr>
          <w:vertAlign w:val="superscript"/>
        </w:rPr>
        <w:t xml:space="preserve"> </w:t>
      </w:r>
      <w:r w:rsidRPr="00B349D5">
        <w:t xml:space="preserve"> </w:t>
      </w:r>
      <w:r w:rsidR="00C706E6" w:rsidRPr="00B349D5">
        <w:t xml:space="preserve"> </w:t>
      </w:r>
      <w:r w:rsidRPr="00B349D5">
        <w:t xml:space="preserve">There is no indication that the maximum allowable fee should </w:t>
      </w:r>
      <w:r w:rsidR="009B70F3" w:rsidRPr="00B349D5">
        <w:t>be imposed under the facts here or that doing so would somehow correct inappropriate behavior.</w:t>
      </w:r>
    </w:p>
    <w:p w:rsidR="00047B0C" w:rsidRPr="00B349D5" w:rsidRDefault="00047B0C" w:rsidP="00AC1270">
      <w:pPr>
        <w:pStyle w:val="BodyText2"/>
        <w:numPr>
          <w:ilvl w:val="0"/>
          <w:numId w:val="35"/>
        </w:numPr>
        <w:spacing w:before="120" w:after="120"/>
        <w:ind w:hanging="720"/>
      </w:pPr>
      <w:r w:rsidRPr="00B349D5">
        <w:rPr>
          <w:u w:val="single"/>
        </w:rPr>
        <w:t>Imposition of the maximum investigation costs is contrary to the public interest</w:t>
      </w:r>
      <w:r w:rsidR="000931D8" w:rsidRPr="00B349D5">
        <w:rPr>
          <w:u w:val="single"/>
        </w:rPr>
        <w:t>.</w:t>
      </w:r>
      <w:r w:rsidRPr="00B349D5">
        <w:rPr>
          <w:u w:val="single"/>
        </w:rPr>
        <w:t xml:space="preserve"> </w:t>
      </w:r>
    </w:p>
    <w:p w:rsidR="00047B0C" w:rsidRPr="00B349D5" w:rsidRDefault="00047B0C" w:rsidP="00AC1270">
      <w:pPr>
        <w:pStyle w:val="BodyText2"/>
        <w:spacing w:before="120" w:after="120"/>
        <w:ind w:firstLine="0"/>
      </w:pPr>
      <w:r w:rsidRPr="00B349D5">
        <w:t xml:space="preserve">Imposition of the maximum amount allowable under </w:t>
      </w:r>
      <w:r w:rsidR="00B349D5" w:rsidRPr="00B349D5">
        <w:fldChar w:fldCharType="begin"/>
      </w:r>
      <w:r w:rsidR="00B349D5" w:rsidRPr="00B349D5">
        <w:instrText xml:space="preserve"> ADDIN BA \xc &lt;@$st&gt; \xl 13 \s ECSSJP000016 </w:instrText>
      </w:r>
      <w:r w:rsidR="00B349D5" w:rsidRPr="00B349D5">
        <w:fldChar w:fldCharType="end"/>
      </w:r>
      <w:r w:rsidRPr="00B349D5">
        <w:t xml:space="preserve">RCW 81.20.020 is also particularly harsh upon a small, privately-held Class B solid waste company like WCI, which has served Cowlitz County for decades.  As noted, the record is devoid of any allegation of violation of Commission </w:t>
      </w:r>
      <w:r w:rsidRPr="00B349D5">
        <w:lastRenderedPageBreak/>
        <w:t>law and rule by WCI.  Here, WCI simply pursued a statutorily-authorized general rate case filing in exercise of basic due process rights and Commission law and rule.  It is wholly inequitable to impose the statutory maximum investigation fee in this</w:t>
      </w:r>
      <w:r w:rsidR="00F71208" w:rsidRPr="00B349D5">
        <w:t xml:space="preserve"> circumstance</w:t>
      </w:r>
      <w:r w:rsidRPr="00B349D5">
        <w:t xml:space="preserve">.  </w:t>
      </w:r>
    </w:p>
    <w:p w:rsidR="00047B0C" w:rsidRPr="00B349D5" w:rsidRDefault="00EC09B0" w:rsidP="00AC1270">
      <w:pPr>
        <w:pStyle w:val="BodyText2"/>
        <w:numPr>
          <w:ilvl w:val="0"/>
          <w:numId w:val="35"/>
        </w:numPr>
        <w:spacing w:before="120" w:after="120"/>
        <w:ind w:hanging="720"/>
      </w:pPr>
      <w:r w:rsidRPr="00B349D5">
        <w:t>Here, the $43,818</w:t>
      </w:r>
      <w:r w:rsidR="00047B0C" w:rsidRPr="00B349D5">
        <w:t xml:space="preserve"> maximum under the statute would impose a significant hard</w:t>
      </w:r>
      <w:r w:rsidRPr="00B349D5">
        <w:t>ship on the Company.  $44</w:t>
      </w:r>
      <w:r w:rsidR="00047B0C" w:rsidRPr="00B349D5">
        <w:t xml:space="preserve">,000 is roughly 8% of the overall revenue requirement originally sought in this proceeding which also cannot be recouped </w:t>
      </w:r>
      <w:r w:rsidR="000931D8" w:rsidRPr="00B349D5">
        <w:t>in</w:t>
      </w:r>
      <w:r w:rsidR="00047B0C" w:rsidRPr="00B349D5">
        <w:t xml:space="preserve"> rates unde</w:t>
      </w:r>
      <w:r w:rsidR="009B70F3" w:rsidRPr="00B349D5">
        <w:t>r the Staff’s recommendation.</w:t>
      </w:r>
      <w:r w:rsidRPr="00B349D5">
        <w:rPr>
          <w:rStyle w:val="FootnoteReference"/>
        </w:rPr>
        <w:footnoteReference w:id="69"/>
      </w:r>
      <w:r w:rsidR="009B70F3" w:rsidRPr="00B349D5">
        <w:t xml:space="preserve">  Again, t</w:t>
      </w:r>
      <w:r w:rsidR="00047B0C" w:rsidRPr="00B349D5">
        <w:t xml:space="preserve">here is no </w:t>
      </w:r>
      <w:r w:rsidR="001C77CF">
        <w:t xml:space="preserve">factual, </w:t>
      </w:r>
      <w:r w:rsidR="00047B0C" w:rsidRPr="00B349D5">
        <w:t xml:space="preserve">legal or policy reason why the investigation fee under </w:t>
      </w:r>
      <w:r w:rsidR="00B349D5" w:rsidRPr="00B349D5">
        <w:fldChar w:fldCharType="begin"/>
      </w:r>
      <w:r w:rsidR="00B349D5" w:rsidRPr="00B349D5">
        <w:instrText xml:space="preserve"> ADDIN BA \xc &lt;@$st&gt; \xl 13 \s ECSSJP000016 </w:instrText>
      </w:r>
      <w:r w:rsidR="00B349D5" w:rsidRPr="00B349D5">
        <w:fldChar w:fldCharType="end"/>
      </w:r>
      <w:r w:rsidR="00047B0C" w:rsidRPr="00B349D5">
        <w:t xml:space="preserve">RCW 81.20.020 should be imposed here.  </w:t>
      </w:r>
    </w:p>
    <w:p w:rsidR="00047B0C" w:rsidRPr="00B349D5" w:rsidRDefault="00047B0C" w:rsidP="00AC1270">
      <w:pPr>
        <w:pStyle w:val="BodyText2"/>
        <w:numPr>
          <w:ilvl w:val="0"/>
          <w:numId w:val="35"/>
        </w:numPr>
        <w:spacing w:before="120" w:after="120"/>
        <w:ind w:hanging="720"/>
      </w:pPr>
      <w:r w:rsidRPr="00B349D5">
        <w:t xml:space="preserve">Moreover, the recommended imposition of the maximum statutory amount of the investigation fee here is unjustified, unexplained by either Staff or the Initial Order, and is contrary to the public interest.  WCI has consistently argued that </w:t>
      </w:r>
      <w:r w:rsidR="00B349D5" w:rsidRPr="00B349D5">
        <w:fldChar w:fldCharType="begin"/>
      </w:r>
      <w:r w:rsidR="00B349D5" w:rsidRPr="00B349D5">
        <w:instrText xml:space="preserve"> ADDIN BA \xc &lt;@$st&gt; \xl 13 \s ECSSJP000016 </w:instrText>
      </w:r>
      <w:r w:rsidR="00B349D5" w:rsidRPr="00B349D5">
        <w:fldChar w:fldCharType="end"/>
      </w:r>
      <w:r w:rsidRPr="00B349D5">
        <w:t>RCW 81.20.020 is discretionary and wholly inapplicable to these facts.  Other than serving to “chill” any due process rights exercised in contesting Staff rate case treatments</w:t>
      </w:r>
      <w:r w:rsidR="00F71208" w:rsidRPr="00B349D5">
        <w:t xml:space="preserve"> through </w:t>
      </w:r>
      <w:r w:rsidR="000931D8" w:rsidRPr="00B349D5">
        <w:t>suspension</w:t>
      </w:r>
      <w:r w:rsidRPr="00B349D5">
        <w:t>, there is no identified purpose served by such a punitive recommendation</w:t>
      </w:r>
      <w:r w:rsidR="001C77CF">
        <w:t xml:space="preserve"> and sanction</w:t>
      </w:r>
      <w:r w:rsidRPr="00B349D5">
        <w:t xml:space="preserve">.  WCI strongly urges the Commission to reject this requirement here. </w:t>
      </w:r>
    </w:p>
    <w:p w:rsidR="00047B0C" w:rsidRPr="00B349D5" w:rsidRDefault="00047B0C" w:rsidP="002B5422">
      <w:pPr>
        <w:pStyle w:val="Heading4"/>
        <w:tabs>
          <w:tab w:val="clear" w:pos="360"/>
          <w:tab w:val="left" w:pos="630"/>
        </w:tabs>
        <w:ind w:left="720" w:hanging="360"/>
      </w:pPr>
      <w:bookmarkStart w:id="134" w:name="_Toc423327095"/>
      <w:r w:rsidRPr="00B349D5">
        <w:rPr>
          <w:u w:val="single"/>
        </w:rPr>
        <w:t xml:space="preserve">Recommended </w:t>
      </w:r>
      <w:r w:rsidR="009B70F3" w:rsidRPr="00B349D5">
        <w:rPr>
          <w:u w:val="single"/>
        </w:rPr>
        <w:t xml:space="preserve">Revision/Substitute </w:t>
      </w:r>
      <w:r w:rsidRPr="00B349D5">
        <w:rPr>
          <w:u w:val="single"/>
        </w:rPr>
        <w:t>Finding</w:t>
      </w:r>
      <w:r w:rsidR="003F3D83" w:rsidRPr="00B349D5">
        <w:rPr>
          <w:u w:val="single"/>
        </w:rPr>
        <w:t>s</w:t>
      </w:r>
      <w:r w:rsidRPr="00B349D5">
        <w:rPr>
          <w:u w:val="single"/>
        </w:rPr>
        <w:t>/Conclusion</w:t>
      </w:r>
      <w:r w:rsidR="003F3D83" w:rsidRPr="00B349D5">
        <w:rPr>
          <w:u w:val="single"/>
        </w:rPr>
        <w:t xml:space="preserve">s to </w:t>
      </w:r>
      <w:r w:rsidR="005E7844" w:rsidRPr="00B349D5">
        <w:rPr>
          <w:u w:val="single"/>
        </w:rPr>
        <w:t>(</w:t>
      </w:r>
      <w:r w:rsidRPr="00B349D5">
        <w:rPr>
          <w:u w:val="single"/>
        </w:rPr>
        <w:t>15</w:t>
      </w:r>
      <w:r w:rsidR="005E7844" w:rsidRPr="00B349D5">
        <w:rPr>
          <w:u w:val="single"/>
        </w:rPr>
        <w:t>)</w:t>
      </w:r>
      <w:r w:rsidR="00F71208" w:rsidRPr="00B349D5">
        <w:rPr>
          <w:u w:val="single"/>
        </w:rPr>
        <w:t>,</w:t>
      </w:r>
      <w:r w:rsidR="00594206" w:rsidRPr="00B349D5">
        <w:rPr>
          <w:u w:val="single"/>
        </w:rPr>
        <w:t xml:space="preserve"> </w:t>
      </w:r>
      <w:r w:rsidR="005E7844" w:rsidRPr="00B349D5">
        <w:rPr>
          <w:u w:val="single"/>
        </w:rPr>
        <w:t>(</w:t>
      </w:r>
      <w:r w:rsidRPr="00B349D5">
        <w:rPr>
          <w:u w:val="single"/>
        </w:rPr>
        <w:t>17</w:t>
      </w:r>
      <w:r w:rsidR="005E7844" w:rsidRPr="00B349D5">
        <w:rPr>
          <w:u w:val="single"/>
        </w:rPr>
        <w:t>)</w:t>
      </w:r>
      <w:r w:rsidR="002B5422" w:rsidRPr="00B349D5">
        <w:rPr>
          <w:u w:val="single"/>
        </w:rPr>
        <w:t xml:space="preserve"> and Ordering </w:t>
      </w:r>
      <w:r w:rsidR="00F71208" w:rsidRPr="00B349D5">
        <w:rPr>
          <w:u w:val="single"/>
        </w:rPr>
        <w:t>Provision (5)</w:t>
      </w:r>
      <w:r w:rsidRPr="00B349D5">
        <w:t>.</w:t>
      </w:r>
      <w:bookmarkEnd w:id="134"/>
    </w:p>
    <w:p w:rsidR="00047B0C" w:rsidRPr="00B349D5" w:rsidRDefault="00B349D5" w:rsidP="00047B0C">
      <w:pPr>
        <w:pStyle w:val="Quote"/>
        <w:rPr>
          <w:b/>
        </w:rPr>
      </w:pPr>
      <w:r w:rsidRPr="00B349D5">
        <w:fldChar w:fldCharType="begin"/>
      </w:r>
      <w:r w:rsidRPr="00B349D5">
        <w:instrText xml:space="preserve"> ADDIN BA \xc &lt;@st&gt; \xl 13 \s ECSSJP000046 \xqt \l "</w:instrText>
      </w:r>
      <w:r w:rsidRPr="00B349D5">
        <w:rPr>
          <w:b/>
        </w:rPr>
        <w:instrText>RCW 81.20.010</w:instrText>
      </w:r>
      <w:r w:rsidRPr="00B349D5">
        <w:instrText xml:space="preserve">" </w:instrText>
      </w:r>
      <w:r w:rsidRPr="00B349D5">
        <w:fldChar w:fldCharType="end"/>
      </w:r>
      <w:r w:rsidR="00047B0C" w:rsidRPr="00B349D5">
        <w:rPr>
          <w:b/>
        </w:rPr>
        <w:t xml:space="preserve">RCW 81.20.010 provides that a public service company subject to a Commission investigation may be assessed costs incurred by the Commission for such an investigation in an amount up to one percent of its gross intrastate operating revenues for the preceding calendar year.  The Commission finds both that the statute is discretionary, particularly as here for a general rate case proponent, and that the 1% fee is a maximum and not an automatic quantification of the fee to be imposed.  The Commission has not traditionally imposed this fee on suspended solid waste rate general case </w:t>
      </w:r>
      <w:r w:rsidR="00047B0C" w:rsidRPr="00B349D5">
        <w:rPr>
          <w:b/>
        </w:rPr>
        <w:lastRenderedPageBreak/>
        <w:t xml:space="preserve">filings and finds that it is </w:t>
      </w:r>
      <w:r w:rsidR="000931D8" w:rsidRPr="00B349D5">
        <w:rPr>
          <w:b/>
        </w:rPr>
        <w:t>in</w:t>
      </w:r>
      <w:r w:rsidR="00047B0C" w:rsidRPr="00B349D5">
        <w:rPr>
          <w:b/>
        </w:rPr>
        <w:t>consistent with the public interest to do so</w:t>
      </w:r>
      <w:r w:rsidR="00F71208" w:rsidRPr="00B349D5">
        <w:rPr>
          <w:b/>
        </w:rPr>
        <w:t xml:space="preserve"> here</w:t>
      </w:r>
      <w:r w:rsidR="00047B0C" w:rsidRPr="00B349D5">
        <w:rPr>
          <w:b/>
        </w:rPr>
        <w:t xml:space="preserve"> based on the record developed in this proce</w:t>
      </w:r>
      <w:r w:rsidR="00F71208" w:rsidRPr="00B349D5">
        <w:rPr>
          <w:b/>
        </w:rPr>
        <w:t xml:space="preserve">eding.  [Finding/Conclusion (17) and Ordering </w:t>
      </w:r>
      <w:r w:rsidRPr="00B349D5">
        <w:fldChar w:fldCharType="begin"/>
      </w:r>
      <w:r w:rsidRPr="00B349D5">
        <w:instrText xml:space="preserve"> ADDIN BA \xc &lt;@osdv&gt; \xl 11 \s ECSSJP000104 \xqt \xpl 1 \l "</w:instrText>
      </w:r>
      <w:r w:rsidRPr="00B349D5">
        <w:rPr>
          <w:b/>
        </w:rPr>
        <w:instrText>Section (5)</w:instrText>
      </w:r>
      <w:r w:rsidRPr="00B349D5">
        <w:instrText xml:space="preserve">" </w:instrText>
      </w:r>
      <w:r w:rsidRPr="00B349D5">
        <w:fldChar w:fldCharType="end"/>
      </w:r>
      <w:r w:rsidR="00F71208" w:rsidRPr="00B349D5">
        <w:rPr>
          <w:b/>
        </w:rPr>
        <w:t>Section (5) are</w:t>
      </w:r>
      <w:r w:rsidR="00047B0C" w:rsidRPr="00B349D5">
        <w:rPr>
          <w:b/>
        </w:rPr>
        <w:t xml:space="preserve"> </w:t>
      </w:r>
      <w:r w:rsidR="008D69E0" w:rsidRPr="00B349D5">
        <w:rPr>
          <w:b/>
        </w:rPr>
        <w:t xml:space="preserve">likewise </w:t>
      </w:r>
      <w:r w:rsidR="00047B0C" w:rsidRPr="00B349D5">
        <w:rPr>
          <w:b/>
        </w:rPr>
        <w:t>removed</w:t>
      </w:r>
      <w:r w:rsidR="009B70F3" w:rsidRPr="00B349D5">
        <w:rPr>
          <w:b/>
        </w:rPr>
        <w:t xml:space="preserve"> in their entirety</w:t>
      </w:r>
      <w:r w:rsidR="00047B0C" w:rsidRPr="00B349D5">
        <w:rPr>
          <w:b/>
        </w:rPr>
        <w:t>]</w:t>
      </w:r>
      <w:r w:rsidR="009B70F3" w:rsidRPr="00B349D5">
        <w:rPr>
          <w:b/>
        </w:rPr>
        <w:t>.</w:t>
      </w:r>
    </w:p>
    <w:p w:rsidR="00217273" w:rsidRPr="00B349D5" w:rsidRDefault="002B5422" w:rsidP="002B5422">
      <w:pPr>
        <w:pStyle w:val="Heading3"/>
      </w:pPr>
      <w:bookmarkStart w:id="135" w:name="_Toc423327096"/>
      <w:r w:rsidRPr="00B349D5">
        <w:t>Waste Control, Inc. Rev</w:t>
      </w:r>
      <w:r w:rsidR="00EC09B0" w:rsidRPr="00B349D5">
        <w:t>ised Table 2 from the Initial Order’s</w:t>
      </w:r>
      <w:r w:rsidRPr="00B349D5">
        <w:t xml:space="preserve"> Determination of Issues</w:t>
      </w:r>
      <w:r w:rsidR="001F3041" w:rsidRPr="00B349D5">
        <w:t>.</w:t>
      </w:r>
      <w:bookmarkEnd w:id="135"/>
    </w:p>
    <w:p w:rsidR="002B5422" w:rsidRPr="00B349D5" w:rsidRDefault="002B5422" w:rsidP="002B5422">
      <w:pPr>
        <w:pStyle w:val="BodyText2"/>
        <w:numPr>
          <w:ilvl w:val="0"/>
          <w:numId w:val="35"/>
        </w:numPr>
        <w:spacing w:before="120" w:after="120"/>
        <w:ind w:hanging="720"/>
      </w:pPr>
      <w:r w:rsidRPr="00B349D5">
        <w:t xml:space="preserve">Attached in summary </w:t>
      </w:r>
      <w:r w:rsidR="00305ADD" w:rsidRPr="00B349D5">
        <w:t xml:space="preserve">to </w:t>
      </w:r>
      <w:r w:rsidRPr="00B349D5">
        <w:t xml:space="preserve">this Petition is Waste Control’s response to the </w:t>
      </w:r>
      <w:r w:rsidR="00B349D5" w:rsidRPr="00B349D5">
        <w:fldChar w:fldCharType="begin"/>
      </w:r>
      <w:r w:rsidR="00B349D5" w:rsidRPr="00B349D5">
        <w:instrText xml:space="preserve"> ADDIN BA \xc &lt;@reg&gt; \xl 82 \s ECSSJP000047 \l "Determination of Issues/Results of Operations, Table 2, p. 30 of the Initial Order" </w:instrText>
      </w:r>
      <w:r w:rsidR="00B349D5" w:rsidRPr="00B349D5">
        <w:fldChar w:fldCharType="end"/>
      </w:r>
      <w:bookmarkStart w:id="136" w:name="_BA_Cite_230"/>
      <w:r w:rsidRPr="00B349D5">
        <w:t xml:space="preserve">Determination </w:t>
      </w:r>
      <w:r w:rsidR="00305ADD" w:rsidRPr="00B349D5">
        <w:t>o</w:t>
      </w:r>
      <w:r w:rsidRPr="00B349D5">
        <w:t>f Issues</w:t>
      </w:r>
      <w:r w:rsidR="00305ADD" w:rsidRPr="00B349D5">
        <w:t>/</w:t>
      </w:r>
      <w:r w:rsidRPr="00B349D5">
        <w:t>Results of Operations</w:t>
      </w:r>
      <w:r w:rsidR="00305ADD" w:rsidRPr="00B349D5">
        <w:t>,</w:t>
      </w:r>
      <w:r w:rsidRPr="00B349D5">
        <w:t xml:space="preserve"> Table 2</w:t>
      </w:r>
      <w:r w:rsidR="00305ADD" w:rsidRPr="00B349D5">
        <w:t>, p. 30</w:t>
      </w:r>
      <w:r w:rsidRPr="00B349D5">
        <w:t xml:space="preserve"> of the Initial Order</w:t>
      </w:r>
      <w:bookmarkEnd w:id="136"/>
      <w:r w:rsidR="008D69E0" w:rsidRPr="00B349D5">
        <w:t>,</w:t>
      </w:r>
      <w:r w:rsidRPr="00B349D5">
        <w:t xml:space="preserve"> setting forth </w:t>
      </w:r>
      <w:r w:rsidR="001C77CF">
        <w:t xml:space="preserve">all </w:t>
      </w:r>
      <w:r w:rsidRPr="00B349D5">
        <w:t xml:space="preserve">the Company’s </w:t>
      </w:r>
      <w:r w:rsidR="008D69E0" w:rsidRPr="00B349D5">
        <w:t xml:space="preserve">proposed </w:t>
      </w:r>
      <w:r w:rsidRPr="00B349D5">
        <w:t>quantification</w:t>
      </w:r>
      <w:r w:rsidR="001C77CF">
        <w:t>s</w:t>
      </w:r>
      <w:r w:rsidRPr="00B349D5">
        <w:t xml:space="preserve"> of the remaining </w:t>
      </w:r>
      <w:r w:rsidR="00305ADD" w:rsidRPr="00B349D5">
        <w:t xml:space="preserve">disputed </w:t>
      </w:r>
      <w:r w:rsidRPr="00B349D5">
        <w:t>accounting adjustments and revenue requirement impacts</w:t>
      </w:r>
      <w:r w:rsidR="00675F6A">
        <w:t xml:space="preserve"> outlined above</w:t>
      </w:r>
      <w:r w:rsidRPr="00B349D5">
        <w:t>.</w:t>
      </w:r>
    </w:p>
    <w:p w:rsidR="00FA42A3" w:rsidRPr="00B349D5" w:rsidRDefault="00FA42A3" w:rsidP="001F3041">
      <w:pPr>
        <w:pStyle w:val="Heading1"/>
        <w:spacing w:line="360" w:lineRule="auto"/>
      </w:pPr>
      <w:bookmarkStart w:id="137" w:name="_Toc423327097"/>
      <w:r w:rsidRPr="00B349D5">
        <w:t>CONCLU</w:t>
      </w:r>
      <w:r w:rsidR="00305ADD" w:rsidRPr="00B349D5">
        <w:t>ding statement</w:t>
      </w:r>
      <w:bookmarkEnd w:id="137"/>
    </w:p>
    <w:p w:rsidR="00E30384" w:rsidRPr="00B349D5" w:rsidRDefault="002B5422" w:rsidP="001F3041">
      <w:pPr>
        <w:pStyle w:val="BodyText2"/>
        <w:numPr>
          <w:ilvl w:val="0"/>
          <w:numId w:val="35"/>
        </w:numPr>
        <w:spacing w:before="120" w:after="120"/>
        <w:ind w:hanging="720"/>
      </w:pPr>
      <w:r w:rsidRPr="00B349D5">
        <w:t>The Company unquestionably regrets the protraction, significant costs and divisiveness of this general rate case proceeding</w:t>
      </w:r>
      <w:r w:rsidR="00665C26" w:rsidRPr="00B349D5">
        <w:t xml:space="preserve"> </w:t>
      </w:r>
      <w:r w:rsidR="001F3041" w:rsidRPr="00B349D5">
        <w:t xml:space="preserve">as </w:t>
      </w:r>
      <w:r w:rsidR="00665C26" w:rsidRPr="00B349D5">
        <w:t>discussed above</w:t>
      </w:r>
      <w:r w:rsidRPr="00B349D5">
        <w:t xml:space="preserve">.  It would </w:t>
      </w:r>
      <w:r w:rsidR="001C77CF">
        <w:t xml:space="preserve">obviously </w:t>
      </w:r>
      <w:r w:rsidRPr="00B349D5">
        <w:t xml:space="preserve">have preferred to avoid such a circumstance and to have resolved the sharp issues on the remaining accounting adjustments without formal adjudication and </w:t>
      </w:r>
      <w:r w:rsidR="00665C26" w:rsidRPr="00B349D5">
        <w:t xml:space="preserve">yet </w:t>
      </w:r>
      <w:r w:rsidRPr="00B349D5">
        <w:t xml:space="preserve">more process.  </w:t>
      </w:r>
      <w:r w:rsidR="001F3041" w:rsidRPr="00B349D5">
        <w:t>I</w:t>
      </w:r>
      <w:r w:rsidRPr="00B349D5">
        <w:t xml:space="preserve">t has </w:t>
      </w:r>
      <w:r w:rsidR="001F3041" w:rsidRPr="00B349D5">
        <w:t xml:space="preserve">nevertheless </w:t>
      </w:r>
      <w:r w:rsidRPr="00B349D5">
        <w:t xml:space="preserve">been forced to continue to defend itself </w:t>
      </w:r>
      <w:r w:rsidR="00665C26" w:rsidRPr="00B349D5">
        <w:t xml:space="preserve">in objection </w:t>
      </w:r>
      <w:r w:rsidRPr="00B349D5">
        <w:t xml:space="preserve">to the isolated application of </w:t>
      </w:r>
      <w:r w:rsidR="00665C26" w:rsidRPr="00B349D5">
        <w:t xml:space="preserve">untried </w:t>
      </w:r>
      <w:r w:rsidRPr="00B349D5">
        <w:t>ratemaking theories</w:t>
      </w:r>
      <w:r w:rsidR="00665C26" w:rsidRPr="00B349D5">
        <w:t>,</w:t>
      </w:r>
      <w:r w:rsidRPr="00B349D5">
        <w:t xml:space="preserve"> including the attempted adoption of other regulated industry ratemaking models in the midst of two very momentous rulemakings that are occurring </w:t>
      </w:r>
      <w:r w:rsidR="00665C26" w:rsidRPr="00B349D5">
        <w:t>in</w:t>
      </w:r>
      <w:r w:rsidRPr="00B349D5">
        <w:t xml:space="preserve"> the ubiquitous background of this filing.  </w:t>
      </w:r>
      <w:r w:rsidR="00665C26" w:rsidRPr="00B349D5">
        <w:t>As frequently noted above, b</w:t>
      </w:r>
      <w:r w:rsidRPr="00B349D5">
        <w:t>oth the overall mechanics and the substance of solid waste general rate filings are being examined and evaluated in industry-wide stake holder forums</w:t>
      </w:r>
      <w:r w:rsidR="00665C26" w:rsidRPr="00B349D5">
        <w:t xml:space="preserve"> which are the first such examinations in many years</w:t>
      </w:r>
      <w:r w:rsidRPr="00B349D5">
        <w:t xml:space="preserve">.  The timing of the disputes here is not only </w:t>
      </w:r>
      <w:r w:rsidR="00EB38D2">
        <w:t xml:space="preserve">inauspicious </w:t>
      </w:r>
      <w:r w:rsidRPr="00B349D5">
        <w:t>but distracting and potentially conflicting with outcomes of those proceedings</w:t>
      </w:r>
      <w:r w:rsidR="00FD5ECA" w:rsidRPr="00B349D5">
        <w:t>,</w:t>
      </w:r>
      <w:r w:rsidRPr="00B349D5">
        <w:t xml:space="preserve"> </w:t>
      </w:r>
      <w:r w:rsidR="00665C26" w:rsidRPr="00B349D5">
        <w:t>all in an</w:t>
      </w:r>
      <w:r w:rsidRPr="00B349D5">
        <w:t xml:space="preserve"> interval in which </w:t>
      </w:r>
      <w:r w:rsidR="008D69E0" w:rsidRPr="00B349D5">
        <w:t xml:space="preserve">key </w:t>
      </w:r>
      <w:r w:rsidRPr="00B349D5">
        <w:t>personnel changes at the agency have been some of the most numerous in memory</w:t>
      </w:r>
      <w:r w:rsidR="00FD5ECA" w:rsidRPr="00B349D5">
        <w:t>.</w:t>
      </w:r>
    </w:p>
    <w:p w:rsidR="00E30384" w:rsidRPr="00B349D5" w:rsidRDefault="002B5422" w:rsidP="00D9401E">
      <w:pPr>
        <w:pStyle w:val="BodyText2"/>
        <w:numPr>
          <w:ilvl w:val="0"/>
          <w:numId w:val="35"/>
        </w:numPr>
        <w:spacing w:before="120" w:after="120"/>
        <w:ind w:hanging="720"/>
      </w:pPr>
      <w:r w:rsidRPr="00B349D5">
        <w:t xml:space="preserve">WCI asks that material changes </w:t>
      </w:r>
      <w:r w:rsidR="00FD5ECA" w:rsidRPr="00B349D5">
        <w:t xml:space="preserve">to </w:t>
      </w:r>
      <w:r w:rsidRPr="00B349D5">
        <w:t>Lurito-Gallagher</w:t>
      </w:r>
      <w:r w:rsidR="00FD5ECA" w:rsidRPr="00B349D5">
        <w:t xml:space="preserve"> tenets</w:t>
      </w:r>
      <w:r w:rsidRPr="00B349D5">
        <w:t xml:space="preserve"> and solid waste general rate case requirement interpretations await the outcome </w:t>
      </w:r>
      <w:r w:rsidR="00FD5ECA" w:rsidRPr="00B349D5">
        <w:t>of</w:t>
      </w:r>
      <w:r w:rsidRPr="00B349D5">
        <w:t xml:space="preserve"> those proceedings </w:t>
      </w:r>
      <w:r w:rsidR="00665C26" w:rsidRPr="00B349D5">
        <w:t xml:space="preserve">thereby </w:t>
      </w:r>
      <w:r w:rsidRPr="00B349D5">
        <w:t>avoid</w:t>
      </w:r>
      <w:r w:rsidR="00665C26" w:rsidRPr="00B349D5">
        <w:t>ing</w:t>
      </w:r>
      <w:r w:rsidRPr="00B349D5">
        <w:t xml:space="preserve"> ratifying </w:t>
      </w:r>
      <w:r w:rsidR="00FD5ECA" w:rsidRPr="00B349D5">
        <w:t xml:space="preserve">here </w:t>
      </w:r>
      <w:r w:rsidRPr="00B349D5">
        <w:t>unprecedented accounting treatments (three-factor a</w:t>
      </w:r>
      <w:r w:rsidR="008D69E0" w:rsidRPr="00B349D5">
        <w:t>llocators, etc.) which cannot</w:t>
      </w:r>
      <w:r w:rsidRPr="00B349D5">
        <w:t xml:space="preserve"> be </w:t>
      </w:r>
      <w:r w:rsidRPr="00B349D5">
        <w:lastRenderedPageBreak/>
        <w:t>anticipated nor exhaustively</w:t>
      </w:r>
      <w:r w:rsidR="00665C26" w:rsidRPr="00B349D5">
        <w:t xml:space="preserve"> studied</w:t>
      </w:r>
      <w:r w:rsidRPr="00B349D5">
        <w:t xml:space="preserve"> in the context of a single isolated routine general rate filing.  WCI is </w:t>
      </w:r>
      <w:r w:rsidR="001C77CF">
        <w:t xml:space="preserve">committed to </w:t>
      </w:r>
      <w:r w:rsidRPr="00B349D5">
        <w:t>adapt</w:t>
      </w:r>
      <w:r w:rsidR="001C77CF">
        <w:t>ing</w:t>
      </w:r>
      <w:r w:rsidRPr="00B349D5">
        <w:t xml:space="preserve"> to and comply</w:t>
      </w:r>
      <w:r w:rsidR="001C77CF">
        <w:t>ing</w:t>
      </w:r>
      <w:r w:rsidRPr="00B349D5">
        <w:t xml:space="preserve"> with Commission directives on various regulated accounting methodologies and theories, it merely asks at this critical juncture that it be afforded access to the broader industry-based analyses and potential expert review</w:t>
      </w:r>
      <w:r w:rsidR="00FD5ECA" w:rsidRPr="00B349D5">
        <w:t>s</w:t>
      </w:r>
      <w:r w:rsidRPr="00B349D5">
        <w:t xml:space="preserve"> that the Commission has envisioned in initiating the Lurito-Gallagher and solid waste rate </w:t>
      </w:r>
      <w:r w:rsidR="00665C26" w:rsidRPr="00B349D5">
        <w:t xml:space="preserve">case </w:t>
      </w:r>
      <w:r w:rsidRPr="00B349D5">
        <w:t>procedur</w:t>
      </w:r>
      <w:r w:rsidR="001C77CF">
        <w:t>e</w:t>
      </w:r>
      <w:r w:rsidRPr="00B349D5">
        <w:t xml:space="preserve"> review</w:t>
      </w:r>
      <w:r w:rsidR="00FD5ECA" w:rsidRPr="00B349D5">
        <w:t>s</w:t>
      </w:r>
      <w:r w:rsidRPr="00B349D5">
        <w:t xml:space="preserve">.  It therefore asks that the Commission sustain the Company positions on the </w:t>
      </w:r>
      <w:r w:rsidR="00665C26" w:rsidRPr="00B349D5">
        <w:t>four</w:t>
      </w:r>
      <w:r w:rsidRPr="00B349D5">
        <w:t xml:space="preserve"> disputed accounting issues </w:t>
      </w:r>
      <w:r w:rsidR="00FD5ECA" w:rsidRPr="00B349D5">
        <w:t>in Docket No.</w:t>
      </w:r>
      <w:r w:rsidR="00154E74" w:rsidRPr="00B349D5">
        <w:t xml:space="preserve">TG-140560 </w:t>
      </w:r>
      <w:r w:rsidRPr="00B349D5">
        <w:t>and enter an Order</w:t>
      </w:r>
      <w:r w:rsidR="008D69E0" w:rsidRPr="00B349D5">
        <w:t xml:space="preserve"> finalizing this long, tortuous</w:t>
      </w:r>
      <w:r w:rsidRPr="00B349D5">
        <w:t xml:space="preserve"> exception </w:t>
      </w:r>
      <w:r w:rsidR="00FD5ECA" w:rsidRPr="00B349D5">
        <w:t xml:space="preserve">to </w:t>
      </w:r>
      <w:r w:rsidRPr="00B349D5">
        <w:t xml:space="preserve">solid waste industry general </w:t>
      </w:r>
      <w:r w:rsidR="00665C26" w:rsidRPr="00B349D5">
        <w:t xml:space="preserve">rate case </w:t>
      </w:r>
      <w:r w:rsidR="001F3041" w:rsidRPr="00B349D5">
        <w:t>filings</w:t>
      </w:r>
      <w:r w:rsidR="00FD5ECA" w:rsidRPr="00B349D5">
        <w:t xml:space="preserve"> for regulated solid waste collection companies.</w:t>
      </w:r>
    </w:p>
    <w:p w:rsidR="001C77CF" w:rsidRDefault="001C77CF" w:rsidP="00D73F70">
      <w:pPr>
        <w:keepNext/>
        <w:keepLines/>
        <w:ind w:firstLine="720"/>
      </w:pPr>
    </w:p>
    <w:p w:rsidR="00E853BA" w:rsidRPr="00B349D5" w:rsidRDefault="00E853BA" w:rsidP="00D73F70">
      <w:pPr>
        <w:keepNext/>
        <w:keepLines/>
        <w:ind w:firstLine="720"/>
      </w:pPr>
      <w:r w:rsidRPr="00B349D5">
        <w:t xml:space="preserve">Dated this </w:t>
      </w:r>
      <w:r w:rsidR="00154E74" w:rsidRPr="00B349D5">
        <w:t>29</w:t>
      </w:r>
      <w:r w:rsidR="00154E74" w:rsidRPr="00B349D5">
        <w:rPr>
          <w:vertAlign w:val="superscript"/>
        </w:rPr>
        <w:t>th</w:t>
      </w:r>
      <w:r w:rsidR="00154E74" w:rsidRPr="00B349D5">
        <w:t xml:space="preserve"> </w:t>
      </w:r>
      <w:r w:rsidRPr="00B349D5">
        <w:t xml:space="preserve">day of </w:t>
      </w:r>
      <w:r w:rsidR="00154E74" w:rsidRPr="00B349D5">
        <w:t>June</w:t>
      </w:r>
      <w:r w:rsidRPr="00B349D5">
        <w:t xml:space="preserve">, 2015 at </w:t>
      </w:r>
      <w:r w:rsidR="00154E74" w:rsidRPr="00B349D5">
        <w:t>Seattle</w:t>
      </w:r>
      <w:r w:rsidRPr="00B349D5">
        <w:t>, Washington</w:t>
      </w:r>
      <w:r w:rsidR="00154E74" w:rsidRPr="00B349D5">
        <w:t>.</w:t>
      </w:r>
    </w:p>
    <w:p w:rsidR="00D9401E" w:rsidRPr="00B349D5" w:rsidRDefault="00D9401E" w:rsidP="00D73F70">
      <w:pPr>
        <w:keepNext/>
        <w:keepLines/>
      </w:pPr>
    </w:p>
    <w:p w:rsidR="00606B0D" w:rsidRPr="00B349D5" w:rsidRDefault="00606B0D" w:rsidP="00D73F70">
      <w:pPr>
        <w:keepNext/>
        <w:keepLines/>
      </w:pPr>
    </w:p>
    <w:tbl>
      <w:tblPr>
        <w:tblW w:w="9558" w:type="dxa"/>
        <w:tblLayout w:type="fixed"/>
        <w:tblLook w:val="0000" w:firstRow="0" w:lastRow="0" w:firstColumn="0" w:lastColumn="0" w:noHBand="0" w:noVBand="0"/>
      </w:tblPr>
      <w:tblGrid>
        <w:gridCol w:w="4698"/>
        <w:gridCol w:w="4860"/>
      </w:tblGrid>
      <w:tr w:rsidR="00606B0D" w:rsidRPr="00B349D5" w:rsidTr="00AA5FEE">
        <w:trPr>
          <w:cantSplit/>
        </w:trPr>
        <w:tc>
          <w:tcPr>
            <w:tcW w:w="4698" w:type="dxa"/>
          </w:tcPr>
          <w:p w:rsidR="00606B0D" w:rsidRPr="00B349D5" w:rsidRDefault="00606B0D" w:rsidP="00D73F70">
            <w:pPr>
              <w:keepNext/>
              <w:keepLines/>
              <w:tabs>
                <w:tab w:val="left" w:pos="432"/>
              </w:tabs>
              <w:spacing w:line="240" w:lineRule="exact"/>
            </w:pPr>
          </w:p>
        </w:tc>
        <w:tc>
          <w:tcPr>
            <w:tcW w:w="4860" w:type="dxa"/>
          </w:tcPr>
          <w:p w:rsidR="00606B0D" w:rsidRPr="00B349D5" w:rsidRDefault="00606B0D" w:rsidP="00D73F70">
            <w:pPr>
              <w:keepNext/>
              <w:keepLines/>
              <w:spacing w:line="240" w:lineRule="exact"/>
              <w:rPr>
                <w:caps/>
              </w:rPr>
            </w:pPr>
            <w:r w:rsidRPr="00B349D5">
              <w:rPr>
                <w:caps/>
              </w:rPr>
              <w:t>RESPECTFULLY sUBMITTED,</w:t>
            </w:r>
          </w:p>
          <w:p w:rsidR="00606B0D" w:rsidRPr="00B349D5" w:rsidRDefault="00606B0D" w:rsidP="00D73F70">
            <w:pPr>
              <w:keepNext/>
              <w:keepLines/>
              <w:spacing w:line="240" w:lineRule="exact"/>
              <w:rPr>
                <w:caps/>
              </w:rPr>
            </w:pPr>
          </w:p>
          <w:p w:rsidR="00606B0D" w:rsidRPr="00B349D5" w:rsidRDefault="00606B0D" w:rsidP="00D73F70">
            <w:pPr>
              <w:keepNext/>
              <w:keepLines/>
              <w:spacing w:line="240" w:lineRule="exact"/>
              <w:rPr>
                <w:caps/>
              </w:rPr>
            </w:pPr>
          </w:p>
          <w:p w:rsidR="00606B0D" w:rsidRPr="00B349D5" w:rsidRDefault="00606B0D" w:rsidP="00D73F70">
            <w:pPr>
              <w:keepNext/>
              <w:keepLines/>
              <w:spacing w:line="240" w:lineRule="exact"/>
              <w:rPr>
                <w:caps/>
              </w:rPr>
            </w:pPr>
          </w:p>
          <w:p w:rsidR="00606B0D" w:rsidRPr="00B349D5" w:rsidRDefault="00606B0D" w:rsidP="00D73F70">
            <w:pPr>
              <w:keepNext/>
              <w:keepLines/>
              <w:tabs>
                <w:tab w:val="right" w:pos="4572"/>
              </w:tabs>
              <w:spacing w:line="240" w:lineRule="exact"/>
              <w:rPr>
                <w:u w:val="single"/>
              </w:rPr>
            </w:pPr>
            <w:r w:rsidRPr="00B349D5">
              <w:t xml:space="preserve">By </w:t>
            </w:r>
            <w:r w:rsidRPr="00B349D5">
              <w:rPr>
                <w:u w:val="single"/>
              </w:rPr>
              <w:tab/>
            </w:r>
          </w:p>
          <w:p w:rsidR="00606B0D" w:rsidRPr="00B349D5" w:rsidRDefault="00606B0D" w:rsidP="00D73F70">
            <w:pPr>
              <w:keepNext/>
              <w:keepLines/>
              <w:tabs>
                <w:tab w:val="left" w:pos="432"/>
                <w:tab w:val="right" w:pos="4932"/>
              </w:tabs>
              <w:spacing w:line="240" w:lineRule="exact"/>
              <w:ind w:left="342"/>
            </w:pPr>
            <w:r w:rsidRPr="00B349D5">
              <w:t>David W. Wiley, WSBA #08614</w:t>
            </w:r>
          </w:p>
          <w:p w:rsidR="00606B0D" w:rsidRPr="00B349D5" w:rsidRDefault="001F7856" w:rsidP="00D73F70">
            <w:pPr>
              <w:keepNext/>
              <w:keepLines/>
              <w:tabs>
                <w:tab w:val="left" w:pos="432"/>
                <w:tab w:val="right" w:pos="4932"/>
              </w:tabs>
              <w:spacing w:line="240" w:lineRule="exact"/>
              <w:ind w:left="342"/>
              <w:rPr>
                <w:sz w:val="20"/>
                <w:szCs w:val="20"/>
              </w:rPr>
            </w:pPr>
            <w:hyperlink r:id="rId11" w:history="1">
              <w:r w:rsidR="00606B0D" w:rsidRPr="00B349D5">
                <w:rPr>
                  <w:rStyle w:val="Hyperlink"/>
                  <w:sz w:val="20"/>
                  <w:szCs w:val="20"/>
                </w:rPr>
                <w:t>dwiley@williamskastner.com</w:t>
              </w:r>
            </w:hyperlink>
            <w:r w:rsidR="00606B0D" w:rsidRPr="00B349D5">
              <w:rPr>
                <w:sz w:val="20"/>
                <w:szCs w:val="20"/>
              </w:rPr>
              <w:t xml:space="preserve"> </w:t>
            </w:r>
          </w:p>
          <w:p w:rsidR="00606B0D" w:rsidRPr="00B349D5" w:rsidRDefault="00606B0D" w:rsidP="00D73F70">
            <w:pPr>
              <w:keepNext/>
              <w:keepLines/>
              <w:spacing w:line="240" w:lineRule="exact"/>
            </w:pPr>
            <w:r w:rsidRPr="00B349D5">
              <w:t xml:space="preserve">Attorneys for </w:t>
            </w:r>
            <w:r w:rsidR="00794BF0" w:rsidRPr="00B349D5">
              <w:t>Waste Control, Inc.</w:t>
            </w:r>
          </w:p>
        </w:tc>
      </w:tr>
      <w:bookmarkEnd w:id="7"/>
    </w:tbl>
    <w:p w:rsidR="00EC739C" w:rsidRDefault="00EC739C" w:rsidP="00D87953">
      <w:pPr>
        <w:widowControl w:val="0"/>
        <w:sectPr w:rsidR="00EC739C" w:rsidSect="00BD6BB7">
          <w:footerReference w:type="default" r:id="rId12"/>
          <w:pgSz w:w="12240" w:h="15840" w:code="1"/>
          <w:pgMar w:top="1440" w:right="1440" w:bottom="1440" w:left="1440" w:header="720" w:footer="720" w:gutter="0"/>
          <w:paperSrc w:first="261" w:other="261"/>
          <w:pgNumType w:start="1"/>
          <w:cols w:space="720"/>
          <w:docGrid w:linePitch="360"/>
        </w:sectPr>
      </w:pPr>
    </w:p>
    <w:p w:rsidR="00B349D5" w:rsidRDefault="00EC739C" w:rsidP="00D87953">
      <w:pPr>
        <w:widowControl w:val="0"/>
      </w:pPr>
      <w:r>
        <w:rPr>
          <w:noProof/>
        </w:rPr>
        <w:lastRenderedPageBreak/>
        <w:drawing>
          <wp:inline distT="0" distB="0" distL="0" distR="0">
            <wp:extent cx="5941060" cy="7752715"/>
            <wp:effectExtent l="0" t="0" r="2540" b="635"/>
            <wp:docPr id="1" name="Picture 1" descr="C:\Users\mgruber\Desktop\Petition and attachments\Tab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ruber\Desktop\Petition and attachments\Table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1060" cy="7752715"/>
                    </a:xfrm>
                    <a:prstGeom prst="rect">
                      <a:avLst/>
                    </a:prstGeom>
                    <a:noFill/>
                    <a:ln>
                      <a:noFill/>
                    </a:ln>
                  </pic:spPr>
                </pic:pic>
              </a:graphicData>
            </a:graphic>
          </wp:inline>
        </w:drawing>
      </w:r>
    </w:p>
    <w:p w:rsidR="001F7856" w:rsidRDefault="001F7856" w:rsidP="00D87953">
      <w:pPr>
        <w:widowControl w:val="0"/>
      </w:pPr>
    </w:p>
    <w:p w:rsidR="001F7856" w:rsidRDefault="001F7856" w:rsidP="00D87953">
      <w:pPr>
        <w:widowControl w:val="0"/>
      </w:pPr>
    </w:p>
    <w:p w:rsidR="001F7856" w:rsidRDefault="001F7856" w:rsidP="00D87953">
      <w:pPr>
        <w:widowControl w:val="0"/>
      </w:pPr>
    </w:p>
    <w:p w:rsidR="001F7856" w:rsidRDefault="001F7856" w:rsidP="001F7856">
      <w:pPr>
        <w:pStyle w:val="Header"/>
        <w:jc w:val="center"/>
      </w:pPr>
      <w:r>
        <w:lastRenderedPageBreak/>
        <w:t>CERTIFICATE OF SERVICE</w:t>
      </w:r>
    </w:p>
    <w:p w:rsidR="001F7856" w:rsidRDefault="001F7856" w:rsidP="001F7856"/>
    <w:p w:rsidR="001F7856" w:rsidRPr="00DD2273" w:rsidRDefault="001F7856" w:rsidP="001F7856">
      <w:r w:rsidRPr="00DD2273">
        <w:t xml:space="preserve">I hereby certify that on </w:t>
      </w:r>
      <w:r>
        <w:t>June 29, 2015</w:t>
      </w:r>
      <w:r w:rsidRPr="00DD2273">
        <w:t xml:space="preserve"> I caused to be served the original and </w:t>
      </w:r>
      <w:r>
        <w:t xml:space="preserve">five (5) copies </w:t>
      </w:r>
      <w:r w:rsidRPr="00DD2273">
        <w:t>of the foregoing document</w:t>
      </w:r>
      <w:r>
        <w:t>(s)</w:t>
      </w:r>
      <w:r w:rsidRPr="00DD2273">
        <w:t xml:space="preserve"> to the following address via </w:t>
      </w:r>
      <w:r>
        <w:t>U.S. Mail t</w:t>
      </w:r>
      <w:r w:rsidRPr="00DD2273">
        <w:t>o:</w:t>
      </w:r>
    </w:p>
    <w:p w:rsidR="001F7856" w:rsidRPr="008C026B" w:rsidRDefault="001F7856" w:rsidP="001F7856">
      <w:pPr>
        <w:rPr>
          <w:sz w:val="22"/>
        </w:rPr>
      </w:pPr>
    </w:p>
    <w:p w:rsidR="001F7856" w:rsidRPr="00DD2273" w:rsidRDefault="001F7856" w:rsidP="001F7856">
      <w:r w:rsidRPr="00DD2273">
        <w:tab/>
        <w:t>Steven V. King, Executive Director and Secretary</w:t>
      </w:r>
    </w:p>
    <w:p w:rsidR="001F7856" w:rsidRPr="00DD2273" w:rsidRDefault="001F7856" w:rsidP="001F7856">
      <w:pPr>
        <w:ind w:firstLine="720"/>
      </w:pPr>
      <w:r w:rsidRPr="00DD2273">
        <w:t>Washington Utilities and Transportation Commission</w:t>
      </w:r>
    </w:p>
    <w:p w:rsidR="001F7856" w:rsidRPr="00DD2273" w:rsidRDefault="001F7856" w:rsidP="001F7856">
      <w:pPr>
        <w:ind w:firstLine="720"/>
      </w:pPr>
      <w:r w:rsidRPr="00DD2273">
        <w:t>Attn.:  Records Center</w:t>
      </w:r>
    </w:p>
    <w:p w:rsidR="001F7856" w:rsidRPr="00DD2273" w:rsidRDefault="001F7856" w:rsidP="001F7856">
      <w:pPr>
        <w:ind w:firstLine="720"/>
      </w:pPr>
      <w:r w:rsidRPr="00DD2273">
        <w:t>P.O. Box 47250</w:t>
      </w:r>
    </w:p>
    <w:p w:rsidR="001F7856" w:rsidRPr="00DD2273" w:rsidRDefault="001F7856" w:rsidP="001F7856">
      <w:pPr>
        <w:ind w:firstLine="720"/>
      </w:pPr>
      <w:r w:rsidRPr="00DD2273">
        <w:t>1300 S. Evergreen Park Dr. SW</w:t>
      </w:r>
    </w:p>
    <w:p w:rsidR="001F7856" w:rsidRPr="00DD2273" w:rsidRDefault="001F7856" w:rsidP="001F7856">
      <w:pPr>
        <w:ind w:firstLine="720"/>
      </w:pPr>
      <w:r w:rsidRPr="00DD2273">
        <w:t>Olympia, WA 98504-7250</w:t>
      </w:r>
    </w:p>
    <w:p w:rsidR="001F7856" w:rsidRPr="008C026B" w:rsidRDefault="001F7856" w:rsidP="001F7856">
      <w:pPr>
        <w:keepNext/>
        <w:keepLines/>
        <w:rPr>
          <w:sz w:val="22"/>
        </w:rPr>
      </w:pPr>
    </w:p>
    <w:p w:rsidR="001F7856" w:rsidRPr="00DD2273" w:rsidRDefault="001F7856" w:rsidP="001F7856">
      <w:pPr>
        <w:keepNext/>
        <w:keepLines/>
      </w:pPr>
      <w:r w:rsidRPr="00DD2273">
        <w:t xml:space="preserve">I certify I have also provided to the Washington Utilities and Transportation Commission’s Secretary an official electronic file containing the </w:t>
      </w:r>
      <w:r>
        <w:t>foregoing document(s) via the WUTC web portal e-filing service.</w:t>
      </w:r>
    </w:p>
    <w:p w:rsidR="001F7856" w:rsidRPr="008C026B" w:rsidRDefault="001F7856" w:rsidP="001F7856">
      <w:pPr>
        <w:rPr>
          <w:sz w:val="22"/>
        </w:rPr>
      </w:pPr>
    </w:p>
    <w:p w:rsidR="001F7856" w:rsidRPr="008C026B" w:rsidRDefault="001F7856" w:rsidP="001F7856">
      <w:pPr>
        <w:keepNext/>
        <w:keepLines/>
        <w:rPr>
          <w:sz w:val="22"/>
        </w:rPr>
      </w:pPr>
      <w:r w:rsidRPr="00DD2273">
        <w:t>and an electronic copy via email and first class mail, postage prepaid, to:</w:t>
      </w:r>
      <w:r w:rsidRPr="00DD2273">
        <w:br/>
      </w:r>
    </w:p>
    <w:p w:rsidR="001F7856" w:rsidRDefault="001F7856" w:rsidP="001F7856">
      <w:pPr>
        <w:ind w:firstLine="720"/>
      </w:pPr>
      <w:r>
        <w:t xml:space="preserve">Sally Brown </w:t>
      </w:r>
    </w:p>
    <w:p w:rsidR="001F7856" w:rsidRDefault="001F7856" w:rsidP="001F7856">
      <w:pPr>
        <w:ind w:firstLine="720"/>
      </w:pPr>
      <w:r>
        <w:t>Assistant Attorney General</w:t>
      </w:r>
    </w:p>
    <w:p w:rsidR="001F7856" w:rsidRPr="00DD2273" w:rsidRDefault="001F7856" w:rsidP="001F7856">
      <w:pPr>
        <w:ind w:firstLine="720"/>
      </w:pPr>
      <w:r w:rsidRPr="00DD2273">
        <w:t>Washington Utilities and Transportation Commission</w:t>
      </w:r>
    </w:p>
    <w:p w:rsidR="001F7856" w:rsidRDefault="001F7856" w:rsidP="001F7856">
      <w:pPr>
        <w:ind w:firstLine="720"/>
      </w:pPr>
      <w:r>
        <w:t>PO Box 40128</w:t>
      </w:r>
    </w:p>
    <w:p w:rsidR="001F7856" w:rsidRDefault="001F7856" w:rsidP="001F7856">
      <w:pPr>
        <w:ind w:firstLine="720"/>
      </w:pPr>
      <w:r w:rsidRPr="00DD2273">
        <w:t>Olympia, WA 98504-7250</w:t>
      </w:r>
    </w:p>
    <w:p w:rsidR="001F7856" w:rsidRDefault="001F7856" w:rsidP="001F7856">
      <w:pPr>
        <w:ind w:firstLine="720"/>
      </w:pPr>
      <w:r>
        <w:t xml:space="preserve">Email:  </w:t>
      </w:r>
      <w:hyperlink r:id="rId14" w:history="1">
        <w:r w:rsidRPr="003A5843">
          <w:rPr>
            <w:rStyle w:val="Hyperlink"/>
          </w:rPr>
          <w:t>sbrown@utc.wa.gov</w:t>
        </w:r>
      </w:hyperlink>
    </w:p>
    <w:p w:rsidR="001F7856" w:rsidRPr="00DD2273" w:rsidRDefault="001F7856" w:rsidP="001F7856">
      <w:pPr>
        <w:ind w:firstLine="720"/>
      </w:pPr>
    </w:p>
    <w:p w:rsidR="001F7856" w:rsidRPr="00DD2273" w:rsidRDefault="001F7856" w:rsidP="001F7856">
      <w:pPr>
        <w:keepNext/>
        <w:keepLines/>
      </w:pPr>
      <w:r w:rsidRPr="00DD2273">
        <w:tab/>
      </w:r>
      <w:r>
        <w:t>Brett Shearer</w:t>
      </w:r>
      <w:r w:rsidRPr="00DD2273">
        <w:t xml:space="preserve"> </w:t>
      </w:r>
    </w:p>
    <w:p w:rsidR="001F7856" w:rsidRPr="00DD2273" w:rsidRDefault="001F7856" w:rsidP="001F7856">
      <w:pPr>
        <w:keepNext/>
        <w:keepLines/>
      </w:pPr>
      <w:r w:rsidRPr="00DD2273">
        <w:tab/>
        <w:t>Office of the Attorney General</w:t>
      </w:r>
    </w:p>
    <w:p w:rsidR="001F7856" w:rsidRPr="00DD2273" w:rsidRDefault="001F7856" w:rsidP="001F7856">
      <w:pPr>
        <w:ind w:firstLine="720"/>
      </w:pPr>
      <w:r w:rsidRPr="00DD2273">
        <w:t>Washington Utilities and Transportation Commission</w:t>
      </w:r>
    </w:p>
    <w:p w:rsidR="001F7856" w:rsidRPr="00DD2273" w:rsidRDefault="001F7856" w:rsidP="001F7856">
      <w:pPr>
        <w:ind w:firstLine="720"/>
      </w:pPr>
      <w:r w:rsidRPr="00DD2273">
        <w:t>PO Box 40128</w:t>
      </w:r>
    </w:p>
    <w:p w:rsidR="001F7856" w:rsidRPr="00DD2273" w:rsidRDefault="001F7856" w:rsidP="001F7856">
      <w:pPr>
        <w:ind w:firstLine="720"/>
      </w:pPr>
      <w:r w:rsidRPr="00DD2273">
        <w:t>Olympia, WA  98504-0128</w:t>
      </w:r>
    </w:p>
    <w:p w:rsidR="001F7856" w:rsidRPr="00DD2273" w:rsidRDefault="001F7856" w:rsidP="001F7856">
      <w:pPr>
        <w:ind w:firstLine="720"/>
      </w:pPr>
      <w:r w:rsidRPr="00DD2273">
        <w:t xml:space="preserve">Email: </w:t>
      </w:r>
      <w:hyperlink r:id="rId15" w:history="1">
        <w:r w:rsidRPr="00386EEF">
          <w:rPr>
            <w:rStyle w:val="Hyperlink"/>
          </w:rPr>
          <w:t>bshearer@utc.wa.gov</w:t>
        </w:r>
      </w:hyperlink>
      <w:r>
        <w:t xml:space="preserve"> </w:t>
      </w:r>
    </w:p>
    <w:p w:rsidR="001F7856" w:rsidRDefault="001F7856" w:rsidP="001F7856">
      <w:pPr>
        <w:ind w:firstLine="720"/>
      </w:pPr>
    </w:p>
    <w:p w:rsidR="001F7856" w:rsidRDefault="001F7856" w:rsidP="001F7856">
      <w:pPr>
        <w:ind w:right="-252"/>
        <w:rPr>
          <w:iCs/>
        </w:rPr>
      </w:pPr>
      <w:r>
        <w:rPr>
          <w:iCs/>
        </w:rPr>
        <w:tab/>
        <w:t>James K. Sells</w:t>
      </w:r>
    </w:p>
    <w:p w:rsidR="001F7856" w:rsidRDefault="001F7856" w:rsidP="001F7856">
      <w:pPr>
        <w:ind w:right="-252"/>
        <w:rPr>
          <w:iCs/>
        </w:rPr>
      </w:pPr>
      <w:r>
        <w:rPr>
          <w:iCs/>
        </w:rPr>
        <w:tab/>
        <w:t>Attorney at Law</w:t>
      </w:r>
    </w:p>
    <w:p w:rsidR="001F7856" w:rsidRDefault="001F7856" w:rsidP="001F7856">
      <w:pPr>
        <w:ind w:right="-252"/>
        <w:rPr>
          <w:iCs/>
        </w:rPr>
      </w:pPr>
      <w:r>
        <w:rPr>
          <w:iCs/>
        </w:rPr>
        <w:tab/>
      </w:r>
      <w:proofErr w:type="spellStart"/>
      <w:r>
        <w:rPr>
          <w:iCs/>
        </w:rPr>
        <w:t>PMB</w:t>
      </w:r>
      <w:proofErr w:type="spellEnd"/>
      <w:r>
        <w:rPr>
          <w:iCs/>
        </w:rPr>
        <w:t xml:space="preserve"> 22, 3110 Judson St. </w:t>
      </w:r>
    </w:p>
    <w:p w:rsidR="001F7856" w:rsidRDefault="001F7856" w:rsidP="001F7856">
      <w:pPr>
        <w:ind w:right="-252"/>
        <w:rPr>
          <w:iCs/>
        </w:rPr>
      </w:pPr>
      <w:r>
        <w:rPr>
          <w:iCs/>
        </w:rPr>
        <w:tab/>
        <w:t>Gig Harbor, WA  98335</w:t>
      </w:r>
    </w:p>
    <w:p w:rsidR="001F7856" w:rsidRDefault="001F7856" w:rsidP="001F7856">
      <w:pPr>
        <w:ind w:right="-252"/>
        <w:rPr>
          <w:rStyle w:val="Hyperlink"/>
          <w:bCs/>
          <w:lang w:val="fr-FR"/>
        </w:rPr>
      </w:pPr>
      <w:r>
        <w:rPr>
          <w:iCs/>
        </w:rPr>
        <w:tab/>
        <w:t xml:space="preserve">E-mail:  </w:t>
      </w:r>
      <w:hyperlink r:id="rId16" w:history="1">
        <w:r>
          <w:rPr>
            <w:rStyle w:val="Hyperlink"/>
            <w:bCs/>
            <w:lang w:val="fr-FR"/>
          </w:rPr>
          <w:t>jamessells@comcast.net</w:t>
        </w:r>
      </w:hyperlink>
    </w:p>
    <w:p w:rsidR="001F7856" w:rsidRDefault="001F7856" w:rsidP="001F7856"/>
    <w:p w:rsidR="001F7856" w:rsidRDefault="001F7856" w:rsidP="001F7856"/>
    <w:p w:rsidR="001F7856" w:rsidRDefault="001F7856" w:rsidP="001F7856">
      <w:r>
        <w:t>Dated at Seattle, Washington this 29</w:t>
      </w:r>
      <w:r w:rsidRPr="0027290C">
        <w:rPr>
          <w:vertAlign w:val="superscript"/>
        </w:rPr>
        <w:t>th</w:t>
      </w:r>
      <w:r>
        <w:t xml:space="preserve"> day of June, 2015.</w:t>
      </w:r>
    </w:p>
    <w:p w:rsidR="001F7856" w:rsidRPr="008C026B" w:rsidRDefault="001F7856" w:rsidP="001F7856">
      <w:pPr>
        <w:rPr>
          <w:sz w:val="18"/>
        </w:rPr>
      </w:pPr>
    </w:p>
    <w:p w:rsidR="001F7856" w:rsidRDefault="001F7856" w:rsidP="001F7856">
      <w:pPr>
        <w:pStyle w:val="BodyText2"/>
        <w:spacing w:line="240" w:lineRule="auto"/>
        <w:ind w:left="3600"/>
      </w:pPr>
      <w:r>
        <w:t>____________________________________</w:t>
      </w:r>
    </w:p>
    <w:p w:rsidR="001F7856" w:rsidRDefault="001F7856" w:rsidP="001F7856">
      <w:r>
        <w:tab/>
      </w:r>
      <w:r>
        <w:tab/>
      </w:r>
      <w:r>
        <w:tab/>
      </w:r>
      <w:r>
        <w:tab/>
      </w:r>
      <w:r>
        <w:tab/>
      </w:r>
      <w:r>
        <w:tab/>
        <w:t>MAGGI GRUBER</w:t>
      </w:r>
    </w:p>
    <w:p w:rsidR="001F7856" w:rsidRDefault="001F7856" w:rsidP="001F7856">
      <w:r>
        <w:tab/>
      </w:r>
      <w:r>
        <w:tab/>
      </w:r>
      <w:r>
        <w:tab/>
      </w:r>
      <w:r>
        <w:tab/>
      </w:r>
      <w:r>
        <w:tab/>
      </w:r>
      <w:r>
        <w:tab/>
        <w:t>Legal Assistant</w:t>
      </w:r>
    </w:p>
    <w:p w:rsidR="001F7856" w:rsidRDefault="001F7856" w:rsidP="001F7856">
      <w:r>
        <w:tab/>
      </w:r>
      <w:r>
        <w:tab/>
      </w:r>
      <w:r>
        <w:tab/>
      </w:r>
      <w:r>
        <w:tab/>
      </w:r>
      <w:r>
        <w:tab/>
      </w:r>
      <w:r>
        <w:tab/>
        <w:t>Williams Kastner</w:t>
      </w:r>
    </w:p>
    <w:p w:rsidR="001F7856" w:rsidRDefault="001F7856" w:rsidP="001F7856">
      <w:pPr>
        <w:pStyle w:val="BodyText2"/>
        <w:ind w:left="3600"/>
        <w:rPr>
          <w:rStyle w:val="Hyperlink"/>
          <w:rFonts w:ascii="Arial" w:hAnsi="Arial" w:cs="Arial"/>
          <w:noProof/>
          <w:sz w:val="20"/>
          <w:szCs w:val="20"/>
        </w:rPr>
      </w:pPr>
      <w:hyperlink r:id="rId17" w:history="1">
        <w:r>
          <w:rPr>
            <w:rStyle w:val="Hyperlink"/>
            <w:rFonts w:ascii="Arial" w:hAnsi="Arial" w:cs="Arial"/>
            <w:noProof/>
            <w:sz w:val="20"/>
            <w:szCs w:val="20"/>
          </w:rPr>
          <w:t>mgruber@williamskastner.com</w:t>
        </w:r>
      </w:hyperlink>
    </w:p>
    <w:p w:rsidR="001F7856" w:rsidRPr="00B349D5" w:rsidRDefault="001F7856" w:rsidP="00D87953">
      <w:pPr>
        <w:widowControl w:val="0"/>
      </w:pPr>
      <w:bookmarkStart w:id="138" w:name="_GoBack"/>
      <w:bookmarkEnd w:id="138"/>
    </w:p>
    <w:sectPr w:rsidR="001F7856" w:rsidRPr="00B349D5" w:rsidSect="00BD6BB7">
      <w:pgSz w:w="12240" w:h="15840" w:code="1"/>
      <w:pgMar w:top="990" w:right="1440" w:bottom="1440" w:left="1440" w:header="720" w:footer="720" w:gutter="0"/>
      <w:paperSrc w:first="261" w:other="26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75" w:rsidRPr="00B349D5" w:rsidRDefault="00632775">
      <w:r w:rsidRPr="00B349D5">
        <w:separator/>
      </w:r>
    </w:p>
  </w:endnote>
  <w:endnote w:type="continuationSeparator" w:id="0">
    <w:p w:rsidR="00632775" w:rsidRPr="00B349D5" w:rsidRDefault="00632775">
      <w:r w:rsidRPr="00B349D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540003" w:usb1="006D0069" w:usb2="00730065" w:usb3="004E0020" w:csb0="00770065" w:csb1="005200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5" w:rsidRPr="00B349D5" w:rsidRDefault="00632775">
    <w:pPr>
      <w:pStyle w:val="Footer"/>
      <w:rPr>
        <w:sz w:val="20"/>
      </w:rPr>
    </w:pPr>
    <w:r w:rsidRPr="00B349D5">
      <w:rPr>
        <w:sz w:val="20"/>
      </w:rPr>
      <w:t xml:space="preserve">PETITION FOR ADMINISTRATIVE REVIEW </w:t>
    </w:r>
  </w:p>
  <w:p w:rsidR="00632775" w:rsidRPr="00B349D5" w:rsidRDefault="00632775">
    <w:pPr>
      <w:rPr>
        <w:sz w:val="22"/>
      </w:rPr>
    </w:pPr>
    <w:r w:rsidRPr="00B349D5">
      <w:rPr>
        <w:sz w:val="20"/>
      </w:rPr>
      <w:t>OF INITIAL ORDER NO. 12 BY RESPONDENT WCI -</w:t>
    </w:r>
    <w:r w:rsidRPr="00B349D5">
      <w:rPr>
        <w:sz w:val="20"/>
      </w:rPr>
      <w:fldChar w:fldCharType="begin"/>
    </w:r>
    <w:r w:rsidRPr="00B349D5">
      <w:rPr>
        <w:sz w:val="20"/>
      </w:rPr>
      <w:instrText xml:space="preserve"> PAGE   \* MERGEFORMAT </w:instrText>
    </w:r>
    <w:r w:rsidRPr="00B349D5">
      <w:rPr>
        <w:sz w:val="20"/>
      </w:rPr>
      <w:fldChar w:fldCharType="separate"/>
    </w:r>
    <w:r w:rsidR="001F7856">
      <w:rPr>
        <w:noProof/>
        <w:sz w:val="20"/>
      </w:rPr>
      <w:t>ii</w:t>
    </w:r>
    <w:r w:rsidRPr="00B349D5">
      <w:rPr>
        <w:noProof/>
        <w:sz w:val="20"/>
      </w:rPr>
      <w:fldChar w:fldCharType="end"/>
    </w:r>
  </w:p>
  <w:p w:rsidR="00632775" w:rsidRPr="00B349D5" w:rsidRDefault="00632775">
    <w:pPr>
      <w:pStyle w:val="Footer"/>
      <w:rPr>
        <w:sz w:val="20"/>
      </w:rPr>
    </w:pPr>
  </w:p>
  <w:p w:rsidR="00632775" w:rsidRPr="00B349D5" w:rsidRDefault="00632775" w:rsidP="00823E4E">
    <w:pPr>
      <w:pStyle w:val="Footer"/>
    </w:pPr>
    <w:r w:rsidRPr="00B349D5">
      <w:rPr>
        <w:sz w:val="16"/>
      </w:rPr>
      <w:fldChar w:fldCharType="begin"/>
    </w:r>
    <w:r w:rsidRPr="00B349D5">
      <w:rPr>
        <w:sz w:val="16"/>
      </w:rPr>
      <w:instrText xml:space="preserve"> IF "</w:instrText>
    </w:r>
    <w:r w:rsidRPr="00B349D5">
      <w:rPr>
        <w:sz w:val="16"/>
      </w:rPr>
      <w:fldChar w:fldCharType="begin"/>
    </w:r>
    <w:r w:rsidRPr="00B349D5">
      <w:rPr>
        <w:sz w:val="16"/>
      </w:rPr>
      <w:instrText xml:space="preserve"> DOCVARIABLE "SWDocIDLocation" </w:instrText>
    </w:r>
    <w:r w:rsidRPr="00B349D5">
      <w:rPr>
        <w:sz w:val="16"/>
      </w:rPr>
      <w:fldChar w:fldCharType="separate"/>
    </w:r>
    <w:r w:rsidR="00BD6BB7">
      <w:rPr>
        <w:sz w:val="16"/>
      </w:rPr>
      <w:instrText>1</w:instrText>
    </w:r>
    <w:r w:rsidRPr="00B349D5">
      <w:rPr>
        <w:sz w:val="16"/>
      </w:rPr>
      <w:fldChar w:fldCharType="end"/>
    </w:r>
    <w:r w:rsidRPr="00B349D5">
      <w:rPr>
        <w:sz w:val="16"/>
      </w:rPr>
      <w:instrText>" = "1" "</w:instrText>
    </w:r>
    <w:r w:rsidRPr="00B349D5">
      <w:rPr>
        <w:sz w:val="16"/>
      </w:rPr>
      <w:fldChar w:fldCharType="begin"/>
    </w:r>
    <w:r w:rsidRPr="00B349D5">
      <w:rPr>
        <w:sz w:val="16"/>
      </w:rPr>
      <w:instrText xml:space="preserve"> DOCPROPERTY "SWDocID" </w:instrText>
    </w:r>
    <w:r w:rsidRPr="00B349D5">
      <w:rPr>
        <w:sz w:val="16"/>
      </w:rPr>
      <w:fldChar w:fldCharType="separate"/>
    </w:r>
    <w:r w:rsidR="00BD6BB7">
      <w:rPr>
        <w:sz w:val="16"/>
      </w:rPr>
      <w:instrText xml:space="preserve"> 5447794.25</w:instrText>
    </w:r>
    <w:r w:rsidRPr="00B349D5">
      <w:rPr>
        <w:sz w:val="16"/>
      </w:rPr>
      <w:fldChar w:fldCharType="end"/>
    </w:r>
    <w:r w:rsidRPr="00B349D5">
      <w:rPr>
        <w:sz w:val="16"/>
      </w:rPr>
      <w:instrText xml:space="preserve">" "" </w:instrText>
    </w:r>
    <w:r w:rsidRPr="00B349D5">
      <w:rPr>
        <w:sz w:val="16"/>
      </w:rPr>
      <w:fldChar w:fldCharType="separate"/>
    </w:r>
    <w:r w:rsidR="00BD6BB7">
      <w:rPr>
        <w:noProof/>
        <w:sz w:val="16"/>
      </w:rPr>
      <w:t xml:space="preserve"> 5447794.25</w:t>
    </w:r>
    <w:r w:rsidRPr="00B349D5">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5" w:rsidRPr="002165AE" w:rsidRDefault="00632775">
    <w:pPr>
      <w:pStyle w:val="Footer"/>
      <w:rPr>
        <w:sz w:val="20"/>
      </w:rPr>
    </w:pPr>
    <w:r w:rsidRPr="002165AE">
      <w:rPr>
        <w:sz w:val="20"/>
      </w:rPr>
      <w:t xml:space="preserve">PETITION FOR ADMINISTRATIVE REVIEW </w:t>
    </w:r>
  </w:p>
  <w:p w:rsidR="00632775" w:rsidRPr="002165AE" w:rsidRDefault="00632775">
    <w:pPr>
      <w:rPr>
        <w:sz w:val="22"/>
      </w:rPr>
    </w:pPr>
    <w:r w:rsidRPr="002165AE">
      <w:rPr>
        <w:sz w:val="20"/>
      </w:rPr>
      <w:t xml:space="preserve">OF </w:t>
    </w:r>
    <w:r>
      <w:rPr>
        <w:sz w:val="20"/>
      </w:rPr>
      <w:t xml:space="preserve">INITIAL </w:t>
    </w:r>
    <w:r w:rsidRPr="002165AE">
      <w:rPr>
        <w:sz w:val="20"/>
      </w:rPr>
      <w:t xml:space="preserve">ORDER NO. 12 BY RESPONDENT </w:t>
    </w:r>
    <w:r>
      <w:rPr>
        <w:sz w:val="20"/>
      </w:rPr>
      <w:t>WCI -</w:t>
    </w:r>
    <w:r w:rsidRPr="002165AE">
      <w:rPr>
        <w:sz w:val="20"/>
      </w:rPr>
      <w:fldChar w:fldCharType="begin"/>
    </w:r>
    <w:r w:rsidRPr="002165AE">
      <w:rPr>
        <w:sz w:val="20"/>
      </w:rPr>
      <w:instrText xml:space="preserve"> PAGE   \* MERGEFORMAT </w:instrText>
    </w:r>
    <w:r w:rsidRPr="002165AE">
      <w:rPr>
        <w:sz w:val="20"/>
      </w:rPr>
      <w:fldChar w:fldCharType="separate"/>
    </w:r>
    <w:r w:rsidR="001F7856">
      <w:rPr>
        <w:noProof/>
        <w:sz w:val="20"/>
      </w:rPr>
      <w:t>iv</w:t>
    </w:r>
    <w:r w:rsidRPr="002165AE">
      <w:rPr>
        <w:noProof/>
        <w:sz w:val="20"/>
      </w:rPr>
      <w:fldChar w:fldCharType="end"/>
    </w:r>
  </w:p>
  <w:p w:rsidR="00632775" w:rsidRPr="002165AE" w:rsidRDefault="00632775">
    <w:pPr>
      <w:pStyle w:val="Footer"/>
      <w:rPr>
        <w:sz w:val="20"/>
      </w:rPr>
    </w:pPr>
  </w:p>
  <w:p w:rsidR="00632775" w:rsidRDefault="00632775" w:rsidP="00823E4E">
    <w:pPr>
      <w:pStyle w:val="Footer"/>
    </w:pPr>
    <w:r>
      <w:rPr>
        <w:sz w:val="16"/>
      </w:rPr>
      <w:fldChar w:fldCharType="begin"/>
    </w:r>
    <w:r>
      <w:rPr>
        <w:sz w:val="16"/>
      </w:rPr>
      <w:instrText xml:space="preserve"> </w:instrText>
    </w:r>
    <w:r w:rsidRPr="00823E4E">
      <w:rPr>
        <w:sz w:val="16"/>
      </w:rPr>
      <w:instrText>IF "</w:instrText>
    </w:r>
    <w:r w:rsidRPr="00823E4E">
      <w:rPr>
        <w:sz w:val="16"/>
      </w:rPr>
      <w:fldChar w:fldCharType="begin"/>
    </w:r>
    <w:r w:rsidRPr="00823E4E">
      <w:rPr>
        <w:sz w:val="16"/>
      </w:rPr>
      <w:instrText xml:space="preserve"> DOCVARIABLE "SWDocIDLocation" </w:instrText>
    </w:r>
    <w:r w:rsidRPr="00823E4E">
      <w:rPr>
        <w:sz w:val="16"/>
      </w:rPr>
      <w:fldChar w:fldCharType="separate"/>
    </w:r>
    <w:r w:rsidR="00BD6BB7">
      <w:rPr>
        <w:sz w:val="16"/>
      </w:rPr>
      <w:instrText>1</w:instrText>
    </w:r>
    <w:r w:rsidRPr="00823E4E">
      <w:rPr>
        <w:sz w:val="16"/>
      </w:rPr>
      <w:fldChar w:fldCharType="end"/>
    </w:r>
    <w:r w:rsidRPr="00823E4E">
      <w:rPr>
        <w:sz w:val="16"/>
      </w:rPr>
      <w:instrText>" = "1" "</w:instrText>
    </w:r>
    <w:r w:rsidRPr="00823E4E">
      <w:rPr>
        <w:sz w:val="16"/>
      </w:rPr>
      <w:fldChar w:fldCharType="begin"/>
    </w:r>
    <w:r w:rsidRPr="00823E4E">
      <w:rPr>
        <w:sz w:val="16"/>
      </w:rPr>
      <w:instrText xml:space="preserve"> DOCPROPERTY "SWDocID" </w:instrText>
    </w:r>
    <w:r w:rsidRPr="00823E4E">
      <w:rPr>
        <w:sz w:val="16"/>
      </w:rPr>
      <w:fldChar w:fldCharType="separate"/>
    </w:r>
    <w:r w:rsidR="00BD6BB7">
      <w:rPr>
        <w:sz w:val="16"/>
      </w:rPr>
      <w:instrText xml:space="preserve"> 5447794.25</w:instrText>
    </w:r>
    <w:r w:rsidRPr="00823E4E">
      <w:rPr>
        <w:sz w:val="16"/>
      </w:rPr>
      <w:fldChar w:fldCharType="end"/>
    </w:r>
    <w:r w:rsidRPr="00823E4E">
      <w:rPr>
        <w:sz w:val="16"/>
      </w:rPr>
      <w:instrText>" ""</w:instrText>
    </w:r>
    <w:r>
      <w:rPr>
        <w:sz w:val="16"/>
      </w:rPr>
      <w:instrText xml:space="preserve"> </w:instrText>
    </w:r>
    <w:r>
      <w:rPr>
        <w:sz w:val="16"/>
      </w:rPr>
      <w:fldChar w:fldCharType="separate"/>
    </w:r>
    <w:r w:rsidR="00BD6BB7">
      <w:rPr>
        <w:noProof/>
        <w:sz w:val="16"/>
      </w:rPr>
      <w:t xml:space="preserve"> 5447794.25</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5" w:rsidRPr="002165AE" w:rsidRDefault="00632775">
    <w:pPr>
      <w:pStyle w:val="Footer"/>
      <w:rPr>
        <w:sz w:val="20"/>
      </w:rPr>
    </w:pPr>
    <w:r w:rsidRPr="002165AE">
      <w:rPr>
        <w:sz w:val="20"/>
      </w:rPr>
      <w:t xml:space="preserve">PETITION FOR ADMINISTRATIVE REVIEW </w:t>
    </w:r>
  </w:p>
  <w:p w:rsidR="00632775" w:rsidRPr="002165AE" w:rsidRDefault="00632775">
    <w:pPr>
      <w:rPr>
        <w:sz w:val="22"/>
      </w:rPr>
    </w:pPr>
    <w:r w:rsidRPr="002165AE">
      <w:rPr>
        <w:sz w:val="20"/>
      </w:rPr>
      <w:t xml:space="preserve">OF </w:t>
    </w:r>
    <w:r>
      <w:rPr>
        <w:sz w:val="20"/>
      </w:rPr>
      <w:t xml:space="preserve">INITIAL </w:t>
    </w:r>
    <w:r w:rsidRPr="002165AE">
      <w:rPr>
        <w:sz w:val="20"/>
      </w:rPr>
      <w:t xml:space="preserve">ORDER NO. 12 BY RESPONDENT </w:t>
    </w:r>
    <w:r>
      <w:rPr>
        <w:sz w:val="20"/>
      </w:rPr>
      <w:t>WCI -</w:t>
    </w:r>
    <w:r w:rsidRPr="002165AE">
      <w:rPr>
        <w:sz w:val="20"/>
      </w:rPr>
      <w:fldChar w:fldCharType="begin"/>
    </w:r>
    <w:r w:rsidRPr="002165AE">
      <w:rPr>
        <w:sz w:val="20"/>
      </w:rPr>
      <w:instrText xml:space="preserve"> PAGE   \* MERGEFORMAT </w:instrText>
    </w:r>
    <w:r w:rsidRPr="002165AE">
      <w:rPr>
        <w:sz w:val="20"/>
      </w:rPr>
      <w:fldChar w:fldCharType="separate"/>
    </w:r>
    <w:r w:rsidR="001F7856">
      <w:rPr>
        <w:noProof/>
        <w:sz w:val="20"/>
      </w:rPr>
      <w:t>37</w:t>
    </w:r>
    <w:r w:rsidRPr="002165AE">
      <w:rPr>
        <w:noProof/>
        <w:sz w:val="20"/>
      </w:rPr>
      <w:fldChar w:fldCharType="end"/>
    </w:r>
  </w:p>
  <w:p w:rsidR="00632775" w:rsidRPr="002165AE" w:rsidRDefault="00632775">
    <w:pPr>
      <w:pStyle w:val="Footer"/>
      <w:rPr>
        <w:sz w:val="20"/>
      </w:rPr>
    </w:pPr>
  </w:p>
  <w:p w:rsidR="00632775" w:rsidRDefault="00632775" w:rsidP="00823E4E">
    <w:pPr>
      <w:pStyle w:val="Footer"/>
    </w:pPr>
    <w:r>
      <w:rPr>
        <w:sz w:val="16"/>
      </w:rPr>
      <w:fldChar w:fldCharType="begin"/>
    </w:r>
    <w:r>
      <w:rPr>
        <w:sz w:val="16"/>
      </w:rPr>
      <w:instrText xml:space="preserve"> </w:instrText>
    </w:r>
    <w:r w:rsidRPr="00823E4E">
      <w:rPr>
        <w:sz w:val="16"/>
      </w:rPr>
      <w:instrText>IF "</w:instrText>
    </w:r>
    <w:r w:rsidRPr="00823E4E">
      <w:rPr>
        <w:sz w:val="16"/>
      </w:rPr>
      <w:fldChar w:fldCharType="begin"/>
    </w:r>
    <w:r w:rsidRPr="00823E4E">
      <w:rPr>
        <w:sz w:val="16"/>
      </w:rPr>
      <w:instrText xml:space="preserve"> DOCVARIABLE "SWDocIDLocation" </w:instrText>
    </w:r>
    <w:r w:rsidRPr="00823E4E">
      <w:rPr>
        <w:sz w:val="16"/>
      </w:rPr>
      <w:fldChar w:fldCharType="separate"/>
    </w:r>
    <w:r w:rsidR="00BD6BB7">
      <w:rPr>
        <w:sz w:val="16"/>
      </w:rPr>
      <w:instrText>1</w:instrText>
    </w:r>
    <w:r w:rsidRPr="00823E4E">
      <w:rPr>
        <w:sz w:val="16"/>
      </w:rPr>
      <w:fldChar w:fldCharType="end"/>
    </w:r>
    <w:r w:rsidRPr="00823E4E">
      <w:rPr>
        <w:sz w:val="16"/>
      </w:rPr>
      <w:instrText>" = "1" "</w:instrText>
    </w:r>
    <w:r w:rsidRPr="00823E4E">
      <w:rPr>
        <w:sz w:val="16"/>
      </w:rPr>
      <w:fldChar w:fldCharType="begin"/>
    </w:r>
    <w:r w:rsidRPr="00823E4E">
      <w:rPr>
        <w:sz w:val="16"/>
      </w:rPr>
      <w:instrText xml:space="preserve"> DOCPROPERTY "SWDocID" </w:instrText>
    </w:r>
    <w:r w:rsidRPr="00823E4E">
      <w:rPr>
        <w:sz w:val="16"/>
      </w:rPr>
      <w:fldChar w:fldCharType="separate"/>
    </w:r>
    <w:r w:rsidR="00BD6BB7">
      <w:rPr>
        <w:sz w:val="16"/>
      </w:rPr>
      <w:instrText xml:space="preserve"> 5447794.25</w:instrText>
    </w:r>
    <w:r w:rsidRPr="00823E4E">
      <w:rPr>
        <w:sz w:val="16"/>
      </w:rPr>
      <w:fldChar w:fldCharType="end"/>
    </w:r>
    <w:r w:rsidRPr="00823E4E">
      <w:rPr>
        <w:sz w:val="16"/>
      </w:rPr>
      <w:instrText>" ""</w:instrText>
    </w:r>
    <w:r>
      <w:rPr>
        <w:sz w:val="16"/>
      </w:rPr>
      <w:instrText xml:space="preserve"> </w:instrText>
    </w:r>
    <w:r>
      <w:rPr>
        <w:sz w:val="16"/>
      </w:rPr>
      <w:fldChar w:fldCharType="separate"/>
    </w:r>
    <w:r w:rsidR="00BD6BB7">
      <w:rPr>
        <w:noProof/>
        <w:sz w:val="16"/>
      </w:rPr>
      <w:t xml:space="preserve"> 5447794.25</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75" w:rsidRPr="00B349D5" w:rsidRDefault="00632775">
      <w:r w:rsidRPr="00B349D5">
        <w:separator/>
      </w:r>
    </w:p>
  </w:footnote>
  <w:footnote w:type="continuationSeparator" w:id="0">
    <w:p w:rsidR="00632775" w:rsidRPr="00B349D5" w:rsidRDefault="00632775">
      <w:r w:rsidRPr="00B349D5">
        <w:continuationSeparator/>
      </w:r>
    </w:p>
  </w:footnote>
  <w:footnote w:id="1">
    <w:p w:rsidR="00632775" w:rsidRPr="00B349D5" w:rsidRDefault="00632775">
      <w:pPr>
        <w:pStyle w:val="FootnoteText"/>
      </w:pPr>
      <w:r w:rsidRPr="00B349D5">
        <w:rPr>
          <w:rStyle w:val="FootnoteReference"/>
        </w:rPr>
        <w:footnoteRef/>
      </w:r>
      <w:r w:rsidRPr="00B349D5">
        <w:t xml:space="preserve"> “Generally, under the appearance of fairness doc</w:t>
      </w:r>
      <w:r w:rsidR="00B97416">
        <w:t>tr</w:t>
      </w:r>
      <w:r w:rsidRPr="00B349D5">
        <w:t>ine, proceedings before adminis</w:t>
      </w:r>
      <w:r w:rsidR="00B97416">
        <w:t>tr</w:t>
      </w:r>
      <w:r w:rsidRPr="00B349D5">
        <w:t xml:space="preserve">ative </w:t>
      </w:r>
      <w:r w:rsidR="00B97416">
        <w:t>tr</w:t>
      </w:r>
      <w:r w:rsidRPr="00B349D5">
        <w:t>ibunals acting in a quasi-judicial capacity are valid only if a reasonably prudent and disinterested observer would conclude that all parties obtained a fair, impartial, and neu</w:t>
      </w:r>
      <w:r w:rsidR="00AB5F86">
        <w:t>tr</w:t>
      </w:r>
      <w:r w:rsidRPr="00B349D5">
        <w:t>al hearing.  Under the appearance of fairness doc</w:t>
      </w:r>
      <w:r w:rsidR="00AB5F86">
        <w:t>tr</w:t>
      </w:r>
      <w:r w:rsidRPr="00B349D5">
        <w:t xml:space="preserve">ine, it is not necessary to show that a decision-maker's bias actually affected the outcome, only that it could have.”  </w:t>
      </w:r>
      <w:r w:rsidRPr="00B349D5">
        <w:fldChar w:fldCharType="begin"/>
      </w:r>
      <w:r w:rsidRPr="00B349D5">
        <w:instrText xml:space="preserve"> ADDIN BA \xc &lt;@cs&gt; \xl 140 \s ECSSJP000006 \xhfl Rep \l "</w:instrText>
      </w:r>
      <w:r w:rsidRPr="00B349D5">
        <w:rPr>
          <w:i/>
          <w:iCs/>
          <w:sz w:val="24"/>
        </w:rPr>
        <w:instrText>Nationscapital v. Dep't of Fin. Insts.,</w:instrText>
      </w:r>
      <w:r w:rsidRPr="00B349D5">
        <w:rPr>
          <w:iCs/>
          <w:sz w:val="24"/>
        </w:rPr>
        <w:instrText xml:space="preserve"> &lt;SoftRt&gt;</w:instrText>
      </w:r>
      <w:r w:rsidRPr="00B349D5">
        <w:rPr>
          <w:sz w:val="24"/>
        </w:rPr>
        <w:instrText>133 Wn. App. 723, 137 P.3d 78, 2006 Wash. App. LEXIS 1288 (Wash. Ct. App. 2006)</w:instrText>
      </w:r>
      <w:r w:rsidRPr="00B349D5">
        <w:instrText xml:space="preserve">" </w:instrText>
      </w:r>
      <w:r w:rsidRPr="00B349D5">
        <w:fldChar w:fldCharType="end"/>
      </w:r>
      <w:bookmarkStart w:id="14" w:name="_BA_Cite_121"/>
      <w:proofErr w:type="spellStart"/>
      <w:r w:rsidRPr="00B349D5">
        <w:rPr>
          <w:i/>
          <w:iCs/>
        </w:rPr>
        <w:t>Nationscapital</w:t>
      </w:r>
      <w:proofErr w:type="spellEnd"/>
      <w:r w:rsidRPr="00B349D5">
        <w:rPr>
          <w:i/>
          <w:iCs/>
        </w:rPr>
        <w:t xml:space="preserve"> v. Dep't of Fin. </w:t>
      </w:r>
      <w:proofErr w:type="spellStart"/>
      <w:r w:rsidRPr="00B349D5">
        <w:rPr>
          <w:i/>
          <w:iCs/>
        </w:rPr>
        <w:t>Insts</w:t>
      </w:r>
      <w:proofErr w:type="spellEnd"/>
      <w:r w:rsidRPr="00B349D5">
        <w:rPr>
          <w:i/>
          <w:iCs/>
        </w:rPr>
        <w:t xml:space="preserve">., </w:t>
      </w:r>
      <w:r w:rsidRPr="00B349D5">
        <w:t xml:space="preserve">133 </w:t>
      </w:r>
      <w:proofErr w:type="spellStart"/>
      <w:r w:rsidRPr="00B349D5">
        <w:t>Wn</w:t>
      </w:r>
      <w:proofErr w:type="spellEnd"/>
      <w:r w:rsidRPr="00B349D5">
        <w:t xml:space="preserve">. App. 723, 758-759, 137 </w:t>
      </w:r>
      <w:proofErr w:type="spellStart"/>
      <w:r w:rsidRPr="00B349D5">
        <w:t>P.3d</w:t>
      </w:r>
      <w:proofErr w:type="spellEnd"/>
      <w:r w:rsidRPr="00B349D5">
        <w:t xml:space="preserve"> 78, 96, 2006 Wash. App. LEXIS 1288, *51-52 (Wash. Ct. App. 2006)</w:t>
      </w:r>
      <w:bookmarkEnd w:id="14"/>
      <w:r w:rsidRPr="00B349D5">
        <w:t xml:space="preserve"> (internal quotations omitted).</w:t>
      </w:r>
    </w:p>
  </w:footnote>
  <w:footnote w:id="2">
    <w:p w:rsidR="00632775" w:rsidRPr="00B349D5" w:rsidRDefault="00632775">
      <w:pPr>
        <w:pStyle w:val="FootnoteText"/>
      </w:pPr>
      <w:r w:rsidRPr="00B349D5">
        <w:rPr>
          <w:rStyle w:val="FootnoteReference"/>
        </w:rPr>
        <w:footnoteRef/>
      </w:r>
      <w:r w:rsidRPr="00B349D5">
        <w:t xml:space="preserve"> While non-adjudicated cases are technically subject to “recommendation” by the Staff, in reality, Staff positions on individual detailed accounting adjustments, unless adjudicated, are only subject to effective ratification by the Commissioners at the Open Meeting in the case of almost all solid waste general rate filings since, as frequently noted in this record, there has not been a contested solid waste rate case going to Final Order since 1994.</w:t>
      </w:r>
    </w:p>
  </w:footnote>
  <w:footnote w:id="3">
    <w:p w:rsidR="00632775" w:rsidRPr="00B349D5" w:rsidRDefault="00632775" w:rsidP="00DC3011">
      <w:pPr>
        <w:pStyle w:val="FootnoteText"/>
      </w:pPr>
      <w:r w:rsidRPr="00B349D5">
        <w:rPr>
          <w:rStyle w:val="FootnoteReference"/>
        </w:rPr>
        <w:footnoteRef/>
      </w:r>
      <w:r w:rsidRPr="00B349D5">
        <w:t xml:space="preserve"> Docket No. A-130355, Rulemaking to Consider Possible Corrections and Changes in Rules in </w:t>
      </w:r>
      <w:r w:rsidRPr="00B349D5">
        <w:fldChar w:fldCharType="begin"/>
      </w:r>
      <w:r w:rsidRPr="00B349D5">
        <w:instrText xml:space="preserve"> ADDIN BA \xc &lt;@reg&gt; \xl 10 \s ECSSJP000007 \l "</w:instrText>
      </w:r>
      <w:r w:rsidRPr="00B349D5">
        <w:rPr>
          <w:sz w:val="24"/>
        </w:rPr>
        <w:instrText>WAC 480-07</w:instrText>
      </w:r>
      <w:r w:rsidRPr="00B349D5">
        <w:instrText xml:space="preserve">" </w:instrText>
      </w:r>
      <w:r w:rsidRPr="00B349D5">
        <w:fldChar w:fldCharType="end"/>
      </w:r>
      <w:bookmarkStart w:id="16" w:name="_BA_Cite_122"/>
      <w:r w:rsidRPr="00B349D5">
        <w:t>WAC 480-07</w:t>
      </w:r>
      <w:bookmarkEnd w:id="16"/>
      <w:r w:rsidRPr="00B349D5">
        <w:t xml:space="preserve">, Relating to Procedural Rules. </w:t>
      </w:r>
    </w:p>
    <w:p w:rsidR="00632775" w:rsidRPr="00B349D5" w:rsidRDefault="00632775" w:rsidP="00976E09">
      <w:pPr>
        <w:pStyle w:val="FootnoteText"/>
      </w:pPr>
      <w:r w:rsidRPr="00B349D5">
        <w:t xml:space="preserve">Docket No. TG-131255, Inquiry to Consider Methods for Setting Rates for Solid Waste Collection Companies Pursuant to </w:t>
      </w:r>
      <w:r w:rsidRPr="00B349D5">
        <w:fldChar w:fldCharType="begin"/>
      </w:r>
      <w:r w:rsidRPr="00B349D5">
        <w:instrText xml:space="preserve"> ADDIN BA \xc &lt;@reg&gt; \xl 10 \s ECSSJP000008 \l "</w:instrText>
      </w:r>
      <w:r w:rsidRPr="00B349D5">
        <w:rPr>
          <w:sz w:val="24"/>
        </w:rPr>
        <w:instrText>WAC 480-70</w:instrText>
      </w:r>
      <w:r w:rsidRPr="00B349D5">
        <w:instrText xml:space="preserve">" </w:instrText>
      </w:r>
      <w:r w:rsidRPr="00B349D5">
        <w:fldChar w:fldCharType="end"/>
      </w:r>
      <w:bookmarkStart w:id="17" w:name="_BA_Cite_123"/>
      <w:r w:rsidRPr="00B349D5">
        <w:t>WAC 480-70</w:t>
      </w:r>
      <w:bookmarkEnd w:id="17"/>
      <w:r w:rsidRPr="00B349D5">
        <w:t>.</w:t>
      </w:r>
    </w:p>
  </w:footnote>
  <w:footnote w:id="4">
    <w:p w:rsidR="00632775" w:rsidRPr="00B349D5" w:rsidRDefault="00632775" w:rsidP="00150EB3">
      <w:pPr>
        <w:pStyle w:val="FootnoteText"/>
      </w:pPr>
      <w:r w:rsidRPr="00B349D5">
        <w:rPr>
          <w:rStyle w:val="FootnoteReference"/>
        </w:rPr>
        <w:footnoteRef/>
      </w:r>
      <w:r w:rsidRPr="00B349D5">
        <w:t xml:space="preserve"> Attesting as well, in this Petitioner’s and the indus</w:t>
      </w:r>
      <w:r w:rsidR="00A638CF">
        <w:t>tr</w:t>
      </w:r>
      <w:r w:rsidRPr="00B349D5">
        <w:t xml:space="preserve">y’s view, as to why SB 6019 in the </w:t>
      </w:r>
      <w:r w:rsidRPr="00B349D5">
        <w:fldChar w:fldCharType="begin"/>
      </w:r>
      <w:r w:rsidRPr="00B349D5">
        <w:instrText xml:space="preserve"> ADDIN BA \xc &lt;@oppt&gt; \xl 15 \s ECSSJP000048 \l "</w:instrText>
      </w:r>
      <w:r w:rsidRPr="00B349D5">
        <w:rPr>
          <w:sz w:val="24"/>
        </w:rPr>
        <w:instrText>2015 Washington</w:instrText>
      </w:r>
      <w:r w:rsidRPr="00B349D5">
        <w:instrText xml:space="preserve">" </w:instrText>
      </w:r>
      <w:r w:rsidRPr="00B349D5">
        <w:fldChar w:fldCharType="end"/>
      </w:r>
      <w:bookmarkStart w:id="18" w:name="_BA_Cite_124"/>
      <w:r w:rsidRPr="00B349D5">
        <w:t>2015 Washington</w:t>
      </w:r>
      <w:bookmarkEnd w:id="18"/>
      <w:r w:rsidRPr="00B349D5">
        <w:t xml:space="preserve"> State Legislature was particularly flawed in eliminating the option of agency review of Initial Orders.</w:t>
      </w:r>
    </w:p>
  </w:footnote>
  <w:footnote w:id="5">
    <w:p w:rsidR="00632775" w:rsidRPr="00B349D5" w:rsidRDefault="00632775" w:rsidP="00E07E58">
      <w:pPr>
        <w:pStyle w:val="FootnoteText"/>
      </w:pPr>
      <w:r w:rsidRPr="00B349D5">
        <w:rPr>
          <w:rStyle w:val="FootnoteReference"/>
        </w:rPr>
        <w:footnoteRef/>
      </w:r>
      <w:r w:rsidRPr="00B349D5">
        <w:t xml:space="preserve"> Joint Motion to Amend Procedural Schedule of October 27, 2014, ¶9, p. 3.</w:t>
      </w:r>
    </w:p>
  </w:footnote>
  <w:footnote w:id="6">
    <w:p w:rsidR="00632775" w:rsidRPr="00B349D5" w:rsidRDefault="00632775" w:rsidP="006E44BB">
      <w:pPr>
        <w:pStyle w:val="FootnoteText"/>
      </w:pPr>
      <w:r w:rsidRPr="00B349D5">
        <w:rPr>
          <w:rStyle w:val="FootnoteReference"/>
        </w:rPr>
        <w:footnoteRef/>
      </w:r>
      <w:r w:rsidRPr="00B349D5">
        <w:t xml:space="preserve"> While the </w:t>
      </w:r>
      <w:r w:rsidRPr="00B349D5">
        <w:fldChar w:fldCharType="begin"/>
      </w:r>
      <w:r w:rsidRPr="00B349D5">
        <w:instrText xml:space="preserve"> ADDIN BA \xc &lt;@rec&gt; \xl 34 \s ECSSJP000050 \l "</w:instrText>
      </w:r>
      <w:r w:rsidRPr="00B349D5">
        <w:rPr>
          <w:sz w:val="24"/>
        </w:rPr>
        <w:instrText>Initial Order at footnote 13, p. 4</w:instrText>
      </w:r>
      <w:r w:rsidRPr="00B349D5">
        <w:instrText xml:space="preserve">" </w:instrText>
      </w:r>
      <w:r w:rsidRPr="00B349D5">
        <w:fldChar w:fldCharType="end"/>
      </w:r>
      <w:bookmarkStart w:id="23" w:name="_BA_Cite_128"/>
      <w:r w:rsidRPr="00B349D5">
        <w:t>Initial Order at footnote 13, p. 4</w:t>
      </w:r>
      <w:bookmarkEnd w:id="23"/>
      <w:r w:rsidRPr="00B349D5">
        <w:t xml:space="preserve"> describes that supplemental Company testimony as “unsolicited,” that filing was always intended by the Company as part of its presentation on the remaining contested issues and was hardly a surprise to Staff as indeed the adminis</w:t>
      </w:r>
      <w:r w:rsidR="00A638CF">
        <w:t>tr</w:t>
      </w:r>
      <w:r w:rsidRPr="00B349D5">
        <w:t xml:space="preserve">ative law judge herself had previously found in </w:t>
      </w:r>
      <w:r w:rsidRPr="00B349D5">
        <w:fldChar w:fldCharType="begin"/>
      </w:r>
      <w:r w:rsidRPr="00B349D5">
        <w:instrText xml:space="preserve"> ADDIN BA \xc &lt;@reg&gt; \xl 27 \s ECSSJP000010 \l "</w:instrText>
      </w:r>
      <w:r w:rsidRPr="00B349D5">
        <w:rPr>
          <w:sz w:val="24"/>
        </w:rPr>
        <w:instrText>Initial Order 10, ¶ 14, p. 6</w:instrText>
      </w:r>
      <w:r w:rsidRPr="00B349D5">
        <w:instrText xml:space="preserve">" </w:instrText>
      </w:r>
      <w:r w:rsidRPr="00B349D5">
        <w:fldChar w:fldCharType="end"/>
      </w:r>
      <w:bookmarkStart w:id="24" w:name="_BA_Cite_129"/>
      <w:r w:rsidRPr="00B349D5">
        <w:t>Initial Order 10, ¶14, p. 6</w:t>
      </w:r>
      <w:bookmarkEnd w:id="24"/>
      <w:r w:rsidRPr="00B349D5">
        <w:t xml:space="preserve">. </w:t>
      </w:r>
    </w:p>
  </w:footnote>
  <w:footnote w:id="7">
    <w:p w:rsidR="00632775" w:rsidRPr="00B349D5" w:rsidRDefault="00632775">
      <w:pPr>
        <w:pStyle w:val="FootnoteText"/>
      </w:pPr>
      <w:r w:rsidRPr="00B349D5">
        <w:rPr>
          <w:rStyle w:val="FootnoteReference"/>
        </w:rPr>
        <w:footnoteRef/>
      </w:r>
      <w:r w:rsidRPr="00B349D5">
        <w:t xml:space="preserve"> As with land rents, the historical auditor allowance of a one-third allocation for utility expense is commensurate with the actual space occupied by each of the three companies.  </w:t>
      </w:r>
      <w:r w:rsidRPr="00B349D5">
        <w:rPr>
          <w:i/>
        </w:rPr>
        <w:t xml:space="preserve">See </w:t>
      </w:r>
      <w:r w:rsidRPr="00B349D5">
        <w:t xml:space="preserve">footnote 3, </w:t>
      </w:r>
      <w:r w:rsidRPr="00B349D5">
        <w:fldChar w:fldCharType="begin"/>
      </w:r>
      <w:r w:rsidRPr="00B349D5">
        <w:instrText xml:space="preserve"> ADDIN BA \xc &lt;@rec&gt; \xl 37 \s ECSSJP000052 \l "</w:instrText>
      </w:r>
      <w:r w:rsidRPr="00B349D5">
        <w:rPr>
          <w:sz w:val="24"/>
        </w:rPr>
        <w:instrText>Waste Control Reply Brief at ¶7, p. 4</w:instrText>
      </w:r>
      <w:r w:rsidRPr="00B349D5">
        <w:instrText xml:space="preserve">" </w:instrText>
      </w:r>
      <w:r w:rsidRPr="00B349D5">
        <w:fldChar w:fldCharType="end"/>
      </w:r>
      <w:bookmarkStart w:id="36" w:name="_BA_Cite_139"/>
      <w:r w:rsidRPr="00B349D5">
        <w:t>Waste Con</w:t>
      </w:r>
      <w:r w:rsidR="00A638CF">
        <w:t>tr</w:t>
      </w:r>
      <w:r w:rsidRPr="00B349D5">
        <w:t>ol Reply Brief at ¶7, p. 4</w:t>
      </w:r>
      <w:bookmarkEnd w:id="36"/>
      <w:r w:rsidRPr="00B349D5">
        <w:t>.</w:t>
      </w:r>
    </w:p>
  </w:footnote>
  <w:footnote w:id="8">
    <w:p w:rsidR="00632775" w:rsidRPr="00B349D5" w:rsidRDefault="00632775">
      <w:pPr>
        <w:pStyle w:val="FootnoteText"/>
      </w:pPr>
      <w:r w:rsidRPr="00B349D5">
        <w:rPr>
          <w:rStyle w:val="FootnoteReference"/>
        </w:rPr>
        <w:footnoteRef/>
      </w:r>
      <w:r w:rsidRPr="00B349D5">
        <w:t xml:space="preserve"> Consisting of gross revenues, fixed asset values and number of employees. </w:t>
      </w:r>
      <w:r w:rsidRPr="00B349D5">
        <w:rPr>
          <w:i/>
        </w:rPr>
        <w:t>See</w:t>
      </w:r>
      <w:r w:rsidRPr="00B349D5">
        <w:t xml:space="preserve">. </w:t>
      </w:r>
      <w:r w:rsidRPr="00B349D5">
        <w:fldChar w:fldCharType="begin"/>
      </w:r>
      <w:r w:rsidRPr="00B349D5">
        <w:instrText xml:space="preserve"> ADDIN BA \xc &lt;@rec&gt; \xl 24 \s ECSSJP000053 \l "</w:instrText>
      </w:r>
      <w:r w:rsidRPr="00B349D5">
        <w:rPr>
          <w:sz w:val="24"/>
        </w:rPr>
        <w:instrText>Staff Initial Brief, ¶10</w:instrText>
      </w:r>
      <w:r w:rsidRPr="00B349D5">
        <w:instrText xml:space="preserve">" </w:instrText>
      </w:r>
      <w:r w:rsidRPr="00B349D5">
        <w:fldChar w:fldCharType="end"/>
      </w:r>
      <w:bookmarkStart w:id="37" w:name="_BA_Cite_140"/>
      <w:r w:rsidRPr="00B349D5">
        <w:t>Staff Initial Brief, ¶10</w:t>
      </w:r>
      <w:bookmarkEnd w:id="37"/>
      <w:r w:rsidRPr="00B349D5">
        <w:t xml:space="preserve">, </w:t>
      </w:r>
      <w:r w:rsidRPr="00B349D5">
        <w:fldChar w:fldCharType="begin"/>
      </w:r>
      <w:r w:rsidRPr="00B349D5">
        <w:instrText xml:space="preserve"> ADDIN BA \xc &lt;@rec&gt; \xl 22 \s ECSSJP000054 \l "</w:instrText>
      </w:r>
      <w:r w:rsidRPr="00B349D5">
        <w:rPr>
          <w:sz w:val="24"/>
        </w:rPr>
        <w:instrText>Cheesman, TR 152:11.14</w:instrText>
      </w:r>
      <w:r w:rsidRPr="00B349D5">
        <w:instrText xml:space="preserve">" </w:instrText>
      </w:r>
      <w:r w:rsidRPr="00B349D5">
        <w:fldChar w:fldCharType="end"/>
      </w:r>
      <w:bookmarkStart w:id="38" w:name="_BA_Cite_141"/>
      <w:r w:rsidRPr="00B349D5">
        <w:t xml:space="preserve">Cheesman, </w:t>
      </w:r>
      <w:r w:rsidR="00B97416">
        <w:t>TR.</w:t>
      </w:r>
      <w:r w:rsidRPr="00B349D5">
        <w:t xml:space="preserve"> 152:11.14</w:t>
      </w:r>
      <w:bookmarkEnd w:id="38"/>
      <w:r w:rsidRPr="00B349D5">
        <w:t xml:space="preserve"> </w:t>
      </w:r>
      <w:r w:rsidRPr="00B349D5">
        <w:fldChar w:fldCharType="begin"/>
      </w:r>
      <w:r w:rsidRPr="00B349D5">
        <w:instrText xml:space="preserve"> ADDIN BA \xc &lt;@rec&gt; \xl 28 \s ECSSJP000055 \l "</w:instrText>
      </w:r>
      <w:r w:rsidRPr="00B349D5">
        <w:rPr>
          <w:sz w:val="24"/>
        </w:rPr>
        <w:instrText>and Initial Order ¶24, p. 10</w:instrText>
      </w:r>
      <w:r w:rsidRPr="00B349D5">
        <w:instrText xml:space="preserve">" </w:instrText>
      </w:r>
      <w:r w:rsidRPr="00B349D5">
        <w:fldChar w:fldCharType="end"/>
      </w:r>
      <w:bookmarkStart w:id="39" w:name="_BA_Cite_142"/>
      <w:r w:rsidRPr="00B349D5">
        <w:t>and Initial Order ¶24, p. 10</w:t>
      </w:r>
      <w:bookmarkEnd w:id="39"/>
      <w:r w:rsidRPr="00B349D5">
        <w:t>.</w:t>
      </w:r>
    </w:p>
  </w:footnote>
  <w:footnote w:id="9">
    <w:p w:rsidR="00632775" w:rsidRPr="00B349D5" w:rsidRDefault="00632775">
      <w:pPr>
        <w:pStyle w:val="FootnoteText"/>
      </w:pPr>
      <w:r w:rsidRPr="00B349D5">
        <w:rPr>
          <w:rStyle w:val="FootnoteReference"/>
        </w:rPr>
        <w:footnoteRef/>
      </w:r>
      <w:r w:rsidRPr="00B349D5">
        <w:t xml:space="preserve"> And particularly, the Company, in its </w:t>
      </w:r>
      <w:r w:rsidRPr="00B349D5">
        <w:fldChar w:fldCharType="begin"/>
      </w:r>
      <w:r w:rsidRPr="00B349D5">
        <w:instrText xml:space="preserve"> ADDIN BA \xc &lt;@rec&gt; \xl 25 \s ECSSJP000057 \l "</w:instrText>
      </w:r>
      <w:r w:rsidRPr="00B349D5">
        <w:rPr>
          <w:sz w:val="24"/>
        </w:rPr>
        <w:instrText>Reply Brief at pages 8-14</w:instrText>
      </w:r>
      <w:r w:rsidRPr="00B349D5">
        <w:instrText xml:space="preserve">" </w:instrText>
      </w:r>
      <w:r w:rsidRPr="00B349D5">
        <w:fldChar w:fldCharType="end"/>
      </w:r>
      <w:bookmarkStart w:id="41" w:name="_BA_Cite_144"/>
      <w:r w:rsidRPr="00B349D5">
        <w:t>Reply Brief at pages 8-14</w:t>
      </w:r>
      <w:bookmarkEnd w:id="41"/>
      <w:r w:rsidRPr="00B349D5">
        <w:t>.</w:t>
      </w:r>
    </w:p>
  </w:footnote>
  <w:footnote w:id="10">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&lt;@reg&gt; \xl 28 \s ECSSJP000018 \l "</w:instrText>
      </w:r>
      <w:r w:rsidRPr="00B349D5">
        <w:rPr>
          <w:sz w:val="24"/>
        </w:rPr>
        <w:instrText>Initial Order 12, ¶ 33, p. 12</w:instrText>
      </w:r>
      <w:r w:rsidRPr="00B349D5">
        <w:instrText xml:space="preserve">" </w:instrText>
      </w:r>
      <w:r w:rsidRPr="00B349D5">
        <w:fldChar w:fldCharType="end"/>
      </w:r>
      <w:bookmarkStart w:id="43" w:name="_BA_Cite_146"/>
      <w:r w:rsidRPr="00B349D5">
        <w:t>Initial Order 12, ¶33, p. 12</w:t>
      </w:r>
      <w:bookmarkEnd w:id="43"/>
      <w:r w:rsidRPr="00B349D5">
        <w:t>.</w:t>
      </w:r>
    </w:p>
  </w:footnote>
  <w:footnote w:id="11">
    <w:p w:rsidR="00632775" w:rsidRPr="00B349D5" w:rsidRDefault="00632775">
      <w:pPr>
        <w:pStyle w:val="FootnoteText"/>
      </w:pPr>
      <w:r w:rsidRPr="00B349D5">
        <w:rPr>
          <w:rStyle w:val="FootnoteReference"/>
        </w:rPr>
        <w:footnoteRef/>
      </w:r>
      <w:r w:rsidRPr="00B349D5">
        <w:t xml:space="preserve"> For references to shared costs involving affiliate properties including utilities </w:t>
      </w:r>
      <w:r w:rsidRPr="00B349D5">
        <w:rPr>
          <w:i/>
        </w:rPr>
        <w:t>see</w:t>
      </w:r>
      <w:r w:rsidRPr="00B349D5">
        <w:t xml:space="preserve"> </w:t>
      </w:r>
      <w:r w:rsidRPr="00B349D5">
        <w:fldChar w:fldCharType="begin"/>
      </w:r>
      <w:r w:rsidRPr="00B349D5">
        <w:instrText xml:space="preserve"> ADDIN BA \xc &lt;@rec&gt; \xl 13 \s ECSSJP000059 \l "</w:instrText>
      </w:r>
      <w:r w:rsidRPr="00B349D5">
        <w:rPr>
          <w:sz w:val="24"/>
        </w:rPr>
        <w:instrText>Exhibit JD-43</w:instrText>
      </w:r>
      <w:r w:rsidRPr="00B349D5">
        <w:instrText xml:space="preserve">" </w:instrText>
      </w:r>
      <w:r w:rsidRPr="00B349D5">
        <w:fldChar w:fldCharType="end"/>
      </w:r>
      <w:bookmarkStart w:id="44" w:name="_BA_Cite_147"/>
      <w:r w:rsidRPr="00B349D5">
        <w:t>Exhibit JD-43</w:t>
      </w:r>
      <w:bookmarkEnd w:id="44"/>
      <w:r w:rsidRPr="00B349D5">
        <w:t>, Land Rents Calculations, p. 5 and accompanying general ledger pages and average investment calculations attached.</w:t>
      </w:r>
    </w:p>
  </w:footnote>
  <w:footnote w:id="12">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&lt;@rec&gt; \xl 21 \s ECSSJP000061 \l "</w:instrText>
      </w:r>
      <w:r w:rsidRPr="00B349D5">
        <w:rPr>
          <w:sz w:val="24"/>
        </w:rPr>
        <w:instrText>Cheesman, TR 231:6-10</w:instrText>
      </w:r>
      <w:r w:rsidRPr="00B349D5">
        <w:instrText xml:space="preserve">" </w:instrText>
      </w:r>
      <w:r w:rsidRPr="00B349D5">
        <w:fldChar w:fldCharType="end"/>
      </w:r>
      <w:bookmarkStart w:id="46" w:name="_BA_Cite_149"/>
      <w:r w:rsidRPr="00B349D5">
        <w:t xml:space="preserve">Cheesman, </w:t>
      </w:r>
      <w:r w:rsidR="00B97416">
        <w:t>TR.</w:t>
      </w:r>
      <w:r w:rsidRPr="00B349D5">
        <w:t xml:space="preserve"> 231:6-10</w:t>
      </w:r>
      <w:bookmarkEnd w:id="46"/>
      <w:r w:rsidRPr="00B349D5">
        <w:t>.</w:t>
      </w:r>
    </w:p>
  </w:footnote>
  <w:footnote w:id="13">
    <w:p w:rsidR="00632775" w:rsidRPr="00B349D5" w:rsidRDefault="00632775" w:rsidP="00DE2351">
      <w:pPr>
        <w:pStyle w:val="FootnoteText"/>
      </w:pPr>
      <w:r w:rsidRPr="00B349D5">
        <w:rPr>
          <w:rStyle w:val="FootnoteReference"/>
        </w:rPr>
        <w:footnoteRef/>
      </w:r>
      <w:r w:rsidRPr="00B349D5">
        <w:t xml:space="preserve"> It is indeed difficult to fathom why the Commission would reject the testimony of an almost 25-year career rate analyst and Commission accounting advisor who has performed scores, possibly hundreds, of general rate cases audits for solid waste collection companies on this topic and adopt instead, an admittedly creatively-hatched methodology by a new rate auditor to apportion shared utility costs with flaws, as found, by Mr. Demas as follows:  “Obviously, any allocated formula must instead include an accurate aggregate denominator of total utility costs in order to appropriately arrive at an allocated percentage of costs incurred by the regulated company…As noted, the result of the current Staff formula application is to seriously over-allocate the aggregate utility expense and percentage allocated to WCR by ignoring utility costs incurred exclusively by it yet including 100% of its operations in the allocating formula.  This of course then skews the utility expense allocation factor lower for WCI and WCE and results in an inaccurate conclusion, even under the Staff’s own three-allocator formula application.” </w:t>
      </w:r>
      <w:r w:rsidRPr="00B349D5">
        <w:fldChar w:fldCharType="begin"/>
      </w:r>
      <w:r w:rsidRPr="00B349D5">
        <w:instrText xml:space="preserve"> ADDIN BA \xc &lt;@rec&gt; \xl 60 \s ECSSJP000062 \xpl 1 \l "</w:instrText>
      </w:r>
      <w:r w:rsidRPr="00B349D5">
        <w:rPr>
          <w:sz w:val="24"/>
        </w:rPr>
        <w:instrText>(Exhibit LD-2T, Supplemental Testimony of Layne Demas, p. 4)</w:instrText>
      </w:r>
      <w:r w:rsidRPr="00B349D5">
        <w:instrText xml:space="preserve">" </w:instrText>
      </w:r>
      <w:r w:rsidRPr="00B349D5">
        <w:fldChar w:fldCharType="end"/>
      </w:r>
      <w:bookmarkStart w:id="47" w:name="_BA_Cite_150"/>
      <w:r w:rsidRPr="00B349D5">
        <w:t>(Exhibit LD-2T, Supplemental Testimony of Layne Demas, p. 4</w:t>
      </w:r>
      <w:r w:rsidR="00EC739C">
        <w:t>, lines 10-22</w:t>
      </w:r>
      <w:r w:rsidRPr="00B349D5">
        <w:t>)</w:t>
      </w:r>
      <w:bookmarkEnd w:id="47"/>
      <w:r w:rsidRPr="00B349D5">
        <w:t>.</w:t>
      </w:r>
    </w:p>
    <w:p w:rsidR="00632775" w:rsidRPr="00B349D5" w:rsidRDefault="00632775" w:rsidP="00DE2351">
      <w:pPr>
        <w:pStyle w:val="FootnoteText"/>
      </w:pPr>
      <w:r w:rsidRPr="00B349D5">
        <w:t>The Initial Order ignores this apparent con</w:t>
      </w:r>
      <w:r w:rsidR="00A638CF">
        <w:t>tr</w:t>
      </w:r>
      <w:r w:rsidRPr="00B349D5">
        <w:t>adiction simply by finding that the Company’s approach “</w:t>
      </w:r>
      <w:r w:rsidR="00A638CF">
        <w:t>tr</w:t>
      </w:r>
      <w:r w:rsidRPr="00B349D5">
        <w:t>eats directly assignable costs, i.e., costs not shared and incurred only by the non</w:t>
      </w:r>
      <w:r w:rsidR="00685031">
        <w:t>-</w:t>
      </w:r>
      <w:r w:rsidRPr="00B349D5">
        <w:t xml:space="preserve">regulated entity, as indirect costs which WCI proposes to share among its ratepayers and its affiliates.” </w:t>
      </w:r>
      <w:r w:rsidRPr="00B349D5">
        <w:fldChar w:fldCharType="begin"/>
      </w:r>
      <w:r w:rsidRPr="00B349D5">
        <w:instrText xml:space="preserve"> ADDIN BA \xc &lt;@rec&gt; \xl 30 \s ECSSJP000063 \xpl 1 \l "</w:instrText>
      </w:r>
      <w:r w:rsidRPr="00B349D5">
        <w:rPr>
          <w:sz w:val="24"/>
        </w:rPr>
        <w:instrText>(</w:instrText>
      </w:r>
      <w:r w:rsidRPr="00B349D5">
        <w:rPr>
          <w:i/>
          <w:sz w:val="24"/>
        </w:rPr>
        <w:instrText xml:space="preserve">See </w:instrText>
      </w:r>
      <w:r w:rsidRPr="00B349D5">
        <w:rPr>
          <w:sz w:val="24"/>
        </w:rPr>
        <w:instrText>Initial Order ¶33, p. 12)</w:instrText>
      </w:r>
      <w:r w:rsidRPr="00B349D5">
        <w:instrText xml:space="preserve">" </w:instrText>
      </w:r>
      <w:r w:rsidRPr="00B349D5">
        <w:fldChar w:fldCharType="end"/>
      </w:r>
      <w:bookmarkStart w:id="48" w:name="_BA_Cite_151"/>
      <w:r w:rsidRPr="00B349D5">
        <w:t>(</w:t>
      </w:r>
      <w:r w:rsidRPr="00B349D5">
        <w:rPr>
          <w:i/>
        </w:rPr>
        <w:t xml:space="preserve">See </w:t>
      </w:r>
      <w:r w:rsidRPr="00B349D5">
        <w:t>Initial Order ¶33, p. 12)</w:t>
      </w:r>
      <w:bookmarkEnd w:id="48"/>
      <w:r w:rsidRPr="00B349D5">
        <w:t>.  What the Initial Order omits explaining though is how the ultimate allocation of shared utility costs the Staff proposes be performed on a three-factor analysis basis is accurate, (one of which factors again is revenues), if, i.e., all the revenues generated by the three affiliate companies are not included.  In isolating only the costs portion of the equation, the Initial Order, like the Staff, effectively picks and chooses elements of the formula in reaching its goal of allocating costs but in the process ignores the correlation of the featured three-factor relationships to arrive at that conclusion.</w:t>
      </w:r>
    </w:p>
  </w:footnote>
  <w:footnote w:id="14">
    <w:p w:rsidR="00632775" w:rsidRPr="00B349D5" w:rsidRDefault="00632775">
      <w:pPr>
        <w:pStyle w:val="FootnoteText"/>
      </w:pPr>
      <w:r w:rsidRPr="00B349D5">
        <w:rPr>
          <w:rStyle w:val="FootnoteReference"/>
        </w:rPr>
        <w:footnoteRef/>
      </w:r>
      <w:r w:rsidRPr="00B349D5">
        <w:t xml:space="preserve"> S</w:t>
      </w:r>
      <w:r w:rsidRPr="00B349D5">
        <w:rPr>
          <w:i/>
        </w:rPr>
        <w:t>ee</w:t>
      </w:r>
      <w:r w:rsidRPr="00B349D5">
        <w:t xml:space="preserve"> </w:t>
      </w:r>
      <w:r w:rsidRPr="00B349D5">
        <w:rPr>
          <w:i/>
        </w:rPr>
        <w:t>also,</w:t>
      </w:r>
      <w:r w:rsidRPr="00B349D5">
        <w:t xml:space="preserve"> fn. 17, </w:t>
      </w:r>
      <w:r w:rsidRPr="00B349D5">
        <w:fldChar w:fldCharType="begin"/>
      </w:r>
      <w:r w:rsidRPr="00B349D5">
        <w:instrText xml:space="preserve"> ADDIN BA \xc &lt;@rec&gt; \xl 27 \s ECSSJP000064 \l "</w:instrText>
      </w:r>
      <w:r w:rsidRPr="00B349D5">
        <w:rPr>
          <w:sz w:val="24"/>
        </w:rPr>
        <w:instrText>WCI Reply Brief, ¶24, p. 13</w:instrText>
      </w:r>
      <w:r w:rsidRPr="00B349D5">
        <w:instrText xml:space="preserve">" </w:instrText>
      </w:r>
      <w:r w:rsidRPr="00B349D5">
        <w:fldChar w:fldCharType="end"/>
      </w:r>
      <w:bookmarkStart w:id="49" w:name="_BA_Cite_152"/>
      <w:r w:rsidRPr="00B349D5">
        <w:t>WCI Reply Brief, ¶24, p. 13</w:t>
      </w:r>
      <w:bookmarkEnd w:id="49"/>
      <w:r w:rsidR="00EC739C">
        <w:t>.</w:t>
      </w:r>
    </w:p>
  </w:footnote>
  <w:footnote w:id="15">
    <w:p w:rsidR="00632775" w:rsidRPr="00B349D5" w:rsidRDefault="00632775">
      <w:pPr>
        <w:pStyle w:val="FootnoteText"/>
      </w:pPr>
      <w:r w:rsidRPr="00B349D5">
        <w:rPr>
          <w:rStyle w:val="FootnoteReference"/>
        </w:rPr>
        <w:footnoteRef/>
      </w:r>
      <w:r w:rsidRPr="00B349D5">
        <w:t xml:space="preserve"> </w:t>
      </w:r>
      <w:r w:rsidRPr="00B349D5">
        <w:rPr>
          <w:i/>
        </w:rPr>
        <w:t>See,</w:t>
      </w:r>
      <w:r w:rsidRPr="00B349D5">
        <w:t xml:space="preserve"> Table 2, LD-2T</w:t>
      </w:r>
      <w:r w:rsidR="00EC739C">
        <w:t>.</w:t>
      </w:r>
    </w:p>
  </w:footnote>
  <w:footnote w:id="16">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&lt;@rec&gt; \xl 15 \s ECSSJP000065 \l "</w:instrText>
      </w:r>
      <w:r w:rsidRPr="00B349D5">
        <w:rPr>
          <w:sz w:val="24"/>
        </w:rPr>
        <w:instrText>Willis, TR 82:7</w:instrText>
      </w:r>
      <w:r w:rsidRPr="00B349D5">
        <w:instrText xml:space="preserve">" </w:instrText>
      </w:r>
      <w:r w:rsidRPr="00B349D5">
        <w:fldChar w:fldCharType="end"/>
      </w:r>
      <w:bookmarkStart w:id="52" w:name="_BA_Cite_153"/>
      <w:r w:rsidRPr="00B349D5">
        <w:t xml:space="preserve">Willis, </w:t>
      </w:r>
      <w:r w:rsidR="00B97416">
        <w:t>TR.</w:t>
      </w:r>
      <w:r w:rsidRPr="00B349D5">
        <w:t xml:space="preserve"> 82:7</w:t>
      </w:r>
      <w:bookmarkEnd w:id="52"/>
      <w:r w:rsidRPr="00B349D5">
        <w:t>.</w:t>
      </w:r>
    </w:p>
  </w:footnote>
  <w:footnote w:id="17">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&lt;@rec&gt; \xl 19 \s ECSSJP000066 \l "</w:instrText>
      </w:r>
      <w:r w:rsidRPr="00B349D5">
        <w:rPr>
          <w:sz w:val="24"/>
        </w:rPr>
        <w:instrText>Willis, TR 88:12-14</w:instrText>
      </w:r>
      <w:r w:rsidRPr="00B349D5">
        <w:instrText xml:space="preserve">" </w:instrText>
      </w:r>
      <w:r w:rsidRPr="00B349D5">
        <w:fldChar w:fldCharType="end"/>
      </w:r>
      <w:bookmarkStart w:id="53" w:name="_BA_Cite_154"/>
      <w:r w:rsidRPr="00B349D5">
        <w:t xml:space="preserve">Willis, </w:t>
      </w:r>
      <w:r w:rsidR="00B97416">
        <w:t>TR.</w:t>
      </w:r>
      <w:r w:rsidRPr="00B349D5">
        <w:t xml:space="preserve"> 88:12-14</w:t>
      </w:r>
      <w:bookmarkEnd w:id="53"/>
      <w:r w:rsidRPr="00B349D5">
        <w:t xml:space="preserve">, </w:t>
      </w:r>
      <w:r w:rsidRPr="00B349D5">
        <w:fldChar w:fldCharType="begin"/>
      </w:r>
      <w:r w:rsidRPr="00B349D5">
        <w:instrText xml:space="preserve"> ADDIN BA \xc &lt;@rec&gt; \xl 18 \s ECSSJP000067 \l "</w:instrText>
      </w:r>
      <w:r w:rsidRPr="00B349D5">
        <w:rPr>
          <w:sz w:val="24"/>
        </w:rPr>
        <w:instrText>TR 95, 96:22-25, 1</w:instrText>
      </w:r>
      <w:r w:rsidRPr="00B349D5">
        <w:instrText xml:space="preserve">" </w:instrText>
      </w:r>
      <w:r w:rsidRPr="00B349D5">
        <w:fldChar w:fldCharType="end"/>
      </w:r>
      <w:bookmarkStart w:id="54" w:name="_BA_Cite_155"/>
      <w:r w:rsidR="00B97416">
        <w:t>TR.</w:t>
      </w:r>
      <w:r w:rsidRPr="00B349D5">
        <w:t xml:space="preserve"> 95, 96:22-25, 1</w:t>
      </w:r>
      <w:bookmarkEnd w:id="54"/>
      <w:r w:rsidRPr="00B349D5">
        <w:t>.</w:t>
      </w:r>
    </w:p>
  </w:footnote>
  <w:footnote w:id="18">
    <w:p w:rsidR="00632775" w:rsidRPr="00B349D5" w:rsidRDefault="00632775">
      <w:pPr>
        <w:pStyle w:val="FootnoteText"/>
      </w:pPr>
      <w:r w:rsidRPr="00B349D5">
        <w:rPr>
          <w:rStyle w:val="FootnoteReference"/>
        </w:rPr>
        <w:footnoteRef/>
      </w:r>
      <w:r w:rsidRPr="00B349D5">
        <w:t xml:space="preserve"> Docket No. TG-091653.</w:t>
      </w:r>
    </w:p>
  </w:footnote>
  <w:footnote w:id="19">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&lt;@cs&gt; \xl 112 \s ECSSJP000019 \xhfl Rep \l "</w:instrText>
      </w:r>
      <w:r w:rsidRPr="00B349D5">
        <w:rPr>
          <w:i/>
          <w:sz w:val="24"/>
        </w:rPr>
        <w:instrText>WUTC v. Sno-King Garbage Company WUTC v. Northwest Garbage Company</w:instrText>
      </w:r>
      <w:r w:rsidRPr="00B349D5">
        <w:rPr>
          <w:sz w:val="24"/>
        </w:rPr>
        <w:instrText>,&lt;SoftRt&gt; Docket Nos. TG-900657 and 900658 (Jan. 1991)</w:instrText>
      </w:r>
      <w:r w:rsidRPr="00B349D5">
        <w:instrText xml:space="preserve">" </w:instrText>
      </w:r>
      <w:r w:rsidRPr="00B349D5">
        <w:fldChar w:fldCharType="end"/>
      </w:r>
      <w:bookmarkStart w:id="56" w:name="_BA_Cite_157"/>
      <w:r w:rsidRPr="00B349D5">
        <w:rPr>
          <w:i/>
        </w:rPr>
        <w:t>WUTC v. Sno-King Garbage Company WUTC v. Northwest Garbage Company</w:t>
      </w:r>
      <w:r w:rsidRPr="00B349D5">
        <w:t>, Docket Nos. TG-900657 and 900658 (Jan. 1991)</w:t>
      </w:r>
      <w:bookmarkEnd w:id="56"/>
      <w:r w:rsidRPr="00B349D5">
        <w:t>.</w:t>
      </w:r>
    </w:p>
  </w:footnote>
  <w:footnote w:id="20">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&lt;@rec&gt; \xl 17 \s ECSSJP000069 \l "</w:instrText>
      </w:r>
      <w:r w:rsidRPr="00B349D5">
        <w:rPr>
          <w:sz w:val="24"/>
        </w:rPr>
        <w:instrText>Willis, TR 87:4-6</w:instrText>
      </w:r>
      <w:r w:rsidRPr="00B349D5">
        <w:instrText xml:space="preserve">" </w:instrText>
      </w:r>
      <w:r w:rsidRPr="00B349D5">
        <w:fldChar w:fldCharType="end"/>
      </w:r>
      <w:bookmarkStart w:id="57" w:name="_BA_Cite_158"/>
      <w:r w:rsidRPr="00B349D5">
        <w:t xml:space="preserve">Willis, </w:t>
      </w:r>
      <w:r w:rsidR="00B97416">
        <w:t>TR.</w:t>
      </w:r>
      <w:r w:rsidRPr="00B349D5">
        <w:t xml:space="preserve"> 87:4-6</w:t>
      </w:r>
      <w:bookmarkEnd w:id="57"/>
      <w:r w:rsidRPr="00B349D5">
        <w:t>.</w:t>
      </w:r>
    </w:p>
  </w:footnote>
  <w:footnote w:id="21">
    <w:p w:rsidR="00632775" w:rsidRPr="00B349D5" w:rsidRDefault="00632775" w:rsidP="0031579B">
      <w:pPr>
        <w:pStyle w:val="FootnoteText"/>
      </w:pPr>
      <w:r w:rsidRPr="00B349D5">
        <w:rPr>
          <w:rStyle w:val="FootnoteReference"/>
        </w:rPr>
        <w:footnoteRef/>
      </w:r>
      <w:r w:rsidRPr="00B349D5">
        <w:t xml:space="preserve"> </w:t>
      </w:r>
      <w:r w:rsidRPr="00B349D5">
        <w:fldChar w:fldCharType="begin"/>
      </w:r>
      <w:r w:rsidRPr="00B349D5">
        <w:instrText xml:space="preserve"> ADDIN BA \xc &lt;@rec&gt; \xl 20 \s ECSSJP000070 \l "</w:instrText>
      </w:r>
      <w:r w:rsidRPr="00B349D5">
        <w:rPr>
          <w:sz w:val="24"/>
        </w:rPr>
        <w:instrText>Exhibit JD-1T, p. 12</w:instrText>
      </w:r>
      <w:r w:rsidRPr="00B349D5">
        <w:instrText xml:space="preserve">" </w:instrText>
      </w:r>
      <w:r w:rsidRPr="00B349D5">
        <w:fldChar w:fldCharType="end"/>
      </w:r>
      <w:bookmarkStart w:id="58" w:name="_BA_Cite_159"/>
      <w:r w:rsidRPr="00B349D5">
        <w:t>Exhibit JD-1T, p. 12</w:t>
      </w:r>
      <w:bookmarkEnd w:id="58"/>
      <w:r w:rsidRPr="00B349D5">
        <w:t>.</w:t>
      </w:r>
    </w:p>
  </w:footnote>
  <w:footnote w:id="22">
    <w:p w:rsidR="00632775" w:rsidRPr="00B349D5" w:rsidRDefault="00632775" w:rsidP="0031579B">
      <w:pPr>
        <w:pStyle w:val="FootnoteText"/>
      </w:pPr>
      <w:r w:rsidRPr="00B349D5">
        <w:rPr>
          <w:rStyle w:val="FootnoteReference"/>
        </w:rPr>
        <w:footnoteRef/>
      </w:r>
      <w:r w:rsidRPr="00B349D5">
        <w:t xml:space="preserve"> </w:t>
      </w:r>
      <w:r w:rsidRPr="00B349D5">
        <w:rPr>
          <w:i/>
        </w:rPr>
        <w:t xml:space="preserve">See </w:t>
      </w:r>
      <w:r w:rsidRPr="00B349D5">
        <w:fldChar w:fldCharType="begin"/>
      </w:r>
      <w:r w:rsidRPr="00B349D5">
        <w:instrText xml:space="preserve"> ADDIN BA \xc &lt;@rec&gt; \xl 22 \s ECSSJP000071 \l "</w:instrText>
      </w:r>
      <w:r w:rsidRPr="00B349D5">
        <w:rPr>
          <w:sz w:val="24"/>
        </w:rPr>
        <w:instrText>Exhibit JD-41T, pp. 18</w:instrText>
      </w:r>
      <w:r w:rsidRPr="00B349D5">
        <w:instrText xml:space="preserve">" </w:instrText>
      </w:r>
      <w:r w:rsidRPr="00B349D5">
        <w:fldChar w:fldCharType="end"/>
      </w:r>
      <w:bookmarkStart w:id="59" w:name="_BA_Cite_160"/>
      <w:r w:rsidRPr="00B349D5">
        <w:t>Exhibit JD-41T, pp. 18</w:t>
      </w:r>
      <w:bookmarkEnd w:id="59"/>
      <w:r w:rsidRPr="00B349D5">
        <w:t xml:space="preserve">, </w:t>
      </w:r>
      <w:r w:rsidRPr="00B349D5">
        <w:fldChar w:fldCharType="begin"/>
      </w:r>
      <w:r w:rsidRPr="00B349D5">
        <w:instrText xml:space="preserve"> ADDIN BA \xc &lt;@rec&gt; \xl 23 \s ECSSJP000072 \l "</w:instrText>
      </w:r>
      <w:r w:rsidRPr="00B349D5">
        <w:rPr>
          <w:sz w:val="24"/>
        </w:rPr>
        <w:instrText>Exhibit JD-44, pp. 3, 4</w:instrText>
      </w:r>
      <w:r w:rsidRPr="00B349D5">
        <w:instrText xml:space="preserve">" </w:instrText>
      </w:r>
      <w:r w:rsidRPr="00B349D5">
        <w:fldChar w:fldCharType="end"/>
      </w:r>
      <w:bookmarkStart w:id="60" w:name="_BA_Cite_161"/>
      <w:r w:rsidRPr="00B349D5">
        <w:t>Exhibit JD-44, pp. 3, 4</w:t>
      </w:r>
      <w:bookmarkEnd w:id="60"/>
      <w:r w:rsidRPr="00B349D5">
        <w:t xml:space="preserve">.  </w:t>
      </w:r>
    </w:p>
  </w:footnote>
  <w:footnote w:id="23">
    <w:p w:rsidR="00632775" w:rsidRPr="00B349D5" w:rsidRDefault="00632775" w:rsidP="00290E83">
      <w:pPr>
        <w:pStyle w:val="FootnoteText"/>
      </w:pPr>
      <w:r w:rsidRPr="00B349D5">
        <w:rPr>
          <w:rStyle w:val="FootnoteReference"/>
        </w:rPr>
        <w:footnoteRef/>
      </w:r>
      <w:r w:rsidRPr="00B349D5">
        <w:t xml:space="preserve"> Beginning at page 19 of the Initial Order and continuing to the top of page 21.</w:t>
      </w:r>
    </w:p>
  </w:footnote>
  <w:footnote w:id="24">
    <w:p w:rsidR="00632775" w:rsidRPr="00B349D5" w:rsidRDefault="00632775" w:rsidP="00290E83">
      <w:pPr>
        <w:pStyle w:val="FootnoteText"/>
      </w:pPr>
      <w:r w:rsidRPr="00B349D5">
        <w:rPr>
          <w:rStyle w:val="FootnoteReference"/>
        </w:rPr>
        <w:footnoteRef/>
      </w:r>
      <w:r w:rsidRPr="00B349D5">
        <w:t xml:space="preserve"> </w:t>
      </w:r>
      <w:r w:rsidRPr="00B349D5">
        <w:fldChar w:fldCharType="begin"/>
      </w:r>
      <w:r w:rsidRPr="00B349D5">
        <w:instrText xml:space="preserve"> ADDIN BA \xc &lt;@reg&gt; \xl 28 \s ECSSJP000020 \l "</w:instrText>
      </w:r>
      <w:r w:rsidRPr="00B349D5">
        <w:rPr>
          <w:sz w:val="24"/>
        </w:rPr>
        <w:instrText>Initial Order 12, ¶ 53, p. 19</w:instrText>
      </w:r>
      <w:r w:rsidRPr="00B349D5">
        <w:instrText xml:space="preserve">" </w:instrText>
      </w:r>
      <w:r w:rsidRPr="00B349D5">
        <w:fldChar w:fldCharType="end"/>
      </w:r>
      <w:bookmarkStart w:id="61" w:name="_BA_Cite_162"/>
      <w:r w:rsidRPr="00B349D5">
        <w:t>Initial Order 12, ¶53, p. 19</w:t>
      </w:r>
      <w:bookmarkEnd w:id="61"/>
      <w:r w:rsidRPr="00B349D5">
        <w:t>.</w:t>
      </w:r>
    </w:p>
  </w:footnote>
  <w:footnote w:id="25">
    <w:p w:rsidR="00632775" w:rsidRPr="00B349D5" w:rsidRDefault="00632775">
      <w:pPr>
        <w:pStyle w:val="FootnoteText"/>
      </w:pPr>
      <w:r w:rsidRPr="00B349D5">
        <w:rPr>
          <w:rStyle w:val="FootnoteReference"/>
        </w:rPr>
        <w:footnoteRef/>
      </w:r>
      <w:r w:rsidRPr="00B349D5">
        <w:t xml:space="preserve"> It also overlooks </w:t>
      </w:r>
      <w:r w:rsidRPr="00B349D5">
        <w:fldChar w:fldCharType="begin"/>
      </w:r>
      <w:r w:rsidRPr="00B349D5">
        <w:instrText xml:space="preserve"> ADDIN BA \xc &lt;@rec&gt; \xl 13 \s ECSSJP000073 \l "</w:instrText>
      </w:r>
      <w:r w:rsidRPr="00B349D5">
        <w:rPr>
          <w:sz w:val="24"/>
        </w:rPr>
        <w:instrText>Exhibit MC-15</w:instrText>
      </w:r>
      <w:r w:rsidRPr="00B349D5">
        <w:instrText xml:space="preserve">" </w:instrText>
      </w:r>
      <w:r w:rsidRPr="00B349D5">
        <w:fldChar w:fldCharType="end"/>
      </w:r>
      <w:bookmarkStart w:id="62" w:name="_BA_Cite_163"/>
      <w:r w:rsidRPr="00B349D5">
        <w:t>Exhibit MC-15</w:t>
      </w:r>
      <w:bookmarkEnd w:id="62"/>
      <w:r w:rsidRPr="00B349D5">
        <w:t xml:space="preserve"> and the detailed</w:t>
      </w:r>
      <w:r w:rsidR="00D01A18">
        <w:t xml:space="preserve"> 2009</w:t>
      </w:r>
      <w:r w:rsidRPr="00B349D5">
        <w:t xml:space="preserve"> Staff analysis of land rents and buildings which among other factors used an approximate 1/3 allocator (WCI 34%, WCE 31%, WCR 34%) based on square footage, noted an underpayment of rents by WCI, and set forth a cost plus return/return on investment methodology all of which formulas and conclusions were rejected out of hand by the current case auditor (</w:t>
      </w:r>
      <w:r w:rsidRPr="00B349D5">
        <w:rPr>
          <w:i/>
        </w:rPr>
        <w:t>see</w:t>
      </w:r>
      <w:r w:rsidRPr="00B349D5">
        <w:t xml:space="preserve"> particularly Waste Con</w:t>
      </w:r>
      <w:r w:rsidR="00A638CF">
        <w:t>tr</w:t>
      </w:r>
      <w:r w:rsidRPr="00B349D5">
        <w:t xml:space="preserve">ol, Inc. supporting schedules “Land and Building Rents,” </w:t>
      </w:r>
      <w:r w:rsidRPr="00B349D5">
        <w:fldChar w:fldCharType="begin"/>
      </w:r>
      <w:r w:rsidRPr="00B349D5">
        <w:instrText xml:space="preserve"> ADDIN BA \xc &lt;@reg&gt; \xl 19 \s ECSSJP000021 \xpl 1 \l "</w:instrText>
      </w:r>
      <w:r w:rsidRPr="00B349D5">
        <w:rPr>
          <w:sz w:val="24"/>
        </w:rPr>
        <w:instrText>WAC 0252\Excel\Rate</w:instrText>
      </w:r>
      <w:r w:rsidRPr="00B349D5">
        <w:instrText xml:space="preserve">" </w:instrText>
      </w:r>
      <w:r w:rsidRPr="00B349D5">
        <w:fldChar w:fldCharType="end"/>
      </w:r>
      <w:bookmarkStart w:id="63" w:name="_BA_Cite_164"/>
      <w:r w:rsidRPr="00B349D5">
        <w:t>WAC 0252\Excel\Rate</w:t>
      </w:r>
      <w:bookmarkEnd w:id="63"/>
      <w:r w:rsidRPr="00B349D5">
        <w:t xml:space="preserve"> Case\copy of STAFF Land Rents RE taxes insurance Analysis </w:t>
      </w:r>
      <w:proofErr w:type="spellStart"/>
      <w:r w:rsidRPr="00B349D5">
        <w:t>xls.rent</w:t>
      </w:r>
      <w:proofErr w:type="spellEnd"/>
      <w:r w:rsidRPr="00B349D5">
        <w:t xml:space="preserve">” originally included as part of Staff Response to Company Data </w:t>
      </w:r>
      <w:r w:rsidRPr="00B349D5">
        <w:fldChar w:fldCharType="begin"/>
      </w:r>
      <w:r w:rsidRPr="00B349D5">
        <w:instrText xml:space="preserve"> ADDIN BA \xc &lt;@admproc&gt; \xl 31 \s ECSSJP000022 \xpl 1 \l "</w:instrText>
      </w:r>
      <w:r w:rsidRPr="00B349D5">
        <w:rPr>
          <w:sz w:val="24"/>
        </w:rPr>
        <w:instrText>Request No. 1, Docket TG-140560</w:instrText>
      </w:r>
      <w:r w:rsidRPr="00B349D5">
        <w:instrText xml:space="preserve">" </w:instrText>
      </w:r>
      <w:r w:rsidRPr="00B349D5">
        <w:fldChar w:fldCharType="end"/>
      </w:r>
      <w:bookmarkStart w:id="64" w:name="_BA_Cite_165"/>
      <w:r w:rsidRPr="00B349D5">
        <w:t>Request No. 1, Docket TG-140560</w:t>
      </w:r>
      <w:bookmarkEnd w:id="64"/>
      <w:r w:rsidRPr="00B349D5">
        <w:t>.</w:t>
      </w:r>
    </w:p>
  </w:footnote>
  <w:footnote w:id="26">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&lt;@regcs&gt; \xl 104 \s ECSSJP000023 \xhfl Rep \l "</w:instrText>
      </w:r>
      <w:r w:rsidRPr="00B349D5">
        <w:rPr>
          <w:i/>
          <w:sz w:val="24"/>
        </w:rPr>
        <w:instrText>WUTC v. Bremerton Kitsap Airporter, Inc.</w:instrText>
      </w:r>
      <w:r w:rsidRPr="00B349D5">
        <w:rPr>
          <w:sz w:val="24"/>
        </w:rPr>
        <w:instrText xml:space="preserve"> &lt;SoftRt&gt;(“BKA”), Docket TG-001846, Fifth Supplemental Order (Aug. 2002)</w:instrText>
      </w:r>
      <w:r w:rsidRPr="00B349D5">
        <w:instrText xml:space="preserve">" </w:instrText>
      </w:r>
      <w:r w:rsidRPr="00B349D5">
        <w:fldChar w:fldCharType="end"/>
      </w:r>
      <w:bookmarkStart w:id="65" w:name="_BA_Cite_166"/>
      <w:r w:rsidRPr="00B349D5">
        <w:rPr>
          <w:i/>
        </w:rPr>
        <w:t>WUTC v. Bremerton Kitsap Airporter, Inc.</w:t>
      </w:r>
      <w:r w:rsidRPr="00B349D5">
        <w:t xml:space="preserve"> (“BKA”), Docket TG-001846, Fifth Supplemental Order (Aug. 2002)</w:t>
      </w:r>
      <w:bookmarkEnd w:id="65"/>
      <w:r w:rsidRPr="00B349D5">
        <w:t>.</w:t>
      </w:r>
    </w:p>
  </w:footnote>
  <w:footnote w:id="27">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&lt;@rec&gt; \xl 19 \s ECSSJP000075 \l "</w:instrText>
      </w:r>
      <w:r w:rsidRPr="00B349D5">
        <w:rPr>
          <w:sz w:val="24"/>
        </w:rPr>
        <w:instrText>Cheesman, TR 210:23</w:instrText>
      </w:r>
      <w:r w:rsidRPr="00B349D5">
        <w:instrText xml:space="preserve">" </w:instrText>
      </w:r>
      <w:r w:rsidRPr="00B349D5">
        <w:fldChar w:fldCharType="end"/>
      </w:r>
      <w:bookmarkStart w:id="68" w:name="_BA_Cite_169"/>
      <w:r w:rsidRPr="00B349D5">
        <w:t xml:space="preserve">Cheesman, </w:t>
      </w:r>
      <w:r w:rsidR="00B97416">
        <w:t>TR.</w:t>
      </w:r>
      <w:r w:rsidRPr="00B349D5">
        <w:t xml:space="preserve"> 210:23</w:t>
      </w:r>
      <w:bookmarkEnd w:id="68"/>
      <w:r w:rsidRPr="00B349D5">
        <w:t>.</w:t>
      </w:r>
    </w:p>
  </w:footnote>
  <w:footnote w:id="28">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&lt;@rec&gt; \xl 32 \s ECSSJP000077 \l "</w:instrText>
      </w:r>
      <w:r w:rsidRPr="00B349D5">
        <w:rPr>
          <w:sz w:val="24"/>
        </w:rPr>
        <w:instrText>Exhibit LD-1T, p. 2, lines 15-27</w:instrText>
      </w:r>
      <w:r w:rsidRPr="00B349D5">
        <w:instrText xml:space="preserve">" </w:instrText>
      </w:r>
      <w:r w:rsidRPr="00B349D5">
        <w:fldChar w:fldCharType="end"/>
      </w:r>
      <w:bookmarkStart w:id="70" w:name="_BA_Cite_171"/>
      <w:r w:rsidRPr="00B349D5">
        <w:t>Exhibit LD-1T, p. 2, lines 15-27</w:t>
      </w:r>
      <w:bookmarkEnd w:id="70"/>
      <w:r w:rsidR="004A26DB">
        <w:t>.</w:t>
      </w:r>
    </w:p>
  </w:footnote>
  <w:footnote w:id="29">
    <w:p w:rsidR="00632775" w:rsidRPr="00B349D5" w:rsidRDefault="00632775">
      <w:pPr>
        <w:pStyle w:val="FootnoteText"/>
      </w:pPr>
      <w:r w:rsidRPr="00B349D5">
        <w:rPr>
          <w:rStyle w:val="FootnoteReference"/>
        </w:rPr>
        <w:footnoteRef/>
      </w:r>
      <w:r w:rsidRPr="00B349D5">
        <w:t xml:space="preserve"> Prefiled Direct </w:t>
      </w:r>
      <w:r w:rsidRPr="00B349D5">
        <w:fldChar w:fldCharType="begin"/>
      </w:r>
      <w:r w:rsidRPr="00B349D5">
        <w:instrText xml:space="preserve"> ADDIN BA \xc &lt;@rec&gt; \xl 47 \s ECSSJP000078 \l "</w:instrText>
      </w:r>
      <w:r w:rsidRPr="00B349D5">
        <w:rPr>
          <w:sz w:val="24"/>
        </w:rPr>
        <w:instrText>Testimony of Jackie Davis, Exhibit JD-1T, p. 1</w:instrText>
      </w:r>
      <w:r w:rsidRPr="00B349D5">
        <w:instrText xml:space="preserve">" </w:instrText>
      </w:r>
      <w:r w:rsidRPr="00B349D5">
        <w:fldChar w:fldCharType="end"/>
      </w:r>
      <w:bookmarkStart w:id="71" w:name="_BA_Cite_172"/>
      <w:r>
        <w:t xml:space="preserve">Testimony of </w:t>
      </w:r>
      <w:r w:rsidRPr="00B349D5">
        <w:t>Jackie Davis, Exhibit JD-1T, p. 1</w:t>
      </w:r>
      <w:bookmarkEnd w:id="71"/>
      <w:r w:rsidR="00993BB6">
        <w:t>;</w:t>
      </w:r>
      <w:r w:rsidRPr="00B349D5">
        <w:t xml:space="preserve"> Rebuttal </w:t>
      </w:r>
      <w:r w:rsidRPr="00B349D5">
        <w:fldChar w:fldCharType="begin"/>
      </w:r>
      <w:r w:rsidRPr="00B349D5">
        <w:instrText xml:space="preserve"> ADDIN BA \xc &lt;@rec&gt; \xl 44 \s ECSSJP000079 \l "</w:instrText>
      </w:r>
      <w:r w:rsidRPr="00B349D5">
        <w:rPr>
          <w:sz w:val="24"/>
        </w:rPr>
        <w:instrText>Testimony of Layne Demas, LD-1T, p. 3, 19-21</w:instrText>
      </w:r>
      <w:r w:rsidRPr="00B349D5">
        <w:instrText xml:space="preserve">" </w:instrText>
      </w:r>
      <w:r w:rsidRPr="00B349D5">
        <w:fldChar w:fldCharType="end"/>
      </w:r>
      <w:bookmarkStart w:id="72" w:name="_BA_Cite_173"/>
      <w:r w:rsidRPr="00B349D5">
        <w:t xml:space="preserve">Testimony of Layne Demas, LD-1T, p. 3, </w:t>
      </w:r>
      <w:r w:rsidR="004A26DB">
        <w:t xml:space="preserve">lines </w:t>
      </w:r>
      <w:r w:rsidRPr="00B349D5">
        <w:t>19-21</w:t>
      </w:r>
      <w:bookmarkEnd w:id="72"/>
      <w:r w:rsidRPr="00B349D5">
        <w:t>.</w:t>
      </w:r>
    </w:p>
  </w:footnote>
  <w:footnote w:id="30">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&lt;@rec&gt; \xl 22 \s ECSSJP000080 \l "</w:instrText>
      </w:r>
      <w:r w:rsidRPr="00B349D5">
        <w:rPr>
          <w:sz w:val="24"/>
        </w:rPr>
        <w:instrText>Cheesman, TR 180:23-25</w:instrText>
      </w:r>
      <w:r w:rsidRPr="00B349D5">
        <w:instrText xml:space="preserve">" </w:instrText>
      </w:r>
      <w:r w:rsidRPr="00B349D5">
        <w:fldChar w:fldCharType="end"/>
      </w:r>
      <w:bookmarkStart w:id="73" w:name="_BA_Cite_174"/>
      <w:r w:rsidRPr="00B349D5">
        <w:t xml:space="preserve">Cheesman, </w:t>
      </w:r>
      <w:r w:rsidR="00B97416">
        <w:t>TR.</w:t>
      </w:r>
      <w:r w:rsidRPr="00B349D5">
        <w:t xml:space="preserve"> 180:23-25</w:t>
      </w:r>
      <w:bookmarkEnd w:id="73"/>
      <w:r w:rsidRPr="00B349D5">
        <w:t xml:space="preserve">; </w:t>
      </w:r>
      <w:r w:rsidRPr="00B349D5">
        <w:fldChar w:fldCharType="begin"/>
      </w:r>
      <w:r w:rsidRPr="00B349D5">
        <w:instrText xml:space="preserve"> ADDIN BA \xc &lt;@rec&gt; \xl 28 \s ECSSJP000081 \l "</w:instrText>
      </w:r>
      <w:r w:rsidRPr="00B349D5">
        <w:rPr>
          <w:sz w:val="24"/>
        </w:rPr>
        <w:instrText>Cheesman, TR 180:8, 181:4-13</w:instrText>
      </w:r>
      <w:r w:rsidRPr="00B349D5">
        <w:instrText xml:space="preserve">" </w:instrText>
      </w:r>
      <w:r w:rsidRPr="00B349D5">
        <w:fldChar w:fldCharType="end"/>
      </w:r>
      <w:bookmarkStart w:id="74" w:name="_BA_Cite_175"/>
      <w:r w:rsidRPr="00B349D5">
        <w:t xml:space="preserve">Cheesman, </w:t>
      </w:r>
      <w:r w:rsidR="00B97416">
        <w:t>TR.</w:t>
      </w:r>
      <w:r w:rsidRPr="00B349D5">
        <w:t xml:space="preserve"> 180:8, 181:4-13</w:t>
      </w:r>
      <w:bookmarkEnd w:id="74"/>
      <w:r w:rsidRPr="00B349D5">
        <w:t>.</w:t>
      </w:r>
    </w:p>
  </w:footnote>
  <w:footnote w:id="31">
    <w:p w:rsidR="00632775" w:rsidRPr="00B349D5" w:rsidRDefault="00632775" w:rsidP="00D15194">
      <w:pPr>
        <w:pStyle w:val="FootnoteText"/>
      </w:pPr>
      <w:r w:rsidRPr="00B349D5">
        <w:rPr>
          <w:rStyle w:val="FootnoteReference"/>
        </w:rPr>
        <w:footnoteRef/>
      </w:r>
      <w:r w:rsidRPr="00B349D5">
        <w:t xml:space="preserve"> </w:t>
      </w:r>
      <w:r w:rsidRPr="00B349D5">
        <w:rPr>
          <w:i/>
        </w:rPr>
        <w:t>See</w:t>
      </w:r>
      <w:r w:rsidRPr="00B349D5">
        <w:t xml:space="preserve"> again 2009 workpapers in </w:t>
      </w:r>
      <w:r w:rsidRPr="00B349D5">
        <w:fldChar w:fldCharType="begin"/>
      </w:r>
      <w:r w:rsidRPr="00B349D5">
        <w:instrText xml:space="preserve"> ADDIN BA \xc &lt;@rec&gt; \xl 13 \s ECSSJP000082 \l "</w:instrText>
      </w:r>
      <w:r w:rsidRPr="00B349D5">
        <w:rPr>
          <w:sz w:val="24"/>
        </w:rPr>
        <w:instrText>Exhibit MC-18</w:instrText>
      </w:r>
      <w:r w:rsidRPr="00B349D5">
        <w:instrText xml:space="preserve">" </w:instrText>
      </w:r>
      <w:r w:rsidRPr="00B349D5">
        <w:fldChar w:fldCharType="end"/>
      </w:r>
      <w:bookmarkStart w:id="77" w:name="_BA_Cite_178"/>
      <w:r w:rsidRPr="00B349D5">
        <w:t>Exhibit MC-18</w:t>
      </w:r>
      <w:bookmarkEnd w:id="77"/>
      <w:r w:rsidRPr="00B349D5">
        <w:t>.</w:t>
      </w:r>
    </w:p>
  </w:footnote>
  <w:footnote w:id="32">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&lt;@rec&gt; \xl 21 \s ECSSJP000083 \l "</w:instrText>
      </w:r>
      <w:r w:rsidRPr="00B349D5">
        <w:rPr>
          <w:sz w:val="24"/>
        </w:rPr>
        <w:instrText>Cheesman, TR 175:3-14</w:instrText>
      </w:r>
      <w:r w:rsidRPr="00B349D5">
        <w:instrText xml:space="preserve">" </w:instrText>
      </w:r>
      <w:r w:rsidRPr="00B349D5">
        <w:fldChar w:fldCharType="end"/>
      </w:r>
      <w:bookmarkStart w:id="79" w:name="_BA_Cite_180"/>
      <w:r w:rsidRPr="00B349D5">
        <w:t xml:space="preserve">Cheesman, </w:t>
      </w:r>
      <w:r w:rsidR="00B97416">
        <w:t>TR.</w:t>
      </w:r>
      <w:r w:rsidRPr="00B349D5">
        <w:t xml:space="preserve"> 175:3-14</w:t>
      </w:r>
      <w:bookmarkEnd w:id="79"/>
      <w:r w:rsidRPr="00B349D5">
        <w:t>.</w:t>
      </w:r>
    </w:p>
  </w:footnote>
  <w:footnote w:id="33">
    <w:p w:rsidR="00632775" w:rsidRPr="00B349D5" w:rsidRDefault="00632775" w:rsidP="0097741D">
      <w:pPr>
        <w:pStyle w:val="FootnoteText"/>
      </w:pPr>
      <w:r w:rsidRPr="00B349D5">
        <w:rPr>
          <w:rStyle w:val="FootnoteReference"/>
        </w:rPr>
        <w:footnoteRef/>
      </w:r>
      <w:r w:rsidRPr="00B349D5">
        <w:t xml:space="preserve"> </w:t>
      </w:r>
      <w:r w:rsidRPr="00B349D5">
        <w:fldChar w:fldCharType="begin"/>
      </w:r>
      <w:r w:rsidRPr="00B349D5">
        <w:instrText xml:space="preserve"> ADDIN BA \xc &lt;@reg&gt; \xl 28 \s ECSSJP000025 \l "</w:instrText>
      </w:r>
      <w:r w:rsidRPr="00B349D5">
        <w:rPr>
          <w:sz w:val="24"/>
        </w:rPr>
        <w:instrText>Initial Order 12, ¶ 36, p. 14</w:instrText>
      </w:r>
      <w:r w:rsidRPr="00B349D5">
        <w:instrText xml:space="preserve">" </w:instrText>
      </w:r>
      <w:r w:rsidRPr="00B349D5">
        <w:fldChar w:fldCharType="end"/>
      </w:r>
      <w:bookmarkStart w:id="80" w:name="_BA_Cite_181"/>
      <w:r w:rsidRPr="00B349D5">
        <w:t>Initial Order 12, ¶36, p. 14</w:t>
      </w:r>
      <w:bookmarkEnd w:id="80"/>
      <w:r w:rsidRPr="00B349D5">
        <w:t xml:space="preserve">. </w:t>
      </w:r>
    </w:p>
  </w:footnote>
  <w:footnote w:id="34">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&lt;@$reg&gt; \xl 28 \s ECSSJP000020 </w:instrText>
      </w:r>
      <w:r w:rsidRPr="00B349D5">
        <w:fldChar w:fldCharType="end"/>
      </w:r>
      <w:bookmarkStart w:id="82" w:name="_BA_Cite_183"/>
      <w:r w:rsidRPr="00B349D5">
        <w:t>Initial Order 12, ¶53, p. 19</w:t>
      </w:r>
      <w:bookmarkEnd w:id="82"/>
      <w:r w:rsidRPr="00B349D5">
        <w:t>.</w:t>
      </w:r>
    </w:p>
  </w:footnote>
  <w:footnote w:id="35">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&lt;@reg&gt; \xl 28 \s ECSSJP000026 \l "</w:instrText>
      </w:r>
      <w:r w:rsidRPr="00B349D5">
        <w:rPr>
          <w:sz w:val="24"/>
        </w:rPr>
        <w:instrText>Initial Order 12, § 56, p. 20</w:instrText>
      </w:r>
      <w:r w:rsidRPr="00B349D5">
        <w:instrText xml:space="preserve">" </w:instrText>
      </w:r>
      <w:r w:rsidRPr="00B349D5">
        <w:fldChar w:fldCharType="end"/>
      </w:r>
      <w:bookmarkStart w:id="83" w:name="_BA_Cite_184"/>
      <w:r>
        <w:t>Initial Order 12, ¶</w:t>
      </w:r>
      <w:r w:rsidRPr="00B349D5">
        <w:t>56, p. 20</w:t>
      </w:r>
      <w:bookmarkEnd w:id="83"/>
      <w:r w:rsidRPr="00B349D5">
        <w:t>.</w:t>
      </w:r>
    </w:p>
  </w:footnote>
  <w:footnote w:id="36">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&lt;@$id&gt; \xl 3 \s ID </w:instrText>
      </w:r>
      <w:r w:rsidRPr="00B349D5">
        <w:fldChar w:fldCharType="end"/>
      </w:r>
      <w:r w:rsidRPr="00B349D5">
        <w:rPr>
          <w:i/>
        </w:rPr>
        <w:t>Id</w:t>
      </w:r>
      <w:r w:rsidRPr="00B349D5">
        <w:t>.</w:t>
      </w:r>
    </w:p>
  </w:footnote>
  <w:footnote w:id="37">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&lt;@rec&gt; \xl 31 \s ECSSJP000084 \l "</w:instrText>
      </w:r>
      <w:r w:rsidRPr="00B349D5">
        <w:rPr>
          <w:sz w:val="24"/>
        </w:rPr>
        <w:instrText>WCI Reply Brief §38, pp. 21, 22</w:instrText>
      </w:r>
      <w:r w:rsidRPr="00B349D5">
        <w:instrText xml:space="preserve">" </w:instrText>
      </w:r>
      <w:r w:rsidRPr="00B349D5">
        <w:fldChar w:fldCharType="end"/>
      </w:r>
      <w:bookmarkStart w:id="85" w:name="_BA_Cite_186"/>
      <w:r w:rsidRPr="00B349D5">
        <w:t xml:space="preserve">WCI Reply Brief </w:t>
      </w:r>
      <w:r>
        <w:t>¶</w:t>
      </w:r>
      <w:r w:rsidRPr="00B349D5">
        <w:t>38, pp. 21, 22</w:t>
      </w:r>
      <w:bookmarkEnd w:id="85"/>
      <w:r w:rsidRPr="00B349D5">
        <w:t>.</w:t>
      </w:r>
    </w:p>
  </w:footnote>
  <w:footnote w:id="38">
    <w:p w:rsidR="00632775" w:rsidRPr="00B349D5" w:rsidRDefault="00632775" w:rsidP="002F4661">
      <w:pPr>
        <w:pStyle w:val="FootnoteText"/>
      </w:pPr>
      <w:r w:rsidRPr="00B349D5">
        <w:rPr>
          <w:rStyle w:val="FootnoteReference"/>
        </w:rPr>
        <w:footnoteRef/>
      </w:r>
      <w:r w:rsidRPr="00B349D5">
        <w:t xml:space="preserve"> </w:t>
      </w:r>
      <w:r w:rsidRPr="00B349D5">
        <w:fldChar w:fldCharType="begin"/>
      </w:r>
      <w:r w:rsidRPr="00B349D5">
        <w:instrText xml:space="preserve"> ADDIN BA \xc &lt;@rec&gt; \xl 23 \s ECSSJP000085 \l "</w:instrText>
      </w:r>
      <w:r w:rsidRPr="00B349D5">
        <w:rPr>
          <w:sz w:val="24"/>
        </w:rPr>
        <w:instrText>Cheesman, TR 226: 14-17</w:instrText>
      </w:r>
      <w:r w:rsidRPr="00B349D5">
        <w:instrText xml:space="preserve">" </w:instrText>
      </w:r>
      <w:r w:rsidRPr="00B349D5">
        <w:fldChar w:fldCharType="end"/>
      </w:r>
      <w:bookmarkStart w:id="86" w:name="_BA_Cite_187"/>
      <w:r w:rsidRPr="00B349D5">
        <w:t xml:space="preserve">Cheesman, </w:t>
      </w:r>
      <w:r w:rsidR="00B97416">
        <w:t>TR.</w:t>
      </w:r>
      <w:r w:rsidRPr="00B349D5">
        <w:t xml:space="preserve"> 226: 14-17</w:t>
      </w:r>
      <w:bookmarkEnd w:id="86"/>
      <w:r w:rsidRPr="00B349D5">
        <w:t>.</w:t>
      </w:r>
    </w:p>
  </w:footnote>
  <w:footnote w:id="39">
    <w:p w:rsidR="00D01A18" w:rsidRPr="00B349D5" w:rsidRDefault="00D01A18" w:rsidP="00D01A18">
      <w:pPr>
        <w:pStyle w:val="FootnoteText"/>
      </w:pPr>
      <w:r w:rsidRPr="00B349D5">
        <w:rPr>
          <w:rStyle w:val="FootnoteReference"/>
        </w:rPr>
        <w:footnoteRef/>
      </w:r>
      <w:r w:rsidRPr="00B349D5">
        <w:t xml:space="preserve"> In addition to the </w:t>
      </w:r>
      <w:r>
        <w:t>earlier</w:t>
      </w:r>
      <w:r w:rsidRPr="00B349D5">
        <w:t xml:space="preserve"> critique of the Initial Order’s ROE factor rationale, the Initial Order also announces at ¶55, page 20 that the 15% ROE advanced by the Company for its return on equity proposal is not supported by precedent . . . “for ROE decisions the Commission makes today in solid waste rate cases.”  In so flatly stating, the Initial Order overlooks a recent study commissioned by the WUTC which confirms Staff’s recent tendency to view returns on equity as being excessive in solid waste rate cases as opposed to other indus</w:t>
      </w:r>
      <w:r w:rsidR="00AB5F86">
        <w:t>tr</w:t>
      </w:r>
      <w:r w:rsidRPr="00B349D5">
        <w:t xml:space="preserve">ies’ </w:t>
      </w:r>
      <w:r>
        <w:t>allowed</w:t>
      </w:r>
      <w:r w:rsidRPr="00B349D5">
        <w:t xml:space="preserve"> returns.  As that study for the Lurito-Gallagher rulemaking suggests</w:t>
      </w:r>
      <w:r w:rsidR="004A26DB">
        <w:t>,</w:t>
      </w:r>
      <w:r w:rsidRPr="00B349D5">
        <w:t xml:space="preserve"> “[p]</w:t>
      </w:r>
      <w:proofErr w:type="spellStart"/>
      <w:r w:rsidRPr="00B349D5">
        <w:t>urely</w:t>
      </w:r>
      <w:proofErr w:type="spellEnd"/>
      <w:r w:rsidRPr="00B349D5">
        <w:t xml:space="preserve"> from the standpoint of comparing the L-G model’s </w:t>
      </w:r>
      <w:proofErr w:type="spellStart"/>
      <w:r w:rsidRPr="00B349D5">
        <w:t>ROEs</w:t>
      </w:r>
      <w:proofErr w:type="spellEnd"/>
      <w:r w:rsidRPr="00B349D5">
        <w:t xml:space="preserve"> to other studies that use the standard definition of ROE, the reported ‘</w:t>
      </w:r>
      <w:proofErr w:type="spellStart"/>
      <w:r w:rsidRPr="00B349D5">
        <w:t>ROEs</w:t>
      </w:r>
      <w:proofErr w:type="spellEnd"/>
      <w:r w:rsidRPr="00B349D5">
        <w:t xml:space="preserve">’ of 24%-42% should be adjusted by these multiples, bringing the </w:t>
      </w:r>
      <w:r w:rsidR="00AB5F86">
        <w:t>tr</w:t>
      </w:r>
      <w:r w:rsidRPr="00B349D5">
        <w:t xml:space="preserve">ue return on shareholder equity down to the teens or lower.”  </w:t>
      </w:r>
      <w:r w:rsidRPr="00B349D5">
        <w:rPr>
          <w:i/>
        </w:rPr>
        <w:t>Solid Waste Ratesetting Methodology</w:t>
      </w:r>
      <w:r w:rsidRPr="00B349D5">
        <w:t>, Bell &amp; Associates, Inc. and Sound Resource Economics, Docket TG-131255, (Dec. 2014), page 4.  Obviously, there are some fairly erroneous assumptions circulating amongst Staff about ROE</w:t>
      </w:r>
      <w:r>
        <w:t xml:space="preserve"> concepts</w:t>
      </w:r>
      <w:r w:rsidRPr="00B349D5">
        <w:t xml:space="preserve"> in the solid waste indus</w:t>
      </w:r>
      <w:r w:rsidR="00AB5F86">
        <w:t>tr</w:t>
      </w:r>
      <w:r w:rsidRPr="00B349D5">
        <w:t>y and for now, 15% would appear, con</w:t>
      </w:r>
      <w:r w:rsidR="00AB5F86">
        <w:t>tr</w:t>
      </w:r>
      <w:r w:rsidRPr="00B349D5">
        <w:t xml:space="preserve">ary to the Initial Order’s findings, reasonable and quite fair as </w:t>
      </w:r>
      <w:r>
        <w:t>suggested</w:t>
      </w:r>
      <w:r w:rsidRPr="00B349D5">
        <w:t xml:space="preserve"> by the recent </w:t>
      </w:r>
      <w:r w:rsidRPr="00B349D5">
        <w:rPr>
          <w:i/>
        </w:rPr>
        <w:t xml:space="preserve">Bell </w:t>
      </w:r>
      <w:r w:rsidRPr="00B349D5">
        <w:t>study.  Again, higher risk factors necessitate higher returns on equity and larg</w:t>
      </w:r>
      <w:r>
        <w:t xml:space="preserve">e energy companies </w:t>
      </w:r>
      <w:proofErr w:type="spellStart"/>
      <w:r>
        <w:t>ROEs</w:t>
      </w:r>
      <w:proofErr w:type="spellEnd"/>
      <w:r>
        <w:t xml:space="preserve"> are ina</w:t>
      </w:r>
      <w:r w:rsidRPr="00B349D5">
        <w:t>pposite.  Timing of the conclusions of that study also implicate support for avoiding such broad conclusions or potentially erroneous “temporal updates” in individual solid waste rate cases pending the outcome of the indus</w:t>
      </w:r>
      <w:r w:rsidR="00AB5F86">
        <w:t>tr</w:t>
      </w:r>
      <w:r w:rsidRPr="00B349D5">
        <w:t>y-wide rulemakings.</w:t>
      </w:r>
    </w:p>
  </w:footnote>
  <w:footnote w:id="40">
    <w:p w:rsidR="00632775" w:rsidRPr="00B349D5" w:rsidRDefault="00632775" w:rsidP="00E30384">
      <w:pPr>
        <w:pStyle w:val="FootnoteText"/>
      </w:pPr>
      <w:r w:rsidRPr="00B349D5">
        <w:rPr>
          <w:rStyle w:val="FootnoteReference"/>
        </w:rPr>
        <w:footnoteRef/>
      </w:r>
      <w:r w:rsidRPr="00B349D5">
        <w:t xml:space="preserve"> </w:t>
      </w:r>
      <w:r w:rsidRPr="00B349D5">
        <w:fldChar w:fldCharType="begin"/>
      </w:r>
      <w:r w:rsidRPr="00B349D5">
        <w:instrText xml:space="preserve"> ADDIN BA \xc &lt;@nper&gt; \xl 60 \s ECSSJP000087 \l "</w:instrText>
      </w:r>
      <w:r w:rsidRPr="00B349D5">
        <w:rPr>
          <w:sz w:val="24"/>
        </w:rPr>
        <w:instrText xml:space="preserve">Goodman, </w:instrText>
      </w:r>
      <w:r w:rsidRPr="00B349D5">
        <w:rPr>
          <w:sz w:val="24"/>
          <w:u w:val="single"/>
        </w:rPr>
        <w:instrText>The Process of Ratemaking</w:instrText>
      </w:r>
      <w:r w:rsidRPr="00B349D5">
        <w:rPr>
          <w:sz w:val="24"/>
        </w:rPr>
        <w:instrText xml:space="preserve"> (1998), vol. I</w:instrText>
      </w:r>
      <w:r w:rsidRPr="00B349D5">
        <w:instrText xml:space="preserve">" </w:instrText>
      </w:r>
      <w:r w:rsidRPr="00B349D5">
        <w:fldChar w:fldCharType="end"/>
      </w:r>
      <w:bookmarkStart w:id="93" w:name="_BA_Cite_192"/>
      <w:r w:rsidRPr="00B349D5">
        <w:t xml:space="preserve">Goodman, </w:t>
      </w:r>
      <w:r w:rsidRPr="00B349D5">
        <w:rPr>
          <w:u w:val="single"/>
        </w:rPr>
        <w:t>The Process of Ratemaking</w:t>
      </w:r>
      <w:r w:rsidRPr="00B349D5">
        <w:t>, (1998), Volume I, p. 329</w:t>
      </w:r>
      <w:bookmarkEnd w:id="93"/>
      <w:r w:rsidRPr="00B349D5">
        <w:t xml:space="preserve">. </w:t>
      </w:r>
    </w:p>
  </w:footnote>
  <w:footnote w:id="41">
    <w:p w:rsidR="00632775" w:rsidRPr="00B349D5" w:rsidRDefault="00632775" w:rsidP="00E30384">
      <w:pPr>
        <w:pStyle w:val="FootnoteText"/>
      </w:pPr>
      <w:r w:rsidRPr="00B349D5">
        <w:rPr>
          <w:rStyle w:val="FootnoteReference"/>
        </w:rPr>
        <w:footnoteRef/>
      </w:r>
      <w:r w:rsidRPr="00B349D5">
        <w:t xml:space="preserve"> </w:t>
      </w:r>
      <w:r w:rsidRPr="00B349D5">
        <w:rPr>
          <w:i/>
        </w:rPr>
        <w:t>See</w:t>
      </w:r>
      <w:r>
        <w:t xml:space="preserve"> TG-900</w:t>
      </w:r>
      <w:r w:rsidRPr="00B349D5">
        <w:t>6</w:t>
      </w:r>
      <w:r>
        <w:t>5</w:t>
      </w:r>
      <w:r w:rsidRPr="00B349D5">
        <w:t xml:space="preserve">7, </w:t>
      </w:r>
      <w:r w:rsidRPr="00B349D5">
        <w:fldChar w:fldCharType="begin"/>
      </w:r>
      <w:r w:rsidRPr="00B349D5">
        <w:instrText xml:space="preserve"> ADDIN BA \xc &lt;@regcs&gt; \xl 130 \s ECSSJP000028 \xhfl Rep \l "</w:instrText>
      </w:r>
      <w:r w:rsidRPr="00B349D5">
        <w:rPr>
          <w:i/>
          <w:sz w:val="24"/>
        </w:rPr>
        <w:instrText>Washington Utilities and Transportation Commission v. Sno-King Garbage Company, et al,</w:instrText>
      </w:r>
      <w:r w:rsidRPr="00B349D5">
        <w:rPr>
          <w:sz w:val="24"/>
        </w:rPr>
        <w:instrText>&lt;SoftRt&gt;</w:instrText>
      </w:r>
      <w:r w:rsidRPr="00B349D5">
        <w:rPr>
          <w:i/>
          <w:sz w:val="24"/>
        </w:rPr>
        <w:instrText xml:space="preserve"> </w:instrText>
      </w:r>
      <w:r w:rsidRPr="00B349D5">
        <w:rPr>
          <w:sz w:val="24"/>
        </w:rPr>
        <w:instrText>Fifth Supplemental Order (Dec. 1991), at 19</w:instrText>
      </w:r>
      <w:r w:rsidRPr="00B349D5">
        <w:instrText xml:space="preserve">" </w:instrText>
      </w:r>
      <w:r w:rsidRPr="00B349D5">
        <w:fldChar w:fldCharType="end"/>
      </w:r>
      <w:bookmarkStart w:id="94" w:name="_BA_Cite_193"/>
      <w:r w:rsidRPr="00B349D5">
        <w:rPr>
          <w:i/>
        </w:rPr>
        <w:t xml:space="preserve">Washington Utilities and </w:t>
      </w:r>
      <w:r w:rsidR="00A638CF">
        <w:rPr>
          <w:i/>
        </w:rPr>
        <w:t>Tr</w:t>
      </w:r>
      <w:r w:rsidRPr="00B349D5">
        <w:rPr>
          <w:i/>
        </w:rPr>
        <w:t xml:space="preserve">ansportation Commission v. Sno-King Garbage Company, et al, </w:t>
      </w:r>
      <w:r w:rsidRPr="00B349D5">
        <w:t>Fifth Supplemental Order (Dec. 1991), at 19</w:t>
      </w:r>
      <w:bookmarkEnd w:id="94"/>
      <w:r w:rsidRPr="00B349D5">
        <w:t>.  (Even in that case, WCI also notes a lack of imposition of any statutory investigation fee).</w:t>
      </w:r>
    </w:p>
  </w:footnote>
  <w:footnote w:id="42">
    <w:p w:rsidR="00632775" w:rsidRPr="00B349D5" w:rsidRDefault="00632775" w:rsidP="00E30384">
      <w:pPr>
        <w:pStyle w:val="FootnoteText"/>
      </w:pPr>
      <w:r w:rsidRPr="00B349D5">
        <w:rPr>
          <w:rStyle w:val="FootnoteReference"/>
        </w:rPr>
        <w:footnoteRef/>
      </w:r>
      <w:r w:rsidRPr="00B349D5">
        <w:t xml:space="preserve"> Joint Motion to Amend Procedural </w:t>
      </w:r>
      <w:r w:rsidRPr="00B349D5">
        <w:fldChar w:fldCharType="begin"/>
      </w:r>
      <w:r w:rsidRPr="00B349D5">
        <w:instrText xml:space="preserve"> ADDIN BA \xc &lt;@osdv&gt; \xl 18 \s ECSSJP000088 \l "</w:instrText>
      </w:r>
      <w:r w:rsidRPr="00B349D5">
        <w:rPr>
          <w:sz w:val="24"/>
        </w:rPr>
        <w:instrText>Schedule, ¶7, p. 2</w:instrText>
      </w:r>
      <w:r w:rsidRPr="00B349D5">
        <w:instrText xml:space="preserve">" </w:instrText>
      </w:r>
      <w:r w:rsidRPr="00B349D5">
        <w:fldChar w:fldCharType="end"/>
      </w:r>
      <w:bookmarkStart w:id="95" w:name="_BA_Cite_194"/>
      <w:r w:rsidRPr="00B349D5">
        <w:t>Schedule, ¶7, p. 2</w:t>
      </w:r>
      <w:bookmarkEnd w:id="95"/>
      <w:r w:rsidRPr="00B349D5">
        <w:t xml:space="preserve">. </w:t>
      </w:r>
    </w:p>
  </w:footnote>
  <w:footnote w:id="43">
    <w:p w:rsidR="00632775" w:rsidRPr="00B349D5" w:rsidRDefault="00632775" w:rsidP="00E30384">
      <w:pPr>
        <w:pStyle w:val="FootnoteText"/>
      </w:pPr>
      <w:r w:rsidRPr="00B349D5">
        <w:rPr>
          <w:rStyle w:val="FootnoteReference"/>
        </w:rPr>
        <w:footnoteRef/>
      </w:r>
      <w:r w:rsidRPr="00B349D5">
        <w:t xml:space="preserve"> </w:t>
      </w:r>
      <w:r w:rsidRPr="00B349D5">
        <w:fldChar w:fldCharType="begin"/>
      </w:r>
      <w:r w:rsidRPr="00B349D5">
        <w:instrText xml:space="preserve"> ADDIN BA \xc &lt;@rec&gt; \xl 34 \s ECSSJP000089 \l "</w:instrText>
      </w:r>
      <w:r w:rsidRPr="00B349D5">
        <w:rPr>
          <w:sz w:val="24"/>
        </w:rPr>
        <w:instrText>WCI’s Initial Brief, fn. 27, p. 12</w:instrText>
      </w:r>
      <w:r w:rsidRPr="00B349D5">
        <w:instrText xml:space="preserve">" </w:instrText>
      </w:r>
      <w:r w:rsidRPr="00B349D5">
        <w:fldChar w:fldCharType="end"/>
      </w:r>
      <w:bookmarkStart w:id="96" w:name="_BA_Cite_195"/>
      <w:r w:rsidRPr="00B349D5">
        <w:t>WCI’s Initial Brief, fn. 27, p. 12</w:t>
      </w:r>
      <w:bookmarkEnd w:id="96"/>
      <w:r w:rsidRPr="00B349D5">
        <w:t xml:space="preserve">.  </w:t>
      </w:r>
    </w:p>
  </w:footnote>
  <w:footnote w:id="44">
    <w:p w:rsidR="00632775" w:rsidRPr="00B349D5" w:rsidRDefault="00632775" w:rsidP="00E30384">
      <w:pPr>
        <w:pStyle w:val="FootnoteText"/>
      </w:pPr>
      <w:r w:rsidRPr="00B349D5">
        <w:rPr>
          <w:rStyle w:val="FootnoteReference"/>
        </w:rPr>
        <w:footnoteRef/>
      </w:r>
      <w:r w:rsidRPr="00B349D5">
        <w:t xml:space="preserve"> And the Petitioner has also alluded to concrete steps to mitigate those costs through conservative resource management and unsolicited and ongoing professional fee discounts and reductions </w:t>
      </w:r>
      <w:r w:rsidRPr="00B349D5">
        <w:fldChar w:fldCharType="begin"/>
      </w:r>
      <w:r w:rsidRPr="00B349D5">
        <w:instrText xml:space="preserve"> ADDIN BA \xc &lt;@rec&gt; \xl 23 \s ECSSJP000090 \xpl 1 \l "</w:instrText>
      </w:r>
      <w:r w:rsidRPr="00B349D5">
        <w:rPr>
          <w:sz w:val="24"/>
        </w:rPr>
        <w:instrText>(Revised Exhibit JD-48)</w:instrText>
      </w:r>
      <w:r w:rsidRPr="00B349D5">
        <w:instrText xml:space="preserve">" </w:instrText>
      </w:r>
      <w:r w:rsidRPr="00B349D5">
        <w:fldChar w:fldCharType="end"/>
      </w:r>
      <w:bookmarkStart w:id="97" w:name="_BA_Cite_196"/>
      <w:r w:rsidRPr="00B349D5">
        <w:t>(Revised Exhibit JD-48)</w:t>
      </w:r>
      <w:bookmarkEnd w:id="97"/>
      <w:r w:rsidRPr="00B349D5">
        <w:t>.  Staff, in con</w:t>
      </w:r>
      <w:r w:rsidR="00A638CF">
        <w:t>tr</w:t>
      </w:r>
      <w:r w:rsidRPr="00B349D5">
        <w:t>ast, has been uncons</w:t>
      </w:r>
      <w:r w:rsidR="00A638CF">
        <w:t>tr</w:t>
      </w:r>
      <w:r w:rsidRPr="00B349D5">
        <w:t>ained in resources to advance their litigation position.</w:t>
      </w:r>
    </w:p>
  </w:footnote>
  <w:footnote w:id="45">
    <w:p w:rsidR="00632775" w:rsidRPr="00B349D5" w:rsidRDefault="00632775" w:rsidP="00E30384">
      <w:pPr>
        <w:pStyle w:val="FootnoteText"/>
      </w:pPr>
      <w:r w:rsidRPr="00B349D5">
        <w:rPr>
          <w:rStyle w:val="FootnoteReference"/>
        </w:rPr>
        <w:footnoteRef/>
      </w:r>
      <w:r w:rsidRPr="00B349D5">
        <w:t xml:space="preserve"> </w:t>
      </w:r>
      <w:r w:rsidRPr="00B349D5">
        <w:fldChar w:fldCharType="begin"/>
      </w:r>
      <w:r w:rsidRPr="00B349D5">
        <w:instrText xml:space="preserve"> ADDIN BA \xc &lt;@reg&gt; \xl 28 \s ECSSJP000029 \l "</w:instrText>
      </w:r>
      <w:r w:rsidRPr="00B349D5">
        <w:rPr>
          <w:sz w:val="24"/>
        </w:rPr>
        <w:instrText>Initial Order 12, ¶ 74, p. 26</w:instrText>
      </w:r>
      <w:r w:rsidRPr="00B349D5">
        <w:instrText xml:space="preserve">" </w:instrText>
      </w:r>
      <w:r w:rsidRPr="00B349D5">
        <w:fldChar w:fldCharType="end"/>
      </w:r>
      <w:bookmarkStart w:id="98" w:name="_BA_Cite_197"/>
      <w:r w:rsidRPr="00B349D5">
        <w:t>Initial Order 12, ¶74, p. 26</w:t>
      </w:r>
      <w:bookmarkEnd w:id="98"/>
      <w:r w:rsidRPr="00B349D5">
        <w:t xml:space="preserve">.  The concept of “splitting the liability for the time and expense” incurred in these dockets though is theoretical, not quantitative and, particularly for TG-140560, is not based on any analysis of conduct by the Company in </w:t>
      </w:r>
      <w:r w:rsidR="00D01A18">
        <w:t xml:space="preserve">the </w:t>
      </w:r>
      <w:r w:rsidRPr="00B349D5">
        <w:t>TG-140560</w:t>
      </w:r>
      <w:r w:rsidR="00D01A18">
        <w:t xml:space="preserve"> proceeding</w:t>
      </w:r>
      <w:r w:rsidRPr="00B349D5">
        <w:t>.</w:t>
      </w:r>
    </w:p>
  </w:footnote>
  <w:footnote w:id="46">
    <w:p w:rsidR="00632775" w:rsidRPr="00B349D5" w:rsidRDefault="00632775">
      <w:pPr>
        <w:pStyle w:val="FootnoteText"/>
      </w:pPr>
      <w:r w:rsidRPr="00B349D5">
        <w:rPr>
          <w:rStyle w:val="FootnoteReference"/>
        </w:rPr>
        <w:footnoteRef/>
      </w:r>
      <w:r w:rsidRPr="00B349D5">
        <w:t xml:space="preserve"> For instance, the Staff auditor testified that she alone had been spending “20 to 40 hours a week” on this case since fall 2013.  </w:t>
      </w:r>
      <w:r w:rsidRPr="00B349D5">
        <w:fldChar w:fldCharType="begin"/>
      </w:r>
      <w:r w:rsidRPr="00B349D5">
        <w:instrText xml:space="preserve"> ADDIN BA \xc &lt;@rec&gt; \xl 21 \s ECSSJP000092 \l "</w:instrText>
      </w:r>
      <w:r w:rsidRPr="00B349D5">
        <w:rPr>
          <w:sz w:val="24"/>
        </w:rPr>
        <w:instrText>Cheesman TR 257:16-18</w:instrText>
      </w:r>
      <w:r w:rsidRPr="00B349D5">
        <w:instrText xml:space="preserve">" </w:instrText>
      </w:r>
      <w:r w:rsidRPr="00B349D5">
        <w:fldChar w:fldCharType="end"/>
      </w:r>
      <w:bookmarkStart w:id="100" w:name="_BA_Cite_199"/>
      <w:r w:rsidRPr="00B349D5">
        <w:t>Cheesman</w:t>
      </w:r>
      <w:r w:rsidR="00B97416">
        <w:t>,</w:t>
      </w:r>
      <w:r w:rsidRPr="00B349D5">
        <w:t xml:space="preserve"> </w:t>
      </w:r>
      <w:r w:rsidR="00B97416">
        <w:t>TR.</w:t>
      </w:r>
      <w:r w:rsidRPr="00B349D5">
        <w:t xml:space="preserve"> 257:16-18</w:t>
      </w:r>
      <w:bookmarkEnd w:id="100"/>
      <w:r w:rsidRPr="00B349D5">
        <w:t xml:space="preserve">.  Over 20 months, this amounts to a minimum of 1,600 to a maximum of 3,200 hours.  We already know that the 1,600 hours estimate is likely </w:t>
      </w:r>
      <w:r w:rsidR="00D01A18">
        <w:t xml:space="preserve">understated </w:t>
      </w:r>
      <w:r w:rsidRPr="00B349D5">
        <w:t xml:space="preserve">since 11 months before May, 2015, by her answer to Company Data </w:t>
      </w:r>
      <w:r w:rsidRPr="00B349D5">
        <w:fldChar w:fldCharType="begin"/>
      </w:r>
      <w:r w:rsidRPr="00B349D5">
        <w:instrText xml:space="preserve"> ADDIN BA \xc &lt;@admproc&gt; \xl 13 \s ECSSJP000030 \l "</w:instrText>
      </w:r>
      <w:r w:rsidRPr="00B349D5">
        <w:rPr>
          <w:sz w:val="24"/>
        </w:rPr>
        <w:instrText>Request No. 4</w:instrText>
      </w:r>
      <w:r w:rsidRPr="00B349D5">
        <w:instrText xml:space="preserve">" </w:instrText>
      </w:r>
      <w:r w:rsidRPr="00B349D5">
        <w:fldChar w:fldCharType="end"/>
      </w:r>
      <w:bookmarkStart w:id="101" w:name="_BA_Cite_200"/>
      <w:r w:rsidRPr="00B349D5">
        <w:t>Request No. 4</w:t>
      </w:r>
      <w:bookmarkEnd w:id="101"/>
      <w:r w:rsidRPr="00B349D5">
        <w:t xml:space="preserve"> in TG-140560, Staff had logged 1,595 hours through June 30, 2014 </w:t>
      </w:r>
      <w:r w:rsidRPr="00B349D5">
        <w:fldChar w:fldCharType="begin"/>
      </w:r>
      <w:r w:rsidRPr="00B349D5">
        <w:instrText xml:space="preserve"> ADDIN BA \xc &lt;@rec&gt; \xl 23 \s ECSSJP000093 \xpl 1 \l "</w:instrText>
      </w:r>
      <w:r w:rsidRPr="00B349D5">
        <w:rPr>
          <w:sz w:val="24"/>
        </w:rPr>
        <w:instrText>(</w:instrText>
      </w:r>
      <w:r w:rsidRPr="00B349D5">
        <w:rPr>
          <w:i/>
          <w:sz w:val="24"/>
        </w:rPr>
        <w:instrText>accord</w:instrText>
      </w:r>
      <w:r w:rsidRPr="00B349D5">
        <w:rPr>
          <w:sz w:val="24"/>
        </w:rPr>
        <w:instrText>, Exhibit MC-17)</w:instrText>
      </w:r>
      <w:r w:rsidRPr="00B349D5">
        <w:instrText xml:space="preserve">" </w:instrText>
      </w:r>
      <w:r w:rsidRPr="00B349D5">
        <w:fldChar w:fldCharType="end"/>
      </w:r>
      <w:bookmarkStart w:id="102" w:name="_BA_Cite_201"/>
      <w:r w:rsidRPr="00B349D5">
        <w:t>(</w:t>
      </w:r>
      <w:r w:rsidRPr="00B349D5">
        <w:rPr>
          <w:i/>
        </w:rPr>
        <w:t>accord</w:t>
      </w:r>
      <w:r w:rsidRPr="00B349D5">
        <w:t>, Exhibit MC-17)</w:t>
      </w:r>
      <w:bookmarkEnd w:id="102"/>
      <w:r w:rsidRPr="00B349D5">
        <w:t>.</w:t>
      </w:r>
    </w:p>
  </w:footnote>
  <w:footnote w:id="47">
    <w:p w:rsidR="00632775" w:rsidRPr="00B349D5" w:rsidRDefault="00632775">
      <w:pPr>
        <w:pStyle w:val="FootnoteText"/>
      </w:pPr>
      <w:r w:rsidRPr="00B349D5">
        <w:rPr>
          <w:rStyle w:val="FootnoteReference"/>
        </w:rPr>
        <w:footnoteRef/>
      </w:r>
      <w:r w:rsidRPr="00B349D5">
        <w:t xml:space="preserve"> As the adminis</w:t>
      </w:r>
      <w:r w:rsidR="00A638CF">
        <w:t>tr</w:t>
      </w:r>
      <w:r w:rsidRPr="00B349D5">
        <w:t xml:space="preserve">ative law judge noted in subsequent </w:t>
      </w:r>
      <w:r w:rsidRPr="00B349D5">
        <w:fldChar w:fldCharType="begin"/>
      </w:r>
      <w:r w:rsidRPr="00B349D5">
        <w:instrText xml:space="preserve"> ADDIN BA \xc &lt;@$reg&gt; \xl 8 \s ECSSJP000009 </w:instrText>
      </w:r>
      <w:r w:rsidRPr="00B349D5">
        <w:fldChar w:fldCharType="end"/>
      </w:r>
      <w:bookmarkStart w:id="105" w:name="_BA_Cite_204"/>
      <w:r w:rsidRPr="00B349D5">
        <w:t>Order 05</w:t>
      </w:r>
      <w:bookmarkEnd w:id="105"/>
      <w:r w:rsidRPr="00B349D5">
        <w:t xml:space="preserve"> on th</w:t>
      </w:r>
      <w:r w:rsidR="00D01A18">
        <w:t>ose</w:t>
      </w:r>
      <w:r w:rsidRPr="00B349D5">
        <w:t xml:space="preserve"> discovery issues: “…the Commission understands WCI’s frus</w:t>
      </w:r>
      <w:r w:rsidR="00A638CF">
        <w:t>tr</w:t>
      </w:r>
      <w:r w:rsidRPr="00B349D5">
        <w:t xml:space="preserve">ation with Staff’s decision to participate telephonically in a technical conference that was clearly meant to be conducted in person.  Part of the confusion and delay relating to WCI’s failure to provide responsive information to Staff must fall on Staff’s shoulders,” </w:t>
      </w:r>
      <w:r w:rsidRPr="00B349D5">
        <w:fldChar w:fldCharType="begin"/>
      </w:r>
      <w:r w:rsidRPr="00B349D5">
        <w:instrText xml:space="preserve"> ADDIN BA \xc &lt;@reg&gt; \xl 43 \s ECSSJP000032 \l "</w:instrText>
      </w:r>
      <w:r w:rsidRPr="00B349D5">
        <w:rPr>
          <w:sz w:val="24"/>
        </w:rPr>
        <w:instrText>Order 05, TG-140560, ¶ 22, p. 9 (July 2014)</w:instrText>
      </w:r>
      <w:r w:rsidRPr="00B349D5">
        <w:instrText xml:space="preserve">" </w:instrText>
      </w:r>
      <w:r w:rsidRPr="00B349D5">
        <w:fldChar w:fldCharType="end"/>
      </w:r>
      <w:bookmarkStart w:id="106" w:name="_BA_Cite_205"/>
      <w:r w:rsidRPr="00B349D5">
        <w:t>Order 05, TG-140560, ¶22, p. 9, (July 2014)</w:t>
      </w:r>
      <w:bookmarkEnd w:id="106"/>
      <w:r w:rsidRPr="00B349D5">
        <w:t>.</w:t>
      </w:r>
    </w:p>
  </w:footnote>
  <w:footnote w:id="48">
    <w:p w:rsidR="00632775" w:rsidRPr="00B349D5" w:rsidRDefault="00632775">
      <w:pPr>
        <w:pStyle w:val="FootnoteText"/>
      </w:pPr>
      <w:r w:rsidRPr="00B349D5">
        <w:rPr>
          <w:rStyle w:val="FootnoteReference"/>
        </w:rPr>
        <w:footnoteRef/>
      </w:r>
      <w:r w:rsidRPr="00B349D5">
        <w:t xml:space="preserve"> Attached to the “Declaration of David Wiley in Support of Waste Con</w:t>
      </w:r>
      <w:r w:rsidR="00A638CF">
        <w:t>tr</w:t>
      </w:r>
      <w:r w:rsidRPr="00B349D5">
        <w:t>ol, Inc.’s Motion for Appointment of a Discovery Master and Alternatively Scheduling a Discovery Conference.”</w:t>
      </w:r>
    </w:p>
  </w:footnote>
  <w:footnote w:id="49">
    <w:p w:rsidR="00632775" w:rsidRPr="00B349D5" w:rsidRDefault="00632775">
      <w:pPr>
        <w:pStyle w:val="FootnoteText"/>
      </w:pPr>
      <w:r w:rsidRPr="00B349D5">
        <w:rPr>
          <w:rStyle w:val="FootnoteReference"/>
        </w:rPr>
        <w:footnoteRef/>
      </w:r>
      <w:r w:rsidRPr="00B349D5">
        <w:t xml:space="preserve"> “Joint Motion to Amend the Procedural Schedule,” October 23, 2014, ¶9, p. 3.</w:t>
      </w:r>
    </w:p>
  </w:footnote>
  <w:footnote w:id="50">
    <w:p w:rsidR="00632775" w:rsidRPr="00B349D5" w:rsidRDefault="00632775">
      <w:pPr>
        <w:pStyle w:val="FootnoteText"/>
      </w:pPr>
      <w:r w:rsidRPr="00B349D5">
        <w:rPr>
          <w:rStyle w:val="FootnoteReference"/>
        </w:rPr>
        <w:footnoteRef/>
      </w:r>
      <w:r w:rsidRPr="00B349D5">
        <w:t xml:space="preserve"> The Staff’s Motion which totaled two pages, was thinly supported.  </w:t>
      </w:r>
      <w:r w:rsidR="003A5B4A">
        <w:t>Disposition</w:t>
      </w:r>
      <w:r w:rsidRPr="00B349D5">
        <w:t xml:space="preserve"> of </w:t>
      </w:r>
      <w:r w:rsidR="003A5B4A">
        <w:t xml:space="preserve">that </w:t>
      </w:r>
      <w:r w:rsidRPr="00B349D5">
        <w:t xml:space="preserve">Motion </w:t>
      </w:r>
      <w:r w:rsidR="003A5B4A">
        <w:t xml:space="preserve">also entailed a live hearing </w:t>
      </w:r>
      <w:r w:rsidRPr="00B349D5">
        <w:t>on the supplemental testimony and added numerous months to the decision timetable.</w:t>
      </w:r>
      <w:r w:rsidR="00D01A18">
        <w:t xml:space="preserve"> </w:t>
      </w:r>
      <w:r w:rsidRPr="00B349D5">
        <w:t xml:space="preserve"> </w:t>
      </w:r>
      <w:r w:rsidR="00D01A18">
        <w:t xml:space="preserve">As Initial Order 10 </w:t>
      </w:r>
      <w:r w:rsidR="0075685E">
        <w:t>characterized that effort</w:t>
      </w:r>
      <w:r w:rsidR="00D01A18">
        <w:t xml:space="preserve"> in footnote 39: “[</w:t>
      </w:r>
      <w:proofErr w:type="spellStart"/>
      <w:r w:rsidR="00D01A18">
        <w:t>i</w:t>
      </w:r>
      <w:proofErr w:type="spellEnd"/>
      <w:r w:rsidR="00D01A18">
        <w:t>]t is fair to say we were underwhelmed by Staff’s Motion.”</w:t>
      </w:r>
    </w:p>
  </w:footnote>
  <w:footnote w:id="51">
    <w:p w:rsidR="00632775" w:rsidRPr="00B349D5" w:rsidRDefault="00632775" w:rsidP="004E50CE">
      <w:pPr>
        <w:pStyle w:val="FootnoteText"/>
      </w:pPr>
      <w:r w:rsidRPr="00B349D5">
        <w:rPr>
          <w:rStyle w:val="FootnoteReference"/>
        </w:rPr>
        <w:footnoteRef/>
      </w:r>
      <w:r w:rsidRPr="00B349D5">
        <w:t xml:space="preserve"> </w:t>
      </w:r>
      <w:r w:rsidRPr="00B349D5">
        <w:fldChar w:fldCharType="begin"/>
      </w:r>
      <w:r w:rsidRPr="00B349D5">
        <w:instrText xml:space="preserve"> ADDIN BA \xc &lt;@rec&gt; \xl 20 \s ECSSJP000095 \l "</w:instrText>
      </w:r>
      <w:r w:rsidRPr="00B349D5">
        <w:rPr>
          <w:sz w:val="24"/>
        </w:rPr>
        <w:instrText>Cheesman TR. 295:4-6</w:instrText>
      </w:r>
      <w:r w:rsidRPr="00B349D5">
        <w:instrText xml:space="preserve">" </w:instrText>
      </w:r>
      <w:r w:rsidRPr="00B349D5">
        <w:fldChar w:fldCharType="end"/>
      </w:r>
      <w:bookmarkStart w:id="109" w:name="_BA_Cite_208"/>
      <w:r w:rsidRPr="00B349D5">
        <w:t>Cheesman</w:t>
      </w:r>
      <w:r w:rsidR="00B97416">
        <w:t>,</w:t>
      </w:r>
      <w:r w:rsidRPr="00B349D5">
        <w:t xml:space="preserve"> </w:t>
      </w:r>
      <w:r w:rsidR="0020340E">
        <w:t>TR</w:t>
      </w:r>
      <w:r w:rsidRPr="00B349D5">
        <w:t>. 295:4-6</w:t>
      </w:r>
      <w:bookmarkEnd w:id="109"/>
      <w:r w:rsidRPr="00B349D5">
        <w:t>.</w:t>
      </w:r>
    </w:p>
  </w:footnote>
  <w:footnote w:id="52">
    <w:p w:rsidR="00632775" w:rsidRPr="00B349D5" w:rsidRDefault="00632775">
      <w:pPr>
        <w:pStyle w:val="FootnoteText"/>
      </w:pPr>
      <w:r w:rsidRPr="00B349D5">
        <w:rPr>
          <w:rStyle w:val="FootnoteReference"/>
        </w:rPr>
        <w:footnoteRef/>
      </w:r>
      <w:r w:rsidRPr="00B349D5">
        <w:t xml:space="preserve"> </w:t>
      </w:r>
      <w:r w:rsidR="00685031">
        <w:t xml:space="preserve">With the alternative proposal to halve rate case costs </w:t>
      </w:r>
      <w:r w:rsidR="005B48E4">
        <w:t>in</w:t>
      </w:r>
      <w:r w:rsidR="00685031">
        <w:t xml:space="preserve"> the December 24, 2013 to April 3, 2014 interval, it is perhaps academic now to continue to debate the issue of the original case dismissal a</w:t>
      </w:r>
      <w:r w:rsidR="001E3E4F">
        <w:t>nd the at</w:t>
      </w:r>
      <w:r w:rsidR="00A638CF">
        <w:t>tr</w:t>
      </w:r>
      <w:r w:rsidR="001E3E4F">
        <w:t>ibution of blame lev</w:t>
      </w:r>
      <w:r w:rsidR="00685031">
        <w:t>e</w:t>
      </w:r>
      <w:r w:rsidR="001E3E4F">
        <w:t>le</w:t>
      </w:r>
      <w:r w:rsidR="00685031">
        <w:t xml:space="preserve">d by the Staff on the Company.  The Initial Order, (Initial Order No. 12, ¶72, p. 26), appeared to miss the point on what the Reply Brief was advocating on this premise. (WCI Reply Brief, ¶¶50, 51, pp. 28-30).  The apparent practice in removing solid waste workpapers by the Record Center has now been formally reversed by </w:t>
      </w:r>
      <w:r w:rsidR="001E3E4F">
        <w:t>the</w:t>
      </w:r>
      <w:r w:rsidR="00685031">
        <w:t xml:space="preserve"> Notice of June 24, 2015 (“Notice of </w:t>
      </w:r>
      <w:r w:rsidR="00A638CF">
        <w:t>Tr</w:t>
      </w:r>
      <w:r w:rsidR="00685031">
        <w:t xml:space="preserve">eatment of Workpapers of Water and Solid Waste Companies… letter from Steven V. King to all affected parties, June 24, 2015”).  That letter highlighted the </w:t>
      </w:r>
      <w:r w:rsidR="00B558D3">
        <w:t xml:space="preserve">deeper </w:t>
      </w:r>
      <w:r w:rsidR="00685031">
        <w:t>predicament the Company was having</w:t>
      </w:r>
      <w:r w:rsidR="001E3E4F">
        <w:t>,</w:t>
      </w:r>
      <w:r w:rsidR="00685031">
        <w:t xml:space="preserve"> in early 2014</w:t>
      </w:r>
      <w:r w:rsidR="001E3E4F">
        <w:t>,</w:t>
      </w:r>
      <w:r w:rsidR="00685031">
        <w:t xml:space="preserve"> in attempting to communicate </w:t>
      </w:r>
      <w:r w:rsidR="001E3E4F">
        <w:t xml:space="preserve">with </w:t>
      </w:r>
      <w:r w:rsidR="00685031">
        <w:t>the Staff about the status of a solid waste rate filing prior to filing its testimony, i.e., because it a solid waste filing, as opposed to an energy company filing, is not accompanied by formal testimony at the time of the filing yet subject to extensive audit, review and Staff-Company negotiations prior to assuming an adjudicative posture</w:t>
      </w:r>
      <w:r w:rsidR="00B558D3">
        <w:t xml:space="preserve"> (Exhibit JD-42)</w:t>
      </w:r>
      <w:r w:rsidR="004A26DB">
        <w:t>.  U</w:t>
      </w:r>
      <w:r w:rsidR="00B558D3">
        <w:t>nbeknownst to</w:t>
      </w:r>
      <w:r w:rsidR="00685031">
        <w:t xml:space="preserve"> this company and its undersigned counsel, none of the numerous overtures in framing the unusual posture of a solid waste case almost six months into its review were ever assumed to  be based on an adjudicative file lacking the Company’s initial filing support, including key documents like proposed results of operations, proposed company adjustments, Lurito-Gallagher calculations, </w:t>
      </w:r>
      <w:r w:rsidR="001E3E4F">
        <w:t>returns on investment under</w:t>
      </w:r>
      <w:r w:rsidR="00685031">
        <w:t xml:space="preserve"> Lurito, etc.  The Company was not arguing in its Reply Brief that the </w:t>
      </w:r>
      <w:r w:rsidR="00B558D3">
        <w:t xml:space="preserve">existence </w:t>
      </w:r>
      <w:r w:rsidR="00685031">
        <w:t xml:space="preserve">of the workpapers would have sufficed for its case testimony filing, only that with that knowledge, its original case filing in February would have been calibrated very differently with far more explanation of the original filing versus incremental accounting adjustments which might have </w:t>
      </w:r>
      <w:r w:rsidR="00B558D3">
        <w:t xml:space="preserve">more sharply </w:t>
      </w:r>
      <w:r w:rsidR="00685031">
        <w:t>framed not only the issues in dispute</w:t>
      </w:r>
      <w:r w:rsidR="00B558D3">
        <w:t>,</w:t>
      </w:r>
      <w:r w:rsidR="00685031">
        <w:t xml:space="preserve"> but provided narrative </w:t>
      </w:r>
      <w:r w:rsidR="00122BE9">
        <w:t>context for</w:t>
      </w:r>
      <w:r w:rsidR="00685031">
        <w:t xml:space="preserve"> the filing with far greater explanations.  Again, this premise is unfortunately now rather academic</w:t>
      </w:r>
      <w:r w:rsidR="00B558D3">
        <w:t>.</w:t>
      </w:r>
      <w:r w:rsidR="00685031">
        <w:t xml:space="preserve">  However, the Company believes the past practice of Record Center solid waste rate case workpaper removal and what as a result, was or was not contained in the official adjudicative file is clarified prospectively.  That will hopefully avoid any future misunderstandings involving informal practices v. codified rule requirements which befell the Company here, and in its view, unquestionably con</w:t>
      </w:r>
      <w:r w:rsidR="00A638CF">
        <w:t>tr</w:t>
      </w:r>
      <w:r w:rsidR="00685031">
        <w:t>ibuted to the circumstances and complications attendant to the original case dismissal.</w:t>
      </w:r>
    </w:p>
  </w:footnote>
  <w:footnote w:id="53">
    <w:p w:rsidR="00632775" w:rsidRPr="00B349D5" w:rsidRDefault="00632775" w:rsidP="00E30384">
      <w:pPr>
        <w:pStyle w:val="FootnoteText"/>
      </w:pPr>
      <w:r w:rsidRPr="00B349D5">
        <w:rPr>
          <w:rStyle w:val="FootnoteReference"/>
        </w:rPr>
        <w:footnoteRef/>
      </w:r>
      <w:r w:rsidRPr="00B349D5">
        <w:t xml:space="preserve"> </w:t>
      </w:r>
      <w:r w:rsidRPr="00B349D5">
        <w:fldChar w:fldCharType="begin"/>
      </w:r>
      <w:r w:rsidRPr="00B349D5">
        <w:instrText xml:space="preserve"> ADDIN BA \xc &lt;@reg&gt; \xl 28 \s ECSSJP000035 \l "</w:instrText>
      </w:r>
      <w:r w:rsidRPr="00B349D5">
        <w:rPr>
          <w:sz w:val="24"/>
        </w:rPr>
        <w:instrText>Initial Order 12, ¶ 69, p. 25</w:instrText>
      </w:r>
      <w:r w:rsidRPr="00B349D5">
        <w:instrText xml:space="preserve">" </w:instrText>
      </w:r>
      <w:r w:rsidRPr="00B349D5">
        <w:fldChar w:fldCharType="end"/>
      </w:r>
      <w:bookmarkStart w:id="111" w:name="_BA_Cite_210"/>
      <w:r w:rsidRPr="00B349D5">
        <w:t>Initial Order 12, ¶69, p. 25</w:t>
      </w:r>
      <w:bookmarkEnd w:id="111"/>
      <w:r w:rsidRPr="00B349D5">
        <w:t>.</w:t>
      </w:r>
    </w:p>
  </w:footnote>
  <w:footnote w:id="54">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&lt;@cs&gt; \xl 73 \s ECSSJP000039 \xhfl Rep \l "</w:instrText>
      </w:r>
      <w:r w:rsidRPr="00B349D5">
        <w:rPr>
          <w:i/>
          <w:sz w:val="24"/>
        </w:rPr>
        <w:instrText>Cockle v. Dep’t of Labor &amp; Indus.</w:instrText>
      </w:r>
      <w:r w:rsidRPr="00B349D5">
        <w:rPr>
          <w:sz w:val="24"/>
        </w:rPr>
        <w:instrText>,&lt;SoftRt&gt; 142 Wn.2d 801, 16 P.3d 583 (2001)</w:instrText>
      </w:r>
      <w:r w:rsidRPr="00B349D5">
        <w:instrText xml:space="preserve">" </w:instrText>
      </w:r>
      <w:r w:rsidRPr="00B349D5">
        <w:fldChar w:fldCharType="end"/>
      </w:r>
      <w:bookmarkStart w:id="118" w:name="_BA_Cite_215"/>
      <w:r w:rsidRPr="00B349D5">
        <w:rPr>
          <w:i/>
        </w:rPr>
        <w:t>Cockle v. Dep’t of Labor &amp; Indus.</w:t>
      </w:r>
      <w:r w:rsidRPr="00B349D5">
        <w:t xml:space="preserve">, 142 </w:t>
      </w:r>
      <w:proofErr w:type="spellStart"/>
      <w:r w:rsidRPr="00B349D5">
        <w:t>Wn.2d</w:t>
      </w:r>
      <w:proofErr w:type="spellEnd"/>
      <w:r w:rsidRPr="00B349D5">
        <w:t xml:space="preserve"> 801, 808, 16 </w:t>
      </w:r>
      <w:proofErr w:type="spellStart"/>
      <w:r w:rsidRPr="00B349D5">
        <w:t>P.3d</w:t>
      </w:r>
      <w:proofErr w:type="spellEnd"/>
      <w:r w:rsidRPr="00B349D5">
        <w:t xml:space="preserve"> 583 (2001)</w:t>
      </w:r>
      <w:bookmarkEnd w:id="118"/>
      <w:r w:rsidRPr="00B349D5">
        <w:t>.</w:t>
      </w:r>
    </w:p>
  </w:footnote>
  <w:footnote w:id="55">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&lt;@cs&gt; \xl 89 \s ECSSJP000040 \xhfl Rep \l "</w:instrText>
      </w:r>
      <w:r w:rsidRPr="00B349D5">
        <w:rPr>
          <w:i/>
          <w:sz w:val="24"/>
        </w:rPr>
        <w:instrText>Wash. Optometric Ass’n v. Pierce Cnty., City of Tacoma</w:instrText>
      </w:r>
      <w:r w:rsidRPr="00B349D5">
        <w:rPr>
          <w:sz w:val="24"/>
        </w:rPr>
        <w:instrText>,&lt;SoftRt&gt; 73 Wn.2d 445, 438 P.2d 861 (1968)</w:instrText>
      </w:r>
      <w:r w:rsidRPr="00B349D5">
        <w:instrText xml:space="preserve">" </w:instrText>
      </w:r>
      <w:r w:rsidRPr="00B349D5">
        <w:fldChar w:fldCharType="end"/>
      </w:r>
      <w:bookmarkStart w:id="119" w:name="_BA_Cite_216"/>
      <w:r w:rsidRPr="00B349D5">
        <w:rPr>
          <w:i/>
        </w:rPr>
        <w:t>Wash. Optome</w:t>
      </w:r>
      <w:r w:rsidR="00793C7B">
        <w:rPr>
          <w:i/>
        </w:rPr>
        <w:t>tr</w:t>
      </w:r>
      <w:r w:rsidRPr="00B349D5">
        <w:rPr>
          <w:i/>
        </w:rPr>
        <w:t xml:space="preserve">ic </w:t>
      </w:r>
      <w:proofErr w:type="spellStart"/>
      <w:r w:rsidRPr="00B349D5">
        <w:rPr>
          <w:i/>
        </w:rPr>
        <w:t>Ass’n</w:t>
      </w:r>
      <w:proofErr w:type="spellEnd"/>
      <w:r w:rsidRPr="00B349D5">
        <w:rPr>
          <w:i/>
        </w:rPr>
        <w:t xml:space="preserve"> v. Pierce </w:t>
      </w:r>
      <w:proofErr w:type="spellStart"/>
      <w:r w:rsidRPr="00B349D5">
        <w:rPr>
          <w:i/>
        </w:rPr>
        <w:t>Cnty</w:t>
      </w:r>
      <w:proofErr w:type="spellEnd"/>
      <w:r w:rsidRPr="00B349D5">
        <w:rPr>
          <w:i/>
        </w:rPr>
        <w:t>., City of Tacoma</w:t>
      </w:r>
      <w:r w:rsidRPr="00B349D5">
        <w:t xml:space="preserve">, 73 </w:t>
      </w:r>
      <w:proofErr w:type="spellStart"/>
      <w:r w:rsidRPr="00B349D5">
        <w:t>Wn.2d</w:t>
      </w:r>
      <w:proofErr w:type="spellEnd"/>
      <w:r w:rsidRPr="00B349D5">
        <w:t xml:space="preserve"> 445, 438 </w:t>
      </w:r>
      <w:proofErr w:type="spellStart"/>
      <w:r w:rsidRPr="00B349D5">
        <w:t>P.2d</w:t>
      </w:r>
      <w:proofErr w:type="spellEnd"/>
      <w:r w:rsidRPr="00B349D5">
        <w:t xml:space="preserve"> 861 (1968)</w:t>
      </w:r>
      <w:bookmarkEnd w:id="119"/>
      <w:r w:rsidRPr="00B349D5">
        <w:t>.</w:t>
      </w:r>
    </w:p>
  </w:footnote>
  <w:footnote w:id="56">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&lt;@cs&gt; \xl 61 \s ECSSJP000041 \xhfl Rep \l "</w:instrText>
      </w:r>
      <w:r w:rsidRPr="00B349D5">
        <w:rPr>
          <w:i/>
          <w:sz w:val="24"/>
        </w:rPr>
        <w:instrText>Goldmark v. McKenna</w:instrText>
      </w:r>
      <w:r w:rsidRPr="00B349D5">
        <w:rPr>
          <w:sz w:val="24"/>
        </w:rPr>
        <w:instrText>,&lt;SoftRt&gt; 172 Wn.2d 568, 259 P.3d 1095 (2011)</w:instrText>
      </w:r>
      <w:r w:rsidRPr="00B349D5">
        <w:instrText xml:space="preserve">" </w:instrText>
      </w:r>
      <w:r w:rsidRPr="00B349D5">
        <w:fldChar w:fldCharType="end"/>
      </w:r>
      <w:bookmarkStart w:id="121" w:name="_BA_Cite_217"/>
      <w:proofErr w:type="spellStart"/>
      <w:r w:rsidRPr="00B349D5">
        <w:rPr>
          <w:i/>
        </w:rPr>
        <w:t>Goldmark</w:t>
      </w:r>
      <w:proofErr w:type="spellEnd"/>
      <w:r w:rsidRPr="00B349D5">
        <w:rPr>
          <w:i/>
        </w:rPr>
        <w:t xml:space="preserve"> v. McKenna</w:t>
      </w:r>
      <w:r w:rsidRPr="00B349D5">
        <w:t xml:space="preserve">, 172 </w:t>
      </w:r>
      <w:proofErr w:type="spellStart"/>
      <w:r w:rsidRPr="00B349D5">
        <w:t>Wn.2d</w:t>
      </w:r>
      <w:proofErr w:type="spellEnd"/>
      <w:r w:rsidRPr="00B349D5">
        <w:t xml:space="preserve"> 568, 575, 259 </w:t>
      </w:r>
      <w:proofErr w:type="spellStart"/>
      <w:r w:rsidRPr="00B349D5">
        <w:t>P.3d</w:t>
      </w:r>
      <w:proofErr w:type="spellEnd"/>
      <w:r w:rsidRPr="00B349D5">
        <w:t xml:space="preserve"> 1095 (2011)</w:t>
      </w:r>
      <w:bookmarkEnd w:id="121"/>
      <w:r w:rsidRPr="00B349D5">
        <w:t>.</w:t>
      </w:r>
    </w:p>
  </w:footnote>
  <w:footnote w:id="57">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&lt;@cs&gt; \xl 69 \s ECSSJP000042 \xhfl Rep \l "</w:instrText>
      </w:r>
      <w:r w:rsidRPr="00B349D5">
        <w:rPr>
          <w:i/>
          <w:sz w:val="24"/>
        </w:rPr>
        <w:instrText>State v. Northwestern Elec. Co</w:instrText>
      </w:r>
      <w:r w:rsidRPr="00B349D5">
        <w:rPr>
          <w:sz w:val="24"/>
        </w:rPr>
        <w:instrText>.,&lt;SoftRt&gt; 193 Wash. 184, 49 P.2d 8 (1935)</w:instrText>
      </w:r>
      <w:r w:rsidRPr="00B349D5">
        <w:instrText xml:space="preserve">" </w:instrText>
      </w:r>
      <w:r w:rsidRPr="00B349D5">
        <w:fldChar w:fldCharType="end"/>
      </w:r>
      <w:bookmarkStart w:id="122" w:name="_BA_Cite_218"/>
      <w:r w:rsidRPr="00B349D5">
        <w:rPr>
          <w:i/>
        </w:rPr>
        <w:t>State v. Northwestern Elec. Co</w:t>
      </w:r>
      <w:r w:rsidR="00B558D3">
        <w:t>., 18</w:t>
      </w:r>
      <w:r w:rsidRPr="00B349D5">
        <w:t xml:space="preserve">3 Wash. 184, 187, 49 </w:t>
      </w:r>
      <w:proofErr w:type="spellStart"/>
      <w:r w:rsidRPr="00B349D5">
        <w:t>P.2d</w:t>
      </w:r>
      <w:proofErr w:type="spellEnd"/>
      <w:r w:rsidRPr="00B349D5">
        <w:t xml:space="preserve"> 8 (1935)</w:t>
      </w:r>
      <w:bookmarkEnd w:id="122"/>
      <w:r w:rsidRPr="00B349D5">
        <w:t>.</w:t>
      </w:r>
    </w:p>
  </w:footnote>
  <w:footnote w:id="58">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&lt;@$id&gt; \xecn &lt;@$cs&gt; \xl 13 \s ECSSJP000042 \xhfl Rep </w:instrText>
      </w:r>
      <w:r w:rsidRPr="00B349D5">
        <w:fldChar w:fldCharType="end"/>
      </w:r>
      <w:r w:rsidRPr="00B349D5">
        <w:rPr>
          <w:i/>
        </w:rPr>
        <w:t>Id.</w:t>
      </w:r>
      <w:r w:rsidRPr="00B349D5">
        <w:t xml:space="preserve"> at 188-89.</w:t>
      </w:r>
    </w:p>
  </w:footnote>
  <w:footnote w:id="59">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&lt;@$id&gt; \xecn &lt;@$st&gt; \xl 10 \s ECSSJP000016 \xhfl Rep </w:instrText>
      </w:r>
      <w:r w:rsidRPr="00B349D5">
        <w:fldChar w:fldCharType="end"/>
      </w:r>
      <w:r w:rsidRPr="00B349D5">
        <w:rPr>
          <w:i/>
        </w:rPr>
        <w:t>Id</w:t>
      </w:r>
      <w:r w:rsidRPr="00B349D5">
        <w:t>. at 189.</w:t>
      </w:r>
    </w:p>
  </w:footnote>
  <w:footnote w:id="60">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&lt;@cs&gt; \xl 64 \s ECSSJP000043 \xhfl Rep \l "</w:instrText>
      </w:r>
      <w:r w:rsidRPr="00B349D5">
        <w:rPr>
          <w:i/>
          <w:sz w:val="24"/>
        </w:rPr>
        <w:instrText>State v. Pac. Tel. &amp; Tel. Co</w:instrText>
      </w:r>
      <w:r w:rsidRPr="00B349D5">
        <w:rPr>
          <w:sz w:val="24"/>
        </w:rPr>
        <w:instrText>.,&lt;SoftRt&gt; 27 Wn.2d 893, 181 P.2d 637 (1947)</w:instrText>
      </w:r>
      <w:r w:rsidRPr="00B349D5">
        <w:instrText xml:space="preserve">" </w:instrText>
      </w:r>
      <w:r w:rsidRPr="00B349D5">
        <w:fldChar w:fldCharType="end"/>
      </w:r>
      <w:bookmarkStart w:id="123" w:name="_BA_Cite_219"/>
      <w:r w:rsidRPr="00B349D5">
        <w:rPr>
          <w:i/>
        </w:rPr>
        <w:t>State v. Pac. Tel. &amp; Tel. Co</w:t>
      </w:r>
      <w:r w:rsidRPr="00B349D5">
        <w:t xml:space="preserve">., 27 </w:t>
      </w:r>
      <w:proofErr w:type="spellStart"/>
      <w:r w:rsidRPr="00B349D5">
        <w:t>Wn.2d</w:t>
      </w:r>
      <w:proofErr w:type="spellEnd"/>
      <w:r w:rsidRPr="00B349D5">
        <w:t xml:space="preserve"> 893, 181 </w:t>
      </w:r>
      <w:proofErr w:type="spellStart"/>
      <w:r w:rsidRPr="00B349D5">
        <w:t>P.2d</w:t>
      </w:r>
      <w:proofErr w:type="spellEnd"/>
      <w:r w:rsidRPr="00B349D5">
        <w:t xml:space="preserve"> 637 (1947)</w:t>
      </w:r>
      <w:bookmarkEnd w:id="123"/>
      <w:r w:rsidRPr="00B349D5">
        <w:t>.</w:t>
      </w:r>
    </w:p>
  </w:footnote>
  <w:footnote w:id="61">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&lt;@$id&gt; \xl 3 \s ID </w:instrText>
      </w:r>
      <w:r w:rsidRPr="00B349D5">
        <w:fldChar w:fldCharType="end"/>
      </w:r>
      <w:r w:rsidRPr="00B349D5">
        <w:rPr>
          <w:i/>
        </w:rPr>
        <w:t>Id</w:t>
      </w:r>
      <w:r w:rsidRPr="00B349D5">
        <w:t>.</w:t>
      </w:r>
    </w:p>
  </w:footnote>
  <w:footnote w:id="62">
    <w:p w:rsidR="00632775" w:rsidRPr="00B349D5" w:rsidRDefault="00632775">
      <w:pPr>
        <w:pStyle w:val="FootnoteText"/>
      </w:pPr>
      <w:r w:rsidRPr="00B349D5">
        <w:rPr>
          <w:rStyle w:val="FootnoteReference"/>
        </w:rPr>
        <w:footnoteRef/>
      </w:r>
      <w:r w:rsidRPr="00B349D5">
        <w:t xml:space="preserve"> The </w:t>
      </w:r>
      <w:r w:rsidRPr="00B349D5">
        <w:fldChar w:fldCharType="begin"/>
      </w:r>
      <w:r w:rsidRPr="00B349D5">
        <w:instrText xml:space="preserve"> ADDIN BA \xc &lt;@rec&gt; \xl 27 \s ECSSJP000098 \l "</w:instrText>
      </w:r>
      <w:r w:rsidRPr="00B349D5">
        <w:rPr>
          <w:sz w:val="24"/>
        </w:rPr>
        <w:instrText>Initial Order at ¶79, p. 28</w:instrText>
      </w:r>
      <w:r w:rsidRPr="00B349D5">
        <w:instrText xml:space="preserve">" </w:instrText>
      </w:r>
      <w:r w:rsidRPr="00B349D5">
        <w:fldChar w:fldCharType="end"/>
      </w:r>
      <w:bookmarkStart w:id="124" w:name="_BA_Cite_220"/>
      <w:r w:rsidRPr="00B349D5">
        <w:t>Initial Order at ¶79, p. 28</w:t>
      </w:r>
      <w:bookmarkEnd w:id="124"/>
      <w:r w:rsidRPr="00B349D5">
        <w:t xml:space="preserve"> seems to suggest that the “mandatory” imposition of fees is also logical here because this is the first fully litigated case before the Commission in more than 20 years and that an investigation of WCI would therefore be expected.  This rationale is misplaced.  First, investigation of books and records of public service companies always occur both before and after suspension.  </w:t>
      </w:r>
      <w:r w:rsidRPr="00B349D5">
        <w:fldChar w:fldCharType="begin"/>
      </w:r>
      <w:r w:rsidRPr="00B349D5">
        <w:instrText xml:space="preserve"> ADDIN BA \xc &lt;@st&gt; \xl 13 \s ECSSJP000044 \l "</w:instrText>
      </w:r>
      <w:r w:rsidRPr="00B349D5">
        <w:rPr>
          <w:sz w:val="24"/>
        </w:rPr>
        <w:instrText>RCW 81.80.020</w:instrText>
      </w:r>
      <w:r w:rsidRPr="00B349D5">
        <w:instrText xml:space="preserve">" </w:instrText>
      </w:r>
      <w:r w:rsidRPr="00B349D5">
        <w:fldChar w:fldCharType="end"/>
      </w:r>
      <w:bookmarkStart w:id="125" w:name="_BA_Cite_221"/>
      <w:r w:rsidRPr="00B349D5">
        <w:t>RCW 81.80.020</w:t>
      </w:r>
      <w:bookmarkEnd w:id="125"/>
      <w:r w:rsidRPr="00B349D5">
        <w:t xml:space="preserve"> has not been </w:t>
      </w:r>
      <w:r w:rsidR="00A638CF">
        <w:t>tr</w:t>
      </w:r>
      <w:r w:rsidRPr="00B349D5">
        <w:t xml:space="preserve">iggered simply due to a Staff investigation of the Company’s accounts before or after suspension.  Secondly, no one is asserting the Staff’s thorough investigation here was improper, rather, that imposing a huge fee upon the general rate case proponent for same is not mandatory, is unwarranted under these facts, and in singling out WCI for the fee imposition, is unprecedented and inconsistent with </w:t>
      </w:r>
      <w:r w:rsidR="00A638CF">
        <w:t>tr</w:t>
      </w:r>
      <w:r w:rsidRPr="00B349D5">
        <w:t xml:space="preserve">eatment of any other previous general rate case respondent, including the </w:t>
      </w:r>
      <w:r w:rsidRPr="00B349D5">
        <w:fldChar w:fldCharType="begin"/>
      </w:r>
      <w:r w:rsidRPr="00B349D5">
        <w:instrText xml:space="preserve"> ADDIN BA \xc &lt;@$cs&gt; \xl 8 \s ECSSJP000019 </w:instrText>
      </w:r>
      <w:r w:rsidRPr="00B349D5">
        <w:fldChar w:fldCharType="end"/>
      </w:r>
      <w:bookmarkStart w:id="126" w:name="_BA_Cite_222"/>
      <w:r w:rsidRPr="00B349D5">
        <w:rPr>
          <w:i/>
        </w:rPr>
        <w:t>Sno-King</w:t>
      </w:r>
      <w:bookmarkEnd w:id="126"/>
      <w:r w:rsidRPr="00B349D5">
        <w:t xml:space="preserve"> respondents in</w:t>
      </w:r>
      <w:r w:rsidR="00406D47">
        <w:t xml:space="preserve"> Orders 4/5, TG-900657, TG-90065</w:t>
      </w:r>
      <w:r w:rsidRPr="00B349D5">
        <w:t xml:space="preserve">8, </w:t>
      </w:r>
      <w:r w:rsidRPr="00B349D5">
        <w:fldChar w:fldCharType="begin"/>
      </w:r>
      <w:r w:rsidRPr="00B349D5">
        <w:instrText xml:space="preserve"> ADDIN BA \xc &lt;@ocsn&gt; \xl 38 \s ECSSJP000099 \l "</w:instrText>
      </w:r>
      <w:r w:rsidRPr="00B349D5">
        <w:rPr>
          <w:i/>
          <w:sz w:val="24"/>
        </w:rPr>
        <w:instrText>In re WUTC v. Sno-King Garbage Company</w:instrText>
      </w:r>
      <w:r w:rsidRPr="00B349D5">
        <w:instrText xml:space="preserve">" </w:instrText>
      </w:r>
      <w:r w:rsidRPr="00B349D5">
        <w:fldChar w:fldCharType="end"/>
      </w:r>
      <w:bookmarkStart w:id="127" w:name="_BA_Cite_223"/>
      <w:r w:rsidRPr="00B349D5">
        <w:rPr>
          <w:i/>
        </w:rPr>
        <w:t>In re WUTC v. Sno-King Garbage Company</w:t>
      </w:r>
      <w:bookmarkEnd w:id="127"/>
      <w:r w:rsidRPr="00B349D5">
        <w:rPr>
          <w:i/>
        </w:rPr>
        <w:t xml:space="preserve">; </w:t>
      </w:r>
      <w:r w:rsidRPr="00B349D5">
        <w:fldChar w:fldCharType="begin"/>
      </w:r>
      <w:r w:rsidRPr="00B349D5">
        <w:instrText xml:space="preserve"> ADDIN BA \xc &lt;@cs&gt; \xl 46 \s ECSSJP000045 \xhfl Rep \l "</w:instrText>
      </w:r>
      <w:r w:rsidRPr="00B349D5">
        <w:rPr>
          <w:i/>
          <w:sz w:val="24"/>
        </w:rPr>
        <w:instrText>WUTC v. Northwest Garbage Company,</w:instrText>
      </w:r>
      <w:r w:rsidRPr="00B349D5">
        <w:rPr>
          <w:sz w:val="24"/>
        </w:rPr>
        <w:instrText>&lt;SoftRt&gt; (Dec. 1991)</w:instrText>
      </w:r>
      <w:r w:rsidRPr="00B349D5">
        <w:instrText xml:space="preserve">" </w:instrText>
      </w:r>
      <w:r w:rsidRPr="00B349D5">
        <w:fldChar w:fldCharType="end"/>
      </w:r>
      <w:bookmarkStart w:id="128" w:name="_BA_Cite_224"/>
      <w:r w:rsidRPr="00B349D5">
        <w:rPr>
          <w:i/>
        </w:rPr>
        <w:t>WUTC v. Northwest Garbage Company</w:t>
      </w:r>
      <w:r w:rsidRPr="00B349D5">
        <w:t>, (Dec. 1991)</w:t>
      </w:r>
      <w:bookmarkEnd w:id="128"/>
      <w:r w:rsidRPr="00B349D5">
        <w:t>.</w:t>
      </w:r>
    </w:p>
  </w:footnote>
  <w:footnote w:id="63">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&lt;@rec&gt; \xl 19 \s ECSSJP000100 \l "</w:instrText>
      </w:r>
      <w:r w:rsidRPr="00B349D5">
        <w:rPr>
          <w:sz w:val="24"/>
        </w:rPr>
        <w:instrText>Cheesman, TR. 239:2</w:instrText>
      </w:r>
      <w:r w:rsidRPr="00B349D5">
        <w:instrText xml:space="preserve">" </w:instrText>
      </w:r>
      <w:r w:rsidRPr="00B349D5">
        <w:fldChar w:fldCharType="end"/>
      </w:r>
      <w:bookmarkStart w:id="129" w:name="_BA_Cite_225"/>
      <w:r w:rsidRPr="00B349D5">
        <w:t xml:space="preserve">Cheesman, </w:t>
      </w:r>
      <w:r w:rsidR="00B97416">
        <w:t>TR.</w:t>
      </w:r>
      <w:r w:rsidRPr="00B349D5">
        <w:t>. 239:2</w:t>
      </w:r>
      <w:bookmarkEnd w:id="129"/>
      <w:r w:rsidRPr="00B349D5">
        <w:t>; 240:8.</w:t>
      </w:r>
    </w:p>
  </w:footnote>
  <w:footnote w:id="64">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&lt;@rec&gt; \xl 31 \s ECSSJP000101 \l "</w:instrText>
      </w:r>
      <w:r w:rsidRPr="00B349D5">
        <w:rPr>
          <w:sz w:val="24"/>
        </w:rPr>
        <w:instrText>WCI Opening Brief, fn. 15, p. 7</w:instrText>
      </w:r>
      <w:r w:rsidRPr="00B349D5">
        <w:instrText xml:space="preserve">" </w:instrText>
      </w:r>
      <w:r w:rsidRPr="00B349D5">
        <w:fldChar w:fldCharType="end"/>
      </w:r>
      <w:bookmarkStart w:id="130" w:name="_BA_Cite_226"/>
      <w:r w:rsidRPr="00B349D5">
        <w:t>WCI Opening Brief, fn. 15, p. 7</w:t>
      </w:r>
      <w:bookmarkEnd w:id="130"/>
      <w:r w:rsidRPr="00B349D5">
        <w:t xml:space="preserve"> (citing </w:t>
      </w:r>
      <w:r w:rsidR="00A638CF">
        <w:t>tr</w:t>
      </w:r>
      <w:r w:rsidRPr="00B349D5">
        <w:t>ansportation cases where those warnings are included as examples).</w:t>
      </w:r>
    </w:p>
  </w:footnote>
  <w:footnote w:id="65">
    <w:p w:rsidR="00632775" w:rsidRPr="00B349D5" w:rsidRDefault="00632775">
      <w:pPr>
        <w:pStyle w:val="FootnoteText"/>
      </w:pPr>
      <w:r w:rsidRPr="00B349D5">
        <w:rPr>
          <w:rStyle w:val="FootnoteReference"/>
        </w:rPr>
        <w:footnoteRef/>
      </w:r>
      <w:r w:rsidRPr="00B349D5">
        <w:t xml:space="preserve"> </w:t>
      </w:r>
      <w:r w:rsidRPr="00B349D5">
        <w:rPr>
          <w:i/>
        </w:rPr>
        <w:t>See</w:t>
      </w:r>
      <w:r w:rsidRPr="00B349D5">
        <w:t xml:space="preserve"> Orders No. 01 in TG-131794 and TG-140560.</w:t>
      </w:r>
    </w:p>
  </w:footnote>
  <w:footnote w:id="66">
    <w:p w:rsidR="00632775" w:rsidRPr="00B349D5" w:rsidRDefault="00632775">
      <w:pPr>
        <w:pStyle w:val="FootnoteText"/>
      </w:pPr>
      <w:r w:rsidRPr="00B349D5">
        <w:rPr>
          <w:rStyle w:val="FootnoteReference"/>
        </w:rPr>
        <w:footnoteRef/>
      </w:r>
      <w:r w:rsidRPr="00B349D5">
        <w:t xml:space="preserve"> </w:t>
      </w:r>
      <w:r w:rsidRPr="00B349D5">
        <w:fldChar w:fldCharType="begin"/>
      </w:r>
      <w:r w:rsidRPr="00B349D5">
        <w:instrText xml:space="preserve"> ADDIN BA \xc &lt;@rec&gt; \xl 19 \s ECSSJP000102 \l "</w:instrText>
      </w:r>
      <w:r w:rsidRPr="00B349D5">
        <w:rPr>
          <w:sz w:val="24"/>
        </w:rPr>
        <w:instrText>Cheesman, TR 239:20</w:instrText>
      </w:r>
      <w:r w:rsidRPr="00B349D5">
        <w:instrText xml:space="preserve">" </w:instrText>
      </w:r>
      <w:r w:rsidRPr="00B349D5">
        <w:fldChar w:fldCharType="end"/>
      </w:r>
      <w:bookmarkStart w:id="131" w:name="_BA_Cite_227"/>
      <w:r w:rsidRPr="00B349D5">
        <w:t>Cheesman, TR</w:t>
      </w:r>
      <w:r w:rsidR="00B97416">
        <w:t>.</w:t>
      </w:r>
      <w:r w:rsidRPr="00B349D5">
        <w:t xml:space="preserve"> 239:20</w:t>
      </w:r>
      <w:bookmarkEnd w:id="131"/>
      <w:r w:rsidRPr="00B349D5">
        <w:t>.</w:t>
      </w:r>
    </w:p>
  </w:footnote>
  <w:footnote w:id="67">
    <w:p w:rsidR="00632775" w:rsidRPr="00B349D5" w:rsidRDefault="00632775">
      <w:pPr>
        <w:pStyle w:val="FootnoteText"/>
      </w:pPr>
      <w:r w:rsidRPr="00B349D5">
        <w:rPr>
          <w:rStyle w:val="FootnoteReference"/>
        </w:rPr>
        <w:footnoteRef/>
      </w:r>
      <w:r w:rsidRPr="00B349D5">
        <w:t xml:space="preserve"> </w:t>
      </w:r>
      <w:r w:rsidRPr="00B349D5">
        <w:rPr>
          <w:i/>
        </w:rPr>
        <w:t>See</w:t>
      </w:r>
      <w:r w:rsidRPr="00B349D5">
        <w:t xml:space="preserve"> </w:t>
      </w:r>
      <w:r w:rsidRPr="00B349D5">
        <w:fldChar w:fldCharType="begin"/>
      </w:r>
      <w:r w:rsidRPr="00B349D5">
        <w:instrText xml:space="preserve"> ADDIN BA \xc &lt;@$cs&gt; \xl 55 \s ECSSJP000042 \xhfl Rep </w:instrText>
      </w:r>
      <w:r w:rsidRPr="00B349D5">
        <w:fldChar w:fldCharType="end"/>
      </w:r>
      <w:bookmarkStart w:id="132" w:name="_BA_Cite_228"/>
      <w:r w:rsidRPr="00B349D5">
        <w:rPr>
          <w:i/>
        </w:rPr>
        <w:t>State v. NW. Elec. Co</w:t>
      </w:r>
      <w:r w:rsidRPr="00B349D5">
        <w:t xml:space="preserve">., 183 Wash. 184, 49 </w:t>
      </w:r>
      <w:proofErr w:type="spellStart"/>
      <w:r w:rsidRPr="00B349D5">
        <w:t>P.2d</w:t>
      </w:r>
      <w:proofErr w:type="spellEnd"/>
      <w:r w:rsidRPr="00B349D5">
        <w:t xml:space="preserve"> 8 (1935)</w:t>
      </w:r>
      <w:bookmarkEnd w:id="132"/>
      <w:r w:rsidRPr="00B349D5">
        <w:t>.</w:t>
      </w:r>
    </w:p>
  </w:footnote>
  <w:footnote w:id="68">
    <w:p w:rsidR="00632775" w:rsidRPr="00B349D5" w:rsidRDefault="00632775" w:rsidP="00047B0C">
      <w:pPr>
        <w:pStyle w:val="FootnoteText"/>
      </w:pPr>
      <w:r w:rsidRPr="00B349D5">
        <w:rPr>
          <w:rStyle w:val="FootnoteReference"/>
        </w:rPr>
        <w:footnoteRef/>
      </w:r>
      <w:r w:rsidRPr="00B349D5">
        <w:t xml:space="preserve"> </w:t>
      </w:r>
      <w:r w:rsidRPr="00B349D5">
        <w:fldChar w:fldCharType="begin"/>
      </w:r>
      <w:r w:rsidRPr="00B349D5">
        <w:instrText xml:space="preserve"> ADDIN BA \xc &lt;@rec&gt; \xl 24 \s ECSSJP000103 \l "</w:instrText>
      </w:r>
      <w:r w:rsidRPr="00B349D5">
        <w:rPr>
          <w:sz w:val="24"/>
        </w:rPr>
        <w:instrText>Cheesman, TR 297: 10, 11</w:instrText>
      </w:r>
      <w:r w:rsidRPr="00B349D5">
        <w:instrText xml:space="preserve">" </w:instrText>
      </w:r>
      <w:r w:rsidRPr="00B349D5">
        <w:fldChar w:fldCharType="end"/>
      </w:r>
      <w:bookmarkStart w:id="133" w:name="_BA_Cite_229"/>
      <w:r w:rsidRPr="00B349D5">
        <w:t xml:space="preserve">Cheesman, </w:t>
      </w:r>
      <w:r w:rsidR="00B97416">
        <w:t>TR.</w:t>
      </w:r>
      <w:r w:rsidRPr="00B349D5">
        <w:t xml:space="preserve"> 297: 10, 11</w:t>
      </w:r>
      <w:bookmarkEnd w:id="133"/>
      <w:r w:rsidRPr="00B349D5">
        <w:t>.</w:t>
      </w:r>
    </w:p>
  </w:footnote>
  <w:footnote w:id="69">
    <w:p w:rsidR="00632775" w:rsidRPr="00B349D5" w:rsidRDefault="00632775">
      <w:pPr>
        <w:pStyle w:val="FootnoteText"/>
      </w:pPr>
      <w:r w:rsidRPr="00B349D5">
        <w:rPr>
          <w:rStyle w:val="FootnoteReference"/>
        </w:rPr>
        <w:footnoteRef/>
      </w:r>
      <w:r w:rsidRPr="00B349D5">
        <w:t xml:space="preserve"> Since no one suggests that the approximate $44,000 fee impos</w:t>
      </w:r>
      <w:r>
        <w:t>ition is intended as a penalty, the P</w:t>
      </w:r>
      <w:r w:rsidRPr="00B349D5">
        <w:t xml:space="preserve">etitioner </w:t>
      </w:r>
      <w:r w:rsidR="001C77CF">
        <w:t xml:space="preserve">also </w:t>
      </w:r>
      <w:r w:rsidRPr="00B349D5">
        <w:t>question</w:t>
      </w:r>
      <w:r>
        <w:t>s</w:t>
      </w:r>
      <w:r w:rsidRPr="00B349D5">
        <w:t xml:space="preserve"> why a statutory investigation fee</w:t>
      </w:r>
      <w:r w:rsidR="001C77CF">
        <w:t>, even if it somehow would be imposed here</w:t>
      </w:r>
      <w:r w:rsidRPr="00B349D5">
        <w:t xml:space="preserve"> co</w:t>
      </w:r>
      <w:r>
        <w:t>uld not be recouped in rates p</w:t>
      </w:r>
      <w:r w:rsidRPr="00B349D5">
        <w:t>articularly</w:t>
      </w:r>
      <w:r>
        <w:t xml:space="preserve"> </w:t>
      </w:r>
      <w:r w:rsidRPr="00B349D5">
        <w:t>where the Staff has also</w:t>
      </w:r>
      <w:r>
        <w:t xml:space="preserve"> usually</w:t>
      </w:r>
      <w:r w:rsidRPr="00B349D5">
        <w:t xml:space="preserve"> argued for punitive measures to reduce allowed rate case cost expense to the Company.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09A3B95"/>
    <w:multiLevelType w:val="hybridMultilevel"/>
    <w:tmpl w:val="E0EA246E"/>
    <w:lvl w:ilvl="0" w:tplc="8A0689B2">
      <w:start w:val="1"/>
      <w:numFmt w:val="decimal"/>
      <w:lvlText w:val="%1"/>
      <w:lvlJc w:val="left"/>
      <w:pPr>
        <w:ind w:left="0" w:hanging="360"/>
      </w:pPr>
      <w:rPr>
        <w:rFonts w:ascii="Times New Roman" w:hAnsi="Times New Roman" w:hint="default"/>
        <w:b w:val="0"/>
        <w:i/>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78C0075"/>
    <w:multiLevelType w:val="hybridMultilevel"/>
    <w:tmpl w:val="73EE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57582"/>
    <w:multiLevelType w:val="hybridMultilevel"/>
    <w:tmpl w:val="9D22A310"/>
    <w:lvl w:ilvl="0" w:tplc="8A0689B2">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E140E4"/>
    <w:multiLevelType w:val="hybridMultilevel"/>
    <w:tmpl w:val="7A64C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408592E"/>
    <w:multiLevelType w:val="hybridMultilevel"/>
    <w:tmpl w:val="238AD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255C95"/>
    <w:multiLevelType w:val="hybridMultilevel"/>
    <w:tmpl w:val="26EC9C58"/>
    <w:lvl w:ilvl="0" w:tplc="8A0689B2">
      <w:start w:val="1"/>
      <w:numFmt w:val="decimal"/>
      <w:lvlText w:val="%1"/>
      <w:lvlJc w:val="left"/>
      <w:pPr>
        <w:ind w:left="0" w:hanging="360"/>
      </w:pPr>
      <w:rPr>
        <w:rFonts w:ascii="Times New Roman" w:hAnsi="Times New Roman" w:hint="default"/>
        <w:b w:val="0"/>
        <w:i/>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55073EE7"/>
    <w:multiLevelType w:val="hybridMultilevel"/>
    <w:tmpl w:val="3FFE5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B44C33"/>
    <w:multiLevelType w:val="hybridMultilevel"/>
    <w:tmpl w:val="F8628A42"/>
    <w:lvl w:ilvl="0" w:tplc="6F3A66BA">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E8342E"/>
    <w:multiLevelType w:val="multilevel"/>
    <w:tmpl w:val="E7EE3208"/>
    <w:lvl w:ilvl="0">
      <w:start w:val="1"/>
      <w:numFmt w:val="upperRoman"/>
      <w:pStyle w:val="Heading1"/>
      <w:suff w:val="nothing"/>
      <w:lvlText w:val="%1.  "/>
      <w:lvlJc w:val="left"/>
      <w:pPr>
        <w:tabs>
          <w:tab w:val="num" w:pos="0"/>
        </w:tabs>
        <w:ind w:left="0" w:firstLine="0"/>
      </w:pPr>
      <w:rPr>
        <w:rFonts w:ascii="Times New Roman" w:hAnsi="Times New Roman" w:cs="Times New Roman" w:hint="default"/>
        <w:b/>
        <w:i w:val="0"/>
        <w:caps/>
        <w:smallCaps w:val="0"/>
        <w:strike w:val="0"/>
        <w:dstrike w:val="0"/>
        <w:outline w:val="0"/>
        <w:shadow w:val="0"/>
        <w:emboss w:val="0"/>
        <w:imprint w:val="0"/>
        <w:vanish w:val="0"/>
        <w:color w:val="000000"/>
        <w:sz w:val="24"/>
        <w:u w:val="none"/>
        <w:effect w:val="none"/>
        <w:vertAlign w:val="baseline"/>
      </w:rPr>
    </w:lvl>
    <w:lvl w:ilvl="1">
      <w:start w:val="1"/>
      <w:numFmt w:val="decimal"/>
      <w:lvlRestart w:val="0"/>
      <w:pStyle w:val="Heading2"/>
      <w:lvlText w:val="%2"/>
      <w:lvlJc w:val="left"/>
      <w:pPr>
        <w:tabs>
          <w:tab w:val="num" w:pos="0"/>
        </w:tabs>
        <w:ind w:left="0" w:hanging="720"/>
      </w:pPr>
      <w:rPr>
        <w:rFonts w:ascii="Times New Roman" w:hAnsi="Times New Roman" w:cs="Times New Roman" w:hint="default"/>
        <w:b w:val="0"/>
        <w:i/>
        <w:caps w:val="0"/>
        <w:strike w:val="0"/>
        <w:dstrike w:val="0"/>
        <w:outline w:val="0"/>
        <w:shadow w:val="0"/>
        <w:emboss w:val="0"/>
        <w:imprint w:val="0"/>
        <w:vanish w:val="0"/>
        <w:color w:val="000000"/>
        <w:sz w:val="20"/>
        <w:szCs w:val="18"/>
        <w:u w:val="none"/>
        <w:effect w:val="none"/>
        <w:vertAlign w:val="baseline"/>
      </w:rPr>
    </w:lvl>
    <w:lvl w:ilvl="2">
      <w:start w:val="1"/>
      <w:numFmt w:val="upperLetter"/>
      <w:lvlRestart w:val="0"/>
      <w:pStyle w:val="Heading3"/>
      <w:suff w:val="nothing"/>
      <w:lvlText w:val="%3.  "/>
      <w:lvlJc w:val="left"/>
      <w:pPr>
        <w:tabs>
          <w:tab w:val="num" w:pos="0"/>
        </w:tabs>
        <w:ind w:left="360" w:hanging="360"/>
      </w:pPr>
      <w:rPr>
        <w:rFonts w:ascii="9999999" w:hAnsi="9999999" w:hint="default"/>
        <w:b/>
        <w:i w:val="0"/>
        <w:caps w:val="0"/>
        <w:strike w:val="0"/>
        <w:dstrike w:val="0"/>
        <w:outline w:val="0"/>
        <w:shadow w:val="0"/>
        <w:emboss w:val="0"/>
        <w:imprint w:val="0"/>
        <w:vanish w:val="0"/>
        <w:color w:val="000000"/>
        <w:sz w:val="24"/>
        <w:u w:val="none"/>
        <w:effect w:val="none"/>
        <w:vertAlign w:val="baseline"/>
      </w:rPr>
    </w:lvl>
    <w:lvl w:ilvl="3">
      <w:start w:val="1"/>
      <w:numFmt w:val="decimal"/>
      <w:pStyle w:val="Heading4"/>
      <w:suff w:val="nothing"/>
      <w:lvlText w:val="%4.  "/>
      <w:lvlJc w:val="left"/>
      <w:pPr>
        <w:tabs>
          <w:tab w:val="num" w:pos="360"/>
        </w:tabs>
        <w:ind w:left="360" w:firstLine="0"/>
      </w:pPr>
      <w:rPr>
        <w:rFonts w:ascii="Times New Roman" w:hAnsi="Times New Roman" w:cs="Times New Roman" w:hint="default"/>
        <w:b/>
        <w:i w:val="0"/>
        <w:caps w:val="0"/>
        <w:strike w:val="0"/>
        <w:dstrike w:val="0"/>
        <w:outline w:val="0"/>
        <w:shadow w:val="0"/>
        <w:emboss w:val="0"/>
        <w:imprint w:val="0"/>
        <w:vanish w:val="0"/>
        <w:color w:val="000000"/>
        <w:sz w:val="24"/>
        <w:u w:val="none"/>
        <w:effect w:val="none"/>
        <w:vertAlign w:val="baseline"/>
      </w:rPr>
    </w:lvl>
    <w:lvl w:ilvl="4">
      <w:start w:val="1"/>
      <w:numFmt w:val="none"/>
      <w:pStyle w:val="Heading5"/>
      <w:suff w:val="nothing"/>
      <w:lvlText w:val=""/>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sz w:val="24"/>
        <w:u w:val="none"/>
        <w:effect w:val="none"/>
        <w:vertAlign w:val="baseline"/>
      </w:rPr>
    </w:lvl>
    <w:lvl w:ilvl="5">
      <w:start w:val="1"/>
      <w:numFmt w:val="none"/>
      <w:pStyle w:val="Heading6"/>
      <w:suff w:val="nothing"/>
      <w:lvlText w:val=""/>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abstractNum>
  <w:abstractNum w:abstractNumId="21">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1"/>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20"/>
  </w:num>
  <w:num w:numId="15">
    <w:abstractNumId w:val="17"/>
  </w:num>
  <w:num w:numId="16">
    <w:abstractNumId w:val="1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num>
  <w:num w:numId="20">
    <w:abstractNumId w:val="20"/>
  </w:num>
  <w:num w:numId="21">
    <w:abstractNumId w:val="20"/>
    <w:lvlOverride w:ilvl="0">
      <w:startOverride w:val="5"/>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1"/>
  </w:num>
  <w:num w:numId="24">
    <w:abstractNumId w:val="19"/>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13"/>
  </w:num>
  <w:num w:numId="34">
    <w:abstractNumId w:val="12"/>
  </w:num>
  <w:num w:numId="35">
    <w:abstractNumId w:val="1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BA_DictionariesAutoLoaded_" w:val="True"/>
    <w:docVar w:name="_BA_DictionaryFile_AutoLoadEveryone" w:val="C:\Users\jconrad\AppData\Roaming\Levit &amp; James, Inc\Best Authority\Shared\Dictionaries\AutoLoadEveryone.baod"/>
    <w:docVar w:name="_BA_DictionaryFile_AutoLoadPersonal" w:val="C:\Users\jconrad\AppData\Roaming\Levit &amp; James, Inc\Best Authority\Private\Dictionaries\AutoLoadPersonal.baod"/>
    <w:docVar w:name="_BA_Hash" w:val="ECSSJP"/>
    <w:docVar w:name="_BA_History_" w:val="|06/28/2015 06:42 PM;Set Scheme: WA Appellate;jconrad|06/28/2015 06:44 PM;Scan;jconrad|06/28/2015 06:45 PM;Draft Review;jconrad|06/28/2015 06:45 PM;Draft Review;jconrad|06/28/2015 06:47 PM;Build Fully-Formatted TOAs;jconrad"/>
    <w:docVar w:name="_BA_LastTab_Right" w:val="0"/>
    <w:docVar w:name="_BA_ReformatLongs" w:val="Current"/>
    <w:docVar w:name="_BA_ScanOptions" w:val="0|1||2|False|False|False|False|False|True|True|False|False|0|WA|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Tru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W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True@]_x000d__x000a__x000d__x000a_[@SuppressShorts=False@]_x000d__x000a__x000d__x000a_[@TitleStyle=W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6.50@]_x000d__x000a__x000d__x000a_[@Scope=0@]_x000d__x000a__x000d__x000a_[@Description=Fed Cases, State Cases, Fed Statutes, State Statutes, Rules, Regulations, Const Provisions, Other Authorities included&lt;ret&gt;Mentions NOT suppressed&lt;ret&gt;Quoted citations suppressed&lt;ret&gt;Uses passim@]_x000d__x000a__x000d__x000a_[@Name=WA Appellate@]_x000d__x000a__x000d__x000a_[@[FileControl]@]_x000d__x000a__x000d__x000a_[@FileType=Best Authority Scheme File@]_x000d__x000a__x000d__x000a_[@FileVersion=02.06.0050@]_x000d__x000a__x000d__x000a_[@MinAppVersion=01.00.0090@]_x000d__x000a__x000d__x000a_[@[XTOAs]@]_x000d__x000a__x000d__x000a_[@1=State Cases.False.2.@]_x000d__x000a__x000d__x000a_[@2=Federal Cases.False.4.@]_x000d__x000a__x000d__x000a_[@3=Federal Statutes.False.4.@]_x000d__x000a__x000d__x000a_[@4=State Statutes.False.2.@]_x000d__x000a__x000d__x000a_[@5=Rules.False.0.@]_x000d__x000a__x000d__x000a_[@6=Regulations.False.0.@]_x000d__x000a__x000d__x000a_[@7=Constitutional Provisions.False.0.@]_x000d__x000a__x000d__x000a_[@8=Other Authorities.False.0.@]_x000d__x000a__x000d__x000a_[@9=Suspects.False.0.@]_x000d__x000a__x000d__x000a_[@10=Non-TOA References.False.0.@]_x000d__x000a__x000d__x000a_[@[State Cases.False.2.]@]_x000d__x000a__x000d__x000a_[@HitClasses=&lt;@cs&gt;|&lt;@regcs&gt;@]_x000d__x000a__x000d__x000a_[@Docketed=False@]_x000d__x000a__x000d__x000a_[@EntryPageSep=0@]_x000d__x000a__x000d__x000a_[@EntryStyle=BA TOA Entry@]_x000d__x000a__x000d__x000a_[@EntryTabCount=1@]_x000d__x000a__x000d__x000a_[@GeoRestriction=2@]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tate Case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Federal Cases.False.4.]@]_x000d__x000a__x000d__x000a_[@HitClasses=&lt;@cs&gt;|&lt;@regcs&gt;@]_x000d__x000a__x000d__x000a_[@Docketed=False@]_x000d__x000a__x000d__x000a_[@EntryPageSep=0@]_x000d__x000a__x000d__x000a_[@EntryStyle=BA TOA Entry@]_x000d__x000a__x000d__x000a_[@EntryTabCount=1@]_x000d__x000a__x000d__x000a_[@GeoRestriction=4@]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Federal Cases@]_x000d__x000a__x000d__x000a_[@AutoOverride=0@]_x000d__x000a__x000d__x000a_[@PageRangeSep=3@]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Federal Statutes.False.4.]@]_x000d__x000a__x000d__x000a_[@HitClasses=&lt;@st&gt;@]_x000d__x000a__x000d__x000a_[@Docketed=False@]_x000d__x000a__x000d__x000a_[@EntryPageSep=0@]_x000d__x000a__x000d__x000a_[@EntryStyle=BA TOA Entry@]_x000d__x000a__x000d__x000a_[@EntryTabCount=1@]_x000d__x000a__x000d__x000a_[@GeoRestriction=4@]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Federal 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e Statutes.False.2.]@]_x000d__x000a__x000d__x000a_[@HitClasses=&lt;@st&gt;@]_x000d__x000a__x000d__x000a_[@Docketed=False@]_x000d__x000a__x000d__x000a_[@EntryPageSep=0@]_x000d__x000a__x000d__x000a_[@EntryStyle=BA TOA Entry@]_x000d__x000a__x000d__x000a_[@EntryTabCount=1@]_x000d__x000a__x000d__x000a_[@GeoRestriction=2@]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e 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egulations.False.0.]@]_x000d__x000a__x000d__x000a_[@HitClasses=&lt;@reg&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egulation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onstitutional Provisions.False.0.]@]_x000d__x000a__x000d__x000a_[@HitClasses=&lt;@con&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onstitutional Provision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s&gt;|&lt;@leg&gt;|&lt;@misc&gt;|&lt;@nper&gt;|&lt;@pat&gt;|&lt;@per&gt;|&lt;@regcs&gt;|&lt;@st&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Other Authoritie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Non-TOA Reference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WA TOA Entry@]_x000d__x000a__x000d__x000a_[@EntryTabCount=1@]_x000d__x000a__x000d__x000a_[@GeoRestriction=0@]_x000d__x000a__x000d__x000a_[@HeadingStyle=WA TOA Heading@]_x000d__x000a__x000d__x000a_[@PageHeadingStyle=WA TOA Page Heading@]_x000d__x000a__x000d__x000a_[@IncludeHeading=True@]_x000d__x000a__x000d__x000a_[@IncludePageHeading=Tru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300"/>
    <w:docVar w:name="_BA_ShowOptions_Version_Review" w:val="02.07.0300"/>
    <w:docVar w:name="_BA_ShowOptionsFullFormat" w:val="0|1|0|02.07.0300|"/>
    <w:docVar w:name="_BA_State_" w:val="1"/>
    <w:docVar w:name="_BA_SubstitutionsApplied" w:val="Current"/>
    <w:docVar w:name="_BA_TOAGroupsOptions_FullFormat" w:val="&lt;&lt;None&gt;&gt;"/>
    <w:docVar w:name="_BA_TOAGroupsOptions_Review" w:val="&lt;&lt;None&gt;&gt;"/>
    <w:docVar w:name="_BA_WizardTabs" w:val="4|5|0;True;Startup|1;True;Scan|2;True;Draft Review|3;False;Full-Page Review|4;True;Build||Startup|Startup@Scan|Startup@Scan|Startup@Scan"/>
    <w:docVar w:name="SWActiveDesign" w:val="Heading"/>
    <w:docVar w:name="SWAllDesigns" w:val="Heading|"/>
    <w:docVar w:name="SWAllLineBreaks" w:val="Heading~~0|0|0|0|0|0|0|0|0|@@"/>
    <w:docVar w:name="SWDocIDLayout" w:val="10000"/>
    <w:docVar w:name="SWDocIDLocation" w:val="1"/>
    <w:docVar w:name="SWTOCLevelsInfo" w:val="1=1|.  |2|0|0|@@3=1|.  |2|0|0|@@4=1|.  |3|0|0|@@"/>
    <w:docVar w:name="SWTOCLinkToLevel" w:val="Heading 1=1|Heading 3=3|Heading 4=4|"/>
    <w:docVar w:name="SWTOCOtherProperties" w:val="InsertStyleSeparators=0|TCFields=C|"/>
    <w:docVar w:name="SWTOCProperties" w:val="2|0|1|1|0|0|0|"/>
  </w:docVars>
  <w:rsids>
    <w:rsidRoot w:val="002F5808"/>
    <w:rsid w:val="000049C5"/>
    <w:rsid w:val="000155AC"/>
    <w:rsid w:val="0002343D"/>
    <w:rsid w:val="00033489"/>
    <w:rsid w:val="0003461D"/>
    <w:rsid w:val="00036E8F"/>
    <w:rsid w:val="0003795C"/>
    <w:rsid w:val="00037F56"/>
    <w:rsid w:val="00040467"/>
    <w:rsid w:val="00040470"/>
    <w:rsid w:val="00040A0B"/>
    <w:rsid w:val="00041C77"/>
    <w:rsid w:val="00042701"/>
    <w:rsid w:val="00047B0C"/>
    <w:rsid w:val="00047BE1"/>
    <w:rsid w:val="000508F4"/>
    <w:rsid w:val="00051DB1"/>
    <w:rsid w:val="00052524"/>
    <w:rsid w:val="00053FD2"/>
    <w:rsid w:val="00054DB6"/>
    <w:rsid w:val="000550C0"/>
    <w:rsid w:val="000653BF"/>
    <w:rsid w:val="0007726D"/>
    <w:rsid w:val="000772AF"/>
    <w:rsid w:val="00084378"/>
    <w:rsid w:val="00084ABD"/>
    <w:rsid w:val="000856A1"/>
    <w:rsid w:val="00085916"/>
    <w:rsid w:val="000926F8"/>
    <w:rsid w:val="000931D8"/>
    <w:rsid w:val="000950C3"/>
    <w:rsid w:val="000A1545"/>
    <w:rsid w:val="000A1A17"/>
    <w:rsid w:val="000A3DE7"/>
    <w:rsid w:val="000A7D8B"/>
    <w:rsid w:val="000C0673"/>
    <w:rsid w:val="000C5A30"/>
    <w:rsid w:val="000C60E8"/>
    <w:rsid w:val="000C612A"/>
    <w:rsid w:val="000D2AC9"/>
    <w:rsid w:val="000D3769"/>
    <w:rsid w:val="000E6EE4"/>
    <w:rsid w:val="000E7952"/>
    <w:rsid w:val="000F2832"/>
    <w:rsid w:val="000F3020"/>
    <w:rsid w:val="000F53D0"/>
    <w:rsid w:val="000F5800"/>
    <w:rsid w:val="001111BE"/>
    <w:rsid w:val="00111334"/>
    <w:rsid w:val="001117FC"/>
    <w:rsid w:val="001161B7"/>
    <w:rsid w:val="00122BE9"/>
    <w:rsid w:val="00124C11"/>
    <w:rsid w:val="00126B1A"/>
    <w:rsid w:val="00127A63"/>
    <w:rsid w:val="0013075B"/>
    <w:rsid w:val="001310B6"/>
    <w:rsid w:val="0013215F"/>
    <w:rsid w:val="00134484"/>
    <w:rsid w:val="001356C3"/>
    <w:rsid w:val="0014098C"/>
    <w:rsid w:val="00142FF5"/>
    <w:rsid w:val="0014496D"/>
    <w:rsid w:val="001461A0"/>
    <w:rsid w:val="001467E3"/>
    <w:rsid w:val="00150EB3"/>
    <w:rsid w:val="00154E74"/>
    <w:rsid w:val="00160634"/>
    <w:rsid w:val="001611C5"/>
    <w:rsid w:val="00164076"/>
    <w:rsid w:val="001667C6"/>
    <w:rsid w:val="00170B39"/>
    <w:rsid w:val="00174215"/>
    <w:rsid w:val="001814CD"/>
    <w:rsid w:val="00194A68"/>
    <w:rsid w:val="001A1A25"/>
    <w:rsid w:val="001A2765"/>
    <w:rsid w:val="001A31CA"/>
    <w:rsid w:val="001C60C9"/>
    <w:rsid w:val="001C77CF"/>
    <w:rsid w:val="001D6DBB"/>
    <w:rsid w:val="001E069A"/>
    <w:rsid w:val="001E3E4F"/>
    <w:rsid w:val="001E437F"/>
    <w:rsid w:val="001F3041"/>
    <w:rsid w:val="001F3442"/>
    <w:rsid w:val="001F7856"/>
    <w:rsid w:val="0020340E"/>
    <w:rsid w:val="00206E65"/>
    <w:rsid w:val="0021348E"/>
    <w:rsid w:val="002148AA"/>
    <w:rsid w:val="002165AE"/>
    <w:rsid w:val="00217273"/>
    <w:rsid w:val="002243CA"/>
    <w:rsid w:val="00226189"/>
    <w:rsid w:val="002279BD"/>
    <w:rsid w:val="00230872"/>
    <w:rsid w:val="0023228F"/>
    <w:rsid w:val="00245B05"/>
    <w:rsid w:val="00250BE3"/>
    <w:rsid w:val="00253912"/>
    <w:rsid w:val="002577E6"/>
    <w:rsid w:val="002624FD"/>
    <w:rsid w:val="00264377"/>
    <w:rsid w:val="00266DEB"/>
    <w:rsid w:val="0027457B"/>
    <w:rsid w:val="0027586C"/>
    <w:rsid w:val="0027611A"/>
    <w:rsid w:val="0028075D"/>
    <w:rsid w:val="00282250"/>
    <w:rsid w:val="00282ACC"/>
    <w:rsid w:val="00284266"/>
    <w:rsid w:val="0028456D"/>
    <w:rsid w:val="0029063A"/>
    <w:rsid w:val="00290C0F"/>
    <w:rsid w:val="00290E83"/>
    <w:rsid w:val="00292C5E"/>
    <w:rsid w:val="002942AB"/>
    <w:rsid w:val="002A308C"/>
    <w:rsid w:val="002A4EEF"/>
    <w:rsid w:val="002B2462"/>
    <w:rsid w:val="002B2A50"/>
    <w:rsid w:val="002B5422"/>
    <w:rsid w:val="002C3692"/>
    <w:rsid w:val="002C58C1"/>
    <w:rsid w:val="002D1A18"/>
    <w:rsid w:val="002F30E6"/>
    <w:rsid w:val="002F4661"/>
    <w:rsid w:val="002F5808"/>
    <w:rsid w:val="00305ADD"/>
    <w:rsid w:val="00306344"/>
    <w:rsid w:val="003102A2"/>
    <w:rsid w:val="0031579B"/>
    <w:rsid w:val="00325712"/>
    <w:rsid w:val="00326BDF"/>
    <w:rsid w:val="00327C61"/>
    <w:rsid w:val="0033379F"/>
    <w:rsid w:val="00333DE6"/>
    <w:rsid w:val="00347AC3"/>
    <w:rsid w:val="00351A64"/>
    <w:rsid w:val="00366BEB"/>
    <w:rsid w:val="00380198"/>
    <w:rsid w:val="0038086A"/>
    <w:rsid w:val="00381A02"/>
    <w:rsid w:val="00382601"/>
    <w:rsid w:val="003855BD"/>
    <w:rsid w:val="003861D0"/>
    <w:rsid w:val="00387389"/>
    <w:rsid w:val="00390B45"/>
    <w:rsid w:val="003916AA"/>
    <w:rsid w:val="00392353"/>
    <w:rsid w:val="00397719"/>
    <w:rsid w:val="003A19A4"/>
    <w:rsid w:val="003A3088"/>
    <w:rsid w:val="003A5B4A"/>
    <w:rsid w:val="003A6CC8"/>
    <w:rsid w:val="003B3AE5"/>
    <w:rsid w:val="003C4C75"/>
    <w:rsid w:val="003C7928"/>
    <w:rsid w:val="003D5462"/>
    <w:rsid w:val="003D6A89"/>
    <w:rsid w:val="003D6BE5"/>
    <w:rsid w:val="003E17C3"/>
    <w:rsid w:val="003E36B7"/>
    <w:rsid w:val="003E4FBF"/>
    <w:rsid w:val="003F0D26"/>
    <w:rsid w:val="003F3D83"/>
    <w:rsid w:val="003F77CF"/>
    <w:rsid w:val="003F7C59"/>
    <w:rsid w:val="00402D17"/>
    <w:rsid w:val="004058D1"/>
    <w:rsid w:val="00406D47"/>
    <w:rsid w:val="00412D7F"/>
    <w:rsid w:val="0043362C"/>
    <w:rsid w:val="0043719E"/>
    <w:rsid w:val="004377A2"/>
    <w:rsid w:val="00440394"/>
    <w:rsid w:val="00442F37"/>
    <w:rsid w:val="00445FC5"/>
    <w:rsid w:val="004465EC"/>
    <w:rsid w:val="0044726F"/>
    <w:rsid w:val="004508B7"/>
    <w:rsid w:val="004536A5"/>
    <w:rsid w:val="0045386C"/>
    <w:rsid w:val="004559FC"/>
    <w:rsid w:val="00456783"/>
    <w:rsid w:val="00463676"/>
    <w:rsid w:val="00463A57"/>
    <w:rsid w:val="00464A09"/>
    <w:rsid w:val="00475D20"/>
    <w:rsid w:val="00476B1E"/>
    <w:rsid w:val="0048093B"/>
    <w:rsid w:val="004877D6"/>
    <w:rsid w:val="00487FB9"/>
    <w:rsid w:val="004926B3"/>
    <w:rsid w:val="00495ACD"/>
    <w:rsid w:val="00495FA5"/>
    <w:rsid w:val="004A0480"/>
    <w:rsid w:val="004A26DB"/>
    <w:rsid w:val="004A3D26"/>
    <w:rsid w:val="004A748B"/>
    <w:rsid w:val="004B086F"/>
    <w:rsid w:val="004B265F"/>
    <w:rsid w:val="004B3CFF"/>
    <w:rsid w:val="004B600B"/>
    <w:rsid w:val="004B6BBD"/>
    <w:rsid w:val="004C2EEF"/>
    <w:rsid w:val="004C496A"/>
    <w:rsid w:val="004D153C"/>
    <w:rsid w:val="004D3452"/>
    <w:rsid w:val="004E0D03"/>
    <w:rsid w:val="004E257F"/>
    <w:rsid w:val="004E50CE"/>
    <w:rsid w:val="004E6592"/>
    <w:rsid w:val="004F6F99"/>
    <w:rsid w:val="00500642"/>
    <w:rsid w:val="00501B2C"/>
    <w:rsid w:val="00510634"/>
    <w:rsid w:val="0051558F"/>
    <w:rsid w:val="00515935"/>
    <w:rsid w:val="005213CB"/>
    <w:rsid w:val="005216ED"/>
    <w:rsid w:val="00522BC6"/>
    <w:rsid w:val="00532442"/>
    <w:rsid w:val="005373FB"/>
    <w:rsid w:val="00542988"/>
    <w:rsid w:val="00550875"/>
    <w:rsid w:val="005600F9"/>
    <w:rsid w:val="0056566E"/>
    <w:rsid w:val="005772DA"/>
    <w:rsid w:val="00585414"/>
    <w:rsid w:val="0058557A"/>
    <w:rsid w:val="00587FB6"/>
    <w:rsid w:val="00593E33"/>
    <w:rsid w:val="00594070"/>
    <w:rsid w:val="00594206"/>
    <w:rsid w:val="00595B48"/>
    <w:rsid w:val="005A2DDE"/>
    <w:rsid w:val="005A3205"/>
    <w:rsid w:val="005A37EA"/>
    <w:rsid w:val="005A704E"/>
    <w:rsid w:val="005B2358"/>
    <w:rsid w:val="005B3ABD"/>
    <w:rsid w:val="005B47BB"/>
    <w:rsid w:val="005B48E4"/>
    <w:rsid w:val="005C0755"/>
    <w:rsid w:val="005C1670"/>
    <w:rsid w:val="005C191F"/>
    <w:rsid w:val="005C2BCA"/>
    <w:rsid w:val="005C3524"/>
    <w:rsid w:val="005C3547"/>
    <w:rsid w:val="005C35F3"/>
    <w:rsid w:val="005C47BD"/>
    <w:rsid w:val="005D0572"/>
    <w:rsid w:val="005D41CE"/>
    <w:rsid w:val="005E2FBB"/>
    <w:rsid w:val="005E7844"/>
    <w:rsid w:val="00601678"/>
    <w:rsid w:val="0060332E"/>
    <w:rsid w:val="00606B0D"/>
    <w:rsid w:val="00616CE2"/>
    <w:rsid w:val="006307D2"/>
    <w:rsid w:val="006313BB"/>
    <w:rsid w:val="00632775"/>
    <w:rsid w:val="006343B6"/>
    <w:rsid w:val="00640A73"/>
    <w:rsid w:val="00642406"/>
    <w:rsid w:val="00646243"/>
    <w:rsid w:val="006517F4"/>
    <w:rsid w:val="006527DC"/>
    <w:rsid w:val="00652F09"/>
    <w:rsid w:val="00654486"/>
    <w:rsid w:val="00656CD4"/>
    <w:rsid w:val="00657F4E"/>
    <w:rsid w:val="00660BC3"/>
    <w:rsid w:val="00660F32"/>
    <w:rsid w:val="00661353"/>
    <w:rsid w:val="00665C26"/>
    <w:rsid w:val="0066780A"/>
    <w:rsid w:val="00672258"/>
    <w:rsid w:val="00675F6A"/>
    <w:rsid w:val="00680CE2"/>
    <w:rsid w:val="00685031"/>
    <w:rsid w:val="006877D4"/>
    <w:rsid w:val="006908F4"/>
    <w:rsid w:val="00692334"/>
    <w:rsid w:val="00692D1F"/>
    <w:rsid w:val="006A73C6"/>
    <w:rsid w:val="006A7DCD"/>
    <w:rsid w:val="006B04A0"/>
    <w:rsid w:val="006B1C14"/>
    <w:rsid w:val="006B2EE8"/>
    <w:rsid w:val="006B3154"/>
    <w:rsid w:val="006B3915"/>
    <w:rsid w:val="006B779C"/>
    <w:rsid w:val="006C4AB2"/>
    <w:rsid w:val="006D30F0"/>
    <w:rsid w:val="006E44BB"/>
    <w:rsid w:val="006E511D"/>
    <w:rsid w:val="006E56A0"/>
    <w:rsid w:val="006F0300"/>
    <w:rsid w:val="006F260E"/>
    <w:rsid w:val="006F3842"/>
    <w:rsid w:val="007000D3"/>
    <w:rsid w:val="00705672"/>
    <w:rsid w:val="0070578A"/>
    <w:rsid w:val="00713815"/>
    <w:rsid w:val="00713F42"/>
    <w:rsid w:val="00717CE4"/>
    <w:rsid w:val="0073082F"/>
    <w:rsid w:val="0073086E"/>
    <w:rsid w:val="00731463"/>
    <w:rsid w:val="00734734"/>
    <w:rsid w:val="00736451"/>
    <w:rsid w:val="00737FB9"/>
    <w:rsid w:val="0074381D"/>
    <w:rsid w:val="00744B4B"/>
    <w:rsid w:val="007453C3"/>
    <w:rsid w:val="00752357"/>
    <w:rsid w:val="007545C5"/>
    <w:rsid w:val="00754958"/>
    <w:rsid w:val="0075685E"/>
    <w:rsid w:val="007579B0"/>
    <w:rsid w:val="00757C10"/>
    <w:rsid w:val="00760F2B"/>
    <w:rsid w:val="00767FD7"/>
    <w:rsid w:val="00770431"/>
    <w:rsid w:val="007743EE"/>
    <w:rsid w:val="00774D2E"/>
    <w:rsid w:val="0077684C"/>
    <w:rsid w:val="007801E5"/>
    <w:rsid w:val="00781F88"/>
    <w:rsid w:val="00784DB6"/>
    <w:rsid w:val="00786616"/>
    <w:rsid w:val="00786F39"/>
    <w:rsid w:val="00793C7B"/>
    <w:rsid w:val="00793F61"/>
    <w:rsid w:val="00794BF0"/>
    <w:rsid w:val="007953AE"/>
    <w:rsid w:val="00796170"/>
    <w:rsid w:val="007A4FD8"/>
    <w:rsid w:val="007A7EE7"/>
    <w:rsid w:val="007C1043"/>
    <w:rsid w:val="007C3006"/>
    <w:rsid w:val="007C3DBC"/>
    <w:rsid w:val="007C66A9"/>
    <w:rsid w:val="007D47B5"/>
    <w:rsid w:val="007E61C7"/>
    <w:rsid w:val="0080351B"/>
    <w:rsid w:val="00805648"/>
    <w:rsid w:val="00810460"/>
    <w:rsid w:val="00810AA5"/>
    <w:rsid w:val="00812DAC"/>
    <w:rsid w:val="00814460"/>
    <w:rsid w:val="00815595"/>
    <w:rsid w:val="00822FAC"/>
    <w:rsid w:val="00823E4E"/>
    <w:rsid w:val="00830ADE"/>
    <w:rsid w:val="008320D2"/>
    <w:rsid w:val="008336CB"/>
    <w:rsid w:val="00835AD3"/>
    <w:rsid w:val="008411A3"/>
    <w:rsid w:val="00841F37"/>
    <w:rsid w:val="0085135B"/>
    <w:rsid w:val="00856537"/>
    <w:rsid w:val="00870888"/>
    <w:rsid w:val="00874595"/>
    <w:rsid w:val="008752D1"/>
    <w:rsid w:val="00884693"/>
    <w:rsid w:val="008860E0"/>
    <w:rsid w:val="00891919"/>
    <w:rsid w:val="00891EF7"/>
    <w:rsid w:val="008958D5"/>
    <w:rsid w:val="008A2977"/>
    <w:rsid w:val="008A4B29"/>
    <w:rsid w:val="008A62B3"/>
    <w:rsid w:val="008A79AA"/>
    <w:rsid w:val="008B4D04"/>
    <w:rsid w:val="008B7956"/>
    <w:rsid w:val="008C026B"/>
    <w:rsid w:val="008C13BF"/>
    <w:rsid w:val="008C32B6"/>
    <w:rsid w:val="008C65A1"/>
    <w:rsid w:val="008C74FD"/>
    <w:rsid w:val="008C7CFA"/>
    <w:rsid w:val="008D02E5"/>
    <w:rsid w:val="008D648C"/>
    <w:rsid w:val="008D69E0"/>
    <w:rsid w:val="008E3FB4"/>
    <w:rsid w:val="008E47EB"/>
    <w:rsid w:val="008E4BC8"/>
    <w:rsid w:val="008E5771"/>
    <w:rsid w:val="008F06D2"/>
    <w:rsid w:val="008F3B46"/>
    <w:rsid w:val="008F7130"/>
    <w:rsid w:val="00904BD4"/>
    <w:rsid w:val="009052BA"/>
    <w:rsid w:val="009100D3"/>
    <w:rsid w:val="00911080"/>
    <w:rsid w:val="0091199E"/>
    <w:rsid w:val="009142C3"/>
    <w:rsid w:val="00927116"/>
    <w:rsid w:val="00934F34"/>
    <w:rsid w:val="00942A76"/>
    <w:rsid w:val="0094349B"/>
    <w:rsid w:val="00944571"/>
    <w:rsid w:val="0095128E"/>
    <w:rsid w:val="00957169"/>
    <w:rsid w:val="009602DA"/>
    <w:rsid w:val="00963C7A"/>
    <w:rsid w:val="00965F1E"/>
    <w:rsid w:val="00967871"/>
    <w:rsid w:val="00972921"/>
    <w:rsid w:val="00973AE8"/>
    <w:rsid w:val="00976E09"/>
    <w:rsid w:val="0097741D"/>
    <w:rsid w:val="00981BC2"/>
    <w:rsid w:val="00984753"/>
    <w:rsid w:val="0098559F"/>
    <w:rsid w:val="00991E1E"/>
    <w:rsid w:val="00993BB6"/>
    <w:rsid w:val="009A4AFA"/>
    <w:rsid w:val="009B0E64"/>
    <w:rsid w:val="009B70F3"/>
    <w:rsid w:val="009C07F2"/>
    <w:rsid w:val="009C0DE3"/>
    <w:rsid w:val="009C7478"/>
    <w:rsid w:val="009C7F24"/>
    <w:rsid w:val="009D3154"/>
    <w:rsid w:val="009E33BA"/>
    <w:rsid w:val="009E5159"/>
    <w:rsid w:val="009E6ED7"/>
    <w:rsid w:val="009E7132"/>
    <w:rsid w:val="009F1D8C"/>
    <w:rsid w:val="009F4070"/>
    <w:rsid w:val="00A010BB"/>
    <w:rsid w:val="00A07D8D"/>
    <w:rsid w:val="00A16220"/>
    <w:rsid w:val="00A2642C"/>
    <w:rsid w:val="00A3024E"/>
    <w:rsid w:val="00A30FDD"/>
    <w:rsid w:val="00A31EC2"/>
    <w:rsid w:val="00A3375E"/>
    <w:rsid w:val="00A35172"/>
    <w:rsid w:val="00A36D73"/>
    <w:rsid w:val="00A51DAD"/>
    <w:rsid w:val="00A54335"/>
    <w:rsid w:val="00A577E4"/>
    <w:rsid w:val="00A638CF"/>
    <w:rsid w:val="00A655D6"/>
    <w:rsid w:val="00A676E2"/>
    <w:rsid w:val="00A67C1E"/>
    <w:rsid w:val="00A70E1F"/>
    <w:rsid w:val="00A7221E"/>
    <w:rsid w:val="00A75413"/>
    <w:rsid w:val="00A763D5"/>
    <w:rsid w:val="00A84EB7"/>
    <w:rsid w:val="00A93105"/>
    <w:rsid w:val="00A97529"/>
    <w:rsid w:val="00AA3624"/>
    <w:rsid w:val="00AA5A77"/>
    <w:rsid w:val="00AA5FEE"/>
    <w:rsid w:val="00AB1C51"/>
    <w:rsid w:val="00AB2C2B"/>
    <w:rsid w:val="00AB404E"/>
    <w:rsid w:val="00AB5F86"/>
    <w:rsid w:val="00AC0619"/>
    <w:rsid w:val="00AC0E52"/>
    <w:rsid w:val="00AC1270"/>
    <w:rsid w:val="00AC25BE"/>
    <w:rsid w:val="00AD58BF"/>
    <w:rsid w:val="00AE3CC9"/>
    <w:rsid w:val="00AE671F"/>
    <w:rsid w:val="00AF0EE8"/>
    <w:rsid w:val="00B03FB5"/>
    <w:rsid w:val="00B12E5A"/>
    <w:rsid w:val="00B141BF"/>
    <w:rsid w:val="00B157BF"/>
    <w:rsid w:val="00B16C73"/>
    <w:rsid w:val="00B267C9"/>
    <w:rsid w:val="00B342AA"/>
    <w:rsid w:val="00B349D5"/>
    <w:rsid w:val="00B3595B"/>
    <w:rsid w:val="00B36123"/>
    <w:rsid w:val="00B36767"/>
    <w:rsid w:val="00B428B5"/>
    <w:rsid w:val="00B51534"/>
    <w:rsid w:val="00B52FD1"/>
    <w:rsid w:val="00B558D3"/>
    <w:rsid w:val="00B57A19"/>
    <w:rsid w:val="00B6338E"/>
    <w:rsid w:val="00B64366"/>
    <w:rsid w:val="00B643D3"/>
    <w:rsid w:val="00B70D39"/>
    <w:rsid w:val="00B91FB8"/>
    <w:rsid w:val="00B92FE1"/>
    <w:rsid w:val="00B94DE4"/>
    <w:rsid w:val="00B94F9B"/>
    <w:rsid w:val="00B97416"/>
    <w:rsid w:val="00B97820"/>
    <w:rsid w:val="00BA2E78"/>
    <w:rsid w:val="00BA42AB"/>
    <w:rsid w:val="00BB0C73"/>
    <w:rsid w:val="00BB5C74"/>
    <w:rsid w:val="00BC2AAD"/>
    <w:rsid w:val="00BC2BA0"/>
    <w:rsid w:val="00BC37C0"/>
    <w:rsid w:val="00BD0604"/>
    <w:rsid w:val="00BD5A26"/>
    <w:rsid w:val="00BD6BB7"/>
    <w:rsid w:val="00BD6E77"/>
    <w:rsid w:val="00BE26D3"/>
    <w:rsid w:val="00BE5DFD"/>
    <w:rsid w:val="00C004A0"/>
    <w:rsid w:val="00C00950"/>
    <w:rsid w:val="00C07C06"/>
    <w:rsid w:val="00C111A3"/>
    <w:rsid w:val="00C1379B"/>
    <w:rsid w:val="00C15FAB"/>
    <w:rsid w:val="00C179EF"/>
    <w:rsid w:val="00C21220"/>
    <w:rsid w:val="00C274EB"/>
    <w:rsid w:val="00C34D0D"/>
    <w:rsid w:val="00C414B1"/>
    <w:rsid w:val="00C4266D"/>
    <w:rsid w:val="00C51455"/>
    <w:rsid w:val="00C54B67"/>
    <w:rsid w:val="00C56582"/>
    <w:rsid w:val="00C56D72"/>
    <w:rsid w:val="00C600DE"/>
    <w:rsid w:val="00C60430"/>
    <w:rsid w:val="00C67F19"/>
    <w:rsid w:val="00C706E6"/>
    <w:rsid w:val="00C85E0A"/>
    <w:rsid w:val="00C8733C"/>
    <w:rsid w:val="00C92945"/>
    <w:rsid w:val="00C95927"/>
    <w:rsid w:val="00C95AC4"/>
    <w:rsid w:val="00CA4F66"/>
    <w:rsid w:val="00CB08ED"/>
    <w:rsid w:val="00CB2236"/>
    <w:rsid w:val="00CB3276"/>
    <w:rsid w:val="00CC1F0B"/>
    <w:rsid w:val="00CC4B62"/>
    <w:rsid w:val="00CC7FF1"/>
    <w:rsid w:val="00CD669F"/>
    <w:rsid w:val="00CF746B"/>
    <w:rsid w:val="00D01A18"/>
    <w:rsid w:val="00D040A5"/>
    <w:rsid w:val="00D0494E"/>
    <w:rsid w:val="00D04DF2"/>
    <w:rsid w:val="00D1392C"/>
    <w:rsid w:val="00D13DB7"/>
    <w:rsid w:val="00D15194"/>
    <w:rsid w:val="00D263E4"/>
    <w:rsid w:val="00D27CA3"/>
    <w:rsid w:val="00D350D7"/>
    <w:rsid w:val="00D35943"/>
    <w:rsid w:val="00D447FE"/>
    <w:rsid w:val="00D47082"/>
    <w:rsid w:val="00D520C6"/>
    <w:rsid w:val="00D54654"/>
    <w:rsid w:val="00D637C6"/>
    <w:rsid w:val="00D66C2F"/>
    <w:rsid w:val="00D66F29"/>
    <w:rsid w:val="00D734DC"/>
    <w:rsid w:val="00D73F70"/>
    <w:rsid w:val="00D7455A"/>
    <w:rsid w:val="00D85A16"/>
    <w:rsid w:val="00D87953"/>
    <w:rsid w:val="00D93F00"/>
    <w:rsid w:val="00D9401E"/>
    <w:rsid w:val="00D95552"/>
    <w:rsid w:val="00D9650D"/>
    <w:rsid w:val="00D97DDF"/>
    <w:rsid w:val="00DA161A"/>
    <w:rsid w:val="00DA2B8F"/>
    <w:rsid w:val="00DA471E"/>
    <w:rsid w:val="00DB2B16"/>
    <w:rsid w:val="00DB38EF"/>
    <w:rsid w:val="00DB3F08"/>
    <w:rsid w:val="00DC23C1"/>
    <w:rsid w:val="00DC3011"/>
    <w:rsid w:val="00DC429D"/>
    <w:rsid w:val="00DC58C6"/>
    <w:rsid w:val="00DD7115"/>
    <w:rsid w:val="00DD78B8"/>
    <w:rsid w:val="00DE0DCE"/>
    <w:rsid w:val="00DE1504"/>
    <w:rsid w:val="00DE193B"/>
    <w:rsid w:val="00DE2351"/>
    <w:rsid w:val="00DE2AFD"/>
    <w:rsid w:val="00DE4572"/>
    <w:rsid w:val="00DE6298"/>
    <w:rsid w:val="00DE6CF2"/>
    <w:rsid w:val="00DE7F4D"/>
    <w:rsid w:val="00DF09A2"/>
    <w:rsid w:val="00DF2D67"/>
    <w:rsid w:val="00DF371A"/>
    <w:rsid w:val="00E00291"/>
    <w:rsid w:val="00E043D1"/>
    <w:rsid w:val="00E0530A"/>
    <w:rsid w:val="00E05B17"/>
    <w:rsid w:val="00E07E58"/>
    <w:rsid w:val="00E21F5D"/>
    <w:rsid w:val="00E22142"/>
    <w:rsid w:val="00E22E49"/>
    <w:rsid w:val="00E239D4"/>
    <w:rsid w:val="00E30384"/>
    <w:rsid w:val="00E365F8"/>
    <w:rsid w:val="00E376F0"/>
    <w:rsid w:val="00E527CE"/>
    <w:rsid w:val="00E56698"/>
    <w:rsid w:val="00E60BF4"/>
    <w:rsid w:val="00E66F31"/>
    <w:rsid w:val="00E71A14"/>
    <w:rsid w:val="00E728BF"/>
    <w:rsid w:val="00E756A7"/>
    <w:rsid w:val="00E83687"/>
    <w:rsid w:val="00E83D25"/>
    <w:rsid w:val="00E84887"/>
    <w:rsid w:val="00E853BA"/>
    <w:rsid w:val="00E93D7D"/>
    <w:rsid w:val="00E94149"/>
    <w:rsid w:val="00E9576E"/>
    <w:rsid w:val="00E96904"/>
    <w:rsid w:val="00E96FF8"/>
    <w:rsid w:val="00EA1826"/>
    <w:rsid w:val="00EB15D6"/>
    <w:rsid w:val="00EB2CA7"/>
    <w:rsid w:val="00EB38D2"/>
    <w:rsid w:val="00EB3E22"/>
    <w:rsid w:val="00EB6E28"/>
    <w:rsid w:val="00EC09B0"/>
    <w:rsid w:val="00EC1C08"/>
    <w:rsid w:val="00EC739C"/>
    <w:rsid w:val="00ED2138"/>
    <w:rsid w:val="00EF6447"/>
    <w:rsid w:val="00F13AC3"/>
    <w:rsid w:val="00F16810"/>
    <w:rsid w:val="00F21431"/>
    <w:rsid w:val="00F22FC0"/>
    <w:rsid w:val="00F240C6"/>
    <w:rsid w:val="00F25929"/>
    <w:rsid w:val="00F362A1"/>
    <w:rsid w:val="00F36725"/>
    <w:rsid w:val="00F44A2E"/>
    <w:rsid w:val="00F47BD8"/>
    <w:rsid w:val="00F52454"/>
    <w:rsid w:val="00F607A6"/>
    <w:rsid w:val="00F60D3F"/>
    <w:rsid w:val="00F622C5"/>
    <w:rsid w:val="00F65DED"/>
    <w:rsid w:val="00F71208"/>
    <w:rsid w:val="00F7403B"/>
    <w:rsid w:val="00F82FC5"/>
    <w:rsid w:val="00F838F0"/>
    <w:rsid w:val="00F8635A"/>
    <w:rsid w:val="00F87003"/>
    <w:rsid w:val="00F87B80"/>
    <w:rsid w:val="00F90932"/>
    <w:rsid w:val="00F94682"/>
    <w:rsid w:val="00F9786D"/>
    <w:rsid w:val="00FA20C3"/>
    <w:rsid w:val="00FA42A3"/>
    <w:rsid w:val="00FA689A"/>
    <w:rsid w:val="00FA773A"/>
    <w:rsid w:val="00FB09F7"/>
    <w:rsid w:val="00FB38FE"/>
    <w:rsid w:val="00FC2903"/>
    <w:rsid w:val="00FD278E"/>
    <w:rsid w:val="00FD3E78"/>
    <w:rsid w:val="00FD5ECA"/>
    <w:rsid w:val="00FD766D"/>
    <w:rsid w:val="00FE7D02"/>
    <w:rsid w:val="00FF300E"/>
    <w:rsid w:val="00FF5715"/>
    <w:rsid w:val="00FF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lsdException w:name="toa heading" w:semiHidden="1" w:uiPriority="99" w:unhideWhenUsed="1"/>
    <w:lsdException w:name="List Bullet" w:semiHidden="1" w:unhideWhenUsed="1"/>
    <w:lsdException w:name="Title" w:qFormat="1"/>
    <w:lsdException w:name="Body Text" w:qFormat="1"/>
    <w:lsdException w:name="Subtitle" w:qFormat="1"/>
    <w:lsdException w:name="Body Text 2" w:qFormat="1"/>
    <w:lsdException w:name="Hyperlink" w:uiPriority="99"/>
    <w:lsdException w:name="Strong" w:qFormat="1"/>
    <w:lsdException w:name="Emphasis" w:qFormat="1"/>
    <w:lsdException w:name="Document Map" w:semiHidden="1"/>
    <w:lsdException w:name="annotation subject" w:semiHidden="1" w:unhideWhenUsed="1"/>
    <w:lsdException w:name="No List"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ListParagraph"/>
    <w:qFormat/>
    <w:rsid w:val="00C004A0"/>
    <w:pPr>
      <w:keepNext/>
      <w:numPr>
        <w:numId w:val="14"/>
      </w:numPr>
      <w:spacing w:after="240"/>
      <w:jc w:val="center"/>
      <w:outlineLvl w:val="0"/>
    </w:pPr>
    <w:rPr>
      <w:rFonts w:cs="Arial"/>
      <w:b/>
      <w:bCs/>
      <w:caps/>
      <w:szCs w:val="32"/>
    </w:rPr>
  </w:style>
  <w:style w:type="paragraph" w:styleId="Heading2">
    <w:name w:val="heading 2"/>
    <w:basedOn w:val="Normal"/>
    <w:qFormat/>
    <w:rsid w:val="00C004A0"/>
    <w:pPr>
      <w:keepNext/>
      <w:numPr>
        <w:ilvl w:val="1"/>
        <w:numId w:val="14"/>
      </w:numPr>
      <w:spacing w:before="120" w:after="120" w:line="480" w:lineRule="auto"/>
      <w:outlineLvl w:val="1"/>
    </w:pPr>
    <w:rPr>
      <w:rFonts w:cs="Arial"/>
      <w:bCs/>
      <w:iCs/>
      <w:szCs w:val="28"/>
    </w:rPr>
  </w:style>
  <w:style w:type="paragraph" w:styleId="Heading3">
    <w:name w:val="heading 3"/>
    <w:basedOn w:val="Normal"/>
    <w:next w:val="Heading2"/>
    <w:qFormat/>
    <w:rsid w:val="00C004A0"/>
    <w:pPr>
      <w:keepNext/>
      <w:numPr>
        <w:ilvl w:val="2"/>
        <w:numId w:val="14"/>
      </w:numPr>
      <w:spacing w:after="240"/>
      <w:outlineLvl w:val="2"/>
    </w:pPr>
    <w:rPr>
      <w:rFonts w:cs="Arial"/>
      <w:b/>
      <w:bCs/>
      <w:szCs w:val="26"/>
      <w:u w:val="single"/>
    </w:rPr>
  </w:style>
  <w:style w:type="paragraph" w:styleId="Heading4">
    <w:name w:val="heading 4"/>
    <w:basedOn w:val="Normal"/>
    <w:next w:val="BodyText2"/>
    <w:unhideWhenUsed/>
    <w:rsid w:val="00C004A0"/>
    <w:pPr>
      <w:keepNext/>
      <w:numPr>
        <w:ilvl w:val="3"/>
        <w:numId w:val="14"/>
      </w:numPr>
      <w:spacing w:before="240" w:after="60"/>
      <w:outlineLvl w:val="3"/>
    </w:pPr>
    <w:rPr>
      <w:b/>
      <w:bCs/>
      <w:szCs w:val="28"/>
    </w:rPr>
  </w:style>
  <w:style w:type="paragraph" w:styleId="Heading5">
    <w:name w:val="heading 5"/>
    <w:basedOn w:val="Normal"/>
    <w:next w:val="BodyText2"/>
    <w:unhideWhenUsed/>
    <w:rsid w:val="00C004A0"/>
    <w:pPr>
      <w:numPr>
        <w:ilvl w:val="4"/>
        <w:numId w:val="14"/>
      </w:numPr>
      <w:spacing w:before="240" w:after="60"/>
      <w:outlineLvl w:val="4"/>
    </w:pPr>
    <w:rPr>
      <w:bCs/>
      <w:iCs/>
      <w:szCs w:val="26"/>
    </w:rPr>
  </w:style>
  <w:style w:type="paragraph" w:styleId="Heading6">
    <w:name w:val="heading 6"/>
    <w:basedOn w:val="Normal"/>
    <w:next w:val="BodyText2"/>
    <w:unhideWhenUsed/>
    <w:rsid w:val="00C004A0"/>
    <w:pPr>
      <w:numPr>
        <w:ilvl w:val="5"/>
        <w:numId w:val="14"/>
      </w:numPr>
      <w:spacing w:before="240" w:after="60"/>
      <w:outlineLvl w:val="5"/>
    </w:pPr>
    <w:rPr>
      <w:b/>
      <w:bCs/>
      <w:sz w:val="22"/>
      <w:szCs w:val="22"/>
    </w:rPr>
  </w:style>
  <w:style w:type="paragraph" w:styleId="Heading7">
    <w:name w:val="heading 7"/>
    <w:basedOn w:val="Normal"/>
    <w:next w:val="BodyText2"/>
    <w:unhideWhenUsed/>
    <w:rsid w:val="00C004A0"/>
    <w:pPr>
      <w:numPr>
        <w:ilvl w:val="6"/>
        <w:numId w:val="14"/>
      </w:numPr>
      <w:spacing w:before="240" w:after="60"/>
      <w:outlineLvl w:val="6"/>
    </w:pPr>
  </w:style>
  <w:style w:type="paragraph" w:styleId="Heading8">
    <w:name w:val="heading 8"/>
    <w:basedOn w:val="Normal"/>
    <w:next w:val="BodyText2"/>
    <w:unhideWhenUsed/>
    <w:rsid w:val="00C004A0"/>
    <w:pPr>
      <w:numPr>
        <w:ilvl w:val="7"/>
        <w:numId w:val="14"/>
      </w:numPr>
      <w:spacing w:before="240" w:after="60"/>
      <w:outlineLvl w:val="7"/>
    </w:pPr>
    <w:rPr>
      <w:i/>
      <w:iCs/>
    </w:rPr>
  </w:style>
  <w:style w:type="paragraph" w:styleId="Heading9">
    <w:name w:val="heading 9"/>
    <w:basedOn w:val="Normal"/>
    <w:next w:val="BodyText2"/>
    <w:unhideWhenUsed/>
    <w:rsid w:val="00C004A0"/>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link w:val="HeaderChar"/>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uiPriority w:val="99"/>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paragraph" w:styleId="Caption">
    <w:name w:val="caption"/>
    <w:basedOn w:val="Normal"/>
    <w:next w:val="Normal"/>
    <w:semiHidden/>
    <w:rsid w:val="002F5808"/>
    <w:pPr>
      <w:spacing w:line="240" w:lineRule="exact"/>
    </w:pPr>
    <w:rPr>
      <w:bCs/>
      <w:szCs w:val="20"/>
    </w:rPr>
  </w:style>
  <w:style w:type="paragraph" w:customStyle="1" w:styleId="PartyName">
    <w:name w:val="Party Name"/>
    <w:basedOn w:val="Normal"/>
    <w:semiHidden/>
    <w:rsid w:val="002F5808"/>
    <w:pPr>
      <w:spacing w:line="240" w:lineRule="exact"/>
      <w:ind w:left="1440"/>
    </w:pPr>
    <w:rPr>
      <w:szCs w:val="20"/>
    </w:rPr>
  </w:style>
  <w:style w:type="paragraph" w:customStyle="1" w:styleId="PartyContents">
    <w:name w:val="Party Contents"/>
    <w:basedOn w:val="Normal"/>
    <w:semiHidden/>
    <w:rsid w:val="002F5808"/>
    <w:pPr>
      <w:spacing w:line="240" w:lineRule="exact"/>
    </w:pPr>
    <w:rPr>
      <w:szCs w:val="20"/>
    </w:rPr>
  </w:style>
  <w:style w:type="paragraph" w:customStyle="1" w:styleId="Versus">
    <w:name w:val="Versus"/>
    <w:basedOn w:val="Normal"/>
    <w:semiHidden/>
    <w:rsid w:val="002F5808"/>
    <w:pPr>
      <w:spacing w:line="240" w:lineRule="exact"/>
      <w:ind w:left="720"/>
    </w:pPr>
    <w:rPr>
      <w:szCs w:val="20"/>
    </w:rPr>
  </w:style>
  <w:style w:type="paragraph" w:styleId="ListParagraph">
    <w:name w:val="List Paragraph"/>
    <w:basedOn w:val="Normal"/>
    <w:uiPriority w:val="34"/>
    <w:qFormat/>
    <w:rsid w:val="00973AE8"/>
    <w:pPr>
      <w:ind w:left="720"/>
      <w:contextualSpacing/>
    </w:pPr>
  </w:style>
  <w:style w:type="character" w:customStyle="1" w:styleId="FooterChar">
    <w:name w:val="Footer Char"/>
    <w:basedOn w:val="DefaultParagraphFont"/>
    <w:link w:val="Footer"/>
    <w:rsid w:val="006877D4"/>
    <w:rPr>
      <w:sz w:val="24"/>
      <w:szCs w:val="24"/>
    </w:rPr>
  </w:style>
  <w:style w:type="paragraph" w:styleId="BalloonText">
    <w:name w:val="Balloon Text"/>
    <w:basedOn w:val="Normal"/>
    <w:link w:val="BalloonTextChar"/>
    <w:semiHidden/>
    <w:unhideWhenUsed/>
    <w:rsid w:val="00606B0D"/>
    <w:rPr>
      <w:rFonts w:ascii="Tahoma" w:hAnsi="Tahoma" w:cs="Tahoma"/>
      <w:sz w:val="16"/>
      <w:szCs w:val="16"/>
    </w:rPr>
  </w:style>
  <w:style w:type="character" w:customStyle="1" w:styleId="BalloonTextChar">
    <w:name w:val="Balloon Text Char"/>
    <w:basedOn w:val="DefaultParagraphFont"/>
    <w:link w:val="BalloonText"/>
    <w:semiHidden/>
    <w:rsid w:val="00606B0D"/>
    <w:rPr>
      <w:rFonts w:ascii="Tahoma" w:hAnsi="Tahoma" w:cs="Tahoma"/>
      <w:sz w:val="16"/>
      <w:szCs w:val="16"/>
    </w:rPr>
  </w:style>
  <w:style w:type="character" w:customStyle="1" w:styleId="BodyText2Char">
    <w:name w:val="Body Text 2 Char"/>
    <w:basedOn w:val="DefaultParagraphFont"/>
    <w:link w:val="BodyText2"/>
    <w:rsid w:val="008C026B"/>
    <w:rPr>
      <w:sz w:val="24"/>
      <w:szCs w:val="24"/>
    </w:rPr>
  </w:style>
  <w:style w:type="paragraph" w:styleId="TOCHeading">
    <w:name w:val="TOC Heading"/>
    <w:basedOn w:val="Heading1"/>
    <w:next w:val="Normal"/>
    <w:uiPriority w:val="39"/>
    <w:semiHidden/>
    <w:unhideWhenUsed/>
    <w:qFormat/>
    <w:rsid w:val="00C274EB"/>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szCs w:val="28"/>
      <w:lang w:eastAsia="ja-JP"/>
    </w:rPr>
  </w:style>
  <w:style w:type="paragraph" w:styleId="TOC1">
    <w:name w:val="toc 1"/>
    <w:basedOn w:val="Normal"/>
    <w:next w:val="Normal"/>
    <w:autoRedefine/>
    <w:uiPriority w:val="39"/>
    <w:unhideWhenUsed/>
    <w:qFormat/>
    <w:rsid w:val="00D9401E"/>
    <w:pPr>
      <w:tabs>
        <w:tab w:val="right" w:leader="dot" w:pos="9360"/>
      </w:tabs>
      <w:spacing w:after="100"/>
      <w:ind w:left="360" w:right="720" w:hanging="360"/>
    </w:pPr>
    <w:rPr>
      <w:caps/>
    </w:rPr>
  </w:style>
  <w:style w:type="paragraph" w:styleId="TOC2">
    <w:name w:val="toc 2"/>
    <w:basedOn w:val="Normal"/>
    <w:next w:val="Normal"/>
    <w:autoRedefine/>
    <w:uiPriority w:val="39"/>
    <w:unhideWhenUsed/>
    <w:rsid w:val="00C274EB"/>
    <w:pPr>
      <w:spacing w:after="100"/>
      <w:ind w:left="240"/>
    </w:pPr>
  </w:style>
  <w:style w:type="paragraph" w:styleId="TOC3">
    <w:name w:val="toc 3"/>
    <w:basedOn w:val="Normal"/>
    <w:next w:val="Normal"/>
    <w:autoRedefine/>
    <w:uiPriority w:val="39"/>
    <w:rsid w:val="00D9401E"/>
    <w:pPr>
      <w:tabs>
        <w:tab w:val="right" w:leader="dot" w:pos="9360"/>
      </w:tabs>
      <w:spacing w:after="100"/>
      <w:ind w:left="810" w:right="720" w:hanging="330"/>
    </w:pPr>
  </w:style>
  <w:style w:type="paragraph" w:styleId="TOC4">
    <w:name w:val="toc 4"/>
    <w:basedOn w:val="Normal"/>
    <w:next w:val="Normal"/>
    <w:autoRedefine/>
    <w:uiPriority w:val="39"/>
    <w:unhideWhenUsed/>
    <w:rsid w:val="00D9401E"/>
    <w:pPr>
      <w:tabs>
        <w:tab w:val="left" w:pos="1260"/>
        <w:tab w:val="right" w:leader="dot" w:pos="9360"/>
      </w:tabs>
      <w:spacing w:after="100" w:line="276" w:lineRule="auto"/>
      <w:ind w:left="1260" w:right="720" w:hanging="450"/>
    </w:pPr>
    <w:rPr>
      <w:rFonts w:eastAsiaTheme="minorEastAsia"/>
      <w:szCs w:val="22"/>
    </w:rPr>
  </w:style>
  <w:style w:type="paragraph" w:styleId="TOC5">
    <w:name w:val="toc 5"/>
    <w:basedOn w:val="Normal"/>
    <w:next w:val="Normal"/>
    <w:autoRedefine/>
    <w:uiPriority w:val="39"/>
    <w:unhideWhenUsed/>
    <w:rsid w:val="00C274EB"/>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274E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274EB"/>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274EB"/>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274EB"/>
    <w:pPr>
      <w:spacing w:after="100" w:line="276" w:lineRule="auto"/>
      <w:ind w:left="1760"/>
    </w:pPr>
    <w:rPr>
      <w:rFonts w:asciiTheme="minorHAnsi" w:eastAsiaTheme="minorEastAsia" w:hAnsiTheme="minorHAnsi" w:cstheme="minorBidi"/>
      <w:sz w:val="22"/>
      <w:szCs w:val="22"/>
    </w:rPr>
  </w:style>
  <w:style w:type="paragraph" w:styleId="TOAHeading">
    <w:name w:val="toa heading"/>
    <w:basedOn w:val="Normal"/>
    <w:next w:val="Normal"/>
    <w:uiPriority w:val="99"/>
    <w:unhideWhenUsed/>
    <w:rsid w:val="00E96FF8"/>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E96FF8"/>
    <w:pPr>
      <w:ind w:left="240" w:hanging="240"/>
    </w:pPr>
  </w:style>
  <w:style w:type="paragraph" w:customStyle="1" w:styleId="WATOAPageHeading">
    <w:name w:val="WA TOA Page Heading"/>
    <w:basedOn w:val="Normal"/>
    <w:rsid w:val="00B349D5"/>
    <w:pPr>
      <w:keepNext/>
      <w:keepLines/>
      <w:tabs>
        <w:tab w:val="right" w:pos="7200"/>
      </w:tabs>
      <w:spacing w:after="240"/>
    </w:pPr>
    <w:rPr>
      <w:b/>
      <w:noProof/>
    </w:rPr>
  </w:style>
  <w:style w:type="paragraph" w:customStyle="1" w:styleId="WATOAHeading">
    <w:name w:val="WA TOA Heading"/>
    <w:basedOn w:val="Normal"/>
    <w:rsid w:val="00B349D5"/>
    <w:pPr>
      <w:keepNext/>
      <w:keepLines/>
      <w:spacing w:after="240"/>
    </w:pPr>
    <w:rPr>
      <w:rFonts w:ascii="Times New Roman Bold" w:hAnsi="Times New Roman Bold"/>
      <w:b/>
      <w:smallCaps/>
      <w:noProof/>
    </w:rPr>
  </w:style>
  <w:style w:type="paragraph" w:customStyle="1" w:styleId="WATOAEntry">
    <w:name w:val="WA TOA Entry"/>
    <w:basedOn w:val="Normal"/>
    <w:rsid w:val="00B349D5"/>
    <w:pPr>
      <w:keepLines/>
      <w:tabs>
        <w:tab w:val="right" w:leader="dot" w:pos="7200"/>
      </w:tabs>
      <w:spacing w:after="240"/>
      <w:ind w:left="360" w:right="720" w:hanging="360"/>
    </w:pPr>
    <w:rPr>
      <w:noProof/>
    </w:rPr>
  </w:style>
  <w:style w:type="paragraph" w:customStyle="1" w:styleId="BATOAPageHeading">
    <w:name w:val="BA TOA Page Heading"/>
    <w:basedOn w:val="Normal"/>
    <w:rsid w:val="00B349D5"/>
    <w:pPr>
      <w:keepNext/>
      <w:keepLines/>
      <w:tabs>
        <w:tab w:val="right" w:pos="9360"/>
      </w:tabs>
    </w:pPr>
    <w:rPr>
      <w:rFonts w:ascii="Times New Roman Bold" w:hAnsi="Times New Roman Bold"/>
      <w:b/>
    </w:rPr>
  </w:style>
  <w:style w:type="paragraph" w:customStyle="1" w:styleId="BATOAHeading">
    <w:name w:val="BA TOA Heading"/>
    <w:basedOn w:val="Normal"/>
    <w:rsid w:val="00B349D5"/>
    <w:pPr>
      <w:keepNext/>
      <w:keepLines/>
      <w:spacing w:after="240"/>
    </w:pPr>
    <w:rPr>
      <w:rFonts w:ascii="Times New Roman Bold" w:hAnsi="Times New Roman Bold"/>
      <w:b/>
      <w:smallCaps/>
    </w:rPr>
  </w:style>
  <w:style w:type="paragraph" w:customStyle="1" w:styleId="BATOAEntry">
    <w:name w:val="BA TOA Entry"/>
    <w:basedOn w:val="Normal"/>
    <w:rsid w:val="00B349D5"/>
    <w:pPr>
      <w:keepLines/>
      <w:tabs>
        <w:tab w:val="right" w:leader="dot" w:pos="9360"/>
      </w:tabs>
      <w:spacing w:after="240"/>
      <w:ind w:left="360" w:right="720" w:hanging="360"/>
    </w:pPr>
  </w:style>
  <w:style w:type="paragraph" w:customStyle="1" w:styleId="BADraft">
    <w:name w:val="BA Draft"/>
    <w:basedOn w:val="BodyText"/>
    <w:rsid w:val="00B349D5"/>
    <w:pPr>
      <w:keepLines/>
      <w:widowControl w:val="0"/>
      <w:spacing w:after="0"/>
      <w:ind w:firstLine="0"/>
    </w:pPr>
  </w:style>
  <w:style w:type="paragraph" w:customStyle="1" w:styleId="WATOATitle">
    <w:name w:val="WA TOA Title"/>
    <w:basedOn w:val="Normal"/>
    <w:rsid w:val="00B349D5"/>
    <w:pPr>
      <w:keepNext/>
      <w:keepLines/>
      <w:spacing w:after="240"/>
      <w:jc w:val="center"/>
    </w:pPr>
    <w:rPr>
      <w:caps/>
      <w:noProof/>
      <w:u w:val="single"/>
    </w:rPr>
  </w:style>
  <w:style w:type="character" w:customStyle="1" w:styleId="HeaderChar">
    <w:name w:val="Header Char"/>
    <w:basedOn w:val="DefaultParagraphFont"/>
    <w:link w:val="Header"/>
    <w:semiHidden/>
    <w:rsid w:val="001F78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lsdException w:name="toa heading" w:semiHidden="1" w:uiPriority="99" w:unhideWhenUsed="1"/>
    <w:lsdException w:name="List Bullet" w:semiHidden="1" w:unhideWhenUsed="1"/>
    <w:lsdException w:name="Title" w:qFormat="1"/>
    <w:lsdException w:name="Body Text" w:qFormat="1"/>
    <w:lsdException w:name="Subtitle" w:qFormat="1"/>
    <w:lsdException w:name="Body Text 2" w:qFormat="1"/>
    <w:lsdException w:name="Hyperlink" w:uiPriority="99"/>
    <w:lsdException w:name="Strong" w:qFormat="1"/>
    <w:lsdException w:name="Emphasis" w:qFormat="1"/>
    <w:lsdException w:name="Document Map" w:semiHidden="1"/>
    <w:lsdException w:name="annotation subject" w:semiHidden="1" w:unhideWhenUsed="1"/>
    <w:lsdException w:name="No List"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ListParagraph"/>
    <w:qFormat/>
    <w:rsid w:val="00C004A0"/>
    <w:pPr>
      <w:keepNext/>
      <w:numPr>
        <w:numId w:val="14"/>
      </w:numPr>
      <w:spacing w:after="240"/>
      <w:jc w:val="center"/>
      <w:outlineLvl w:val="0"/>
    </w:pPr>
    <w:rPr>
      <w:rFonts w:cs="Arial"/>
      <w:b/>
      <w:bCs/>
      <w:caps/>
      <w:szCs w:val="32"/>
    </w:rPr>
  </w:style>
  <w:style w:type="paragraph" w:styleId="Heading2">
    <w:name w:val="heading 2"/>
    <w:basedOn w:val="Normal"/>
    <w:qFormat/>
    <w:rsid w:val="00C004A0"/>
    <w:pPr>
      <w:keepNext/>
      <w:numPr>
        <w:ilvl w:val="1"/>
        <w:numId w:val="14"/>
      </w:numPr>
      <w:spacing w:before="120" w:after="120" w:line="480" w:lineRule="auto"/>
      <w:outlineLvl w:val="1"/>
    </w:pPr>
    <w:rPr>
      <w:rFonts w:cs="Arial"/>
      <w:bCs/>
      <w:iCs/>
      <w:szCs w:val="28"/>
    </w:rPr>
  </w:style>
  <w:style w:type="paragraph" w:styleId="Heading3">
    <w:name w:val="heading 3"/>
    <w:basedOn w:val="Normal"/>
    <w:next w:val="Heading2"/>
    <w:qFormat/>
    <w:rsid w:val="00C004A0"/>
    <w:pPr>
      <w:keepNext/>
      <w:numPr>
        <w:ilvl w:val="2"/>
        <w:numId w:val="14"/>
      </w:numPr>
      <w:spacing w:after="240"/>
      <w:outlineLvl w:val="2"/>
    </w:pPr>
    <w:rPr>
      <w:rFonts w:cs="Arial"/>
      <w:b/>
      <w:bCs/>
      <w:szCs w:val="26"/>
      <w:u w:val="single"/>
    </w:rPr>
  </w:style>
  <w:style w:type="paragraph" w:styleId="Heading4">
    <w:name w:val="heading 4"/>
    <w:basedOn w:val="Normal"/>
    <w:next w:val="BodyText2"/>
    <w:unhideWhenUsed/>
    <w:rsid w:val="00C004A0"/>
    <w:pPr>
      <w:keepNext/>
      <w:numPr>
        <w:ilvl w:val="3"/>
        <w:numId w:val="14"/>
      </w:numPr>
      <w:spacing w:before="240" w:after="60"/>
      <w:outlineLvl w:val="3"/>
    </w:pPr>
    <w:rPr>
      <w:b/>
      <w:bCs/>
      <w:szCs w:val="28"/>
    </w:rPr>
  </w:style>
  <w:style w:type="paragraph" w:styleId="Heading5">
    <w:name w:val="heading 5"/>
    <w:basedOn w:val="Normal"/>
    <w:next w:val="BodyText2"/>
    <w:unhideWhenUsed/>
    <w:rsid w:val="00C004A0"/>
    <w:pPr>
      <w:numPr>
        <w:ilvl w:val="4"/>
        <w:numId w:val="14"/>
      </w:numPr>
      <w:spacing w:before="240" w:after="60"/>
      <w:outlineLvl w:val="4"/>
    </w:pPr>
    <w:rPr>
      <w:bCs/>
      <w:iCs/>
      <w:szCs w:val="26"/>
    </w:rPr>
  </w:style>
  <w:style w:type="paragraph" w:styleId="Heading6">
    <w:name w:val="heading 6"/>
    <w:basedOn w:val="Normal"/>
    <w:next w:val="BodyText2"/>
    <w:unhideWhenUsed/>
    <w:rsid w:val="00C004A0"/>
    <w:pPr>
      <w:numPr>
        <w:ilvl w:val="5"/>
        <w:numId w:val="14"/>
      </w:numPr>
      <w:spacing w:before="240" w:after="60"/>
      <w:outlineLvl w:val="5"/>
    </w:pPr>
    <w:rPr>
      <w:b/>
      <w:bCs/>
      <w:sz w:val="22"/>
      <w:szCs w:val="22"/>
    </w:rPr>
  </w:style>
  <w:style w:type="paragraph" w:styleId="Heading7">
    <w:name w:val="heading 7"/>
    <w:basedOn w:val="Normal"/>
    <w:next w:val="BodyText2"/>
    <w:unhideWhenUsed/>
    <w:rsid w:val="00C004A0"/>
    <w:pPr>
      <w:numPr>
        <w:ilvl w:val="6"/>
        <w:numId w:val="14"/>
      </w:numPr>
      <w:spacing w:before="240" w:after="60"/>
      <w:outlineLvl w:val="6"/>
    </w:pPr>
  </w:style>
  <w:style w:type="paragraph" w:styleId="Heading8">
    <w:name w:val="heading 8"/>
    <w:basedOn w:val="Normal"/>
    <w:next w:val="BodyText2"/>
    <w:unhideWhenUsed/>
    <w:rsid w:val="00C004A0"/>
    <w:pPr>
      <w:numPr>
        <w:ilvl w:val="7"/>
        <w:numId w:val="14"/>
      </w:numPr>
      <w:spacing w:before="240" w:after="60"/>
      <w:outlineLvl w:val="7"/>
    </w:pPr>
    <w:rPr>
      <w:i/>
      <w:iCs/>
    </w:rPr>
  </w:style>
  <w:style w:type="paragraph" w:styleId="Heading9">
    <w:name w:val="heading 9"/>
    <w:basedOn w:val="Normal"/>
    <w:next w:val="BodyText2"/>
    <w:unhideWhenUsed/>
    <w:rsid w:val="00C004A0"/>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link w:val="HeaderChar"/>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uiPriority w:val="99"/>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paragraph" w:styleId="Caption">
    <w:name w:val="caption"/>
    <w:basedOn w:val="Normal"/>
    <w:next w:val="Normal"/>
    <w:semiHidden/>
    <w:rsid w:val="002F5808"/>
    <w:pPr>
      <w:spacing w:line="240" w:lineRule="exact"/>
    </w:pPr>
    <w:rPr>
      <w:bCs/>
      <w:szCs w:val="20"/>
    </w:rPr>
  </w:style>
  <w:style w:type="paragraph" w:customStyle="1" w:styleId="PartyName">
    <w:name w:val="Party Name"/>
    <w:basedOn w:val="Normal"/>
    <w:semiHidden/>
    <w:rsid w:val="002F5808"/>
    <w:pPr>
      <w:spacing w:line="240" w:lineRule="exact"/>
      <w:ind w:left="1440"/>
    </w:pPr>
    <w:rPr>
      <w:szCs w:val="20"/>
    </w:rPr>
  </w:style>
  <w:style w:type="paragraph" w:customStyle="1" w:styleId="PartyContents">
    <w:name w:val="Party Contents"/>
    <w:basedOn w:val="Normal"/>
    <w:semiHidden/>
    <w:rsid w:val="002F5808"/>
    <w:pPr>
      <w:spacing w:line="240" w:lineRule="exact"/>
    </w:pPr>
    <w:rPr>
      <w:szCs w:val="20"/>
    </w:rPr>
  </w:style>
  <w:style w:type="paragraph" w:customStyle="1" w:styleId="Versus">
    <w:name w:val="Versus"/>
    <w:basedOn w:val="Normal"/>
    <w:semiHidden/>
    <w:rsid w:val="002F5808"/>
    <w:pPr>
      <w:spacing w:line="240" w:lineRule="exact"/>
      <w:ind w:left="720"/>
    </w:pPr>
    <w:rPr>
      <w:szCs w:val="20"/>
    </w:rPr>
  </w:style>
  <w:style w:type="paragraph" w:styleId="ListParagraph">
    <w:name w:val="List Paragraph"/>
    <w:basedOn w:val="Normal"/>
    <w:uiPriority w:val="34"/>
    <w:qFormat/>
    <w:rsid w:val="00973AE8"/>
    <w:pPr>
      <w:ind w:left="720"/>
      <w:contextualSpacing/>
    </w:pPr>
  </w:style>
  <w:style w:type="character" w:customStyle="1" w:styleId="FooterChar">
    <w:name w:val="Footer Char"/>
    <w:basedOn w:val="DefaultParagraphFont"/>
    <w:link w:val="Footer"/>
    <w:rsid w:val="006877D4"/>
    <w:rPr>
      <w:sz w:val="24"/>
      <w:szCs w:val="24"/>
    </w:rPr>
  </w:style>
  <w:style w:type="paragraph" w:styleId="BalloonText">
    <w:name w:val="Balloon Text"/>
    <w:basedOn w:val="Normal"/>
    <w:link w:val="BalloonTextChar"/>
    <w:semiHidden/>
    <w:unhideWhenUsed/>
    <w:rsid w:val="00606B0D"/>
    <w:rPr>
      <w:rFonts w:ascii="Tahoma" w:hAnsi="Tahoma" w:cs="Tahoma"/>
      <w:sz w:val="16"/>
      <w:szCs w:val="16"/>
    </w:rPr>
  </w:style>
  <w:style w:type="character" w:customStyle="1" w:styleId="BalloonTextChar">
    <w:name w:val="Balloon Text Char"/>
    <w:basedOn w:val="DefaultParagraphFont"/>
    <w:link w:val="BalloonText"/>
    <w:semiHidden/>
    <w:rsid w:val="00606B0D"/>
    <w:rPr>
      <w:rFonts w:ascii="Tahoma" w:hAnsi="Tahoma" w:cs="Tahoma"/>
      <w:sz w:val="16"/>
      <w:szCs w:val="16"/>
    </w:rPr>
  </w:style>
  <w:style w:type="character" w:customStyle="1" w:styleId="BodyText2Char">
    <w:name w:val="Body Text 2 Char"/>
    <w:basedOn w:val="DefaultParagraphFont"/>
    <w:link w:val="BodyText2"/>
    <w:rsid w:val="008C026B"/>
    <w:rPr>
      <w:sz w:val="24"/>
      <w:szCs w:val="24"/>
    </w:rPr>
  </w:style>
  <w:style w:type="paragraph" w:styleId="TOCHeading">
    <w:name w:val="TOC Heading"/>
    <w:basedOn w:val="Heading1"/>
    <w:next w:val="Normal"/>
    <w:uiPriority w:val="39"/>
    <w:semiHidden/>
    <w:unhideWhenUsed/>
    <w:qFormat/>
    <w:rsid w:val="00C274EB"/>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szCs w:val="28"/>
      <w:lang w:eastAsia="ja-JP"/>
    </w:rPr>
  </w:style>
  <w:style w:type="paragraph" w:styleId="TOC1">
    <w:name w:val="toc 1"/>
    <w:basedOn w:val="Normal"/>
    <w:next w:val="Normal"/>
    <w:autoRedefine/>
    <w:uiPriority w:val="39"/>
    <w:unhideWhenUsed/>
    <w:qFormat/>
    <w:rsid w:val="00D9401E"/>
    <w:pPr>
      <w:tabs>
        <w:tab w:val="right" w:leader="dot" w:pos="9360"/>
      </w:tabs>
      <w:spacing w:after="100"/>
      <w:ind w:left="360" w:right="720" w:hanging="360"/>
    </w:pPr>
    <w:rPr>
      <w:caps/>
    </w:rPr>
  </w:style>
  <w:style w:type="paragraph" w:styleId="TOC2">
    <w:name w:val="toc 2"/>
    <w:basedOn w:val="Normal"/>
    <w:next w:val="Normal"/>
    <w:autoRedefine/>
    <w:uiPriority w:val="39"/>
    <w:unhideWhenUsed/>
    <w:rsid w:val="00C274EB"/>
    <w:pPr>
      <w:spacing w:after="100"/>
      <w:ind w:left="240"/>
    </w:pPr>
  </w:style>
  <w:style w:type="paragraph" w:styleId="TOC3">
    <w:name w:val="toc 3"/>
    <w:basedOn w:val="Normal"/>
    <w:next w:val="Normal"/>
    <w:autoRedefine/>
    <w:uiPriority w:val="39"/>
    <w:rsid w:val="00D9401E"/>
    <w:pPr>
      <w:tabs>
        <w:tab w:val="right" w:leader="dot" w:pos="9360"/>
      </w:tabs>
      <w:spacing w:after="100"/>
      <w:ind w:left="810" w:right="720" w:hanging="330"/>
    </w:pPr>
  </w:style>
  <w:style w:type="paragraph" w:styleId="TOC4">
    <w:name w:val="toc 4"/>
    <w:basedOn w:val="Normal"/>
    <w:next w:val="Normal"/>
    <w:autoRedefine/>
    <w:uiPriority w:val="39"/>
    <w:unhideWhenUsed/>
    <w:rsid w:val="00D9401E"/>
    <w:pPr>
      <w:tabs>
        <w:tab w:val="left" w:pos="1260"/>
        <w:tab w:val="right" w:leader="dot" w:pos="9360"/>
      </w:tabs>
      <w:spacing w:after="100" w:line="276" w:lineRule="auto"/>
      <w:ind w:left="1260" w:right="720" w:hanging="450"/>
    </w:pPr>
    <w:rPr>
      <w:rFonts w:eastAsiaTheme="minorEastAsia"/>
      <w:szCs w:val="22"/>
    </w:rPr>
  </w:style>
  <w:style w:type="paragraph" w:styleId="TOC5">
    <w:name w:val="toc 5"/>
    <w:basedOn w:val="Normal"/>
    <w:next w:val="Normal"/>
    <w:autoRedefine/>
    <w:uiPriority w:val="39"/>
    <w:unhideWhenUsed/>
    <w:rsid w:val="00C274EB"/>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274E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274EB"/>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274EB"/>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274EB"/>
    <w:pPr>
      <w:spacing w:after="100" w:line="276" w:lineRule="auto"/>
      <w:ind w:left="1760"/>
    </w:pPr>
    <w:rPr>
      <w:rFonts w:asciiTheme="minorHAnsi" w:eastAsiaTheme="minorEastAsia" w:hAnsiTheme="minorHAnsi" w:cstheme="minorBidi"/>
      <w:sz w:val="22"/>
      <w:szCs w:val="22"/>
    </w:rPr>
  </w:style>
  <w:style w:type="paragraph" w:styleId="TOAHeading">
    <w:name w:val="toa heading"/>
    <w:basedOn w:val="Normal"/>
    <w:next w:val="Normal"/>
    <w:uiPriority w:val="99"/>
    <w:unhideWhenUsed/>
    <w:rsid w:val="00E96FF8"/>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E96FF8"/>
    <w:pPr>
      <w:ind w:left="240" w:hanging="240"/>
    </w:pPr>
  </w:style>
  <w:style w:type="paragraph" w:customStyle="1" w:styleId="WATOAPageHeading">
    <w:name w:val="WA TOA Page Heading"/>
    <w:basedOn w:val="Normal"/>
    <w:rsid w:val="00B349D5"/>
    <w:pPr>
      <w:keepNext/>
      <w:keepLines/>
      <w:tabs>
        <w:tab w:val="right" w:pos="7200"/>
      </w:tabs>
      <w:spacing w:after="240"/>
    </w:pPr>
    <w:rPr>
      <w:b/>
      <w:noProof/>
    </w:rPr>
  </w:style>
  <w:style w:type="paragraph" w:customStyle="1" w:styleId="WATOAHeading">
    <w:name w:val="WA TOA Heading"/>
    <w:basedOn w:val="Normal"/>
    <w:rsid w:val="00B349D5"/>
    <w:pPr>
      <w:keepNext/>
      <w:keepLines/>
      <w:spacing w:after="240"/>
    </w:pPr>
    <w:rPr>
      <w:rFonts w:ascii="Times New Roman Bold" w:hAnsi="Times New Roman Bold"/>
      <w:b/>
      <w:smallCaps/>
      <w:noProof/>
    </w:rPr>
  </w:style>
  <w:style w:type="paragraph" w:customStyle="1" w:styleId="WATOAEntry">
    <w:name w:val="WA TOA Entry"/>
    <w:basedOn w:val="Normal"/>
    <w:rsid w:val="00B349D5"/>
    <w:pPr>
      <w:keepLines/>
      <w:tabs>
        <w:tab w:val="right" w:leader="dot" w:pos="7200"/>
      </w:tabs>
      <w:spacing w:after="240"/>
      <w:ind w:left="360" w:right="720" w:hanging="360"/>
    </w:pPr>
    <w:rPr>
      <w:noProof/>
    </w:rPr>
  </w:style>
  <w:style w:type="paragraph" w:customStyle="1" w:styleId="BATOAPageHeading">
    <w:name w:val="BA TOA Page Heading"/>
    <w:basedOn w:val="Normal"/>
    <w:rsid w:val="00B349D5"/>
    <w:pPr>
      <w:keepNext/>
      <w:keepLines/>
      <w:tabs>
        <w:tab w:val="right" w:pos="9360"/>
      </w:tabs>
    </w:pPr>
    <w:rPr>
      <w:rFonts w:ascii="Times New Roman Bold" w:hAnsi="Times New Roman Bold"/>
      <w:b/>
    </w:rPr>
  </w:style>
  <w:style w:type="paragraph" w:customStyle="1" w:styleId="BATOAHeading">
    <w:name w:val="BA TOA Heading"/>
    <w:basedOn w:val="Normal"/>
    <w:rsid w:val="00B349D5"/>
    <w:pPr>
      <w:keepNext/>
      <w:keepLines/>
      <w:spacing w:after="240"/>
    </w:pPr>
    <w:rPr>
      <w:rFonts w:ascii="Times New Roman Bold" w:hAnsi="Times New Roman Bold"/>
      <w:b/>
      <w:smallCaps/>
    </w:rPr>
  </w:style>
  <w:style w:type="paragraph" w:customStyle="1" w:styleId="BATOAEntry">
    <w:name w:val="BA TOA Entry"/>
    <w:basedOn w:val="Normal"/>
    <w:rsid w:val="00B349D5"/>
    <w:pPr>
      <w:keepLines/>
      <w:tabs>
        <w:tab w:val="right" w:leader="dot" w:pos="9360"/>
      </w:tabs>
      <w:spacing w:after="240"/>
      <w:ind w:left="360" w:right="720" w:hanging="360"/>
    </w:pPr>
  </w:style>
  <w:style w:type="paragraph" w:customStyle="1" w:styleId="BADraft">
    <w:name w:val="BA Draft"/>
    <w:basedOn w:val="BodyText"/>
    <w:rsid w:val="00B349D5"/>
    <w:pPr>
      <w:keepLines/>
      <w:widowControl w:val="0"/>
      <w:spacing w:after="0"/>
      <w:ind w:firstLine="0"/>
    </w:pPr>
  </w:style>
  <w:style w:type="paragraph" w:customStyle="1" w:styleId="WATOATitle">
    <w:name w:val="WA TOA Title"/>
    <w:basedOn w:val="Normal"/>
    <w:rsid w:val="00B349D5"/>
    <w:pPr>
      <w:keepNext/>
      <w:keepLines/>
      <w:spacing w:after="240"/>
      <w:jc w:val="center"/>
    </w:pPr>
    <w:rPr>
      <w:caps/>
      <w:noProof/>
      <w:u w:val="single"/>
    </w:rPr>
  </w:style>
  <w:style w:type="character" w:customStyle="1" w:styleId="HeaderChar">
    <w:name w:val="Header Char"/>
    <w:basedOn w:val="DefaultParagraphFont"/>
    <w:link w:val="Header"/>
    <w:semiHidden/>
    <w:rsid w:val="001F78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mgruber@williamskastner.com" TargetMode="External"/><Relationship Id="rId2" Type="http://schemas.openxmlformats.org/officeDocument/2006/relationships/numbering" Target="numbering.xml"/><Relationship Id="rId16" Type="http://schemas.openxmlformats.org/officeDocument/2006/relationships/hyperlink" Target="mailto:jamessells@comcas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wiley@williamskastner.com"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mailto:bshearer@utc.wa.gov" TargetMode="Externa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brown@utc.wa.gov"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WKN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431441E7FC4EFF9AB79BB10B23672F"/>
        <w:category>
          <w:name w:val="General"/>
          <w:gallery w:val="placeholder"/>
        </w:category>
        <w:types>
          <w:type w:val="bbPlcHdr"/>
        </w:types>
        <w:behaviors>
          <w:behavior w:val="content"/>
        </w:behaviors>
        <w:guid w:val="{4568CCFE-C31D-4112-91B5-D7AAB72675DE}"/>
      </w:docPartPr>
      <w:docPartBody>
        <w:p w:rsidR="001E6FE3" w:rsidRDefault="001E6F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540003" w:usb1="006D0069" w:usb2="00730065" w:usb3="004E0020" w:csb0="00770065" w:csb1="0052002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E3"/>
    <w:rsid w:val="00122A89"/>
    <w:rsid w:val="001E6FE3"/>
    <w:rsid w:val="006B04E9"/>
    <w:rsid w:val="0080025C"/>
    <w:rsid w:val="00B438D0"/>
    <w:rsid w:val="00DC7CBF"/>
    <w:rsid w:val="00E73C36"/>
    <w:rsid w:val="00F4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2015-06-29T07:00:00+00:00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547AB-62AD-44B8-8F19-3EF3BA2F41D0}"/>
</file>

<file path=customXml/itemProps2.xml><?xml version="1.0" encoding="utf-8"?>
<ds:datastoreItem xmlns:ds="http://schemas.openxmlformats.org/officeDocument/2006/customXml" ds:itemID="{B13A7B67-3661-4385-AE59-25F0D2EF9EE1}"/>
</file>

<file path=customXml/itemProps3.xml><?xml version="1.0" encoding="utf-8"?>
<ds:datastoreItem xmlns:ds="http://schemas.openxmlformats.org/officeDocument/2006/customXml" ds:itemID="{77E527FD-88A7-45EC-8CF9-800B5FE205D4}"/>
</file>

<file path=customXml/itemProps4.xml><?xml version="1.0" encoding="utf-8"?>
<ds:datastoreItem xmlns:ds="http://schemas.openxmlformats.org/officeDocument/2006/customXml" ds:itemID="{6E5B939A-B494-429C-8413-359C8AD40930}"/>
</file>

<file path=customXml/itemProps5.xml><?xml version="1.0" encoding="utf-8"?>
<ds:datastoreItem xmlns:ds="http://schemas.openxmlformats.org/officeDocument/2006/customXml" ds:itemID="{CEF8CD1E-CF22-49E9-A352-ADB91C501BCA}"/>
</file>

<file path=docProps/app.xml><?xml version="1.0" encoding="utf-8"?>
<Properties xmlns="http://schemas.openxmlformats.org/officeDocument/2006/extended-properties" xmlns:vt="http://schemas.openxmlformats.org/officeDocument/2006/docPropsVTypes">
  <Template>WKNormal.dotx</Template>
  <TotalTime>284</TotalTime>
  <Pages>43</Pages>
  <Words>11233</Words>
  <Characters>62928</Characters>
  <Application>Microsoft Office Word</Application>
  <DocSecurity>0</DocSecurity>
  <Lines>1013</Lines>
  <Paragraphs>221</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74333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 Gruber</dc:creator>
  <dc:description>~Heading 4~</dc:description>
  <cp:lastModifiedBy>Maggi Gruber</cp:lastModifiedBy>
  <cp:revision>28</cp:revision>
  <cp:lastPrinted>2015-06-29T22:46:00Z</cp:lastPrinted>
  <dcterms:created xsi:type="dcterms:W3CDTF">2015-06-29T15:13:00Z</dcterms:created>
  <dcterms:modified xsi:type="dcterms:W3CDTF">2015-06-29T23:02:00Z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_CurrentTOAMode">
    <vt:lpwstr>BA Mode</vt:lpwstr>
  </property>
  <property fmtid="{D5CDD505-2E9C-101B-9397-08002B2CF9AE}" pid="3" name="BA_SchemeName">
    <vt:lpwstr>WA Appellate</vt:lpwstr>
  </property>
  <property fmtid="{D5CDD505-2E9C-101B-9397-08002B2CF9AE}" pid="4" name="BA_LastScanDate">
    <vt:lpwstr>06/28/2015 06:44 PM</vt:lpwstr>
  </property>
  <property fmtid="{D5CDD505-2E9C-101B-9397-08002B2CF9AE}" pid="5" name="BA_LastScanVersion">
    <vt:lpwstr>02.07.0028</vt:lpwstr>
  </property>
  <property fmtid="{D5CDD505-2E9C-101B-9397-08002B2CF9AE}" pid="6" name="BA_LastReviewDate">
    <vt:lpwstr>06/28/2015 06:45 PM</vt:lpwstr>
  </property>
  <property fmtid="{D5CDD505-2E9C-101B-9397-08002B2CF9AE}" pid="7" name="BA_LastReviewType">
    <vt:lpwstr>Draft Review</vt:lpwstr>
  </property>
  <property fmtid="{D5CDD505-2E9C-101B-9397-08002B2CF9AE}" pid="8" name="BA_LastSessionVersion">
    <vt:lpwstr>02.07.0300</vt:lpwstr>
  </property>
  <property fmtid="{D5CDD505-2E9C-101B-9397-08002B2CF9AE}" pid="9" name="BA_LastBuildDate">
    <vt:lpwstr>06/28/2015 06:47 PM</vt:lpwstr>
  </property>
  <property fmtid="{D5CDD505-2E9C-101B-9397-08002B2CF9AE}" pid="10" name="SWDocID">
    <vt:lpwstr> 5447794.25</vt:lpwstr>
  </property>
  <property fmtid="{D5CDD505-2E9C-101B-9397-08002B2CF9AE}" pid="11" name="ContentTypeId">
    <vt:lpwstr>0x0101006E56B4D1795A2E4DB2F0B01679ED314A00D2190E13D69736428DC0AA09A9BE07E0</vt:lpwstr>
  </property>
  <property fmtid="{D5CDD505-2E9C-101B-9397-08002B2CF9AE}" pid="12" name="_docset_NoMedatataSyncRequired">
    <vt:lpwstr>False</vt:lpwstr>
  </property>
</Properties>
</file>