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AE" w:rsidRPr="00A92CA5" w:rsidRDefault="000137AE" w:rsidP="000137AE">
      <w:pPr>
        <w:pStyle w:val="Answer"/>
        <w:jc w:val="left"/>
        <w:rPr>
          <w:b/>
        </w:rPr>
      </w:pPr>
      <w:r w:rsidRPr="00A92CA5">
        <w:rPr>
          <w:b/>
        </w:rPr>
        <w:t>Q.</w:t>
      </w:r>
      <w:r w:rsidRPr="00A92CA5">
        <w:rPr>
          <w:b/>
        </w:rPr>
        <w:tab/>
      </w:r>
      <w:r>
        <w:rPr>
          <w:b/>
        </w:rPr>
        <w:t xml:space="preserve">Are you the same R. Bryce Dalley who </w:t>
      </w:r>
      <w:r w:rsidRPr="00A92CA5">
        <w:rPr>
          <w:b/>
        </w:rPr>
        <w:t>previously filed testimony in this case?</w:t>
      </w:r>
    </w:p>
    <w:p w:rsidR="00847992" w:rsidRDefault="00847992" w:rsidP="00847992">
      <w:pPr>
        <w:pStyle w:val="BodyTextIndent"/>
        <w:spacing w:after="0" w:line="480" w:lineRule="auto"/>
        <w:ind w:left="0"/>
        <w:jc w:val="left"/>
      </w:pPr>
      <w:r>
        <w:t>A.</w:t>
      </w:r>
      <w:r>
        <w:tab/>
        <w:t xml:space="preserve">Yes.  </w:t>
      </w:r>
    </w:p>
    <w:p w:rsidR="00967BCF" w:rsidRPr="007568B0" w:rsidRDefault="00967BCF" w:rsidP="00952F0C">
      <w:pPr>
        <w:tabs>
          <w:tab w:val="left" w:pos="720"/>
        </w:tabs>
        <w:spacing w:line="480" w:lineRule="auto"/>
        <w:jc w:val="left"/>
        <w:rPr>
          <w:b/>
          <w:caps/>
        </w:rPr>
      </w:pPr>
      <w:r w:rsidRPr="007568B0">
        <w:rPr>
          <w:b/>
        </w:rPr>
        <w:t>Purpose</w:t>
      </w:r>
      <w:r>
        <w:rPr>
          <w:b/>
        </w:rPr>
        <w:t xml:space="preserve"> and Summary o</w:t>
      </w:r>
      <w:r w:rsidRPr="007568B0">
        <w:rPr>
          <w:b/>
        </w:rPr>
        <w:t>f Testimony</w:t>
      </w:r>
    </w:p>
    <w:p w:rsidR="00967BCF" w:rsidRPr="00E661F7" w:rsidRDefault="00967BCF" w:rsidP="00952F0C">
      <w:pPr>
        <w:numPr>
          <w:ilvl w:val="0"/>
          <w:numId w:val="5"/>
        </w:numPr>
        <w:spacing w:line="480" w:lineRule="auto"/>
        <w:jc w:val="left"/>
        <w:rPr>
          <w:b/>
        </w:rPr>
      </w:pPr>
      <w:r w:rsidRPr="00E661F7">
        <w:rPr>
          <w:b/>
        </w:rPr>
        <w:t xml:space="preserve">What is the purpose of your </w:t>
      </w:r>
      <w:r w:rsidR="002152CE">
        <w:rPr>
          <w:b/>
        </w:rPr>
        <w:t>supplemental</w:t>
      </w:r>
      <w:r w:rsidRPr="00E661F7">
        <w:rPr>
          <w:b/>
        </w:rPr>
        <w:t xml:space="preserve"> testimony?</w:t>
      </w:r>
    </w:p>
    <w:p w:rsidR="00967BCF" w:rsidRPr="002F168E" w:rsidRDefault="002152CE" w:rsidP="00952F0C">
      <w:pPr>
        <w:pStyle w:val="BodyTextIndent2"/>
        <w:numPr>
          <w:ilvl w:val="0"/>
          <w:numId w:val="6"/>
        </w:numPr>
        <w:spacing w:after="0"/>
        <w:jc w:val="left"/>
        <w:rPr>
          <w:b/>
        </w:rPr>
      </w:pPr>
      <w:r>
        <w:t>M</w:t>
      </w:r>
      <w:r w:rsidR="00967BCF" w:rsidRPr="00E661F7">
        <w:t xml:space="preserve">y </w:t>
      </w:r>
      <w:r>
        <w:t xml:space="preserve">supplemental </w:t>
      </w:r>
      <w:r w:rsidR="00967BCF" w:rsidRPr="00E661F7">
        <w:t xml:space="preserve">testimony </w:t>
      </w:r>
      <w:r w:rsidR="000E4C95">
        <w:t>is being provided in response to the Second Prehearing Conference Order 05 in this proceeding.  In that order</w:t>
      </w:r>
      <w:r w:rsidR="00847992">
        <w:t xml:space="preserve">, </w:t>
      </w:r>
      <w:r w:rsidR="000E4C95">
        <w:t>the Commission directs the Company</w:t>
      </w:r>
      <w:r w:rsidR="00F20CDB">
        <w:t xml:space="preserve"> and other parties</w:t>
      </w:r>
      <w:r w:rsidR="000E4C95">
        <w:t xml:space="preserve"> to file revised testimony and exhibits to</w:t>
      </w:r>
      <w:r w:rsidR="00847992">
        <w:t xml:space="preserve"> comply with the requirements of WAC 480-07-510 and Order 04 as</w:t>
      </w:r>
      <w:r w:rsidR="000E4C95">
        <w:t xml:space="preserve"> discussed during the explanatory session held with the Commission advisors.  </w:t>
      </w:r>
      <w:r w:rsidR="0017051E">
        <w:t>I also sponsor and describe supplemental workpapers.</w:t>
      </w:r>
    </w:p>
    <w:p w:rsidR="00CA63BC" w:rsidRDefault="00CA63BC" w:rsidP="00295696">
      <w:pPr>
        <w:pStyle w:val="BodyTextIndent2"/>
        <w:spacing w:after="0"/>
        <w:ind w:left="720" w:hanging="720"/>
        <w:jc w:val="left"/>
        <w:rPr>
          <w:b/>
        </w:rPr>
      </w:pPr>
      <w:r>
        <w:rPr>
          <w:b/>
        </w:rPr>
        <w:t>Q.</w:t>
      </w:r>
      <w:r>
        <w:rPr>
          <w:b/>
        </w:rPr>
        <w:tab/>
        <w:t>Have you provided revised pages</w:t>
      </w:r>
      <w:r w:rsidR="0017051E">
        <w:rPr>
          <w:b/>
        </w:rPr>
        <w:t xml:space="preserve"> to your previously filed testimony and exhibits?</w:t>
      </w:r>
    </w:p>
    <w:p w:rsidR="0017051E" w:rsidRDefault="0017051E" w:rsidP="00295696">
      <w:pPr>
        <w:pStyle w:val="BodyTextIndent2"/>
        <w:spacing w:after="0"/>
        <w:ind w:left="720" w:hanging="720"/>
        <w:jc w:val="left"/>
      </w:pPr>
      <w:r w:rsidRPr="0017051E">
        <w:t>A.</w:t>
      </w:r>
      <w:r w:rsidRPr="0017051E">
        <w:tab/>
      </w:r>
      <w:r>
        <w:t>Yes.  As I explain below, I have provided revised pages to all of prefiled Exhibit No.</w:t>
      </w:r>
      <w:r w:rsidR="00D624C2">
        <w:t>___</w:t>
      </w:r>
      <w:r>
        <w:t xml:space="preserve">(RBD-2) and to portions of Exhibit No.___(RBD-3).  I have also provided revised pages to two pages of my direct testimony. </w:t>
      </w:r>
      <w:r w:rsidR="003E5D74">
        <w:t xml:space="preserve"> </w:t>
      </w:r>
    </w:p>
    <w:p w:rsidR="00967BCF" w:rsidRDefault="00967BCF" w:rsidP="00295696">
      <w:pPr>
        <w:pStyle w:val="BodyTextIndent2"/>
        <w:spacing w:after="0"/>
        <w:ind w:left="720" w:hanging="720"/>
        <w:jc w:val="left"/>
        <w:rPr>
          <w:b/>
        </w:rPr>
      </w:pPr>
      <w:r w:rsidRPr="00E661F7">
        <w:rPr>
          <w:b/>
        </w:rPr>
        <w:t>Q.</w:t>
      </w:r>
      <w:r w:rsidRPr="00E661F7">
        <w:rPr>
          <w:b/>
        </w:rPr>
        <w:tab/>
        <w:t xml:space="preserve">Please </w:t>
      </w:r>
      <w:r w:rsidR="00A92B32">
        <w:rPr>
          <w:b/>
        </w:rPr>
        <w:t>describe the revisions to Exhibit No___(RBD-2).</w:t>
      </w:r>
    </w:p>
    <w:p w:rsidR="00A92B32" w:rsidRDefault="00A92B32" w:rsidP="00295696">
      <w:pPr>
        <w:pStyle w:val="BodyTextIndent2"/>
        <w:spacing w:after="0"/>
        <w:ind w:left="720" w:hanging="720"/>
        <w:jc w:val="left"/>
      </w:pPr>
      <w:r w:rsidRPr="00A92B32">
        <w:t>A.</w:t>
      </w:r>
      <w:r w:rsidRPr="00A92B32">
        <w:tab/>
        <w:t>Exhibit No.___(RBD-2) is a two</w:t>
      </w:r>
      <w:r w:rsidR="00261FB2">
        <w:t>-</w:t>
      </w:r>
      <w:r w:rsidRPr="00A92B32">
        <w:t>page summary of the Washington results of operations</w:t>
      </w:r>
      <w:r w:rsidR="00067EC1">
        <w:t xml:space="preserve"> filed as an exhibit to my direct testimony</w:t>
      </w:r>
      <w:r w:rsidRPr="00A92B32">
        <w:t>.  This exhibit is being re</w:t>
      </w:r>
      <w:r w:rsidR="00F20CDB">
        <w:t>placed</w:t>
      </w:r>
      <w:r w:rsidRPr="00A92B32">
        <w:t xml:space="preserve"> in its entirety to </w:t>
      </w:r>
      <w:r w:rsidR="00F20CDB">
        <w:t xml:space="preserve">reflect the </w:t>
      </w:r>
      <w:r w:rsidRPr="00A92B32">
        <w:t xml:space="preserve">specific revisions discussed </w:t>
      </w:r>
      <w:r>
        <w:t>below to</w:t>
      </w:r>
      <w:r w:rsidRPr="00A92B32">
        <w:t xml:space="preserve"> revenue require</w:t>
      </w:r>
      <w:r>
        <w:t>ment Exhibit No.___(RBD-3)</w:t>
      </w:r>
      <w:r w:rsidR="00067EC1">
        <w:t>, the Company’s Washington Results of Operations</w:t>
      </w:r>
      <w:r w:rsidRPr="00A92B32">
        <w:t>.</w:t>
      </w:r>
      <w:r>
        <w:t xml:space="preserve">  The pages of the revised Exhibit No.___(RBD-2) have been marked “Revised 11/23/10”.</w:t>
      </w:r>
    </w:p>
    <w:p w:rsidR="00A92B32" w:rsidRDefault="00A92B32" w:rsidP="00295696">
      <w:pPr>
        <w:pStyle w:val="BodyTextIndent2"/>
        <w:spacing w:after="0"/>
        <w:ind w:left="0"/>
        <w:jc w:val="left"/>
        <w:rPr>
          <w:b/>
        </w:rPr>
      </w:pPr>
      <w:r w:rsidRPr="00E661F7">
        <w:rPr>
          <w:b/>
        </w:rPr>
        <w:lastRenderedPageBreak/>
        <w:t>Q.</w:t>
      </w:r>
      <w:r w:rsidRPr="00E661F7">
        <w:rPr>
          <w:b/>
        </w:rPr>
        <w:tab/>
        <w:t xml:space="preserve">Please </w:t>
      </w:r>
      <w:r>
        <w:rPr>
          <w:b/>
        </w:rPr>
        <w:t>describe the revisions to Exhibit No___(RBD-3).</w:t>
      </w:r>
    </w:p>
    <w:p w:rsidR="00F45244" w:rsidRDefault="00A92B32" w:rsidP="00295696">
      <w:pPr>
        <w:pStyle w:val="BodyTextIndent2"/>
        <w:spacing w:after="0"/>
        <w:ind w:left="720" w:hanging="720"/>
        <w:jc w:val="left"/>
      </w:pPr>
      <w:r w:rsidRPr="00A32BEE">
        <w:t>A.</w:t>
      </w:r>
      <w:r w:rsidRPr="00A32BEE">
        <w:tab/>
      </w:r>
      <w:r w:rsidR="00DA59D9">
        <w:t xml:space="preserve">Below is a list of the </w:t>
      </w:r>
      <w:r w:rsidRPr="00A92B32">
        <w:t>revisions to Exhibit No.___(RBD-3)</w:t>
      </w:r>
      <w:r w:rsidR="00DA59D9">
        <w:t>.  Each of these items is</w:t>
      </w:r>
      <w:r w:rsidR="00F45244">
        <w:t xml:space="preserve"> described in detail later in my testimony</w:t>
      </w:r>
      <w:r w:rsidRPr="00A92B32">
        <w:t xml:space="preserve">.  </w:t>
      </w:r>
    </w:p>
    <w:p w:rsidR="00F45244" w:rsidRDefault="00F20CDB" w:rsidP="00DA59D9">
      <w:pPr>
        <w:pStyle w:val="BodyTextIndent2"/>
        <w:numPr>
          <w:ilvl w:val="0"/>
          <w:numId w:val="10"/>
        </w:numPr>
        <w:jc w:val="left"/>
      </w:pPr>
      <w:r>
        <w:t>T</w:t>
      </w:r>
      <w:r w:rsidR="00A92B32" w:rsidRPr="00A92B32">
        <w:t>he cash working c</w:t>
      </w:r>
      <w:r w:rsidR="00B24310">
        <w:t>apital (CWC) balances reflected in</w:t>
      </w:r>
      <w:r w:rsidR="00CA14F3">
        <w:t xml:space="preserve"> the per books data have</w:t>
      </w:r>
      <w:r w:rsidR="00A92B32" w:rsidRPr="00A92B32">
        <w:t xml:space="preserve"> been </w:t>
      </w:r>
      <w:r w:rsidR="00B24310">
        <w:t>removed</w:t>
      </w:r>
      <w:r w:rsidR="00A92B32" w:rsidRPr="00A92B32">
        <w:t>.</w:t>
      </w:r>
      <w:r w:rsidR="00B24310">
        <w:t xml:space="preserve"> </w:t>
      </w:r>
    </w:p>
    <w:p w:rsidR="00F45244" w:rsidRDefault="00F20CDB" w:rsidP="00DA59D9">
      <w:pPr>
        <w:pStyle w:val="BodyTextIndent2"/>
        <w:numPr>
          <w:ilvl w:val="0"/>
          <w:numId w:val="10"/>
        </w:numPr>
        <w:jc w:val="left"/>
      </w:pPr>
      <w:r>
        <w:t>T</w:t>
      </w:r>
      <w:r w:rsidR="00F45244">
        <w:t xml:space="preserve">he CWC Adjustment 8.1 has been modified to reflect the addition of all CWC to the Washington test period. </w:t>
      </w:r>
    </w:p>
    <w:p w:rsidR="00F45244" w:rsidRDefault="00F20CDB" w:rsidP="00DA59D9">
      <w:pPr>
        <w:pStyle w:val="BodyTextIndent2"/>
        <w:numPr>
          <w:ilvl w:val="0"/>
          <w:numId w:val="10"/>
        </w:numPr>
        <w:jc w:val="left"/>
      </w:pPr>
      <w:r>
        <w:t>T</w:t>
      </w:r>
      <w:r w:rsidR="00B24310">
        <w:t>he Company’s presentation</w:t>
      </w:r>
      <w:r w:rsidR="009D10FA">
        <w:t>s</w:t>
      </w:r>
      <w:r w:rsidR="00B24310">
        <w:t xml:space="preserve"> of the Jim Bridger Mine Adjustment (8.2) and </w:t>
      </w:r>
      <w:r w:rsidR="00F45244">
        <w:t xml:space="preserve">the </w:t>
      </w:r>
      <w:r w:rsidR="00B24310">
        <w:t>associated impact to the presentation of the Production Factor Adjustment (</w:t>
      </w:r>
      <w:r w:rsidR="00CA14F3">
        <w:t>9.1) have</w:t>
      </w:r>
      <w:r w:rsidR="00F45244">
        <w:t xml:space="preserve"> been revised to itemize the components of the Jim Bridger coal mine additions</w:t>
      </w:r>
      <w:r w:rsidR="00B24310">
        <w:t xml:space="preserve">.  </w:t>
      </w:r>
    </w:p>
    <w:p w:rsidR="00F45244" w:rsidRDefault="00F20CDB" w:rsidP="00DA59D9">
      <w:pPr>
        <w:pStyle w:val="BodyTextIndent2"/>
        <w:numPr>
          <w:ilvl w:val="0"/>
          <w:numId w:val="10"/>
        </w:numPr>
        <w:jc w:val="left"/>
      </w:pPr>
      <w:r>
        <w:t>T</w:t>
      </w:r>
      <w:r w:rsidR="00B24310">
        <w:t xml:space="preserve">he supporting </w:t>
      </w:r>
      <w:r w:rsidR="001F6FCA">
        <w:t>worksheets</w:t>
      </w:r>
      <w:r w:rsidR="00B24310">
        <w:t xml:space="preserve"> associated with </w:t>
      </w:r>
      <w:r w:rsidR="00F45244">
        <w:t>Net Power Cost Adjustment (5.1 and 5.2</w:t>
      </w:r>
      <w:r w:rsidR="00B24310">
        <w:t>), CWC</w:t>
      </w:r>
      <w:r w:rsidR="00F45244">
        <w:t xml:space="preserve"> Adjustment</w:t>
      </w:r>
      <w:r w:rsidR="00B24310">
        <w:t xml:space="preserve"> (8.1), </w:t>
      </w:r>
      <w:r w:rsidR="00F45244">
        <w:t xml:space="preserve">and </w:t>
      </w:r>
      <w:r w:rsidR="00B24310">
        <w:t xml:space="preserve">Production Factor </w:t>
      </w:r>
      <w:r w:rsidR="00F45244">
        <w:t xml:space="preserve">Adjustment </w:t>
      </w:r>
      <w:r w:rsidR="00B24310">
        <w:t>(</w:t>
      </w:r>
      <w:r w:rsidR="00F45244">
        <w:t>9.1)</w:t>
      </w:r>
      <w:r w:rsidR="00B24310">
        <w:t xml:space="preserve"> have been revised </w:t>
      </w:r>
      <w:r w:rsidR="00153396">
        <w:t xml:space="preserve">to more clearly present the calculations for </w:t>
      </w:r>
      <w:r w:rsidR="00CA14F3">
        <w:t>each adjustment</w:t>
      </w:r>
      <w:r w:rsidR="00F45244">
        <w:t>.</w:t>
      </w:r>
    </w:p>
    <w:p w:rsidR="00067EC1" w:rsidRDefault="00067EC1" w:rsidP="00295696">
      <w:pPr>
        <w:pStyle w:val="BodyTextIndent2"/>
        <w:spacing w:after="0"/>
        <w:ind w:left="720" w:hanging="720"/>
        <w:jc w:val="left"/>
        <w:rPr>
          <w:b/>
        </w:rPr>
      </w:pPr>
      <w:r w:rsidRPr="00F45244">
        <w:rPr>
          <w:b/>
        </w:rPr>
        <w:t>Q.</w:t>
      </w:r>
      <w:r w:rsidRPr="00F45244">
        <w:rPr>
          <w:b/>
        </w:rPr>
        <w:tab/>
      </w:r>
      <w:r>
        <w:rPr>
          <w:b/>
        </w:rPr>
        <w:t>Do any of these revisions impact your previously filed testimony?</w:t>
      </w:r>
    </w:p>
    <w:p w:rsidR="00067EC1" w:rsidRPr="00067EC1" w:rsidRDefault="00067EC1" w:rsidP="00295696">
      <w:pPr>
        <w:pStyle w:val="BodyTextIndent2"/>
        <w:spacing w:after="0"/>
        <w:ind w:left="720" w:hanging="720"/>
        <w:jc w:val="left"/>
      </w:pPr>
      <w:r w:rsidRPr="00067EC1">
        <w:t>A.</w:t>
      </w:r>
      <w:r w:rsidRPr="00067EC1">
        <w:tab/>
        <w:t>No</w:t>
      </w:r>
      <w:r w:rsidR="009D10FA">
        <w:t>, no</w:t>
      </w:r>
      <w:r w:rsidRPr="00067EC1">
        <w:t xml:space="preserve">t in </w:t>
      </w:r>
      <w:r w:rsidR="009D10FA">
        <w:t xml:space="preserve">a </w:t>
      </w:r>
      <w:r w:rsidRPr="00067EC1">
        <w:t>substan</w:t>
      </w:r>
      <w:r w:rsidR="009D10FA">
        <w:t>tive way</w:t>
      </w:r>
      <w:r w:rsidRPr="00067EC1">
        <w:t>.</w:t>
      </w:r>
      <w:r>
        <w:t xml:space="preserve">  There are, however, two conforming changes to my direct testimony, both of which </w:t>
      </w:r>
      <w:r w:rsidR="00DA3DFF">
        <w:t>are reflected</w:t>
      </w:r>
      <w:r>
        <w:t xml:space="preserve"> in legislative format</w:t>
      </w:r>
      <w:r w:rsidR="00DA3DFF">
        <w:t xml:space="preserve"> in the revised pages</w:t>
      </w:r>
      <w:r>
        <w:t>.  The first is on page 6, line 13, where I testify to the Company’s return on equity</w:t>
      </w:r>
      <w:r w:rsidR="00F2133C">
        <w:t xml:space="preserve"> (ROE)</w:t>
      </w:r>
      <w:r>
        <w:t xml:space="preserve"> reflected on its unadjusted results.  The removal of CWC from these results produces a</w:t>
      </w:r>
      <w:r w:rsidR="00F2133C">
        <w:t>n</w:t>
      </w:r>
      <w:r>
        <w:t xml:space="preserve"> </w:t>
      </w:r>
      <w:r w:rsidR="00D624C2">
        <w:t>ROE</w:t>
      </w:r>
      <w:r w:rsidR="000137AE">
        <w:t xml:space="preserve"> of 6.4 percent</w:t>
      </w:r>
      <w:r>
        <w:t xml:space="preserve"> instead of 6</w:t>
      </w:r>
      <w:r w:rsidR="000137AE">
        <w:t>.2 percent</w:t>
      </w:r>
      <w:r>
        <w:t xml:space="preserve">.  Second, the reference on page 24, line 17 to </w:t>
      </w:r>
      <w:r w:rsidR="00261FB2">
        <w:t xml:space="preserve">Tab 9 should be to </w:t>
      </w:r>
      <w:r w:rsidR="00D624C2">
        <w:t>page</w:t>
      </w:r>
      <w:r w:rsidR="00261FB2">
        <w:t xml:space="preserve"> 9.1.4 instead of 9.1.3.</w:t>
      </w:r>
    </w:p>
    <w:p w:rsidR="00067EC1" w:rsidRPr="00153396" w:rsidRDefault="00067EC1" w:rsidP="00295696">
      <w:pPr>
        <w:pStyle w:val="BodyTextIndent2"/>
        <w:spacing w:after="0"/>
        <w:ind w:left="0"/>
        <w:jc w:val="left"/>
        <w:rPr>
          <w:b/>
          <w:u w:val="single"/>
        </w:rPr>
      </w:pPr>
      <w:r w:rsidRPr="00153396">
        <w:rPr>
          <w:b/>
          <w:u w:val="single"/>
        </w:rPr>
        <w:lastRenderedPageBreak/>
        <w:t>Cash Working Capital</w:t>
      </w:r>
    </w:p>
    <w:p w:rsidR="00F45244" w:rsidRDefault="00F45244" w:rsidP="00295696">
      <w:pPr>
        <w:pStyle w:val="BodyTextIndent2"/>
        <w:spacing w:after="0"/>
        <w:ind w:left="720" w:hanging="720"/>
        <w:jc w:val="left"/>
        <w:rPr>
          <w:b/>
        </w:rPr>
      </w:pPr>
      <w:r w:rsidRPr="00F45244">
        <w:rPr>
          <w:b/>
        </w:rPr>
        <w:t>Q.</w:t>
      </w:r>
      <w:r w:rsidRPr="00F45244">
        <w:rPr>
          <w:b/>
        </w:rPr>
        <w:tab/>
        <w:t xml:space="preserve">Please describe the </w:t>
      </w:r>
      <w:r w:rsidR="00A32BEE">
        <w:rPr>
          <w:b/>
        </w:rPr>
        <w:t>revisions</w:t>
      </w:r>
      <w:r w:rsidRPr="00F45244">
        <w:rPr>
          <w:b/>
        </w:rPr>
        <w:t xml:space="preserve"> the Company has made with respect to CWC balances.</w:t>
      </w:r>
    </w:p>
    <w:p w:rsidR="001905CC" w:rsidRDefault="00F45244" w:rsidP="00295696">
      <w:pPr>
        <w:pStyle w:val="BodyTextIndent2"/>
        <w:spacing w:after="0"/>
        <w:ind w:left="720" w:hanging="720"/>
        <w:jc w:val="left"/>
      </w:pPr>
      <w:r w:rsidRPr="00A32BEE">
        <w:t>A.</w:t>
      </w:r>
      <w:r>
        <w:rPr>
          <w:b/>
        </w:rPr>
        <w:tab/>
      </w:r>
      <w:r w:rsidR="004C1BEF">
        <w:t xml:space="preserve">There is no account on the Company’s balance sheet that reflects CWC.  Instead, this amount is a calculated value </w:t>
      </w:r>
      <w:r w:rsidR="00153396">
        <w:t xml:space="preserve">that is </w:t>
      </w:r>
      <w:r w:rsidR="004C1BEF">
        <w:t xml:space="preserve">determined by </w:t>
      </w:r>
      <w:r w:rsidR="00153396">
        <w:t xml:space="preserve">various CWC methods.  In this proceeding </w:t>
      </w:r>
      <w:r w:rsidR="004C1BEF">
        <w:t xml:space="preserve">the </w:t>
      </w:r>
      <w:r w:rsidR="00153396">
        <w:t xml:space="preserve">Company is proposing inclusion of CWC in the test period using the </w:t>
      </w:r>
      <w:r w:rsidR="004C1BEF">
        <w:t>1/8</w:t>
      </w:r>
      <w:r w:rsidR="004C1BEF" w:rsidRPr="004C1BEF">
        <w:rPr>
          <w:vertAlign w:val="superscript"/>
        </w:rPr>
        <w:t>th</w:t>
      </w:r>
      <w:r w:rsidR="004C1BEF">
        <w:t xml:space="preserve"> of Operations and Maintenance (O&amp;M) expenses method described in my direct testimony.  </w:t>
      </w:r>
    </w:p>
    <w:p w:rsidR="00153396" w:rsidRDefault="00153396" w:rsidP="001905CC">
      <w:pPr>
        <w:pStyle w:val="BodyTextIndent2"/>
        <w:ind w:left="720" w:firstLine="720"/>
        <w:jc w:val="left"/>
      </w:pPr>
      <w:r>
        <w:t xml:space="preserve">The Company’s </w:t>
      </w:r>
      <w:r w:rsidR="00642873">
        <w:t>initial</w:t>
      </w:r>
      <w:r>
        <w:t xml:space="preserve"> filing reflected CWC balances in the per books data. </w:t>
      </w:r>
      <w:r w:rsidR="006E3722">
        <w:t xml:space="preserve"> </w:t>
      </w:r>
      <w:r>
        <w:t>This amount was calculated by dividing the Washington per books O&amp;M, less fuel and purchase power, by eight.</w:t>
      </w:r>
      <w:r w:rsidR="00642873">
        <w:t xml:space="preserve"> </w:t>
      </w:r>
      <w:r w:rsidR="006E3722">
        <w:t xml:space="preserve"> </w:t>
      </w:r>
      <w:r w:rsidR="00642873">
        <w:t>This balance was subsequently adjusted to account for the changes of the other restating and pro</w:t>
      </w:r>
      <w:r w:rsidR="00B03C3F">
        <w:t xml:space="preserve"> </w:t>
      </w:r>
      <w:r w:rsidR="00642873">
        <w:t>forma normalizing adjustments included in the Company’s filing.  This treatment is summarized in the table below.</w:t>
      </w:r>
    </w:p>
    <w:p w:rsidR="00CB3A8C" w:rsidRDefault="00D155A6" w:rsidP="00295696">
      <w:pPr>
        <w:pStyle w:val="BodyTextIndent2"/>
        <w:suppressLineNumbers/>
        <w:ind w:left="720" w:hanging="720"/>
        <w:jc w:val="left"/>
      </w:pPr>
      <w:r w:rsidRPr="00D155A6">
        <w:rPr>
          <w:noProof/>
          <w:lang w:eastAsia="ko-KR"/>
        </w:rPr>
        <w:drawing>
          <wp:inline distT="0" distB="0" distL="0" distR="0">
            <wp:extent cx="5486400" cy="12694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86400" cy="1269436"/>
                    </a:xfrm>
                    <a:prstGeom prst="rect">
                      <a:avLst/>
                    </a:prstGeom>
                    <a:noFill/>
                    <a:ln w="9525">
                      <a:noFill/>
                      <a:miter lim="800000"/>
                      <a:headEnd/>
                      <a:tailEnd/>
                    </a:ln>
                  </pic:spPr>
                </pic:pic>
              </a:graphicData>
            </a:graphic>
          </wp:inline>
        </w:drawing>
      </w:r>
    </w:p>
    <w:p w:rsidR="00CB3A8C" w:rsidRDefault="00642873" w:rsidP="001905CC">
      <w:pPr>
        <w:pStyle w:val="BodyTextIndent2"/>
        <w:ind w:left="720" w:firstLine="720"/>
        <w:jc w:val="left"/>
      </w:pPr>
      <w:r>
        <w:t>The Company has revised its</w:t>
      </w:r>
      <w:r w:rsidR="00153396">
        <w:t xml:space="preserve"> approach by removing</w:t>
      </w:r>
      <w:r w:rsidR="004C1BEF">
        <w:t xml:space="preserve"> all CWC </w:t>
      </w:r>
      <w:r w:rsidR="00153396">
        <w:t>from the per books data and adding</w:t>
      </w:r>
      <w:r w:rsidR="004C1BEF">
        <w:t xml:space="preserve"> </w:t>
      </w:r>
      <w:r>
        <w:t xml:space="preserve">all </w:t>
      </w:r>
      <w:r w:rsidR="004C1BEF">
        <w:t xml:space="preserve">CWC balances to test period normalized results though the </w:t>
      </w:r>
      <w:r>
        <w:t>restating and pro</w:t>
      </w:r>
      <w:r w:rsidR="00B03C3F">
        <w:t xml:space="preserve"> </w:t>
      </w:r>
      <w:r>
        <w:t xml:space="preserve">forma </w:t>
      </w:r>
      <w:r w:rsidR="004C1BEF">
        <w:t>CWC adjustment</w:t>
      </w:r>
      <w:r w:rsidR="001905CC">
        <w:t>s</w:t>
      </w:r>
      <w:r w:rsidR="00A32BEE">
        <w:t xml:space="preserve"> (page 8.1)</w:t>
      </w:r>
      <w:r>
        <w:t>.</w:t>
      </w:r>
      <w:r w:rsidR="00CB3A8C" w:rsidRPr="00CB3A8C">
        <w:t xml:space="preserve"> </w:t>
      </w:r>
      <w:r w:rsidR="006E3722">
        <w:t xml:space="preserve"> </w:t>
      </w:r>
      <w:r w:rsidR="00CB3A8C">
        <w:t>This revised treatment is summarized in the table below.</w:t>
      </w:r>
    </w:p>
    <w:p w:rsidR="00CB3A8C" w:rsidRDefault="00D155A6" w:rsidP="00295696">
      <w:pPr>
        <w:pStyle w:val="BodyTextIndent2"/>
        <w:suppressLineNumbers/>
        <w:ind w:left="0"/>
        <w:jc w:val="left"/>
      </w:pPr>
      <w:r w:rsidRPr="00D155A6">
        <w:rPr>
          <w:noProof/>
          <w:lang w:eastAsia="ko-KR"/>
        </w:rPr>
        <w:drawing>
          <wp:inline distT="0" distB="0" distL="0" distR="0">
            <wp:extent cx="5486400" cy="126943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86400" cy="1269436"/>
                    </a:xfrm>
                    <a:prstGeom prst="rect">
                      <a:avLst/>
                    </a:prstGeom>
                    <a:noFill/>
                    <a:ln w="9525">
                      <a:noFill/>
                      <a:miter lim="800000"/>
                      <a:headEnd/>
                      <a:tailEnd/>
                    </a:ln>
                  </pic:spPr>
                </pic:pic>
              </a:graphicData>
            </a:graphic>
          </wp:inline>
        </w:drawing>
      </w:r>
    </w:p>
    <w:p w:rsidR="004C1BEF" w:rsidRDefault="004C1BEF" w:rsidP="00153396">
      <w:pPr>
        <w:pStyle w:val="BodyTextIndent2"/>
        <w:ind w:left="720" w:firstLine="720"/>
        <w:jc w:val="left"/>
      </w:pPr>
      <w:r>
        <w:t xml:space="preserve">  This </w:t>
      </w:r>
      <w:r w:rsidR="00642873">
        <w:t>modification</w:t>
      </w:r>
      <w:r>
        <w:t xml:space="preserve"> requires revisions to the following </w:t>
      </w:r>
      <w:r w:rsidR="00B24310">
        <w:t>sections/pages of the exhibit</w:t>
      </w:r>
      <w:r>
        <w:t xml:space="preserve">, </w:t>
      </w:r>
      <w:r w:rsidR="00B24310">
        <w:t xml:space="preserve">all of </w:t>
      </w:r>
      <w:r>
        <w:t>which have all been marked “Revised 11/23/10”.</w:t>
      </w:r>
    </w:p>
    <w:p w:rsidR="004C1BEF" w:rsidRDefault="00B24310" w:rsidP="004C1BEF">
      <w:pPr>
        <w:pStyle w:val="BodyTextIndent2"/>
        <w:numPr>
          <w:ilvl w:val="0"/>
          <w:numId w:val="8"/>
        </w:numPr>
        <w:jc w:val="left"/>
      </w:pPr>
      <w:r>
        <w:t xml:space="preserve">Tab </w:t>
      </w:r>
      <w:r w:rsidR="004C1BEF">
        <w:t xml:space="preserve">1 – SUMMARY </w:t>
      </w:r>
      <w:r>
        <w:t>(all pages).</w:t>
      </w:r>
    </w:p>
    <w:p w:rsidR="00B24310" w:rsidRDefault="00B24310" w:rsidP="00B24310">
      <w:pPr>
        <w:pStyle w:val="BodyTextIndent2"/>
        <w:numPr>
          <w:ilvl w:val="0"/>
          <w:numId w:val="8"/>
        </w:numPr>
        <w:jc w:val="left"/>
      </w:pPr>
      <w:r>
        <w:t>Tab 2 – RESULTS OF OPERATIONS (all pages).</w:t>
      </w:r>
    </w:p>
    <w:p w:rsidR="00B24310" w:rsidRDefault="00B24310" w:rsidP="00B24310">
      <w:pPr>
        <w:pStyle w:val="BodyTextIndent2"/>
        <w:numPr>
          <w:ilvl w:val="0"/>
          <w:numId w:val="8"/>
        </w:numPr>
        <w:jc w:val="left"/>
      </w:pPr>
      <w:r>
        <w:t>Tab 8 – RATE BASE (pages 8.0 through 8.1)</w:t>
      </w:r>
    </w:p>
    <w:p w:rsidR="00B24310" w:rsidRDefault="00B24310" w:rsidP="00B24310">
      <w:pPr>
        <w:pStyle w:val="BodyTextIndent2"/>
        <w:numPr>
          <w:ilvl w:val="0"/>
          <w:numId w:val="8"/>
        </w:numPr>
        <w:jc w:val="left"/>
      </w:pPr>
      <w:r>
        <w:t>Tab 11– HISTORICAL RATE BASE (all pages)</w:t>
      </w:r>
    </w:p>
    <w:p w:rsidR="00FC716A" w:rsidRPr="00765853" w:rsidRDefault="00FC716A" w:rsidP="00295696">
      <w:pPr>
        <w:pStyle w:val="BodyTextIndent2"/>
        <w:spacing w:after="0"/>
        <w:ind w:left="720" w:hanging="720"/>
        <w:jc w:val="left"/>
        <w:rPr>
          <w:b/>
        </w:rPr>
      </w:pPr>
      <w:r w:rsidRPr="00765853">
        <w:rPr>
          <w:b/>
        </w:rPr>
        <w:t>Q.</w:t>
      </w:r>
      <w:r w:rsidRPr="00765853">
        <w:rPr>
          <w:b/>
        </w:rPr>
        <w:tab/>
      </w:r>
      <w:r w:rsidR="00765853">
        <w:rPr>
          <w:b/>
        </w:rPr>
        <w:t xml:space="preserve">Referring to Page 1.0 - </w:t>
      </w:r>
      <w:r w:rsidRPr="00765853">
        <w:rPr>
          <w:b/>
        </w:rPr>
        <w:t xml:space="preserve">Revised 11/23/10, please explain why there </w:t>
      </w:r>
      <w:r w:rsidR="00765853" w:rsidRPr="00765853">
        <w:rPr>
          <w:b/>
        </w:rPr>
        <w:t>is a per books balance associated with the category “Working Capital” on line 41.</w:t>
      </w:r>
    </w:p>
    <w:p w:rsidR="00765853" w:rsidRDefault="00765853" w:rsidP="00295696">
      <w:pPr>
        <w:pStyle w:val="BodyTextIndent2"/>
        <w:spacing w:after="0"/>
        <w:ind w:left="720" w:hanging="720"/>
        <w:jc w:val="left"/>
      </w:pPr>
      <w:r>
        <w:t>A.</w:t>
      </w:r>
      <w:r>
        <w:tab/>
        <w:t>This amount ($2,159,291) reflects the per books balances associated with miscellaneous current asset accounts shown on page 2.35 – Revised 11/23/10, line</w:t>
      </w:r>
      <w:r w:rsidR="00A72E82">
        <w:t>s</w:t>
      </w:r>
      <w:r>
        <w:t xml:space="preserve"> </w:t>
      </w:r>
      <w:r w:rsidR="00A72E82">
        <w:t>2470 through 2490</w:t>
      </w:r>
      <w:r>
        <w:t>.  These balances are removed from normalized test period results through the Miscellaneous Rate Base restating adjustment 8.5.</w:t>
      </w:r>
    </w:p>
    <w:p w:rsidR="00CD653F" w:rsidRPr="00FB2EF4" w:rsidRDefault="00CD653F" w:rsidP="00295696">
      <w:pPr>
        <w:pStyle w:val="BodyTextIndent2"/>
        <w:spacing w:after="0"/>
        <w:ind w:left="720" w:hanging="720"/>
        <w:jc w:val="left"/>
        <w:rPr>
          <w:b/>
        </w:rPr>
      </w:pPr>
      <w:r w:rsidRPr="00FB2EF4">
        <w:rPr>
          <w:b/>
        </w:rPr>
        <w:t>Q.</w:t>
      </w:r>
      <w:r w:rsidRPr="00FB2EF4">
        <w:rPr>
          <w:b/>
        </w:rPr>
        <w:tab/>
      </w:r>
      <w:r>
        <w:rPr>
          <w:b/>
        </w:rPr>
        <w:t xml:space="preserve">Did the Commission render a decision on CWC in </w:t>
      </w:r>
      <w:r w:rsidRPr="00FB2EF4">
        <w:rPr>
          <w:b/>
        </w:rPr>
        <w:t>the Company’s last litigated general rate case?</w:t>
      </w:r>
    </w:p>
    <w:p w:rsidR="00CD653F" w:rsidRDefault="00CD653F" w:rsidP="00295696">
      <w:pPr>
        <w:pStyle w:val="BodyTextIndent2"/>
        <w:spacing w:after="0"/>
        <w:ind w:left="720" w:hanging="720"/>
        <w:jc w:val="left"/>
      </w:pPr>
      <w:r>
        <w:t>A.</w:t>
      </w:r>
      <w:r>
        <w:tab/>
      </w:r>
      <w:r w:rsidR="00F32FD5">
        <w:t>Yes</w:t>
      </w:r>
      <w:r>
        <w:t xml:space="preserve">.  In Docket UE-061546 the Commission rejected both Staff and the Company’s proposals related to CWC.  In its final order, no CWC balance was included in the Washington revenue requirement calculation. </w:t>
      </w:r>
    </w:p>
    <w:p w:rsidR="00CD653F" w:rsidRPr="00FB2EF4" w:rsidRDefault="00CD653F" w:rsidP="00295696">
      <w:pPr>
        <w:pStyle w:val="BodyTextIndent2"/>
        <w:spacing w:after="0"/>
        <w:ind w:left="720" w:hanging="720"/>
        <w:jc w:val="left"/>
        <w:rPr>
          <w:b/>
        </w:rPr>
      </w:pPr>
      <w:r>
        <w:t xml:space="preserve"> </w:t>
      </w:r>
      <w:r w:rsidRPr="00FB2EF4">
        <w:rPr>
          <w:b/>
        </w:rPr>
        <w:t>Q.</w:t>
      </w:r>
      <w:r w:rsidRPr="00FB2EF4">
        <w:rPr>
          <w:b/>
        </w:rPr>
        <w:tab/>
      </w:r>
      <w:r>
        <w:rPr>
          <w:b/>
        </w:rPr>
        <w:t>Has the Company provided support for its proposed change in treatment for CWC</w:t>
      </w:r>
      <w:r w:rsidRPr="00FB2EF4">
        <w:rPr>
          <w:b/>
        </w:rPr>
        <w:t>?</w:t>
      </w:r>
    </w:p>
    <w:p w:rsidR="00D155A6" w:rsidRDefault="00CD653F" w:rsidP="00295696">
      <w:pPr>
        <w:pStyle w:val="BodyTextIndent2"/>
        <w:spacing w:after="0"/>
        <w:ind w:left="720" w:hanging="720"/>
        <w:jc w:val="left"/>
        <w:rPr>
          <w:b/>
        </w:rPr>
      </w:pPr>
      <w:r>
        <w:t>A.</w:t>
      </w:r>
      <w:r>
        <w:tab/>
        <w:t>Yes.  My previously filed testimony</w:t>
      </w:r>
      <w:r w:rsidR="00092032">
        <w:t xml:space="preserve"> in this docket </w:t>
      </w:r>
      <w:r>
        <w:t xml:space="preserve">provides support for the Company’s proposed change in treatment for CWC.  </w:t>
      </w:r>
    </w:p>
    <w:p w:rsidR="00027A68" w:rsidRPr="00027A68" w:rsidRDefault="00027A68" w:rsidP="00295696">
      <w:pPr>
        <w:pStyle w:val="BodyTextIndent2"/>
        <w:spacing w:after="0"/>
        <w:ind w:left="720" w:hanging="720"/>
        <w:jc w:val="left"/>
        <w:rPr>
          <w:b/>
        </w:rPr>
      </w:pPr>
      <w:r w:rsidRPr="00027A68">
        <w:rPr>
          <w:b/>
        </w:rPr>
        <w:t>Q.</w:t>
      </w:r>
      <w:r w:rsidRPr="00027A68">
        <w:rPr>
          <w:b/>
        </w:rPr>
        <w:tab/>
        <w:t xml:space="preserve">In addition to CWC balances, has the Company included </w:t>
      </w:r>
      <w:r w:rsidR="00261FB2">
        <w:rPr>
          <w:b/>
        </w:rPr>
        <w:t xml:space="preserve">per books </w:t>
      </w:r>
      <w:r w:rsidRPr="00027A68">
        <w:rPr>
          <w:b/>
        </w:rPr>
        <w:t>balances associated with materials and</w:t>
      </w:r>
      <w:r w:rsidR="000D3815">
        <w:rPr>
          <w:b/>
        </w:rPr>
        <w:t xml:space="preserve"> supplies and fuel stock in </w:t>
      </w:r>
      <w:r w:rsidRPr="00027A68">
        <w:rPr>
          <w:b/>
        </w:rPr>
        <w:t>Washington test period results?</w:t>
      </w:r>
    </w:p>
    <w:p w:rsidR="00902690" w:rsidRDefault="00027A68" w:rsidP="00295696">
      <w:pPr>
        <w:pStyle w:val="BodyTextIndent2"/>
        <w:spacing w:after="0"/>
        <w:ind w:left="720" w:hanging="720"/>
        <w:jc w:val="left"/>
      </w:pPr>
      <w:r>
        <w:t>A.</w:t>
      </w:r>
      <w:r>
        <w:tab/>
      </w:r>
      <w:r w:rsidR="00DA3DFF">
        <w:t xml:space="preserve">Yes. </w:t>
      </w:r>
      <w:r w:rsidR="006E3722">
        <w:t xml:space="preserve"> </w:t>
      </w:r>
      <w:r w:rsidR="00DA3DFF">
        <w:t>The</w:t>
      </w:r>
      <w:r>
        <w:t xml:space="preserve"> </w:t>
      </w:r>
      <w:r w:rsidR="00261FB2">
        <w:t xml:space="preserve">per books </w:t>
      </w:r>
      <w:r>
        <w:t xml:space="preserve">balances associated with materials and supplies and fuel stock have been reflected in the Washington test period results. </w:t>
      </w:r>
      <w:r w:rsidR="006E3722">
        <w:t xml:space="preserve"> </w:t>
      </w:r>
      <w:r w:rsidR="00261FB2">
        <w:t xml:space="preserve">In Docket UE-061546, the Commission removed all rate base balances associated with materials and supplies and fuel stock along with the materials and supplies and pit inventory included in the Jim Bridger mine normalizing adjustment. </w:t>
      </w:r>
      <w:r w:rsidR="006E3722">
        <w:t xml:space="preserve"> </w:t>
      </w:r>
      <w:r w:rsidR="00DA3DFF">
        <w:t>My previously filed testimony provides support for the Company’s proposed change in treatment with respect to fuel stock and materials and supplies.</w:t>
      </w:r>
    </w:p>
    <w:p w:rsidR="00902690" w:rsidRPr="00902690" w:rsidRDefault="00902690" w:rsidP="00295696">
      <w:pPr>
        <w:pStyle w:val="BodyTextIndent2"/>
        <w:spacing w:after="0"/>
        <w:ind w:left="720" w:hanging="720"/>
        <w:jc w:val="left"/>
        <w:rPr>
          <w:b/>
        </w:rPr>
      </w:pPr>
      <w:r w:rsidRPr="00902690">
        <w:rPr>
          <w:b/>
        </w:rPr>
        <w:t>Q.</w:t>
      </w:r>
      <w:r w:rsidRPr="00902690">
        <w:rPr>
          <w:b/>
        </w:rPr>
        <w:tab/>
        <w:t xml:space="preserve">Please describe </w:t>
      </w:r>
      <w:r w:rsidR="00FC716A">
        <w:rPr>
          <w:b/>
        </w:rPr>
        <w:t xml:space="preserve">the file named “Supplemental Workpaper - </w:t>
      </w:r>
      <w:r w:rsidRPr="00902690">
        <w:rPr>
          <w:b/>
        </w:rPr>
        <w:t>Cash Working Capital</w:t>
      </w:r>
      <w:r w:rsidR="00FC716A">
        <w:rPr>
          <w:b/>
        </w:rPr>
        <w:t>”</w:t>
      </w:r>
      <w:r w:rsidRPr="00902690">
        <w:rPr>
          <w:b/>
        </w:rPr>
        <w:t>.</w:t>
      </w:r>
    </w:p>
    <w:p w:rsidR="00902690" w:rsidRDefault="00902690" w:rsidP="00295696">
      <w:pPr>
        <w:pStyle w:val="BodyTextIndent2"/>
        <w:spacing w:after="0"/>
        <w:ind w:left="720" w:hanging="720"/>
        <w:jc w:val="left"/>
      </w:pPr>
      <w:r>
        <w:t>A.</w:t>
      </w:r>
      <w:r>
        <w:tab/>
        <w:t>This supplemental workpaper reflects the adjustment</w:t>
      </w:r>
      <w:r w:rsidR="00FC716A">
        <w:t>s</w:t>
      </w:r>
      <w:r w:rsidR="00FC716A" w:rsidRPr="00FC716A">
        <w:t xml:space="preserve"> </w:t>
      </w:r>
      <w:r w:rsidR="00FC716A">
        <w:t xml:space="preserve">to the Company’s </w:t>
      </w:r>
      <w:r w:rsidR="00CA63BC">
        <w:t xml:space="preserve">per books </w:t>
      </w:r>
      <w:r w:rsidR="00FC716A">
        <w:t>filing</w:t>
      </w:r>
      <w:r>
        <w:t xml:space="preserve"> necessary to remove all CWC, fuel stock, and materials and supplies balances, consistent with the Commission’s order in Docket UE-</w:t>
      </w:r>
      <w:r w:rsidR="00E73076">
        <w:t>0</w:t>
      </w:r>
      <w:r>
        <w:t>61546.</w:t>
      </w:r>
      <w:r w:rsidR="00FC716A">
        <w:t xml:space="preserve">  The impact of these adjustments on Washington test period results is also reflected.</w:t>
      </w:r>
      <w:r>
        <w:t xml:space="preserve"> </w:t>
      </w:r>
    </w:p>
    <w:p w:rsidR="00295696" w:rsidRDefault="00295696" w:rsidP="00295696">
      <w:pPr>
        <w:pStyle w:val="BodyTextIndent2"/>
        <w:suppressLineNumbers/>
        <w:spacing w:after="0"/>
        <w:ind w:left="720" w:hanging="720"/>
        <w:jc w:val="left"/>
      </w:pPr>
    </w:p>
    <w:p w:rsidR="00295696" w:rsidRDefault="00295696" w:rsidP="00295696">
      <w:pPr>
        <w:pStyle w:val="BodyTextIndent2"/>
        <w:suppressLineNumbers/>
        <w:spacing w:after="0"/>
        <w:ind w:left="720" w:hanging="720"/>
        <w:jc w:val="left"/>
      </w:pPr>
    </w:p>
    <w:p w:rsidR="00295696" w:rsidRDefault="00295696" w:rsidP="00295696">
      <w:pPr>
        <w:pStyle w:val="BodyTextIndent2"/>
        <w:suppressLineNumbers/>
        <w:spacing w:after="0"/>
        <w:ind w:left="720" w:hanging="720"/>
        <w:jc w:val="left"/>
      </w:pPr>
    </w:p>
    <w:p w:rsidR="001F6FCA" w:rsidRPr="00153396" w:rsidRDefault="001F6FCA" w:rsidP="00295696">
      <w:pPr>
        <w:pStyle w:val="BodyTextIndent2"/>
        <w:spacing w:after="0"/>
        <w:ind w:left="720" w:hanging="720"/>
        <w:jc w:val="left"/>
        <w:rPr>
          <w:b/>
          <w:u w:val="single"/>
        </w:rPr>
      </w:pPr>
      <w:r>
        <w:rPr>
          <w:b/>
          <w:u w:val="single"/>
        </w:rPr>
        <w:t>Presentation of the Jim Bridger Mine and Production Factor Adjustments</w:t>
      </w:r>
    </w:p>
    <w:p w:rsidR="00967BCF" w:rsidRDefault="00A32BEE" w:rsidP="00295696">
      <w:pPr>
        <w:pStyle w:val="BodyTextIndent2"/>
        <w:spacing w:after="0"/>
        <w:ind w:left="720" w:hanging="720"/>
        <w:jc w:val="left"/>
        <w:rPr>
          <w:b/>
        </w:rPr>
      </w:pPr>
      <w:r w:rsidRPr="00A32BEE">
        <w:rPr>
          <w:b/>
        </w:rPr>
        <w:t xml:space="preserve">Q. </w:t>
      </w:r>
      <w:r w:rsidRPr="00A32BEE">
        <w:rPr>
          <w:b/>
        </w:rPr>
        <w:tab/>
        <w:t xml:space="preserve">Please describe the revisions the Company has made to the </w:t>
      </w:r>
      <w:r>
        <w:rPr>
          <w:b/>
        </w:rPr>
        <w:t xml:space="preserve">presentation of the </w:t>
      </w:r>
      <w:r w:rsidRPr="00A32BEE">
        <w:rPr>
          <w:b/>
        </w:rPr>
        <w:t>Jim Bridger Mine</w:t>
      </w:r>
      <w:r w:rsidR="00F20CDB">
        <w:rPr>
          <w:b/>
        </w:rPr>
        <w:t xml:space="preserve"> adjustment</w:t>
      </w:r>
      <w:r w:rsidRPr="00A32BEE">
        <w:rPr>
          <w:b/>
        </w:rPr>
        <w:t>.</w:t>
      </w:r>
    </w:p>
    <w:p w:rsidR="00701C7B" w:rsidRDefault="00A32BEE" w:rsidP="00295696">
      <w:pPr>
        <w:pStyle w:val="BodyTextIndent2"/>
        <w:spacing w:after="0"/>
        <w:ind w:left="720" w:hanging="720"/>
        <w:jc w:val="left"/>
      </w:pPr>
      <w:r w:rsidRPr="00A32BEE">
        <w:t>A.</w:t>
      </w:r>
      <w:r w:rsidRPr="00A32BEE">
        <w:tab/>
      </w:r>
      <w:r w:rsidR="00011146">
        <w:t xml:space="preserve">The Company has two-thirds ownership in the </w:t>
      </w:r>
      <w:r w:rsidR="0052730B">
        <w:t xml:space="preserve">Bridger Coal Company (BCC), which supplies coal to the Jim Bridger generating plant.  </w:t>
      </w:r>
      <w:r w:rsidR="00011146">
        <w:t xml:space="preserve">However, the Company’s </w:t>
      </w:r>
      <w:r w:rsidR="0052730B">
        <w:t>investment in BCC</w:t>
      </w:r>
      <w:r w:rsidR="00011146">
        <w:t xml:space="preserve"> is recorded on the books of Pacific Minerals Inc. (PMI), a wholly owned subsidiary.  Because the investment is recorded on the books of PMI, it is not reflected in </w:t>
      </w:r>
      <w:r w:rsidR="0052730B">
        <w:t xml:space="preserve">the Company’s </w:t>
      </w:r>
      <w:r w:rsidR="00F20CDB">
        <w:t>per books</w:t>
      </w:r>
      <w:r w:rsidR="00701C7B">
        <w:t xml:space="preserve"> </w:t>
      </w:r>
      <w:r w:rsidR="00F20CDB">
        <w:t>electric plant in s</w:t>
      </w:r>
      <w:r w:rsidR="0052730B">
        <w:t>ervice balances.</w:t>
      </w:r>
      <w:r>
        <w:t xml:space="preserve"> </w:t>
      </w:r>
      <w:r w:rsidR="00011146">
        <w:t xml:space="preserve"> As a result, a restating adjustment is necessary to </w:t>
      </w:r>
      <w:r w:rsidR="00701C7B">
        <w:t>add</w:t>
      </w:r>
      <w:r w:rsidR="00011146">
        <w:t xml:space="preserve"> the Company’s investment in</w:t>
      </w:r>
      <w:r w:rsidR="00701C7B">
        <w:t xml:space="preserve"> BCC to</w:t>
      </w:r>
      <w:r w:rsidR="00011146">
        <w:t xml:space="preserve"> </w:t>
      </w:r>
      <w:r w:rsidR="0052730B">
        <w:t>the Washington test period results</w:t>
      </w:r>
      <w:r w:rsidR="00011146">
        <w:t xml:space="preserve">.  </w:t>
      </w:r>
    </w:p>
    <w:p w:rsidR="00A32BEE" w:rsidRDefault="00701C7B" w:rsidP="00701C7B">
      <w:pPr>
        <w:pStyle w:val="BodyTextIndent2"/>
        <w:ind w:left="720" w:firstLine="720"/>
        <w:jc w:val="left"/>
      </w:pPr>
      <w:r>
        <w:t>In t</w:t>
      </w:r>
      <w:r w:rsidR="00011146">
        <w:t xml:space="preserve">he Company’s original filing, </w:t>
      </w:r>
      <w:r>
        <w:t xml:space="preserve">this restating adjustment was done on a consolidated basis.  In other words, the net plant investment in the mine, including gross plant, pit inventory, materials and supplies, deferred long wall costs, accumulated depreciation and lease payables were combined and added to </w:t>
      </w:r>
      <w:r w:rsidR="00A72E82">
        <w:t>Federal Energy Regulatory Commission (</w:t>
      </w:r>
      <w:r>
        <w:t>FERC</w:t>
      </w:r>
      <w:r w:rsidR="00A72E82">
        <w:t>)</w:t>
      </w:r>
      <w:r>
        <w:t xml:space="preserve"> account 399 – Other Tangible Property. </w:t>
      </w:r>
      <w:r w:rsidR="001F6FCA">
        <w:t xml:space="preserve"> </w:t>
      </w:r>
      <w:r>
        <w:t xml:space="preserve">The Company’s revised filing separates the components of the mine into </w:t>
      </w:r>
      <w:r w:rsidR="00D42FAD">
        <w:t>separate FERC accounts as shown in the table below</w:t>
      </w:r>
      <w:r>
        <w:t>.</w:t>
      </w:r>
    </w:p>
    <w:p w:rsidR="00A4343D" w:rsidRDefault="007269C6" w:rsidP="00295696">
      <w:pPr>
        <w:pStyle w:val="Answer"/>
        <w:keepNext/>
        <w:suppressLineNumbers/>
        <w:ind w:left="0" w:firstLine="0"/>
        <w:jc w:val="center"/>
        <w:outlineLvl w:val="2"/>
      </w:pPr>
      <w:r>
        <w:rPr>
          <w:noProof/>
          <w:lang w:eastAsia="ko-KR"/>
        </w:rPr>
        <w:drawing>
          <wp:inline distT="0" distB="0" distL="0" distR="0">
            <wp:extent cx="3000375" cy="14859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00375" cy="1485900"/>
                    </a:xfrm>
                    <a:prstGeom prst="rect">
                      <a:avLst/>
                    </a:prstGeom>
                    <a:noFill/>
                    <a:ln w="9525">
                      <a:noFill/>
                      <a:miter lim="800000"/>
                      <a:headEnd/>
                      <a:tailEnd/>
                    </a:ln>
                  </pic:spPr>
                </pic:pic>
              </a:graphicData>
            </a:graphic>
          </wp:inline>
        </w:drawing>
      </w:r>
    </w:p>
    <w:p w:rsidR="00D42FAD" w:rsidRDefault="00D42FAD" w:rsidP="00D42FAD">
      <w:pPr>
        <w:pStyle w:val="BodyTextIndent2"/>
        <w:ind w:left="720" w:firstLine="720"/>
        <w:jc w:val="left"/>
      </w:pPr>
      <w:r>
        <w:t xml:space="preserve">This change in presentation requires revisions to pages 8.2 and 8.2.1 of the exhibit, both of which have been marked “Revised 11/23/10”. </w:t>
      </w:r>
    </w:p>
    <w:p w:rsidR="00F20CDB" w:rsidRDefault="00F20CDB" w:rsidP="00295696">
      <w:pPr>
        <w:pStyle w:val="BodyTextIndent2"/>
        <w:spacing w:after="0"/>
        <w:ind w:left="720" w:hanging="720"/>
        <w:jc w:val="left"/>
        <w:rPr>
          <w:b/>
        </w:rPr>
      </w:pPr>
      <w:r w:rsidRPr="00A32BEE">
        <w:rPr>
          <w:b/>
        </w:rPr>
        <w:t xml:space="preserve">Q. </w:t>
      </w:r>
      <w:r w:rsidRPr="00A32BEE">
        <w:rPr>
          <w:b/>
        </w:rPr>
        <w:tab/>
        <w:t xml:space="preserve">Please describe the revisions the Company has made to the </w:t>
      </w:r>
      <w:r>
        <w:rPr>
          <w:b/>
        </w:rPr>
        <w:t>presentation of the Production Factor adjustment</w:t>
      </w:r>
      <w:r w:rsidRPr="00A32BEE">
        <w:rPr>
          <w:b/>
        </w:rPr>
        <w:t>.</w:t>
      </w:r>
    </w:p>
    <w:p w:rsidR="00F20CDB" w:rsidRDefault="00F20CDB" w:rsidP="00863DF6">
      <w:pPr>
        <w:pStyle w:val="BodyTextIndent2"/>
        <w:spacing w:after="0"/>
        <w:ind w:left="720" w:hanging="720"/>
        <w:jc w:val="left"/>
      </w:pPr>
      <w:r w:rsidRPr="00F20CDB">
        <w:t>A.</w:t>
      </w:r>
      <w:r w:rsidRPr="00F20CDB">
        <w:tab/>
        <w:t xml:space="preserve">Associated with the change in the presentation of the Jim Bridger Mine adjustment discussed above, the Company has </w:t>
      </w:r>
      <w:r w:rsidR="00CA63BC">
        <w:t>revised</w:t>
      </w:r>
      <w:r w:rsidRPr="00F20CDB">
        <w:t xml:space="preserve"> the </w:t>
      </w:r>
      <w:r w:rsidR="008243F0">
        <w:t>presentation of the Production F</w:t>
      </w:r>
      <w:r w:rsidRPr="00F20CDB">
        <w:t xml:space="preserve">actor adjustment.  </w:t>
      </w:r>
      <w:r>
        <w:t xml:space="preserve">In the Company’s original filing, the production factor was applied to the consolidated </w:t>
      </w:r>
      <w:r w:rsidR="008243F0">
        <w:t xml:space="preserve">Jim Bridger Mine </w:t>
      </w:r>
      <w:r>
        <w:t>net plant addition included in FERC account 399</w:t>
      </w:r>
      <w:r w:rsidR="008243F0">
        <w:t xml:space="preserve"> </w:t>
      </w:r>
      <w:r>
        <w:t xml:space="preserve">- Other Tangible Property.  In the revised </w:t>
      </w:r>
      <w:r w:rsidR="0084156A">
        <w:t>adjustment</w:t>
      </w:r>
      <w:r>
        <w:t>, the Company has itemized the production factor application for each of the separate components of the Jim Bridger Mine adjustment.</w:t>
      </w:r>
      <w:r w:rsidR="001F6FCA">
        <w:t xml:space="preserve"> </w:t>
      </w:r>
      <w:r>
        <w:t xml:space="preserve"> This change in presentation requires revisions to pages 9.</w:t>
      </w:r>
      <w:r w:rsidR="00A72E82">
        <w:t>0</w:t>
      </w:r>
      <w:r>
        <w:t xml:space="preserve"> through 9</w:t>
      </w:r>
      <w:r w:rsidR="0084156A">
        <w:t>.1</w:t>
      </w:r>
      <w:r>
        <w:t xml:space="preserve">.4 of the exhibit, </w:t>
      </w:r>
      <w:r w:rsidR="008243F0">
        <w:t>all</w:t>
      </w:r>
      <w:r>
        <w:t xml:space="preserve"> of which have been marked “Revised 11/23/10”. </w:t>
      </w:r>
    </w:p>
    <w:p w:rsidR="001F6FCA" w:rsidRDefault="001F6FCA" w:rsidP="00863DF6">
      <w:pPr>
        <w:pStyle w:val="BodyTextIndent2"/>
        <w:spacing w:after="0"/>
        <w:ind w:left="0"/>
        <w:jc w:val="left"/>
        <w:rPr>
          <w:b/>
          <w:u w:val="single"/>
        </w:rPr>
      </w:pPr>
      <w:r>
        <w:rPr>
          <w:b/>
          <w:u w:val="single"/>
        </w:rPr>
        <w:t>Revisions to Supporting Worksheets</w:t>
      </w:r>
    </w:p>
    <w:p w:rsidR="001F6FCA" w:rsidRDefault="001F6FCA" w:rsidP="00863DF6">
      <w:pPr>
        <w:pStyle w:val="BodyTextIndent2"/>
        <w:spacing w:after="0"/>
        <w:ind w:left="720" w:hanging="720"/>
        <w:jc w:val="left"/>
        <w:rPr>
          <w:b/>
        </w:rPr>
      </w:pPr>
      <w:r w:rsidRPr="00A32BEE">
        <w:rPr>
          <w:b/>
        </w:rPr>
        <w:t xml:space="preserve">Q. </w:t>
      </w:r>
      <w:r w:rsidRPr="00A32BEE">
        <w:rPr>
          <w:b/>
        </w:rPr>
        <w:tab/>
        <w:t xml:space="preserve">Please describe the revisions the Company has made to </w:t>
      </w:r>
      <w:r>
        <w:rPr>
          <w:b/>
        </w:rPr>
        <w:t>the supporting worksheets included in Exhibit No.___(RBD-3).</w:t>
      </w:r>
    </w:p>
    <w:p w:rsidR="001F6FCA" w:rsidRDefault="001F6FCA" w:rsidP="00863DF6">
      <w:pPr>
        <w:pStyle w:val="BodyTextIndent2"/>
        <w:spacing w:after="0"/>
        <w:ind w:left="720" w:hanging="720"/>
        <w:jc w:val="left"/>
      </w:pPr>
      <w:r w:rsidRPr="001F6FCA">
        <w:t>A.</w:t>
      </w:r>
      <w:r w:rsidRPr="001F6FCA">
        <w:tab/>
        <w:t>The Company has revised the suppor</w:t>
      </w:r>
      <w:r>
        <w:t xml:space="preserve">ting worksheets associated with </w:t>
      </w:r>
      <w:r w:rsidR="00D74902">
        <w:t xml:space="preserve">the </w:t>
      </w:r>
      <w:r>
        <w:t xml:space="preserve">Net Power </w:t>
      </w:r>
      <w:r w:rsidR="00D74902">
        <w:t>Costs Adjustments 5.1 and 5.2</w:t>
      </w:r>
      <w:r>
        <w:t xml:space="preserve">, </w:t>
      </w:r>
      <w:r w:rsidR="00D74902">
        <w:t xml:space="preserve">the </w:t>
      </w:r>
      <w:r>
        <w:t xml:space="preserve">Cash Working Capital Adjustment </w:t>
      </w:r>
      <w:r w:rsidR="00D74902">
        <w:t>8.1</w:t>
      </w:r>
      <w:r>
        <w:t xml:space="preserve">, and </w:t>
      </w:r>
      <w:r w:rsidR="00D74902">
        <w:t>the Production Factor Adjustment 9.1</w:t>
      </w:r>
      <w:r>
        <w:t>.</w:t>
      </w:r>
      <w:r w:rsidR="00D74902">
        <w:t xml:space="preserve">  All of these changes are to present the calculations of each adjustment</w:t>
      </w:r>
      <w:r w:rsidR="00F36B67">
        <w:t xml:space="preserve"> more clearly</w:t>
      </w:r>
      <w:r w:rsidR="00D74902">
        <w:t>.</w:t>
      </w:r>
    </w:p>
    <w:p w:rsidR="00D74902" w:rsidRPr="00D74902" w:rsidRDefault="00D74902" w:rsidP="00863DF6">
      <w:pPr>
        <w:pStyle w:val="BodyTextIndent2"/>
        <w:spacing w:after="0"/>
        <w:ind w:left="720" w:hanging="720"/>
        <w:jc w:val="left"/>
        <w:rPr>
          <w:b/>
        </w:rPr>
      </w:pPr>
      <w:r w:rsidRPr="00D74902">
        <w:rPr>
          <w:b/>
        </w:rPr>
        <w:t>Q.</w:t>
      </w:r>
      <w:r w:rsidRPr="00D74902">
        <w:rPr>
          <w:b/>
        </w:rPr>
        <w:tab/>
        <w:t>Please describe the changes to the Net Power Cost Adjustments 5.1 and 5.2.</w:t>
      </w:r>
    </w:p>
    <w:p w:rsidR="00D74902" w:rsidRDefault="00D74902" w:rsidP="00863DF6">
      <w:pPr>
        <w:pStyle w:val="BodyTextIndent2"/>
        <w:spacing w:after="0"/>
        <w:ind w:left="720" w:hanging="720"/>
        <w:jc w:val="left"/>
      </w:pPr>
      <w:r>
        <w:t>A.</w:t>
      </w:r>
      <w:r>
        <w:tab/>
        <w:t>Supporting page 5.2.1 of the exhibit has been re</w:t>
      </w:r>
      <w:r w:rsidR="00E8615E">
        <w:t>vised</w:t>
      </w:r>
      <w:r>
        <w:t xml:space="preserve"> to show </w:t>
      </w:r>
      <w:r w:rsidR="00F36B67">
        <w:t xml:space="preserve">more clearly </w:t>
      </w:r>
      <w:r>
        <w:t>the per books, normalized, and pro</w:t>
      </w:r>
      <w:r w:rsidR="0055115F">
        <w:t xml:space="preserve"> </w:t>
      </w:r>
      <w:r>
        <w:t>forma net power costs included in the Company’s filing.  This page, marked “Revised – 11/23/10”</w:t>
      </w:r>
      <w:r w:rsidR="00E8615E">
        <w:t>,</w:t>
      </w:r>
      <w:r>
        <w:t xml:space="preserve"> reflects all three net power cost amounts</w:t>
      </w:r>
      <w:r w:rsidR="00FC716A">
        <w:t>, along with the associated restating and pro</w:t>
      </w:r>
      <w:r w:rsidR="0055115F">
        <w:t xml:space="preserve"> </w:t>
      </w:r>
      <w:r w:rsidR="00FC716A">
        <w:t>forma adjustments,</w:t>
      </w:r>
      <w:r>
        <w:t xml:space="preserve"> on both a west control area and Washington-allocated basis.  </w:t>
      </w:r>
    </w:p>
    <w:p w:rsidR="00D74902" w:rsidRDefault="00D74902" w:rsidP="00863DF6">
      <w:pPr>
        <w:pStyle w:val="BodyTextIndent2"/>
        <w:spacing w:after="0"/>
        <w:ind w:left="720" w:hanging="720"/>
        <w:jc w:val="left"/>
        <w:rPr>
          <w:b/>
        </w:rPr>
      </w:pPr>
      <w:r w:rsidRPr="00D74902">
        <w:rPr>
          <w:b/>
        </w:rPr>
        <w:t>Q.</w:t>
      </w:r>
      <w:r w:rsidRPr="00D74902">
        <w:rPr>
          <w:b/>
        </w:rPr>
        <w:tab/>
        <w:t xml:space="preserve">Please describe the changes to the </w:t>
      </w:r>
      <w:r>
        <w:rPr>
          <w:b/>
        </w:rPr>
        <w:t>CWC adjustment 8.1</w:t>
      </w:r>
      <w:r w:rsidRPr="00D74902">
        <w:rPr>
          <w:b/>
        </w:rPr>
        <w:t>.</w:t>
      </w:r>
    </w:p>
    <w:p w:rsidR="00E8615E" w:rsidRDefault="00D74902" w:rsidP="00863DF6">
      <w:pPr>
        <w:pStyle w:val="BodyTextIndent2"/>
        <w:spacing w:after="0"/>
        <w:ind w:left="720" w:hanging="720"/>
        <w:jc w:val="left"/>
      </w:pPr>
      <w:r w:rsidRPr="00E8615E">
        <w:t>A.</w:t>
      </w:r>
      <w:r w:rsidRPr="00E8615E">
        <w:tab/>
        <w:t xml:space="preserve">In addition to the changes in the CWC approach discussed above, supporting workpaper 8.1 of the exhibit has been updated to show </w:t>
      </w:r>
      <w:r w:rsidR="00F36B67" w:rsidRPr="00E8615E">
        <w:t xml:space="preserve">more clearly </w:t>
      </w:r>
      <w:r w:rsidRPr="00E8615E">
        <w:t xml:space="preserve">the development of both the restated and </w:t>
      </w:r>
      <w:r w:rsidR="00E8615E">
        <w:t>p</w:t>
      </w:r>
      <w:r w:rsidRPr="00E8615E">
        <w:t>ro</w:t>
      </w:r>
      <w:r w:rsidR="0055115F">
        <w:t xml:space="preserve"> </w:t>
      </w:r>
      <w:r w:rsidRPr="00E8615E">
        <w:t>forma CWC amounts.</w:t>
      </w:r>
      <w:r w:rsidR="00E8615E">
        <w:t xml:space="preserve"> </w:t>
      </w:r>
      <w:r w:rsidR="006E3722">
        <w:t xml:space="preserve"> </w:t>
      </w:r>
      <w:r w:rsidR="0084156A">
        <w:t>As mentioned above, t</w:t>
      </w:r>
      <w:r w:rsidR="00E8615E">
        <w:t>his page has been marked “Revised – 11/23/10”.</w:t>
      </w:r>
    </w:p>
    <w:p w:rsidR="00E8615E" w:rsidRDefault="00E8615E" w:rsidP="00863DF6">
      <w:pPr>
        <w:pStyle w:val="BodyTextIndent2"/>
        <w:spacing w:after="0"/>
        <w:ind w:left="720" w:hanging="720"/>
        <w:jc w:val="left"/>
        <w:rPr>
          <w:b/>
        </w:rPr>
      </w:pPr>
      <w:r w:rsidRPr="00D74902">
        <w:rPr>
          <w:b/>
        </w:rPr>
        <w:t>Q.</w:t>
      </w:r>
      <w:r w:rsidRPr="00D74902">
        <w:rPr>
          <w:b/>
        </w:rPr>
        <w:tab/>
        <w:t xml:space="preserve">Please describe the changes to the </w:t>
      </w:r>
      <w:r>
        <w:rPr>
          <w:b/>
        </w:rPr>
        <w:t>Production Factor Adjustment 9.1</w:t>
      </w:r>
      <w:r w:rsidRPr="00D74902">
        <w:rPr>
          <w:b/>
        </w:rPr>
        <w:t>.</w:t>
      </w:r>
    </w:p>
    <w:p w:rsidR="00E8615E" w:rsidRDefault="00E8615E" w:rsidP="00863DF6">
      <w:pPr>
        <w:pStyle w:val="BodyTextIndent2"/>
        <w:spacing w:after="0"/>
        <w:ind w:left="720" w:hanging="720"/>
        <w:jc w:val="left"/>
      </w:pPr>
      <w:r w:rsidRPr="00E8615E">
        <w:t>A.</w:t>
      </w:r>
      <w:r w:rsidRPr="00E8615E">
        <w:tab/>
        <w:t xml:space="preserve">The presentation of the production factor has been modified to </w:t>
      </w:r>
      <w:r>
        <w:t>show the development of the adjustment beginning with the per books Washington-allocated amounts.</w:t>
      </w:r>
      <w:r w:rsidR="0084156A">
        <w:t xml:space="preserve"> </w:t>
      </w:r>
      <w:r w:rsidR="006E3722">
        <w:t xml:space="preserve"> </w:t>
      </w:r>
      <w:r w:rsidR="0084156A">
        <w:t xml:space="preserve">All of the normalizing adjustments that impact the production factor are then itemized in separate columns. </w:t>
      </w:r>
      <w:r w:rsidR="006E3722">
        <w:t xml:space="preserve"> </w:t>
      </w:r>
      <w:r w:rsidR="0084156A">
        <w:t>As discussed above, revised pages 9.1</w:t>
      </w:r>
      <w:r>
        <w:t xml:space="preserve"> through 9.1.4</w:t>
      </w:r>
      <w:r w:rsidR="0084156A">
        <w:t xml:space="preserve"> have been marked “Revised – 11/23/10”.</w:t>
      </w:r>
    </w:p>
    <w:p w:rsidR="007264D9" w:rsidRDefault="007264D9" w:rsidP="00863DF6">
      <w:pPr>
        <w:pStyle w:val="BodyTextIndent2"/>
        <w:spacing w:after="0"/>
        <w:ind w:left="720" w:hanging="720"/>
        <w:jc w:val="left"/>
        <w:rPr>
          <w:b/>
          <w:u w:val="single"/>
        </w:rPr>
      </w:pPr>
      <w:r w:rsidRPr="007264D9">
        <w:rPr>
          <w:b/>
          <w:u w:val="single"/>
        </w:rPr>
        <w:t>Supplemental Workpapers</w:t>
      </w:r>
    </w:p>
    <w:p w:rsidR="00847992" w:rsidRPr="00847992" w:rsidRDefault="00847992" w:rsidP="00863DF6">
      <w:pPr>
        <w:pStyle w:val="BodyTextIndent2"/>
        <w:spacing w:after="0"/>
        <w:ind w:left="720" w:hanging="720"/>
        <w:jc w:val="left"/>
        <w:rPr>
          <w:b/>
          <w:bCs/>
        </w:rPr>
      </w:pPr>
      <w:r w:rsidRPr="00847992">
        <w:rPr>
          <w:b/>
          <w:bCs/>
        </w:rPr>
        <w:t>Q.        Have you provided additional workpapers with your supplemental testimony?</w:t>
      </w:r>
    </w:p>
    <w:p w:rsidR="00847992" w:rsidRPr="00847992" w:rsidRDefault="00847992" w:rsidP="00863DF6">
      <w:pPr>
        <w:pStyle w:val="BodyTextIndent2"/>
        <w:spacing w:after="0"/>
        <w:ind w:left="720" w:hanging="720"/>
        <w:jc w:val="left"/>
      </w:pPr>
      <w:r w:rsidRPr="00847992">
        <w:t xml:space="preserve">A.        Yes. </w:t>
      </w:r>
      <w:r w:rsidR="006E3722">
        <w:t xml:space="preserve"> </w:t>
      </w:r>
      <w:r w:rsidRPr="00847992">
        <w:t xml:space="preserve">In addition to the </w:t>
      </w:r>
      <w:r w:rsidR="002C37C0">
        <w:t>CWC</w:t>
      </w:r>
      <w:r w:rsidRPr="00847992">
        <w:t xml:space="preserve"> supplemental workpaper described above, my supplemental testimony includes an additional workpaper named “Supplemental Revenue Requirement Summary”.  This file is a simplified version of the more sophisticated revenue requirement models used to produce Exhibit No.___(RBD-2) and Exhibit No.___(RBD-3).</w:t>
      </w:r>
      <w:r w:rsidR="009D6C6B">
        <w:t xml:space="preserve">  The summary file also </w:t>
      </w:r>
      <w:r w:rsidR="00CA63BC">
        <w:t>contains</w:t>
      </w:r>
      <w:r w:rsidR="009D6C6B">
        <w:t xml:space="preserve"> direct links to the </w:t>
      </w:r>
      <w:r w:rsidR="00DA3DFF">
        <w:t>formulas and</w:t>
      </w:r>
      <w:r w:rsidR="009D6C6B">
        <w:t xml:space="preserve"> calculations underlying each of the Company’s adjustments to its per books data, as requested by the Commission in Bench Request </w:t>
      </w:r>
      <w:r w:rsidR="00DA3DFF">
        <w:t>1</w:t>
      </w:r>
      <w:r w:rsidR="009D6C6B">
        <w:t xml:space="preserve">. </w:t>
      </w:r>
    </w:p>
    <w:p w:rsidR="00847992" w:rsidRPr="00847992" w:rsidRDefault="00847992" w:rsidP="00863DF6">
      <w:pPr>
        <w:pStyle w:val="BodyTextIndent2"/>
        <w:spacing w:after="0"/>
        <w:ind w:left="720" w:firstLine="720"/>
        <w:jc w:val="left"/>
      </w:pPr>
      <w:r w:rsidRPr="00847992">
        <w:t>  </w:t>
      </w:r>
      <w:r>
        <w:t>T</w:t>
      </w:r>
      <w:r w:rsidRPr="00847992">
        <w:t xml:space="preserve">his file begins with a summary sheet that shows the Washington-allocated unadjusted (per books) data in column (1).  Column (2) Restating Adjustments shows the combined Washington-allocated impact of the Company’s proposed restating adjustments. </w:t>
      </w:r>
      <w:r w:rsidR="006E3722">
        <w:t xml:space="preserve"> </w:t>
      </w:r>
      <w:r w:rsidRPr="00847992">
        <w:t>Column (3) Total Restated Actual Results reflects the Washington-allocated restated results.  Column (4) Pro</w:t>
      </w:r>
      <w:r w:rsidR="009D6C6B">
        <w:t xml:space="preserve"> </w:t>
      </w:r>
      <w:r w:rsidRPr="00847992">
        <w:t>forma Adjustments shows the combined Washington-allocated impact of the Company’s proposed pro</w:t>
      </w:r>
      <w:r w:rsidR="009D6C6B">
        <w:t xml:space="preserve"> </w:t>
      </w:r>
      <w:r w:rsidRPr="00847992">
        <w:t xml:space="preserve">forma adjustments.  Column (5) Total Normalized Results shows the Washington-allocated normalized test year results. </w:t>
      </w:r>
      <w:r w:rsidR="006E3722">
        <w:t xml:space="preserve"> </w:t>
      </w:r>
      <w:r w:rsidRPr="00847992">
        <w:t>Column (6) Price Change reflects the revenue increase of $56.7 million necessary to raise the ROE to 10.6 percent.  Column (7) Results with Price Change shows the Washington normalized results with the $56.7 million price increase included.  This summary sheet is consistent with Pages 1.0 and 1.1 – Revised 11/23/10 of Exhibit No.___(RBD-3).</w:t>
      </w:r>
    </w:p>
    <w:p w:rsidR="00847992" w:rsidRPr="00847992" w:rsidRDefault="00847992" w:rsidP="00863DF6">
      <w:pPr>
        <w:pStyle w:val="BodyTextIndent2"/>
        <w:spacing w:after="0"/>
        <w:ind w:left="720" w:hanging="720"/>
        <w:jc w:val="left"/>
      </w:pPr>
      <w:r w:rsidRPr="00847992">
        <w:t>                        The worksheets named “Restating Adj.” and “Pro</w:t>
      </w:r>
      <w:r w:rsidR="009D6C6B">
        <w:t xml:space="preserve"> </w:t>
      </w:r>
      <w:r w:rsidRPr="00847992">
        <w:t>forma Adj.” show each of the Company’s proposed restating and pro</w:t>
      </w:r>
      <w:r w:rsidR="009D6C6B">
        <w:t xml:space="preserve"> </w:t>
      </w:r>
      <w:r w:rsidRPr="00847992">
        <w:t xml:space="preserve">forma adjustments on a Washington-allocated basis.  Each adjustment is shown in a separate column with a reference to the corresponding page of Exhibit No.___(RBD-3).  For ease in following the calculations, the </w:t>
      </w:r>
      <w:r w:rsidR="007269C6">
        <w:t xml:space="preserve">Washington-allocated </w:t>
      </w:r>
      <w:r w:rsidRPr="00847992">
        <w:t xml:space="preserve">adjustment values are each linked back to a supporting file that provides the calculations and development of the adjustment.  The supporting files are also provided as part of my workpapers and are organized consistent with the presentation of the adjustments in Exhibit No.___(RBD-3). </w:t>
      </w:r>
      <w:r w:rsidR="006E3722">
        <w:t xml:space="preserve"> </w:t>
      </w:r>
      <w:r w:rsidRPr="00847992">
        <w:t>The sum of the Restating Adj. and Pro</w:t>
      </w:r>
      <w:r w:rsidR="009D6C6B">
        <w:t xml:space="preserve"> </w:t>
      </w:r>
      <w:r w:rsidRPr="00847992">
        <w:t>forma Adj. sheets are then carried forward to the Summary sheet columns (2) and (4) respectively.</w:t>
      </w:r>
    </w:p>
    <w:p w:rsidR="00847992" w:rsidRDefault="00847992" w:rsidP="009D5B42">
      <w:pPr>
        <w:pStyle w:val="BodyTextIndent2"/>
        <w:spacing w:after="0"/>
        <w:ind w:left="720" w:hanging="720"/>
        <w:jc w:val="left"/>
      </w:pPr>
      <w:r w:rsidRPr="00847992">
        <w:t>                        The sheets named “CWC Calc” and “Interest Calc” show the calculations of cash working capital and interest expense respectively, as described in my direct testimony.  These calculation</w:t>
      </w:r>
      <w:r w:rsidR="009D6C6B">
        <w:t>s</w:t>
      </w:r>
      <w:r w:rsidRPr="00847992">
        <w:t xml:space="preserve"> are consistent with the presentations reflected on pages 8.1 – Revised 11/23/10 Cash Working Capital and 7.1 Interest True Up of Exhibit No.___(RBD-3).  </w:t>
      </w:r>
    </w:p>
    <w:p w:rsidR="00847992" w:rsidRDefault="00847992" w:rsidP="009D5B42">
      <w:pPr>
        <w:pStyle w:val="BodyTextIndent2"/>
        <w:spacing w:after="0"/>
        <w:ind w:left="720" w:hanging="720"/>
        <w:jc w:val="left"/>
      </w:pPr>
      <w:r>
        <w:tab/>
      </w:r>
      <w:r>
        <w:tab/>
      </w:r>
      <w:r w:rsidRPr="00847992">
        <w:t xml:space="preserve">The sheet named “Variables” reflects the capital structure and costs proposed by the Company in this proceeding as described by Company witnesses </w:t>
      </w:r>
      <w:r w:rsidR="009D5B42">
        <w:t xml:space="preserve">Mr. </w:t>
      </w:r>
      <w:r w:rsidRPr="00847992">
        <w:t xml:space="preserve">Bruce N. Williams and </w:t>
      </w:r>
      <w:r w:rsidR="009D5B42">
        <w:t xml:space="preserve">Mr. </w:t>
      </w:r>
      <w:r w:rsidRPr="00847992">
        <w:t>Samuel C. Hadaway.  It also shows the development of the revenue requirement gross-up factor consistent with the presentation on page 1.3 – Revised 11/23/10 of Exhibit No.___(RBD-3).</w:t>
      </w:r>
    </w:p>
    <w:p w:rsidR="00847992" w:rsidRDefault="00847992" w:rsidP="009D5B42">
      <w:pPr>
        <w:pStyle w:val="BodyTextIndent2"/>
        <w:spacing w:after="0"/>
        <w:ind w:left="720" w:hanging="720"/>
        <w:jc w:val="left"/>
      </w:pPr>
      <w:r>
        <w:tab/>
      </w:r>
      <w:r>
        <w:tab/>
      </w:r>
      <w:r w:rsidRPr="00847992">
        <w:t xml:space="preserve">The sheet named “Check Sheet” is provided to ensure that the summary file </w:t>
      </w:r>
      <w:r w:rsidR="00CA63BC">
        <w:t>produces results that are identical to</w:t>
      </w:r>
      <w:r w:rsidRPr="00847992">
        <w:t xml:space="preserve"> the Company’s </w:t>
      </w:r>
      <w:r w:rsidR="00CA63BC">
        <w:t xml:space="preserve">full </w:t>
      </w:r>
      <w:r w:rsidRPr="00847992">
        <w:t xml:space="preserve">revenue requirement models.  </w:t>
      </w:r>
    </w:p>
    <w:p w:rsidR="00847992" w:rsidRPr="00847992" w:rsidRDefault="00847992" w:rsidP="009D5B42">
      <w:pPr>
        <w:pStyle w:val="BodyTextIndent2"/>
        <w:spacing w:after="0"/>
        <w:ind w:left="720" w:hanging="720"/>
        <w:jc w:val="left"/>
        <w:rPr>
          <w:b/>
        </w:rPr>
      </w:pPr>
      <w:r w:rsidRPr="00847992">
        <w:rPr>
          <w:b/>
        </w:rPr>
        <w:t>Q.</w:t>
      </w:r>
      <w:r w:rsidRPr="00847992">
        <w:rPr>
          <w:b/>
        </w:rPr>
        <w:tab/>
        <w:t>Does this conclude your supplemental testimony?</w:t>
      </w:r>
    </w:p>
    <w:p w:rsidR="00A32BEE" w:rsidRDefault="00847992" w:rsidP="009D5B42">
      <w:pPr>
        <w:pStyle w:val="BodyTextIndent2"/>
        <w:spacing w:after="0"/>
        <w:ind w:left="0"/>
      </w:pPr>
      <w:r w:rsidRPr="00847992">
        <w:t>A.</w:t>
      </w:r>
      <w:r w:rsidRPr="00847992">
        <w:tab/>
        <w:t>Yes.</w:t>
      </w:r>
    </w:p>
    <w:sectPr w:rsidR="00A32BEE" w:rsidSect="00BB1ADC">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DF6" w:rsidRDefault="00863DF6">
      <w:r>
        <w:separator/>
      </w:r>
    </w:p>
  </w:endnote>
  <w:endnote w:type="continuationSeparator" w:id="0">
    <w:p w:rsidR="00863DF6" w:rsidRDefault="00863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A9" w:rsidRDefault="003211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F6" w:rsidRDefault="00863DF6">
    <w:pPr>
      <w:pStyle w:val="Footer"/>
      <w:rPr>
        <w:rStyle w:val="PageNumber"/>
      </w:rPr>
    </w:pPr>
    <w:r>
      <w:rPr>
        <w:rStyle w:val="PageNumber"/>
      </w:rPr>
      <w:t>Supplemental Testimony of R. Bryce Dalley                               Exhibit No.___(RBD-8T)</w:t>
    </w:r>
  </w:p>
  <w:p w:rsidR="00863DF6" w:rsidRDefault="00863DF6" w:rsidP="00422C1E">
    <w:pPr>
      <w:pStyle w:val="Footer"/>
      <w:jc w:val="right"/>
    </w:pPr>
    <w:r>
      <w:rPr>
        <w:rStyle w:val="PageNumber"/>
      </w:rPr>
      <w:t xml:space="preserve">Page </w:t>
    </w:r>
    <w:r w:rsidR="001F4903">
      <w:rPr>
        <w:rStyle w:val="PageNumber"/>
      </w:rPr>
      <w:fldChar w:fldCharType="begin"/>
    </w:r>
    <w:r>
      <w:rPr>
        <w:rStyle w:val="PageNumber"/>
      </w:rPr>
      <w:instrText xml:space="preserve"> PAGE </w:instrText>
    </w:r>
    <w:r w:rsidR="001F4903">
      <w:rPr>
        <w:rStyle w:val="PageNumber"/>
      </w:rPr>
      <w:fldChar w:fldCharType="separate"/>
    </w:r>
    <w:r w:rsidR="003211A9">
      <w:rPr>
        <w:rStyle w:val="PageNumber"/>
        <w:noProof/>
      </w:rPr>
      <w:t>1</w:t>
    </w:r>
    <w:r w:rsidR="001F490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A9" w:rsidRDefault="00321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DF6" w:rsidRDefault="00863DF6">
      <w:r>
        <w:separator/>
      </w:r>
    </w:p>
  </w:footnote>
  <w:footnote w:type="continuationSeparator" w:id="0">
    <w:p w:rsidR="00863DF6" w:rsidRDefault="00863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A9" w:rsidRDefault="003211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F6" w:rsidRDefault="00863DF6" w:rsidP="00422C1E">
    <w:pPr>
      <w:pStyle w:val="Header"/>
      <w:jc w:val="right"/>
    </w:pPr>
    <w:r>
      <w:t xml:space="preserve">Page </w:t>
    </w:r>
    <w:r w:rsidR="001F4903">
      <w:rPr>
        <w:rStyle w:val="PageNumber"/>
      </w:rPr>
      <w:fldChar w:fldCharType="begin"/>
    </w:r>
    <w:r>
      <w:rPr>
        <w:rStyle w:val="PageNumber"/>
      </w:rPr>
      <w:instrText xml:space="preserve"> PAGE </w:instrText>
    </w:r>
    <w:r w:rsidR="001F4903">
      <w:rPr>
        <w:rStyle w:val="PageNumber"/>
      </w:rPr>
      <w:fldChar w:fldCharType="separate"/>
    </w:r>
    <w:r w:rsidR="003211A9">
      <w:rPr>
        <w:rStyle w:val="PageNumber"/>
        <w:noProof/>
      </w:rPr>
      <w:t>1</w:t>
    </w:r>
    <w:r w:rsidR="001F4903">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A9" w:rsidRDefault="00321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01EF"/>
    <w:multiLevelType w:val="hybridMultilevel"/>
    <w:tmpl w:val="C6E82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5C022F2"/>
    <w:multiLevelType w:val="hybridMultilevel"/>
    <w:tmpl w:val="CFB2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2C00"/>
    <w:multiLevelType w:val="hybridMultilevel"/>
    <w:tmpl w:val="54BE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7">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2EDE"/>
    <w:multiLevelType w:val="singleLevel"/>
    <w:tmpl w:val="607E19A0"/>
    <w:lvl w:ilvl="0">
      <w:start w:val="1"/>
      <w:numFmt w:val="upperLetter"/>
      <w:lvlText w:val="%1."/>
      <w:lvlJc w:val="left"/>
      <w:pPr>
        <w:tabs>
          <w:tab w:val="num" w:pos="720"/>
        </w:tabs>
        <w:ind w:left="720" w:hanging="720"/>
      </w:pPr>
      <w:rPr>
        <w:rFonts w:hint="default"/>
        <w:b w:val="0"/>
      </w:rPr>
    </w:lvl>
  </w:abstractNum>
  <w:num w:numId="1">
    <w:abstractNumId w:val="2"/>
  </w:num>
  <w:num w:numId="2">
    <w:abstractNumId w:val="1"/>
  </w:num>
  <w:num w:numId="3">
    <w:abstractNumId w:val="7"/>
  </w:num>
  <w:num w:numId="4">
    <w:abstractNumId w:val="3"/>
  </w:num>
  <w:num w:numId="5">
    <w:abstractNumId w:val="6"/>
  </w:num>
  <w:num w:numId="6">
    <w:abstractNumId w:val="9"/>
  </w:num>
  <w:num w:numId="7">
    <w:abstractNumId w:val="8"/>
  </w:num>
  <w:num w:numId="8">
    <w:abstractNumId w:val="5"/>
  </w:num>
  <w:num w:numId="9">
    <w:abstractNumId w:val="4"/>
  </w:num>
  <w:num w:numId="10">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D97BED"/>
    <w:rsid w:val="00000B97"/>
    <w:rsid w:val="00000CA7"/>
    <w:rsid w:val="00000F08"/>
    <w:rsid w:val="00001309"/>
    <w:rsid w:val="00001380"/>
    <w:rsid w:val="0000367F"/>
    <w:rsid w:val="000045C5"/>
    <w:rsid w:val="000051B8"/>
    <w:rsid w:val="00006901"/>
    <w:rsid w:val="00006CE5"/>
    <w:rsid w:val="00010042"/>
    <w:rsid w:val="00011146"/>
    <w:rsid w:val="00011270"/>
    <w:rsid w:val="00012DA5"/>
    <w:rsid w:val="000133C4"/>
    <w:rsid w:val="000137A9"/>
    <w:rsid w:val="000137AE"/>
    <w:rsid w:val="00014C14"/>
    <w:rsid w:val="00017D99"/>
    <w:rsid w:val="00017EFF"/>
    <w:rsid w:val="00020B67"/>
    <w:rsid w:val="00021457"/>
    <w:rsid w:val="00023AE4"/>
    <w:rsid w:val="00024672"/>
    <w:rsid w:val="00024D68"/>
    <w:rsid w:val="0002692B"/>
    <w:rsid w:val="00026EE2"/>
    <w:rsid w:val="000275B7"/>
    <w:rsid w:val="00027A68"/>
    <w:rsid w:val="00027EA3"/>
    <w:rsid w:val="00027F29"/>
    <w:rsid w:val="0003006A"/>
    <w:rsid w:val="0003142F"/>
    <w:rsid w:val="000339D1"/>
    <w:rsid w:val="00034979"/>
    <w:rsid w:val="000403A8"/>
    <w:rsid w:val="00044931"/>
    <w:rsid w:val="00051A38"/>
    <w:rsid w:val="00052601"/>
    <w:rsid w:val="00053E88"/>
    <w:rsid w:val="00056554"/>
    <w:rsid w:val="00056EC9"/>
    <w:rsid w:val="000576E2"/>
    <w:rsid w:val="000579A1"/>
    <w:rsid w:val="000604C1"/>
    <w:rsid w:val="000612FD"/>
    <w:rsid w:val="00063D8B"/>
    <w:rsid w:val="0006417F"/>
    <w:rsid w:val="000641A2"/>
    <w:rsid w:val="00064289"/>
    <w:rsid w:val="000642A0"/>
    <w:rsid w:val="000647DF"/>
    <w:rsid w:val="00066E9D"/>
    <w:rsid w:val="00067C4E"/>
    <w:rsid w:val="00067EC1"/>
    <w:rsid w:val="0007097D"/>
    <w:rsid w:val="00073FF0"/>
    <w:rsid w:val="00077EA3"/>
    <w:rsid w:val="000817CE"/>
    <w:rsid w:val="00081991"/>
    <w:rsid w:val="000831F1"/>
    <w:rsid w:val="00084F13"/>
    <w:rsid w:val="000858D3"/>
    <w:rsid w:val="0008721E"/>
    <w:rsid w:val="00091B1B"/>
    <w:rsid w:val="00091EF7"/>
    <w:rsid w:val="00092032"/>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D058F"/>
    <w:rsid w:val="000D09A2"/>
    <w:rsid w:val="000D1C7D"/>
    <w:rsid w:val="000D3815"/>
    <w:rsid w:val="000D3C05"/>
    <w:rsid w:val="000D49B6"/>
    <w:rsid w:val="000D6957"/>
    <w:rsid w:val="000D7282"/>
    <w:rsid w:val="000E413A"/>
    <w:rsid w:val="000E442A"/>
    <w:rsid w:val="000E4C95"/>
    <w:rsid w:val="000F1156"/>
    <w:rsid w:val="000F3CD3"/>
    <w:rsid w:val="000F44A0"/>
    <w:rsid w:val="000F59EA"/>
    <w:rsid w:val="001004B6"/>
    <w:rsid w:val="00105EBF"/>
    <w:rsid w:val="0010625F"/>
    <w:rsid w:val="0010676F"/>
    <w:rsid w:val="001078BF"/>
    <w:rsid w:val="00107C02"/>
    <w:rsid w:val="00111679"/>
    <w:rsid w:val="0011579F"/>
    <w:rsid w:val="00116594"/>
    <w:rsid w:val="00116A61"/>
    <w:rsid w:val="001229D5"/>
    <w:rsid w:val="00124669"/>
    <w:rsid w:val="00126E87"/>
    <w:rsid w:val="001301B0"/>
    <w:rsid w:val="0013033E"/>
    <w:rsid w:val="00130868"/>
    <w:rsid w:val="00130B17"/>
    <w:rsid w:val="001316F2"/>
    <w:rsid w:val="00131D77"/>
    <w:rsid w:val="00133C14"/>
    <w:rsid w:val="001350A8"/>
    <w:rsid w:val="00135851"/>
    <w:rsid w:val="00135BA2"/>
    <w:rsid w:val="00136FF4"/>
    <w:rsid w:val="00141071"/>
    <w:rsid w:val="00141D12"/>
    <w:rsid w:val="00141D3D"/>
    <w:rsid w:val="0014281F"/>
    <w:rsid w:val="001428B4"/>
    <w:rsid w:val="00144108"/>
    <w:rsid w:val="00144D82"/>
    <w:rsid w:val="001473A6"/>
    <w:rsid w:val="0015007D"/>
    <w:rsid w:val="00153396"/>
    <w:rsid w:val="00153BB5"/>
    <w:rsid w:val="00154BA6"/>
    <w:rsid w:val="0016090F"/>
    <w:rsid w:val="00160A98"/>
    <w:rsid w:val="0016195B"/>
    <w:rsid w:val="00161BB2"/>
    <w:rsid w:val="0016334B"/>
    <w:rsid w:val="00164054"/>
    <w:rsid w:val="001652DD"/>
    <w:rsid w:val="001653DD"/>
    <w:rsid w:val="00165A56"/>
    <w:rsid w:val="00166DEA"/>
    <w:rsid w:val="0016712B"/>
    <w:rsid w:val="001701E5"/>
    <w:rsid w:val="0017051E"/>
    <w:rsid w:val="001734C3"/>
    <w:rsid w:val="001759AC"/>
    <w:rsid w:val="00183A00"/>
    <w:rsid w:val="001854A6"/>
    <w:rsid w:val="001862DD"/>
    <w:rsid w:val="001905CC"/>
    <w:rsid w:val="00190C40"/>
    <w:rsid w:val="001913B3"/>
    <w:rsid w:val="00194042"/>
    <w:rsid w:val="00194DD9"/>
    <w:rsid w:val="001A3907"/>
    <w:rsid w:val="001A506B"/>
    <w:rsid w:val="001A5392"/>
    <w:rsid w:val="001A5D0F"/>
    <w:rsid w:val="001A7E97"/>
    <w:rsid w:val="001B1987"/>
    <w:rsid w:val="001B286B"/>
    <w:rsid w:val="001B5FFD"/>
    <w:rsid w:val="001B707E"/>
    <w:rsid w:val="001C4E25"/>
    <w:rsid w:val="001D0093"/>
    <w:rsid w:val="001D06B6"/>
    <w:rsid w:val="001D45E2"/>
    <w:rsid w:val="001D53CE"/>
    <w:rsid w:val="001D5443"/>
    <w:rsid w:val="001D73D5"/>
    <w:rsid w:val="001E2E3C"/>
    <w:rsid w:val="001E379A"/>
    <w:rsid w:val="001E5A2D"/>
    <w:rsid w:val="001F0DB7"/>
    <w:rsid w:val="001F1275"/>
    <w:rsid w:val="001F4903"/>
    <w:rsid w:val="001F6FCA"/>
    <w:rsid w:val="002005A9"/>
    <w:rsid w:val="00200EB7"/>
    <w:rsid w:val="00203ABB"/>
    <w:rsid w:val="00205503"/>
    <w:rsid w:val="002079BD"/>
    <w:rsid w:val="002128A6"/>
    <w:rsid w:val="00213C8A"/>
    <w:rsid w:val="002152CE"/>
    <w:rsid w:val="00215FD3"/>
    <w:rsid w:val="00217819"/>
    <w:rsid w:val="00217A7B"/>
    <w:rsid w:val="002225BA"/>
    <w:rsid w:val="00224D16"/>
    <w:rsid w:val="00230765"/>
    <w:rsid w:val="00230782"/>
    <w:rsid w:val="0023147E"/>
    <w:rsid w:val="0023233B"/>
    <w:rsid w:val="00232E26"/>
    <w:rsid w:val="00234E26"/>
    <w:rsid w:val="00235E1F"/>
    <w:rsid w:val="0023710A"/>
    <w:rsid w:val="00237FBC"/>
    <w:rsid w:val="00242E2F"/>
    <w:rsid w:val="00243879"/>
    <w:rsid w:val="0024549C"/>
    <w:rsid w:val="00246447"/>
    <w:rsid w:val="002467DD"/>
    <w:rsid w:val="00250D66"/>
    <w:rsid w:val="00251A3C"/>
    <w:rsid w:val="00252C4A"/>
    <w:rsid w:val="0025558B"/>
    <w:rsid w:val="002557D9"/>
    <w:rsid w:val="002566EE"/>
    <w:rsid w:val="00256C4D"/>
    <w:rsid w:val="0026092C"/>
    <w:rsid w:val="00260BBA"/>
    <w:rsid w:val="00261A6D"/>
    <w:rsid w:val="00261FB2"/>
    <w:rsid w:val="002656B0"/>
    <w:rsid w:val="00265ABF"/>
    <w:rsid w:val="00265E21"/>
    <w:rsid w:val="002723E4"/>
    <w:rsid w:val="00272CE1"/>
    <w:rsid w:val="00274739"/>
    <w:rsid w:val="00274EAF"/>
    <w:rsid w:val="002755A6"/>
    <w:rsid w:val="00276792"/>
    <w:rsid w:val="00277B0C"/>
    <w:rsid w:val="0028408C"/>
    <w:rsid w:val="00285A58"/>
    <w:rsid w:val="002865EA"/>
    <w:rsid w:val="00290765"/>
    <w:rsid w:val="00291CE6"/>
    <w:rsid w:val="00295696"/>
    <w:rsid w:val="00295B5F"/>
    <w:rsid w:val="002A1165"/>
    <w:rsid w:val="002A1E06"/>
    <w:rsid w:val="002A2104"/>
    <w:rsid w:val="002A371C"/>
    <w:rsid w:val="002A3BB1"/>
    <w:rsid w:val="002A4CD8"/>
    <w:rsid w:val="002A7B2B"/>
    <w:rsid w:val="002B0B6F"/>
    <w:rsid w:val="002B1E51"/>
    <w:rsid w:val="002B50A0"/>
    <w:rsid w:val="002B5650"/>
    <w:rsid w:val="002B79FC"/>
    <w:rsid w:val="002B7A77"/>
    <w:rsid w:val="002C28E6"/>
    <w:rsid w:val="002C37C0"/>
    <w:rsid w:val="002C4EF6"/>
    <w:rsid w:val="002C53EC"/>
    <w:rsid w:val="002D3F4F"/>
    <w:rsid w:val="002D410A"/>
    <w:rsid w:val="002D420E"/>
    <w:rsid w:val="002D4FF0"/>
    <w:rsid w:val="002E0911"/>
    <w:rsid w:val="002E0ED6"/>
    <w:rsid w:val="002E152F"/>
    <w:rsid w:val="002E181A"/>
    <w:rsid w:val="002E3322"/>
    <w:rsid w:val="002E55FC"/>
    <w:rsid w:val="002E5966"/>
    <w:rsid w:val="002E7D3D"/>
    <w:rsid w:val="002F1FF5"/>
    <w:rsid w:val="002F305D"/>
    <w:rsid w:val="002F3A67"/>
    <w:rsid w:val="002F5350"/>
    <w:rsid w:val="002F668B"/>
    <w:rsid w:val="002F6EBB"/>
    <w:rsid w:val="003004F9"/>
    <w:rsid w:val="00300E4D"/>
    <w:rsid w:val="0030634F"/>
    <w:rsid w:val="003071E8"/>
    <w:rsid w:val="00307B43"/>
    <w:rsid w:val="00307B8B"/>
    <w:rsid w:val="00310AF5"/>
    <w:rsid w:val="00313FEC"/>
    <w:rsid w:val="00314277"/>
    <w:rsid w:val="00315543"/>
    <w:rsid w:val="0032045B"/>
    <w:rsid w:val="003211A9"/>
    <w:rsid w:val="003219E5"/>
    <w:rsid w:val="0032296F"/>
    <w:rsid w:val="003229AC"/>
    <w:rsid w:val="003258BF"/>
    <w:rsid w:val="00325D6B"/>
    <w:rsid w:val="003267CD"/>
    <w:rsid w:val="00331481"/>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5593"/>
    <w:rsid w:val="00363366"/>
    <w:rsid w:val="00363AC7"/>
    <w:rsid w:val="003710B8"/>
    <w:rsid w:val="00373C60"/>
    <w:rsid w:val="00376287"/>
    <w:rsid w:val="00376FFA"/>
    <w:rsid w:val="0037737D"/>
    <w:rsid w:val="003866AE"/>
    <w:rsid w:val="00386B2E"/>
    <w:rsid w:val="00387CBA"/>
    <w:rsid w:val="003903DF"/>
    <w:rsid w:val="00390A17"/>
    <w:rsid w:val="003916B2"/>
    <w:rsid w:val="00391E6A"/>
    <w:rsid w:val="0039401A"/>
    <w:rsid w:val="00394F3B"/>
    <w:rsid w:val="003965CB"/>
    <w:rsid w:val="003971E5"/>
    <w:rsid w:val="003A006C"/>
    <w:rsid w:val="003A1B53"/>
    <w:rsid w:val="003A3A99"/>
    <w:rsid w:val="003A61A6"/>
    <w:rsid w:val="003A67F6"/>
    <w:rsid w:val="003B0C80"/>
    <w:rsid w:val="003B253A"/>
    <w:rsid w:val="003B2B11"/>
    <w:rsid w:val="003B2C76"/>
    <w:rsid w:val="003B37C8"/>
    <w:rsid w:val="003B456E"/>
    <w:rsid w:val="003B49E3"/>
    <w:rsid w:val="003B558F"/>
    <w:rsid w:val="003C0B33"/>
    <w:rsid w:val="003C0CDB"/>
    <w:rsid w:val="003C203D"/>
    <w:rsid w:val="003C2F98"/>
    <w:rsid w:val="003C2FB3"/>
    <w:rsid w:val="003C415D"/>
    <w:rsid w:val="003C4B4B"/>
    <w:rsid w:val="003C530C"/>
    <w:rsid w:val="003D0827"/>
    <w:rsid w:val="003D17E5"/>
    <w:rsid w:val="003D3608"/>
    <w:rsid w:val="003D3AF1"/>
    <w:rsid w:val="003D48CE"/>
    <w:rsid w:val="003E14B8"/>
    <w:rsid w:val="003E4F6A"/>
    <w:rsid w:val="003E5D74"/>
    <w:rsid w:val="003F03D4"/>
    <w:rsid w:val="003F484E"/>
    <w:rsid w:val="003F5EF3"/>
    <w:rsid w:val="004002A9"/>
    <w:rsid w:val="004057CE"/>
    <w:rsid w:val="00405B31"/>
    <w:rsid w:val="0040619F"/>
    <w:rsid w:val="004077D0"/>
    <w:rsid w:val="00411124"/>
    <w:rsid w:val="00412E2E"/>
    <w:rsid w:val="00415814"/>
    <w:rsid w:val="00417DDE"/>
    <w:rsid w:val="00417E79"/>
    <w:rsid w:val="0042103E"/>
    <w:rsid w:val="004213C1"/>
    <w:rsid w:val="00422C1E"/>
    <w:rsid w:val="00423399"/>
    <w:rsid w:val="004267A5"/>
    <w:rsid w:val="00427402"/>
    <w:rsid w:val="004279EB"/>
    <w:rsid w:val="00430148"/>
    <w:rsid w:val="00430F20"/>
    <w:rsid w:val="00431206"/>
    <w:rsid w:val="00433A9E"/>
    <w:rsid w:val="00434C77"/>
    <w:rsid w:val="0043593A"/>
    <w:rsid w:val="00436808"/>
    <w:rsid w:val="00437853"/>
    <w:rsid w:val="004405B0"/>
    <w:rsid w:val="00442406"/>
    <w:rsid w:val="004425AD"/>
    <w:rsid w:val="00443C88"/>
    <w:rsid w:val="0044464C"/>
    <w:rsid w:val="004475AA"/>
    <w:rsid w:val="00447AEF"/>
    <w:rsid w:val="00456BE6"/>
    <w:rsid w:val="00456FEF"/>
    <w:rsid w:val="0046281C"/>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F0B"/>
    <w:rsid w:val="00485DFE"/>
    <w:rsid w:val="004903AE"/>
    <w:rsid w:val="004905E7"/>
    <w:rsid w:val="00491C17"/>
    <w:rsid w:val="0049541F"/>
    <w:rsid w:val="00496269"/>
    <w:rsid w:val="004A058C"/>
    <w:rsid w:val="004A698D"/>
    <w:rsid w:val="004A7243"/>
    <w:rsid w:val="004A7748"/>
    <w:rsid w:val="004A7858"/>
    <w:rsid w:val="004B5C0B"/>
    <w:rsid w:val="004B69CE"/>
    <w:rsid w:val="004B6F88"/>
    <w:rsid w:val="004B78BE"/>
    <w:rsid w:val="004B7B16"/>
    <w:rsid w:val="004B7D52"/>
    <w:rsid w:val="004C0452"/>
    <w:rsid w:val="004C1BEF"/>
    <w:rsid w:val="004C271B"/>
    <w:rsid w:val="004C29BF"/>
    <w:rsid w:val="004C4723"/>
    <w:rsid w:val="004C6BA1"/>
    <w:rsid w:val="004C719D"/>
    <w:rsid w:val="004D43E0"/>
    <w:rsid w:val="004D70B8"/>
    <w:rsid w:val="004D747A"/>
    <w:rsid w:val="004D77EA"/>
    <w:rsid w:val="004E02AB"/>
    <w:rsid w:val="004E370C"/>
    <w:rsid w:val="004E5750"/>
    <w:rsid w:val="004E6FFE"/>
    <w:rsid w:val="004F4847"/>
    <w:rsid w:val="004F5149"/>
    <w:rsid w:val="004F74A6"/>
    <w:rsid w:val="004F78BB"/>
    <w:rsid w:val="004F7B30"/>
    <w:rsid w:val="00500C92"/>
    <w:rsid w:val="00503D92"/>
    <w:rsid w:val="00504BDD"/>
    <w:rsid w:val="005050CD"/>
    <w:rsid w:val="00506F66"/>
    <w:rsid w:val="00507DAC"/>
    <w:rsid w:val="005105D2"/>
    <w:rsid w:val="00510835"/>
    <w:rsid w:val="00513614"/>
    <w:rsid w:val="00513BC0"/>
    <w:rsid w:val="0051467A"/>
    <w:rsid w:val="00514B24"/>
    <w:rsid w:val="00515614"/>
    <w:rsid w:val="00516DA7"/>
    <w:rsid w:val="005246B9"/>
    <w:rsid w:val="0052484B"/>
    <w:rsid w:val="00525966"/>
    <w:rsid w:val="0052730B"/>
    <w:rsid w:val="00527743"/>
    <w:rsid w:val="005308EA"/>
    <w:rsid w:val="00530E86"/>
    <w:rsid w:val="00533451"/>
    <w:rsid w:val="005339B9"/>
    <w:rsid w:val="005359D3"/>
    <w:rsid w:val="00535A2B"/>
    <w:rsid w:val="00536D87"/>
    <w:rsid w:val="00541C46"/>
    <w:rsid w:val="005509A8"/>
    <w:rsid w:val="0055115F"/>
    <w:rsid w:val="0055139D"/>
    <w:rsid w:val="0055169C"/>
    <w:rsid w:val="0055194E"/>
    <w:rsid w:val="0055320C"/>
    <w:rsid w:val="0055385B"/>
    <w:rsid w:val="005563F6"/>
    <w:rsid w:val="0055698B"/>
    <w:rsid w:val="0055785E"/>
    <w:rsid w:val="005578EC"/>
    <w:rsid w:val="005579B4"/>
    <w:rsid w:val="0056145D"/>
    <w:rsid w:val="005637E9"/>
    <w:rsid w:val="00565489"/>
    <w:rsid w:val="00566106"/>
    <w:rsid w:val="00572776"/>
    <w:rsid w:val="00575532"/>
    <w:rsid w:val="00577DE9"/>
    <w:rsid w:val="005808C7"/>
    <w:rsid w:val="005841B2"/>
    <w:rsid w:val="005844BC"/>
    <w:rsid w:val="005907D4"/>
    <w:rsid w:val="00592FD6"/>
    <w:rsid w:val="005932AA"/>
    <w:rsid w:val="0059377C"/>
    <w:rsid w:val="00596A77"/>
    <w:rsid w:val="005A246D"/>
    <w:rsid w:val="005A28D5"/>
    <w:rsid w:val="005A30BA"/>
    <w:rsid w:val="005A391E"/>
    <w:rsid w:val="005A723B"/>
    <w:rsid w:val="005A73AA"/>
    <w:rsid w:val="005B35C0"/>
    <w:rsid w:val="005B6614"/>
    <w:rsid w:val="005B6D96"/>
    <w:rsid w:val="005B748E"/>
    <w:rsid w:val="005C02EF"/>
    <w:rsid w:val="005C4463"/>
    <w:rsid w:val="005C6B32"/>
    <w:rsid w:val="005C71E6"/>
    <w:rsid w:val="005D0960"/>
    <w:rsid w:val="005D1DB8"/>
    <w:rsid w:val="005D3759"/>
    <w:rsid w:val="005D39D0"/>
    <w:rsid w:val="005D3ECC"/>
    <w:rsid w:val="005D747F"/>
    <w:rsid w:val="005D769E"/>
    <w:rsid w:val="005E0C1C"/>
    <w:rsid w:val="005E2838"/>
    <w:rsid w:val="005E2BA9"/>
    <w:rsid w:val="005E4259"/>
    <w:rsid w:val="005E759E"/>
    <w:rsid w:val="005F0A75"/>
    <w:rsid w:val="005F0EED"/>
    <w:rsid w:val="005F2A83"/>
    <w:rsid w:val="005F2BA2"/>
    <w:rsid w:val="005F4B42"/>
    <w:rsid w:val="005F60A3"/>
    <w:rsid w:val="006032DF"/>
    <w:rsid w:val="00605F8A"/>
    <w:rsid w:val="00616C58"/>
    <w:rsid w:val="00617802"/>
    <w:rsid w:val="00620424"/>
    <w:rsid w:val="00625166"/>
    <w:rsid w:val="006314EA"/>
    <w:rsid w:val="00636412"/>
    <w:rsid w:val="006365E9"/>
    <w:rsid w:val="00637689"/>
    <w:rsid w:val="00640CF1"/>
    <w:rsid w:val="00640E35"/>
    <w:rsid w:val="00641C04"/>
    <w:rsid w:val="00642873"/>
    <w:rsid w:val="00643255"/>
    <w:rsid w:val="006478BB"/>
    <w:rsid w:val="006514FE"/>
    <w:rsid w:val="00654FA2"/>
    <w:rsid w:val="00660C91"/>
    <w:rsid w:val="00663277"/>
    <w:rsid w:val="006678F2"/>
    <w:rsid w:val="00670506"/>
    <w:rsid w:val="00672DF8"/>
    <w:rsid w:val="006732A9"/>
    <w:rsid w:val="00673621"/>
    <w:rsid w:val="00673684"/>
    <w:rsid w:val="00673CD6"/>
    <w:rsid w:val="006745B4"/>
    <w:rsid w:val="00674C64"/>
    <w:rsid w:val="0067634F"/>
    <w:rsid w:val="006844B6"/>
    <w:rsid w:val="00686194"/>
    <w:rsid w:val="00687C84"/>
    <w:rsid w:val="00690BCC"/>
    <w:rsid w:val="00692517"/>
    <w:rsid w:val="006936A9"/>
    <w:rsid w:val="00694ACB"/>
    <w:rsid w:val="0069709F"/>
    <w:rsid w:val="006A0F03"/>
    <w:rsid w:val="006A1B5E"/>
    <w:rsid w:val="006A5F0C"/>
    <w:rsid w:val="006A607A"/>
    <w:rsid w:val="006B3996"/>
    <w:rsid w:val="006B67CB"/>
    <w:rsid w:val="006B7462"/>
    <w:rsid w:val="006C2815"/>
    <w:rsid w:val="006C4429"/>
    <w:rsid w:val="006C45C5"/>
    <w:rsid w:val="006C6C52"/>
    <w:rsid w:val="006C7C7B"/>
    <w:rsid w:val="006D03ED"/>
    <w:rsid w:val="006D0DBC"/>
    <w:rsid w:val="006D13B7"/>
    <w:rsid w:val="006D46B6"/>
    <w:rsid w:val="006D5E03"/>
    <w:rsid w:val="006D64F6"/>
    <w:rsid w:val="006D7D82"/>
    <w:rsid w:val="006E0F94"/>
    <w:rsid w:val="006E1072"/>
    <w:rsid w:val="006E11CE"/>
    <w:rsid w:val="006E3722"/>
    <w:rsid w:val="006E6159"/>
    <w:rsid w:val="006F5F13"/>
    <w:rsid w:val="006F6375"/>
    <w:rsid w:val="0070176F"/>
    <w:rsid w:val="00701C7B"/>
    <w:rsid w:val="00702C78"/>
    <w:rsid w:val="00703667"/>
    <w:rsid w:val="007055AC"/>
    <w:rsid w:val="007061A1"/>
    <w:rsid w:val="00706D42"/>
    <w:rsid w:val="00710403"/>
    <w:rsid w:val="0071158C"/>
    <w:rsid w:val="00711D2F"/>
    <w:rsid w:val="007126D1"/>
    <w:rsid w:val="00712D5E"/>
    <w:rsid w:val="00717388"/>
    <w:rsid w:val="00717955"/>
    <w:rsid w:val="00717E5C"/>
    <w:rsid w:val="007264D9"/>
    <w:rsid w:val="007269C6"/>
    <w:rsid w:val="00732036"/>
    <w:rsid w:val="0073259B"/>
    <w:rsid w:val="0073318E"/>
    <w:rsid w:val="00733862"/>
    <w:rsid w:val="0073713D"/>
    <w:rsid w:val="007400E2"/>
    <w:rsid w:val="007450F9"/>
    <w:rsid w:val="007451D1"/>
    <w:rsid w:val="00745310"/>
    <w:rsid w:val="00750948"/>
    <w:rsid w:val="007517BF"/>
    <w:rsid w:val="00757988"/>
    <w:rsid w:val="00757B70"/>
    <w:rsid w:val="007611FB"/>
    <w:rsid w:val="00763769"/>
    <w:rsid w:val="00763E92"/>
    <w:rsid w:val="00765784"/>
    <w:rsid w:val="00765853"/>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4334"/>
    <w:rsid w:val="007A76E8"/>
    <w:rsid w:val="007B046A"/>
    <w:rsid w:val="007B6EF7"/>
    <w:rsid w:val="007C101E"/>
    <w:rsid w:val="007C1311"/>
    <w:rsid w:val="007C170A"/>
    <w:rsid w:val="007C1ADD"/>
    <w:rsid w:val="007C1DBE"/>
    <w:rsid w:val="007C2E15"/>
    <w:rsid w:val="007C4ECC"/>
    <w:rsid w:val="007C612F"/>
    <w:rsid w:val="007C62B3"/>
    <w:rsid w:val="007D210E"/>
    <w:rsid w:val="007D260E"/>
    <w:rsid w:val="007D5379"/>
    <w:rsid w:val="007E4217"/>
    <w:rsid w:val="007E5129"/>
    <w:rsid w:val="007F24BB"/>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2029B"/>
    <w:rsid w:val="00820906"/>
    <w:rsid w:val="00820DCB"/>
    <w:rsid w:val="00821661"/>
    <w:rsid w:val="00823EDD"/>
    <w:rsid w:val="008243F0"/>
    <w:rsid w:val="00831D77"/>
    <w:rsid w:val="00835215"/>
    <w:rsid w:val="00837DBA"/>
    <w:rsid w:val="00840FC4"/>
    <w:rsid w:val="0084148D"/>
    <w:rsid w:val="0084156A"/>
    <w:rsid w:val="00841928"/>
    <w:rsid w:val="0084452C"/>
    <w:rsid w:val="00847992"/>
    <w:rsid w:val="00856031"/>
    <w:rsid w:val="00856A1D"/>
    <w:rsid w:val="00856A2B"/>
    <w:rsid w:val="00856BD1"/>
    <w:rsid w:val="0085757D"/>
    <w:rsid w:val="00860056"/>
    <w:rsid w:val="0086165B"/>
    <w:rsid w:val="00861936"/>
    <w:rsid w:val="008631E9"/>
    <w:rsid w:val="00863375"/>
    <w:rsid w:val="00863CBF"/>
    <w:rsid w:val="00863D08"/>
    <w:rsid w:val="00863DF6"/>
    <w:rsid w:val="00876F7D"/>
    <w:rsid w:val="008805F6"/>
    <w:rsid w:val="00880788"/>
    <w:rsid w:val="008810A4"/>
    <w:rsid w:val="00881E49"/>
    <w:rsid w:val="008832A4"/>
    <w:rsid w:val="0088428E"/>
    <w:rsid w:val="00885F3E"/>
    <w:rsid w:val="008903EB"/>
    <w:rsid w:val="00892FB6"/>
    <w:rsid w:val="0089636E"/>
    <w:rsid w:val="00897166"/>
    <w:rsid w:val="008A101F"/>
    <w:rsid w:val="008A12EE"/>
    <w:rsid w:val="008A3161"/>
    <w:rsid w:val="008A344B"/>
    <w:rsid w:val="008A4ABF"/>
    <w:rsid w:val="008A7C59"/>
    <w:rsid w:val="008B0B49"/>
    <w:rsid w:val="008B0EA6"/>
    <w:rsid w:val="008B2A52"/>
    <w:rsid w:val="008B2FB9"/>
    <w:rsid w:val="008B5FF1"/>
    <w:rsid w:val="008C2BE2"/>
    <w:rsid w:val="008C2C58"/>
    <w:rsid w:val="008C4E45"/>
    <w:rsid w:val="008D00BA"/>
    <w:rsid w:val="008D15C8"/>
    <w:rsid w:val="008D389D"/>
    <w:rsid w:val="008D49A8"/>
    <w:rsid w:val="008D6874"/>
    <w:rsid w:val="008D72B2"/>
    <w:rsid w:val="008D72ED"/>
    <w:rsid w:val="008E3BAC"/>
    <w:rsid w:val="008E5512"/>
    <w:rsid w:val="008E55E5"/>
    <w:rsid w:val="008E5EA0"/>
    <w:rsid w:val="008E6CAC"/>
    <w:rsid w:val="008E72DC"/>
    <w:rsid w:val="008F031E"/>
    <w:rsid w:val="008F380B"/>
    <w:rsid w:val="00902690"/>
    <w:rsid w:val="00902F83"/>
    <w:rsid w:val="0090339E"/>
    <w:rsid w:val="009051CF"/>
    <w:rsid w:val="00905B24"/>
    <w:rsid w:val="00907148"/>
    <w:rsid w:val="00907607"/>
    <w:rsid w:val="00911C10"/>
    <w:rsid w:val="0091204D"/>
    <w:rsid w:val="00915190"/>
    <w:rsid w:val="00916400"/>
    <w:rsid w:val="00920952"/>
    <w:rsid w:val="009233A8"/>
    <w:rsid w:val="00926798"/>
    <w:rsid w:val="009300BB"/>
    <w:rsid w:val="009313DC"/>
    <w:rsid w:val="009316FB"/>
    <w:rsid w:val="00932485"/>
    <w:rsid w:val="00932C32"/>
    <w:rsid w:val="00932DAF"/>
    <w:rsid w:val="0093789A"/>
    <w:rsid w:val="00943B6D"/>
    <w:rsid w:val="00944B95"/>
    <w:rsid w:val="00944C93"/>
    <w:rsid w:val="00944CF5"/>
    <w:rsid w:val="009475DC"/>
    <w:rsid w:val="00951B11"/>
    <w:rsid w:val="00952F0C"/>
    <w:rsid w:val="00957194"/>
    <w:rsid w:val="00961CF4"/>
    <w:rsid w:val="00965951"/>
    <w:rsid w:val="00967BCF"/>
    <w:rsid w:val="00967D90"/>
    <w:rsid w:val="00970CB5"/>
    <w:rsid w:val="00970DD8"/>
    <w:rsid w:val="00976AF0"/>
    <w:rsid w:val="00977026"/>
    <w:rsid w:val="009772D3"/>
    <w:rsid w:val="00977541"/>
    <w:rsid w:val="009817FF"/>
    <w:rsid w:val="009821FA"/>
    <w:rsid w:val="009844E5"/>
    <w:rsid w:val="00985448"/>
    <w:rsid w:val="009858AC"/>
    <w:rsid w:val="0098649C"/>
    <w:rsid w:val="009901BB"/>
    <w:rsid w:val="00991804"/>
    <w:rsid w:val="0099260A"/>
    <w:rsid w:val="00993D21"/>
    <w:rsid w:val="00994706"/>
    <w:rsid w:val="009950C9"/>
    <w:rsid w:val="00995D74"/>
    <w:rsid w:val="009A03C0"/>
    <w:rsid w:val="009A045F"/>
    <w:rsid w:val="009B03E6"/>
    <w:rsid w:val="009B2431"/>
    <w:rsid w:val="009B2B16"/>
    <w:rsid w:val="009B2D3A"/>
    <w:rsid w:val="009B47ED"/>
    <w:rsid w:val="009B4AB2"/>
    <w:rsid w:val="009B4DD6"/>
    <w:rsid w:val="009C1C7E"/>
    <w:rsid w:val="009C4F0D"/>
    <w:rsid w:val="009C776C"/>
    <w:rsid w:val="009D0482"/>
    <w:rsid w:val="009D10FA"/>
    <w:rsid w:val="009D1226"/>
    <w:rsid w:val="009D39E2"/>
    <w:rsid w:val="009D42CE"/>
    <w:rsid w:val="009D4FD2"/>
    <w:rsid w:val="009D5718"/>
    <w:rsid w:val="009D5B42"/>
    <w:rsid w:val="009D6C6B"/>
    <w:rsid w:val="009D6EC8"/>
    <w:rsid w:val="009E0443"/>
    <w:rsid w:val="009E1C9F"/>
    <w:rsid w:val="009E39AB"/>
    <w:rsid w:val="009E78A8"/>
    <w:rsid w:val="009E7E76"/>
    <w:rsid w:val="009F32CA"/>
    <w:rsid w:val="009F419F"/>
    <w:rsid w:val="009F476E"/>
    <w:rsid w:val="009F7B29"/>
    <w:rsid w:val="00A0239C"/>
    <w:rsid w:val="00A02D32"/>
    <w:rsid w:val="00A03B9B"/>
    <w:rsid w:val="00A03F2D"/>
    <w:rsid w:val="00A04DE3"/>
    <w:rsid w:val="00A12A91"/>
    <w:rsid w:val="00A12CCA"/>
    <w:rsid w:val="00A13B3D"/>
    <w:rsid w:val="00A214AF"/>
    <w:rsid w:val="00A2199D"/>
    <w:rsid w:val="00A21D77"/>
    <w:rsid w:val="00A22C3C"/>
    <w:rsid w:val="00A23026"/>
    <w:rsid w:val="00A23E53"/>
    <w:rsid w:val="00A2742C"/>
    <w:rsid w:val="00A27F7A"/>
    <w:rsid w:val="00A324A6"/>
    <w:rsid w:val="00A32BEE"/>
    <w:rsid w:val="00A32DBA"/>
    <w:rsid w:val="00A34A96"/>
    <w:rsid w:val="00A35ADC"/>
    <w:rsid w:val="00A36676"/>
    <w:rsid w:val="00A37A56"/>
    <w:rsid w:val="00A41674"/>
    <w:rsid w:val="00A421E4"/>
    <w:rsid w:val="00A4343D"/>
    <w:rsid w:val="00A46FCB"/>
    <w:rsid w:val="00A53BCB"/>
    <w:rsid w:val="00A5642C"/>
    <w:rsid w:val="00A56C31"/>
    <w:rsid w:val="00A5782D"/>
    <w:rsid w:val="00A60994"/>
    <w:rsid w:val="00A61CBD"/>
    <w:rsid w:val="00A63914"/>
    <w:rsid w:val="00A6462B"/>
    <w:rsid w:val="00A667E6"/>
    <w:rsid w:val="00A66A80"/>
    <w:rsid w:val="00A708DE"/>
    <w:rsid w:val="00A72E82"/>
    <w:rsid w:val="00A760E5"/>
    <w:rsid w:val="00A7769E"/>
    <w:rsid w:val="00A81375"/>
    <w:rsid w:val="00A815E1"/>
    <w:rsid w:val="00A8445B"/>
    <w:rsid w:val="00A8592A"/>
    <w:rsid w:val="00A86F4D"/>
    <w:rsid w:val="00A913F6"/>
    <w:rsid w:val="00A92753"/>
    <w:rsid w:val="00A92B32"/>
    <w:rsid w:val="00AA0288"/>
    <w:rsid w:val="00AA0A75"/>
    <w:rsid w:val="00AA2D38"/>
    <w:rsid w:val="00AA3669"/>
    <w:rsid w:val="00AA59D7"/>
    <w:rsid w:val="00AA63A0"/>
    <w:rsid w:val="00AA6998"/>
    <w:rsid w:val="00AB0160"/>
    <w:rsid w:val="00AB34C6"/>
    <w:rsid w:val="00AB491C"/>
    <w:rsid w:val="00AB6D9E"/>
    <w:rsid w:val="00AC0172"/>
    <w:rsid w:val="00AC0929"/>
    <w:rsid w:val="00AC0C1F"/>
    <w:rsid w:val="00AC3122"/>
    <w:rsid w:val="00AC539F"/>
    <w:rsid w:val="00AC6AD2"/>
    <w:rsid w:val="00AD0C8C"/>
    <w:rsid w:val="00AD12E3"/>
    <w:rsid w:val="00AD2418"/>
    <w:rsid w:val="00AD28DF"/>
    <w:rsid w:val="00AD544F"/>
    <w:rsid w:val="00AD60D4"/>
    <w:rsid w:val="00AD68F1"/>
    <w:rsid w:val="00AD7783"/>
    <w:rsid w:val="00AE0A50"/>
    <w:rsid w:val="00AE2545"/>
    <w:rsid w:val="00AE2EBC"/>
    <w:rsid w:val="00AE6463"/>
    <w:rsid w:val="00AE7042"/>
    <w:rsid w:val="00AF31BD"/>
    <w:rsid w:val="00AF449E"/>
    <w:rsid w:val="00AF506C"/>
    <w:rsid w:val="00AF7F61"/>
    <w:rsid w:val="00B004E4"/>
    <w:rsid w:val="00B02446"/>
    <w:rsid w:val="00B03466"/>
    <w:rsid w:val="00B03C3F"/>
    <w:rsid w:val="00B044DD"/>
    <w:rsid w:val="00B106B8"/>
    <w:rsid w:val="00B11DBE"/>
    <w:rsid w:val="00B14FFC"/>
    <w:rsid w:val="00B16AC7"/>
    <w:rsid w:val="00B23556"/>
    <w:rsid w:val="00B24310"/>
    <w:rsid w:val="00B24DB8"/>
    <w:rsid w:val="00B24EEF"/>
    <w:rsid w:val="00B256B7"/>
    <w:rsid w:val="00B32EBC"/>
    <w:rsid w:val="00B32F71"/>
    <w:rsid w:val="00B34D63"/>
    <w:rsid w:val="00B36332"/>
    <w:rsid w:val="00B44C4B"/>
    <w:rsid w:val="00B50A35"/>
    <w:rsid w:val="00B51196"/>
    <w:rsid w:val="00B52E58"/>
    <w:rsid w:val="00B53B35"/>
    <w:rsid w:val="00B543D0"/>
    <w:rsid w:val="00B61584"/>
    <w:rsid w:val="00B658C9"/>
    <w:rsid w:val="00B66088"/>
    <w:rsid w:val="00B74219"/>
    <w:rsid w:val="00B75476"/>
    <w:rsid w:val="00B75E56"/>
    <w:rsid w:val="00B8073A"/>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34CC"/>
    <w:rsid w:val="00BB4772"/>
    <w:rsid w:val="00BB49A2"/>
    <w:rsid w:val="00BB7183"/>
    <w:rsid w:val="00BC0810"/>
    <w:rsid w:val="00BC265C"/>
    <w:rsid w:val="00BC3866"/>
    <w:rsid w:val="00BC53EC"/>
    <w:rsid w:val="00BD0C2C"/>
    <w:rsid w:val="00BD49BE"/>
    <w:rsid w:val="00BD6099"/>
    <w:rsid w:val="00BD67BA"/>
    <w:rsid w:val="00BE3BF6"/>
    <w:rsid w:val="00BE5146"/>
    <w:rsid w:val="00BE7F52"/>
    <w:rsid w:val="00BF35E1"/>
    <w:rsid w:val="00BF49F6"/>
    <w:rsid w:val="00C00078"/>
    <w:rsid w:val="00C01D31"/>
    <w:rsid w:val="00C02F80"/>
    <w:rsid w:val="00C036EC"/>
    <w:rsid w:val="00C03BF2"/>
    <w:rsid w:val="00C03EE7"/>
    <w:rsid w:val="00C06F43"/>
    <w:rsid w:val="00C11338"/>
    <w:rsid w:val="00C11806"/>
    <w:rsid w:val="00C11F1B"/>
    <w:rsid w:val="00C13E98"/>
    <w:rsid w:val="00C14956"/>
    <w:rsid w:val="00C212B3"/>
    <w:rsid w:val="00C21EB1"/>
    <w:rsid w:val="00C2209D"/>
    <w:rsid w:val="00C227A5"/>
    <w:rsid w:val="00C24017"/>
    <w:rsid w:val="00C30A5E"/>
    <w:rsid w:val="00C40B29"/>
    <w:rsid w:val="00C42094"/>
    <w:rsid w:val="00C45143"/>
    <w:rsid w:val="00C51198"/>
    <w:rsid w:val="00C515A4"/>
    <w:rsid w:val="00C528C2"/>
    <w:rsid w:val="00C55A41"/>
    <w:rsid w:val="00C618F9"/>
    <w:rsid w:val="00C61A99"/>
    <w:rsid w:val="00C625E0"/>
    <w:rsid w:val="00C633C5"/>
    <w:rsid w:val="00C644EC"/>
    <w:rsid w:val="00C6499D"/>
    <w:rsid w:val="00C67CEF"/>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14F3"/>
    <w:rsid w:val="00CA4A6F"/>
    <w:rsid w:val="00CA63BC"/>
    <w:rsid w:val="00CA68D7"/>
    <w:rsid w:val="00CA6E5C"/>
    <w:rsid w:val="00CA72CC"/>
    <w:rsid w:val="00CA7DDE"/>
    <w:rsid w:val="00CB0136"/>
    <w:rsid w:val="00CB0B63"/>
    <w:rsid w:val="00CB3A8C"/>
    <w:rsid w:val="00CB7C04"/>
    <w:rsid w:val="00CC3357"/>
    <w:rsid w:val="00CC649D"/>
    <w:rsid w:val="00CC7AF4"/>
    <w:rsid w:val="00CD2E1A"/>
    <w:rsid w:val="00CD3750"/>
    <w:rsid w:val="00CD465F"/>
    <w:rsid w:val="00CD643F"/>
    <w:rsid w:val="00CD653F"/>
    <w:rsid w:val="00CD6C4E"/>
    <w:rsid w:val="00CD7390"/>
    <w:rsid w:val="00CE15C5"/>
    <w:rsid w:val="00CE72D2"/>
    <w:rsid w:val="00CF0C9D"/>
    <w:rsid w:val="00CF15B9"/>
    <w:rsid w:val="00CF38F2"/>
    <w:rsid w:val="00CF43A5"/>
    <w:rsid w:val="00CF5A45"/>
    <w:rsid w:val="00D02B6F"/>
    <w:rsid w:val="00D03729"/>
    <w:rsid w:val="00D03BB7"/>
    <w:rsid w:val="00D05A75"/>
    <w:rsid w:val="00D065FD"/>
    <w:rsid w:val="00D07FE3"/>
    <w:rsid w:val="00D14107"/>
    <w:rsid w:val="00D14E95"/>
    <w:rsid w:val="00D155A6"/>
    <w:rsid w:val="00D16FE4"/>
    <w:rsid w:val="00D21972"/>
    <w:rsid w:val="00D21B75"/>
    <w:rsid w:val="00D24A29"/>
    <w:rsid w:val="00D274FC"/>
    <w:rsid w:val="00D27923"/>
    <w:rsid w:val="00D30920"/>
    <w:rsid w:val="00D4018E"/>
    <w:rsid w:val="00D41D6C"/>
    <w:rsid w:val="00D42C78"/>
    <w:rsid w:val="00D42FAD"/>
    <w:rsid w:val="00D448BA"/>
    <w:rsid w:val="00D451DA"/>
    <w:rsid w:val="00D454CE"/>
    <w:rsid w:val="00D4724B"/>
    <w:rsid w:val="00D47B7A"/>
    <w:rsid w:val="00D51362"/>
    <w:rsid w:val="00D51834"/>
    <w:rsid w:val="00D53D0B"/>
    <w:rsid w:val="00D5553D"/>
    <w:rsid w:val="00D566CA"/>
    <w:rsid w:val="00D56F00"/>
    <w:rsid w:val="00D574DA"/>
    <w:rsid w:val="00D624C2"/>
    <w:rsid w:val="00D63653"/>
    <w:rsid w:val="00D63EF9"/>
    <w:rsid w:val="00D642FA"/>
    <w:rsid w:val="00D71021"/>
    <w:rsid w:val="00D713CD"/>
    <w:rsid w:val="00D72041"/>
    <w:rsid w:val="00D72953"/>
    <w:rsid w:val="00D7457C"/>
    <w:rsid w:val="00D74902"/>
    <w:rsid w:val="00D752F3"/>
    <w:rsid w:val="00D77405"/>
    <w:rsid w:val="00D8070E"/>
    <w:rsid w:val="00D82574"/>
    <w:rsid w:val="00D83F6A"/>
    <w:rsid w:val="00D843FF"/>
    <w:rsid w:val="00D91DDF"/>
    <w:rsid w:val="00D92FAF"/>
    <w:rsid w:val="00D9410B"/>
    <w:rsid w:val="00D96EEE"/>
    <w:rsid w:val="00D97BED"/>
    <w:rsid w:val="00DA3DFF"/>
    <w:rsid w:val="00DA59D9"/>
    <w:rsid w:val="00DA6741"/>
    <w:rsid w:val="00DA6907"/>
    <w:rsid w:val="00DA6FA6"/>
    <w:rsid w:val="00DB4315"/>
    <w:rsid w:val="00DB4F8F"/>
    <w:rsid w:val="00DC0E80"/>
    <w:rsid w:val="00DC15C6"/>
    <w:rsid w:val="00DD58EC"/>
    <w:rsid w:val="00DD6DA3"/>
    <w:rsid w:val="00DD79BA"/>
    <w:rsid w:val="00DE07A3"/>
    <w:rsid w:val="00DE24ED"/>
    <w:rsid w:val="00DE4D45"/>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2496"/>
    <w:rsid w:val="00E33A2D"/>
    <w:rsid w:val="00E33E1B"/>
    <w:rsid w:val="00E36237"/>
    <w:rsid w:val="00E3698C"/>
    <w:rsid w:val="00E40CD6"/>
    <w:rsid w:val="00E44030"/>
    <w:rsid w:val="00E45B3E"/>
    <w:rsid w:val="00E501E3"/>
    <w:rsid w:val="00E5295D"/>
    <w:rsid w:val="00E5384E"/>
    <w:rsid w:val="00E54A62"/>
    <w:rsid w:val="00E57D3C"/>
    <w:rsid w:val="00E61ED6"/>
    <w:rsid w:val="00E679F5"/>
    <w:rsid w:val="00E708D8"/>
    <w:rsid w:val="00E710F7"/>
    <w:rsid w:val="00E72BA6"/>
    <w:rsid w:val="00E73076"/>
    <w:rsid w:val="00E73A49"/>
    <w:rsid w:val="00E8036A"/>
    <w:rsid w:val="00E81627"/>
    <w:rsid w:val="00E8228F"/>
    <w:rsid w:val="00E831FC"/>
    <w:rsid w:val="00E8615E"/>
    <w:rsid w:val="00E91497"/>
    <w:rsid w:val="00E9190D"/>
    <w:rsid w:val="00E92266"/>
    <w:rsid w:val="00E94E64"/>
    <w:rsid w:val="00E952A0"/>
    <w:rsid w:val="00E9732D"/>
    <w:rsid w:val="00E976AF"/>
    <w:rsid w:val="00EA1465"/>
    <w:rsid w:val="00EA2F9C"/>
    <w:rsid w:val="00EA3474"/>
    <w:rsid w:val="00EA37E9"/>
    <w:rsid w:val="00EA4AD0"/>
    <w:rsid w:val="00EA748C"/>
    <w:rsid w:val="00EB01C9"/>
    <w:rsid w:val="00EB5DC7"/>
    <w:rsid w:val="00EC13B0"/>
    <w:rsid w:val="00EC30A8"/>
    <w:rsid w:val="00EC4808"/>
    <w:rsid w:val="00EC5F9B"/>
    <w:rsid w:val="00EC5FB8"/>
    <w:rsid w:val="00EC7822"/>
    <w:rsid w:val="00EC7D16"/>
    <w:rsid w:val="00ED00A0"/>
    <w:rsid w:val="00ED0366"/>
    <w:rsid w:val="00ED2859"/>
    <w:rsid w:val="00ED3D08"/>
    <w:rsid w:val="00ED4B56"/>
    <w:rsid w:val="00ED4CFB"/>
    <w:rsid w:val="00ED4F81"/>
    <w:rsid w:val="00ED5411"/>
    <w:rsid w:val="00ED6ACC"/>
    <w:rsid w:val="00EE09A7"/>
    <w:rsid w:val="00EE108C"/>
    <w:rsid w:val="00EE49CD"/>
    <w:rsid w:val="00EE62B3"/>
    <w:rsid w:val="00EE7852"/>
    <w:rsid w:val="00EF0A02"/>
    <w:rsid w:val="00EF0E3D"/>
    <w:rsid w:val="00EF3DE7"/>
    <w:rsid w:val="00EF49E2"/>
    <w:rsid w:val="00EF72D0"/>
    <w:rsid w:val="00F002E6"/>
    <w:rsid w:val="00F00366"/>
    <w:rsid w:val="00F004A3"/>
    <w:rsid w:val="00F016F5"/>
    <w:rsid w:val="00F0286D"/>
    <w:rsid w:val="00F03B32"/>
    <w:rsid w:val="00F06733"/>
    <w:rsid w:val="00F06D8E"/>
    <w:rsid w:val="00F07420"/>
    <w:rsid w:val="00F13E8D"/>
    <w:rsid w:val="00F2036E"/>
    <w:rsid w:val="00F20C4A"/>
    <w:rsid w:val="00F20CDB"/>
    <w:rsid w:val="00F2133C"/>
    <w:rsid w:val="00F2170E"/>
    <w:rsid w:val="00F31004"/>
    <w:rsid w:val="00F311C6"/>
    <w:rsid w:val="00F32FD5"/>
    <w:rsid w:val="00F35496"/>
    <w:rsid w:val="00F367C2"/>
    <w:rsid w:val="00F36B67"/>
    <w:rsid w:val="00F37865"/>
    <w:rsid w:val="00F400DB"/>
    <w:rsid w:val="00F40183"/>
    <w:rsid w:val="00F40958"/>
    <w:rsid w:val="00F41F48"/>
    <w:rsid w:val="00F42E9F"/>
    <w:rsid w:val="00F441A8"/>
    <w:rsid w:val="00F45244"/>
    <w:rsid w:val="00F4543A"/>
    <w:rsid w:val="00F4615E"/>
    <w:rsid w:val="00F5012F"/>
    <w:rsid w:val="00F509D2"/>
    <w:rsid w:val="00F52169"/>
    <w:rsid w:val="00F5250C"/>
    <w:rsid w:val="00F53CAD"/>
    <w:rsid w:val="00F66819"/>
    <w:rsid w:val="00F70898"/>
    <w:rsid w:val="00F70BAD"/>
    <w:rsid w:val="00F71EA6"/>
    <w:rsid w:val="00F750FC"/>
    <w:rsid w:val="00F7520C"/>
    <w:rsid w:val="00F75756"/>
    <w:rsid w:val="00F75787"/>
    <w:rsid w:val="00F75B16"/>
    <w:rsid w:val="00F75D09"/>
    <w:rsid w:val="00F76544"/>
    <w:rsid w:val="00F80C68"/>
    <w:rsid w:val="00F8509C"/>
    <w:rsid w:val="00F854B9"/>
    <w:rsid w:val="00F90199"/>
    <w:rsid w:val="00F92D1A"/>
    <w:rsid w:val="00F93455"/>
    <w:rsid w:val="00F93F21"/>
    <w:rsid w:val="00F94B81"/>
    <w:rsid w:val="00F955D1"/>
    <w:rsid w:val="00F966B8"/>
    <w:rsid w:val="00F97F7E"/>
    <w:rsid w:val="00FA04D7"/>
    <w:rsid w:val="00FA0BB6"/>
    <w:rsid w:val="00FA13E5"/>
    <w:rsid w:val="00FA192E"/>
    <w:rsid w:val="00FA2383"/>
    <w:rsid w:val="00FA661F"/>
    <w:rsid w:val="00FA76CB"/>
    <w:rsid w:val="00FB203E"/>
    <w:rsid w:val="00FB27FA"/>
    <w:rsid w:val="00FB2EF4"/>
    <w:rsid w:val="00FB2FCD"/>
    <w:rsid w:val="00FC2733"/>
    <w:rsid w:val="00FC2D5B"/>
    <w:rsid w:val="00FC348B"/>
    <w:rsid w:val="00FC4FD8"/>
    <w:rsid w:val="00FC59ED"/>
    <w:rsid w:val="00FC68D8"/>
    <w:rsid w:val="00FC716A"/>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CDF"/>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1526847">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138111114">
      <w:bodyDiv w:val="1"/>
      <w:marLeft w:val="0"/>
      <w:marRight w:val="0"/>
      <w:marTop w:val="0"/>
      <w:marBottom w:val="0"/>
      <w:divBdr>
        <w:top w:val="none" w:sz="0" w:space="0" w:color="auto"/>
        <w:left w:val="none" w:sz="0" w:space="0" w:color="auto"/>
        <w:bottom w:val="none" w:sz="0" w:space="0" w:color="auto"/>
        <w:right w:val="none" w:sz="0" w:space="0" w:color="auto"/>
      </w:divBdr>
    </w:div>
    <w:div w:id="1202667945">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68854838">
      <w:bodyDiv w:val="1"/>
      <w:marLeft w:val="0"/>
      <w:marRight w:val="0"/>
      <w:marTop w:val="0"/>
      <w:marBottom w:val="0"/>
      <w:divBdr>
        <w:top w:val="none" w:sz="0" w:space="0" w:color="auto"/>
        <w:left w:val="none" w:sz="0" w:space="0" w:color="auto"/>
        <w:bottom w:val="none" w:sz="0" w:space="0" w:color="auto"/>
        <w:right w:val="none" w:sz="0" w:space="0" w:color="auto"/>
      </w:divBdr>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98252478">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28A20-A04F-457C-92A5-3F6E916EDF84}"/>
</file>

<file path=customXml/itemProps2.xml><?xml version="1.0" encoding="utf-8"?>
<ds:datastoreItem xmlns:ds="http://schemas.openxmlformats.org/officeDocument/2006/customXml" ds:itemID="{62C2617C-1C42-4407-8E22-A016F4B2C930}"/>
</file>

<file path=customXml/itemProps3.xml><?xml version="1.0" encoding="utf-8"?>
<ds:datastoreItem xmlns:ds="http://schemas.openxmlformats.org/officeDocument/2006/customXml" ds:itemID="{83F74FE2-9BA0-4959-A645-B0F951461DDE}"/>
</file>

<file path=customXml/itemProps4.xml><?xml version="1.0" encoding="utf-8"?>
<ds:datastoreItem xmlns:ds="http://schemas.openxmlformats.org/officeDocument/2006/customXml" ds:itemID="{928E591B-5C3B-4DF7-A770-966BDE0DACC3}"/>
</file>

<file path=docProps/app.xml><?xml version="1.0" encoding="utf-8"?>
<Properties xmlns="http://schemas.openxmlformats.org/officeDocument/2006/extended-properties" xmlns:vt="http://schemas.openxmlformats.org/officeDocument/2006/docPropsVTypes">
  <Template>Normal.dotm</Template>
  <TotalTime>0</TotalTime>
  <Pages>10</Pages>
  <Words>2049</Words>
  <Characters>11323</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2010-11-23T23:57:00Z</dcterms:created>
  <dcterms:modified xsi:type="dcterms:W3CDTF">2010-11-23T23:57:00Z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