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9C" w:rsidRDefault="001F719C" w:rsidP="000E2C50">
      <w:pPr>
        <w:pStyle w:val="single"/>
        <w:widowControl w:val="0"/>
        <w:ind w:left="4320" w:firstLine="0"/>
        <w:rPr>
          <w:rStyle w:val="Strong"/>
        </w:rPr>
      </w:pPr>
      <w:r>
        <w:rPr>
          <w:rStyle w:val="Strong"/>
        </w:rPr>
        <w:t>EXHIBIT NO. ___(LEO-4T)</w:t>
      </w:r>
      <w:r>
        <w:rPr>
          <w:rStyle w:val="Strong"/>
        </w:rPr>
        <w:br/>
        <w:t>2013 PSE PCORC</w:t>
      </w:r>
      <w:r>
        <w:rPr>
          <w:rStyle w:val="Strong"/>
        </w:rPr>
        <w:br/>
        <w:t>WITNESS:  L. EDWARD ODOM</w:t>
      </w:r>
    </w:p>
    <w:p w:rsidR="001F719C" w:rsidRDefault="001F719C" w:rsidP="00E355F7">
      <w:pPr>
        <w:pStyle w:val="center"/>
        <w:keepLines w:val="0"/>
        <w:widowControl w:val="0"/>
        <w:spacing w:before="0" w:line="240" w:lineRule="auto"/>
        <w:rPr>
          <w:b/>
        </w:rPr>
      </w:pPr>
    </w:p>
    <w:p w:rsidR="001F719C" w:rsidRDefault="001F719C" w:rsidP="00E355F7">
      <w:pPr>
        <w:pStyle w:val="center"/>
        <w:keepLines w:val="0"/>
        <w:widowControl w:val="0"/>
        <w:spacing w:before="0" w:line="240" w:lineRule="auto"/>
        <w:rPr>
          <w:b/>
        </w:rPr>
      </w:pPr>
      <w:r>
        <w:rPr>
          <w:b/>
        </w:rPr>
        <w:t>BEFORE THE</w:t>
      </w:r>
    </w:p>
    <w:p w:rsidR="001F719C" w:rsidRDefault="001F719C" w:rsidP="00E355F7">
      <w:pPr>
        <w:pStyle w:val="center"/>
        <w:keepLines w:val="0"/>
        <w:widowControl w:val="0"/>
        <w:spacing w:before="0" w:line="240" w:lineRule="auto"/>
        <w:rPr>
          <w:b/>
        </w:rPr>
      </w:pPr>
      <w:r>
        <w:rPr>
          <w:b/>
        </w:rPr>
        <w:t>WASHINGTON UTILITIES AND TRANSPORTATION COMMISSION</w:t>
      </w:r>
    </w:p>
    <w:p w:rsidR="001F719C" w:rsidRDefault="001F719C" w:rsidP="00E355F7">
      <w:pPr>
        <w:pStyle w:val="center"/>
        <w:keepLines w:val="0"/>
        <w:widowControl w:val="0"/>
        <w:spacing w:before="0" w:line="240" w:lineRule="auto"/>
        <w:rPr>
          <w:b/>
        </w:rPr>
      </w:pPr>
    </w:p>
    <w:p w:rsidR="001F719C" w:rsidRDefault="001F719C" w:rsidP="00E355F7">
      <w:pPr>
        <w:pStyle w:val="center"/>
        <w:keepLines w:val="0"/>
        <w:widowControl w:val="0"/>
        <w:spacing w:before="0" w:line="240" w:lineRule="auto"/>
        <w:rPr>
          <w:b/>
        </w:rPr>
      </w:pPr>
    </w:p>
    <w:tbl>
      <w:tblPr>
        <w:tblW w:w="8771" w:type="dxa"/>
        <w:tblInd w:w="-8" w:type="dxa"/>
        <w:tblLayout w:type="fixed"/>
        <w:tblCellMar>
          <w:left w:w="0" w:type="dxa"/>
          <w:right w:w="0" w:type="dxa"/>
        </w:tblCellMar>
        <w:tblLook w:val="0000"/>
      </w:tblPr>
      <w:tblGrid>
        <w:gridCol w:w="4326"/>
        <w:gridCol w:w="25"/>
        <w:gridCol w:w="4420"/>
      </w:tblGrid>
      <w:tr w:rsidR="001F719C" w:rsidRPr="00EC43ED" w:rsidTr="00D23108">
        <w:trPr>
          <w:cantSplit/>
        </w:trPr>
        <w:tc>
          <w:tcPr>
            <w:tcW w:w="4328" w:type="dxa"/>
            <w:tcBorders>
              <w:bottom w:val="single" w:sz="4" w:space="0" w:color="auto"/>
              <w:right w:val="single" w:sz="4" w:space="0" w:color="auto"/>
            </w:tcBorders>
          </w:tcPr>
          <w:p w:rsidR="001F719C" w:rsidRPr="00EC43ED" w:rsidRDefault="001F719C" w:rsidP="000E2C50">
            <w:pPr>
              <w:pStyle w:val="SingleSpacing"/>
              <w:widowControl w:val="0"/>
              <w:tabs>
                <w:tab w:val="left" w:pos="2168"/>
              </w:tabs>
              <w:ind w:right="360"/>
              <w:rPr>
                <w:sz w:val="24"/>
              </w:rPr>
            </w:pPr>
            <w:r w:rsidRPr="00EC43ED">
              <w:rPr>
                <w:sz w:val="24"/>
              </w:rPr>
              <w:t>In the Matter of the Petition of</w:t>
            </w:r>
          </w:p>
          <w:p w:rsidR="001F719C" w:rsidRPr="00EC43ED" w:rsidRDefault="001F719C" w:rsidP="000E2C50">
            <w:pPr>
              <w:pStyle w:val="SingleSpacing"/>
              <w:widowControl w:val="0"/>
              <w:tabs>
                <w:tab w:val="left" w:pos="2168"/>
              </w:tabs>
              <w:ind w:right="360"/>
              <w:rPr>
                <w:sz w:val="24"/>
              </w:rPr>
            </w:pPr>
            <w:r w:rsidRPr="00EC43ED">
              <w:rPr>
                <w:sz w:val="24"/>
              </w:rPr>
              <w:t xml:space="preserve">PUGET SOUND ENERGY, Inc. </w:t>
            </w:r>
          </w:p>
          <w:p w:rsidR="001F719C" w:rsidRPr="00EC43ED" w:rsidRDefault="001F719C" w:rsidP="000E2C50">
            <w:pPr>
              <w:pStyle w:val="SingleSpacing"/>
              <w:widowControl w:val="0"/>
              <w:tabs>
                <w:tab w:val="left" w:pos="2168"/>
              </w:tabs>
              <w:ind w:right="360"/>
              <w:rPr>
                <w:sz w:val="24"/>
              </w:rPr>
            </w:pPr>
          </w:p>
          <w:p w:rsidR="001F719C" w:rsidRPr="00EC43ED" w:rsidRDefault="001F719C" w:rsidP="006C5678">
            <w:pPr>
              <w:pStyle w:val="SingleSpacing"/>
              <w:widowControl w:val="0"/>
              <w:tabs>
                <w:tab w:val="left" w:pos="2168"/>
              </w:tabs>
              <w:ind w:right="360"/>
              <w:rPr>
                <w:sz w:val="22"/>
                <w:szCs w:val="22"/>
              </w:rPr>
            </w:pPr>
            <w:r w:rsidRPr="00EC43ED">
              <w:rPr>
                <w:sz w:val="22"/>
                <w:szCs w:val="22"/>
              </w:rPr>
              <w:t>For an Accounting Order Authorizing Accounting Treatment Related to Payments for Major Maintenance Activities</w:t>
            </w:r>
          </w:p>
        </w:tc>
        <w:tc>
          <w:tcPr>
            <w:tcW w:w="20" w:type="dxa"/>
            <w:tcBorders>
              <w:left w:val="single" w:sz="4" w:space="0" w:color="auto"/>
            </w:tcBorders>
          </w:tcPr>
          <w:p w:rsidR="001F719C" w:rsidRPr="00EC43ED" w:rsidRDefault="001F719C" w:rsidP="000E2C50">
            <w:pPr>
              <w:widowControl w:val="0"/>
              <w:ind w:left="-774"/>
            </w:pPr>
          </w:p>
        </w:tc>
        <w:tc>
          <w:tcPr>
            <w:tcW w:w="4423" w:type="dxa"/>
            <w:vAlign w:val="center"/>
          </w:tcPr>
          <w:p w:rsidR="001F719C" w:rsidRPr="00EC43ED" w:rsidRDefault="001F719C" w:rsidP="00865DEF">
            <w:pPr>
              <w:pStyle w:val="SingleSpacing"/>
              <w:widowControl w:val="0"/>
              <w:ind w:left="198"/>
              <w:rPr>
                <w:b/>
                <w:sz w:val="24"/>
              </w:rPr>
            </w:pPr>
            <w:r w:rsidRPr="00EC43ED">
              <w:rPr>
                <w:b/>
                <w:sz w:val="24"/>
              </w:rPr>
              <w:t>Docket No. UE-130583</w:t>
            </w:r>
          </w:p>
        </w:tc>
      </w:tr>
      <w:tr w:rsidR="001F719C" w:rsidRPr="00EC43ED" w:rsidTr="00D23108">
        <w:trPr>
          <w:cantSplit/>
        </w:trPr>
        <w:tc>
          <w:tcPr>
            <w:tcW w:w="4328" w:type="dxa"/>
            <w:tcBorders>
              <w:bottom w:val="single" w:sz="4" w:space="0" w:color="auto"/>
              <w:right w:val="single" w:sz="4" w:space="0" w:color="auto"/>
            </w:tcBorders>
          </w:tcPr>
          <w:p w:rsidR="001F719C" w:rsidRPr="00EC43ED" w:rsidRDefault="001F719C" w:rsidP="000E2C50">
            <w:pPr>
              <w:pStyle w:val="SingleSpacing"/>
              <w:widowControl w:val="0"/>
              <w:spacing w:before="120"/>
              <w:rPr>
                <w:sz w:val="24"/>
              </w:rPr>
            </w:pPr>
            <w:r w:rsidRPr="00EC43ED">
              <w:rPr>
                <w:sz w:val="24"/>
              </w:rPr>
              <w:t>WASHINGTON UTILITIES AND</w:t>
            </w:r>
          </w:p>
          <w:p w:rsidR="001F719C" w:rsidRPr="00EC43ED" w:rsidRDefault="001F719C" w:rsidP="000E2C50">
            <w:pPr>
              <w:pStyle w:val="SingleSpacing"/>
              <w:widowControl w:val="0"/>
              <w:rPr>
                <w:sz w:val="24"/>
              </w:rPr>
            </w:pPr>
            <w:r w:rsidRPr="00EC43ED">
              <w:rPr>
                <w:sz w:val="24"/>
              </w:rPr>
              <w:t>TRANSPORTATION COMMISSION,</w:t>
            </w:r>
          </w:p>
          <w:p w:rsidR="001F719C" w:rsidRPr="00EC43ED" w:rsidRDefault="001F719C" w:rsidP="000E2C50">
            <w:pPr>
              <w:pStyle w:val="SingleSpacing"/>
              <w:widowControl w:val="0"/>
              <w:tabs>
                <w:tab w:val="left" w:pos="2168"/>
                <w:tab w:val="left" w:pos="4550"/>
              </w:tabs>
              <w:ind w:right="360"/>
              <w:jc w:val="right"/>
              <w:rPr>
                <w:sz w:val="24"/>
              </w:rPr>
            </w:pPr>
            <w:r w:rsidRPr="00EC43ED">
              <w:rPr>
                <w:sz w:val="24"/>
              </w:rPr>
              <w:t>Complainant,</w:t>
            </w:r>
          </w:p>
          <w:p w:rsidR="001F719C" w:rsidRPr="00EC43ED" w:rsidRDefault="001F719C" w:rsidP="000E2C50">
            <w:pPr>
              <w:pStyle w:val="SingleSpacing"/>
              <w:widowControl w:val="0"/>
              <w:rPr>
                <w:sz w:val="24"/>
              </w:rPr>
            </w:pPr>
            <w:r w:rsidRPr="00EC43ED">
              <w:rPr>
                <w:sz w:val="24"/>
              </w:rPr>
              <w:tab/>
              <w:t>v.</w:t>
            </w:r>
          </w:p>
          <w:p w:rsidR="001F719C" w:rsidRPr="00EC43ED" w:rsidRDefault="001F719C" w:rsidP="000E2C50">
            <w:pPr>
              <w:pStyle w:val="SingleSpacing"/>
              <w:widowControl w:val="0"/>
              <w:rPr>
                <w:sz w:val="24"/>
              </w:rPr>
            </w:pPr>
          </w:p>
          <w:p w:rsidR="001F719C" w:rsidRPr="00EC43ED" w:rsidRDefault="001F719C" w:rsidP="000E2C50">
            <w:pPr>
              <w:pStyle w:val="SingleSpacing"/>
              <w:widowControl w:val="0"/>
              <w:rPr>
                <w:sz w:val="24"/>
              </w:rPr>
            </w:pPr>
            <w:r w:rsidRPr="00EC43ED">
              <w:rPr>
                <w:sz w:val="24"/>
              </w:rPr>
              <w:t>PUGET SOUND ENERGY, INC.,</w:t>
            </w:r>
          </w:p>
          <w:p w:rsidR="001F719C" w:rsidRPr="00EC43ED" w:rsidRDefault="001F719C" w:rsidP="006C5678">
            <w:pPr>
              <w:pStyle w:val="SingleSpacing"/>
              <w:widowControl w:val="0"/>
              <w:tabs>
                <w:tab w:val="left" w:pos="2168"/>
              </w:tabs>
              <w:ind w:right="360"/>
              <w:jc w:val="right"/>
              <w:rPr>
                <w:sz w:val="24"/>
              </w:rPr>
            </w:pPr>
            <w:r w:rsidRPr="00EC43ED">
              <w:rPr>
                <w:sz w:val="24"/>
              </w:rPr>
              <w:t>Respondent.</w:t>
            </w:r>
          </w:p>
        </w:tc>
        <w:tc>
          <w:tcPr>
            <w:tcW w:w="20" w:type="dxa"/>
            <w:tcBorders>
              <w:left w:val="single" w:sz="4" w:space="0" w:color="auto"/>
            </w:tcBorders>
          </w:tcPr>
          <w:p w:rsidR="001F719C" w:rsidRPr="00EC43ED" w:rsidRDefault="001F719C" w:rsidP="00D23108">
            <w:pPr>
              <w:widowControl w:val="0"/>
            </w:pPr>
          </w:p>
        </w:tc>
        <w:tc>
          <w:tcPr>
            <w:tcW w:w="4423" w:type="dxa"/>
            <w:vAlign w:val="center"/>
          </w:tcPr>
          <w:p w:rsidR="001F719C" w:rsidRPr="00EC43ED" w:rsidRDefault="001F719C" w:rsidP="00D23108">
            <w:pPr>
              <w:pStyle w:val="SingleSpacing"/>
              <w:widowControl w:val="0"/>
              <w:ind w:left="198"/>
              <w:rPr>
                <w:b/>
                <w:sz w:val="24"/>
              </w:rPr>
            </w:pPr>
            <w:r w:rsidRPr="00EC43ED">
              <w:rPr>
                <w:b/>
                <w:sz w:val="24"/>
              </w:rPr>
              <w:t>Docket No. UE-130617</w:t>
            </w:r>
          </w:p>
        </w:tc>
      </w:tr>
      <w:tr w:rsidR="001F719C" w:rsidRPr="00EC43ED" w:rsidTr="00D23108">
        <w:trPr>
          <w:cantSplit/>
        </w:trPr>
        <w:tc>
          <w:tcPr>
            <w:tcW w:w="4328" w:type="dxa"/>
            <w:tcBorders>
              <w:bottom w:val="single" w:sz="4" w:space="0" w:color="auto"/>
              <w:right w:val="single" w:sz="4" w:space="0" w:color="auto"/>
            </w:tcBorders>
          </w:tcPr>
          <w:p w:rsidR="001F719C" w:rsidRPr="00EC43ED" w:rsidRDefault="001F719C" w:rsidP="000E2C50">
            <w:pPr>
              <w:pStyle w:val="SingleSpacing"/>
              <w:widowControl w:val="0"/>
              <w:tabs>
                <w:tab w:val="left" w:pos="2168"/>
              </w:tabs>
              <w:spacing w:before="120"/>
              <w:ind w:right="360"/>
              <w:rPr>
                <w:sz w:val="24"/>
              </w:rPr>
            </w:pPr>
            <w:r w:rsidRPr="00EC43ED">
              <w:rPr>
                <w:sz w:val="24"/>
              </w:rPr>
              <w:t>In the Matter of the Petition of</w:t>
            </w:r>
          </w:p>
          <w:p w:rsidR="001F719C" w:rsidRPr="00EC43ED" w:rsidRDefault="001F719C" w:rsidP="00F71906">
            <w:pPr>
              <w:pStyle w:val="SingleSpacing"/>
              <w:widowControl w:val="0"/>
              <w:tabs>
                <w:tab w:val="left" w:pos="2168"/>
              </w:tabs>
              <w:ind w:right="360"/>
              <w:rPr>
                <w:sz w:val="24"/>
              </w:rPr>
            </w:pPr>
            <w:r w:rsidRPr="00EC43ED">
              <w:rPr>
                <w:sz w:val="24"/>
              </w:rPr>
              <w:t xml:space="preserve">PUGET SOUND ENERGY, Inc. </w:t>
            </w:r>
          </w:p>
          <w:p w:rsidR="001F719C" w:rsidRPr="00EC43ED" w:rsidRDefault="001F719C" w:rsidP="00F71906">
            <w:pPr>
              <w:pStyle w:val="SingleSpacing"/>
              <w:widowControl w:val="0"/>
              <w:tabs>
                <w:tab w:val="left" w:pos="2168"/>
              </w:tabs>
              <w:ind w:right="360"/>
              <w:rPr>
                <w:sz w:val="24"/>
              </w:rPr>
            </w:pPr>
          </w:p>
          <w:p w:rsidR="001F719C" w:rsidRPr="00EC43ED" w:rsidRDefault="001F719C" w:rsidP="006C5678">
            <w:pPr>
              <w:pStyle w:val="SingleSpacing"/>
              <w:widowControl w:val="0"/>
              <w:tabs>
                <w:tab w:val="left" w:pos="2168"/>
              </w:tabs>
              <w:ind w:right="360"/>
              <w:rPr>
                <w:sz w:val="24"/>
              </w:rPr>
            </w:pPr>
            <w:r w:rsidRPr="00EC43ED">
              <w:rPr>
                <w:sz w:val="22"/>
                <w:szCs w:val="22"/>
              </w:rPr>
              <w:t>For an Accounting Order Authorizing the Sale of the Water Rights and Associated Assets for the Electron Hydroelectric Project in Accordance with WAC 480-143 and RCW 80.12</w:t>
            </w:r>
            <w:r w:rsidRPr="00EC43ED">
              <w:rPr>
                <w:sz w:val="24"/>
              </w:rPr>
              <w:t>.</w:t>
            </w:r>
          </w:p>
        </w:tc>
        <w:tc>
          <w:tcPr>
            <w:tcW w:w="20" w:type="dxa"/>
            <w:tcBorders>
              <w:left w:val="single" w:sz="4" w:space="0" w:color="auto"/>
            </w:tcBorders>
          </w:tcPr>
          <w:p w:rsidR="001F719C" w:rsidRPr="00EC43ED" w:rsidRDefault="001F719C" w:rsidP="00D23108">
            <w:pPr>
              <w:widowControl w:val="0"/>
            </w:pPr>
          </w:p>
        </w:tc>
        <w:tc>
          <w:tcPr>
            <w:tcW w:w="4423" w:type="dxa"/>
            <w:vAlign w:val="center"/>
          </w:tcPr>
          <w:p w:rsidR="001F719C" w:rsidRPr="00EC43ED" w:rsidRDefault="001F719C" w:rsidP="00D23108">
            <w:pPr>
              <w:pStyle w:val="SingleSpacing"/>
              <w:widowControl w:val="0"/>
              <w:ind w:left="198"/>
              <w:rPr>
                <w:b/>
                <w:sz w:val="24"/>
              </w:rPr>
            </w:pPr>
            <w:r w:rsidRPr="00EC43ED">
              <w:rPr>
                <w:b/>
                <w:sz w:val="24"/>
              </w:rPr>
              <w:t>Docket No. UE-131099</w:t>
            </w:r>
          </w:p>
        </w:tc>
      </w:tr>
    </w:tbl>
    <w:p w:rsidR="001F719C" w:rsidRPr="00EC43ED" w:rsidRDefault="001F719C" w:rsidP="000E2C50">
      <w:pPr>
        <w:pStyle w:val="SingleSpacing"/>
        <w:widowControl w:val="0"/>
        <w:tabs>
          <w:tab w:val="left" w:pos="2168"/>
        </w:tabs>
        <w:spacing w:before="120"/>
        <w:ind w:right="360"/>
        <w:rPr>
          <w:sz w:val="24"/>
        </w:rPr>
        <w:sectPr w:rsidR="001F719C" w:rsidRPr="00EC43ED" w:rsidSect="000E2C50">
          <w:headerReference w:type="even" r:id="rId7"/>
          <w:headerReference w:type="default" r:id="rId8"/>
          <w:pgSz w:w="12240" w:h="15840" w:code="1"/>
          <w:pgMar w:top="1350" w:right="1440" w:bottom="1440" w:left="2160" w:header="720" w:footer="864" w:gutter="0"/>
          <w:pgNumType w:start="1"/>
          <w:cols w:space="720"/>
          <w:rtlGutter/>
        </w:sectPr>
      </w:pPr>
    </w:p>
    <w:tbl>
      <w:tblPr>
        <w:tblW w:w="8738" w:type="dxa"/>
        <w:tblInd w:w="-8" w:type="dxa"/>
        <w:tblLayout w:type="fixed"/>
        <w:tblCellMar>
          <w:left w:w="0" w:type="dxa"/>
          <w:right w:w="0" w:type="dxa"/>
        </w:tblCellMar>
        <w:tblLook w:val="0000"/>
      </w:tblPr>
      <w:tblGrid>
        <w:gridCol w:w="4326"/>
        <w:gridCol w:w="25"/>
        <w:gridCol w:w="4387"/>
      </w:tblGrid>
      <w:tr w:rsidR="001F719C" w:rsidRPr="00EC43ED" w:rsidTr="00D23108">
        <w:trPr>
          <w:cantSplit/>
        </w:trPr>
        <w:tc>
          <w:tcPr>
            <w:tcW w:w="4326" w:type="dxa"/>
            <w:tcBorders>
              <w:bottom w:val="single" w:sz="4" w:space="0" w:color="auto"/>
              <w:right w:val="single" w:sz="4" w:space="0" w:color="auto"/>
            </w:tcBorders>
          </w:tcPr>
          <w:p w:rsidR="001F719C" w:rsidRPr="00EC43ED" w:rsidRDefault="001F719C" w:rsidP="000E2C50">
            <w:pPr>
              <w:pStyle w:val="SingleSpacing"/>
              <w:widowControl w:val="0"/>
              <w:tabs>
                <w:tab w:val="left" w:pos="2168"/>
              </w:tabs>
              <w:spacing w:before="120"/>
              <w:ind w:right="360"/>
              <w:rPr>
                <w:sz w:val="24"/>
              </w:rPr>
            </w:pPr>
            <w:r w:rsidRPr="00EC43ED">
              <w:rPr>
                <w:sz w:val="24"/>
              </w:rPr>
              <w:t>In the Matter of the Petition of</w:t>
            </w:r>
          </w:p>
          <w:p w:rsidR="001F719C" w:rsidRPr="00EC43ED" w:rsidRDefault="001F719C" w:rsidP="000E2C50">
            <w:pPr>
              <w:pStyle w:val="SingleSpacing"/>
              <w:widowControl w:val="0"/>
              <w:tabs>
                <w:tab w:val="left" w:pos="2168"/>
              </w:tabs>
              <w:ind w:right="360"/>
              <w:rPr>
                <w:sz w:val="24"/>
              </w:rPr>
            </w:pPr>
            <w:r w:rsidRPr="00EC43ED">
              <w:rPr>
                <w:sz w:val="24"/>
              </w:rPr>
              <w:t xml:space="preserve">PUGET SOUND ENERGY, Inc. </w:t>
            </w:r>
          </w:p>
          <w:p w:rsidR="001F719C" w:rsidRPr="00EC43ED" w:rsidRDefault="001F719C" w:rsidP="000E2C50">
            <w:pPr>
              <w:pStyle w:val="SingleSpacing"/>
              <w:widowControl w:val="0"/>
              <w:tabs>
                <w:tab w:val="left" w:pos="2168"/>
              </w:tabs>
              <w:ind w:right="360"/>
              <w:rPr>
                <w:sz w:val="24"/>
              </w:rPr>
            </w:pPr>
          </w:p>
          <w:p w:rsidR="001F719C" w:rsidRPr="00EC43ED" w:rsidRDefault="001F719C" w:rsidP="00F71906">
            <w:pPr>
              <w:pStyle w:val="SingleSpacing"/>
              <w:widowControl w:val="0"/>
              <w:tabs>
                <w:tab w:val="left" w:pos="2168"/>
              </w:tabs>
              <w:ind w:right="360"/>
              <w:rPr>
                <w:sz w:val="22"/>
                <w:szCs w:val="22"/>
              </w:rPr>
            </w:pPr>
            <w:r w:rsidRPr="00EC43ED">
              <w:rPr>
                <w:sz w:val="22"/>
                <w:szCs w:val="22"/>
              </w:rPr>
              <w:t>For an Accounting Order Authorizing the Sale of Interests in the Development Assets Required for the Construction and Operation of Phase II of the Lower Snake River Wind Facility</w:t>
            </w:r>
          </w:p>
        </w:tc>
        <w:tc>
          <w:tcPr>
            <w:tcW w:w="25" w:type="dxa"/>
            <w:tcBorders>
              <w:left w:val="single" w:sz="4" w:space="0" w:color="auto"/>
            </w:tcBorders>
          </w:tcPr>
          <w:p w:rsidR="001F719C" w:rsidRPr="00EC43ED" w:rsidRDefault="001F719C" w:rsidP="000E2C50">
            <w:pPr>
              <w:widowControl w:val="0"/>
              <w:ind w:left="-774"/>
            </w:pPr>
          </w:p>
        </w:tc>
        <w:tc>
          <w:tcPr>
            <w:tcW w:w="4387" w:type="dxa"/>
            <w:vAlign w:val="center"/>
          </w:tcPr>
          <w:p w:rsidR="001F719C" w:rsidRPr="00EC43ED" w:rsidRDefault="001F719C" w:rsidP="00D23108">
            <w:pPr>
              <w:pStyle w:val="SingleSpacing"/>
              <w:widowControl w:val="0"/>
              <w:ind w:left="198"/>
              <w:rPr>
                <w:b/>
                <w:sz w:val="24"/>
              </w:rPr>
            </w:pPr>
            <w:r w:rsidRPr="00EC43ED">
              <w:rPr>
                <w:b/>
                <w:sz w:val="24"/>
              </w:rPr>
              <w:t>Docket No. UE-131230</w:t>
            </w:r>
          </w:p>
        </w:tc>
      </w:tr>
    </w:tbl>
    <w:p w:rsidR="001F719C" w:rsidRDefault="001F719C" w:rsidP="00E65582">
      <w:pPr>
        <w:pStyle w:val="center"/>
        <w:keepLines w:val="0"/>
        <w:widowControl w:val="0"/>
        <w:spacing w:before="480" w:line="240" w:lineRule="auto"/>
        <w:rPr>
          <w:b/>
        </w:rPr>
      </w:pPr>
      <w:r>
        <w:rPr>
          <w:b/>
        </w:rPr>
        <w:t>PREFILED REBUTTAL TESTIMONY</w:t>
      </w:r>
    </w:p>
    <w:p w:rsidR="001F719C" w:rsidRDefault="001F719C" w:rsidP="00E355F7">
      <w:pPr>
        <w:pStyle w:val="center"/>
        <w:keepLines w:val="0"/>
        <w:widowControl w:val="0"/>
        <w:spacing w:before="0" w:line="240" w:lineRule="auto"/>
        <w:rPr>
          <w:b/>
        </w:rPr>
      </w:pPr>
      <w:r>
        <w:rPr>
          <w:b/>
        </w:rPr>
        <w:t>(NONCONFIDENTIAL) OF</w:t>
      </w:r>
      <w:r>
        <w:rPr>
          <w:b/>
          <w:color w:val="000000"/>
        </w:rPr>
        <w:t xml:space="preserve"> </w:t>
      </w:r>
      <w:r>
        <w:rPr>
          <w:rStyle w:val="Strong"/>
        </w:rPr>
        <w:t>L. EDWARD ODOM</w:t>
      </w:r>
      <w:r>
        <w:rPr>
          <w:b/>
        </w:rPr>
        <w:br/>
        <w:t>ON BEHALF OF PUGET SOUND ENERGY, INC.</w:t>
      </w:r>
    </w:p>
    <w:p w:rsidR="001F719C" w:rsidRDefault="001F719C" w:rsidP="00E65582">
      <w:pPr>
        <w:widowControl w:val="0"/>
        <w:spacing w:before="480"/>
        <w:jc w:val="center"/>
        <w:rPr>
          <w:rFonts w:eastAsia="SimSun"/>
          <w:b/>
        </w:rPr>
      </w:pPr>
      <w:r>
        <w:rPr>
          <w:b/>
        </w:rPr>
        <w:t>AUGUST 28, 2013</w:t>
      </w:r>
    </w:p>
    <w:p w:rsidR="001F719C" w:rsidRPr="00E05C6E" w:rsidRDefault="001F719C" w:rsidP="00E355F7">
      <w:pPr>
        <w:widowControl w:val="0"/>
        <w:jc w:val="center"/>
        <w:rPr>
          <w:rFonts w:eastAsia="SimSun"/>
          <w:b/>
        </w:rPr>
        <w:sectPr w:rsidR="001F719C" w:rsidRPr="00E05C6E" w:rsidSect="000E2C50">
          <w:type w:val="continuous"/>
          <w:pgSz w:w="12240" w:h="15840" w:code="1"/>
          <w:pgMar w:top="1440" w:right="1440" w:bottom="1440" w:left="2160" w:header="720" w:footer="864" w:gutter="0"/>
          <w:pgNumType w:start="1"/>
          <w:cols w:space="720"/>
          <w:rtlGutter/>
        </w:sectPr>
      </w:pPr>
    </w:p>
    <w:p w:rsidR="001F719C" w:rsidRPr="00E05C6E" w:rsidRDefault="001F719C" w:rsidP="00E355F7">
      <w:pPr>
        <w:widowControl w:val="0"/>
        <w:spacing w:before="240" w:after="240"/>
        <w:ind w:left="720" w:right="720"/>
        <w:jc w:val="center"/>
        <w:rPr>
          <w:rStyle w:val="Strong"/>
          <w:rFonts w:eastAsia="SimSun"/>
        </w:rPr>
      </w:pPr>
      <w:r w:rsidRPr="00E05C6E">
        <w:rPr>
          <w:rStyle w:val="Strong"/>
          <w:rFonts w:eastAsia="SimSun"/>
        </w:rPr>
        <w:t>PUGET SOUND ENERGY, INC.</w:t>
      </w:r>
    </w:p>
    <w:p w:rsidR="001F719C" w:rsidRDefault="001F719C" w:rsidP="00E355F7">
      <w:pPr>
        <w:widowControl w:val="0"/>
        <w:spacing w:before="240" w:after="360"/>
        <w:ind w:left="547" w:right="547"/>
        <w:jc w:val="center"/>
        <w:rPr>
          <w:b/>
          <w:color w:val="000000"/>
        </w:rPr>
      </w:pPr>
      <w:r w:rsidRPr="00E05C6E">
        <w:rPr>
          <w:rStyle w:val="Strong"/>
          <w:rFonts w:eastAsia="SimSun"/>
        </w:rPr>
        <w:t xml:space="preserve">PREFILED </w:t>
      </w:r>
      <w:r>
        <w:rPr>
          <w:rStyle w:val="Strong"/>
          <w:rFonts w:eastAsia="SimSun"/>
        </w:rPr>
        <w:t xml:space="preserve">REBUTTAL </w:t>
      </w:r>
      <w:r w:rsidRPr="00E05C6E">
        <w:rPr>
          <w:rStyle w:val="Strong"/>
          <w:rFonts w:eastAsia="SimSun"/>
        </w:rPr>
        <w:t xml:space="preserve">TESTIMONY </w:t>
      </w:r>
      <w:r>
        <w:rPr>
          <w:rStyle w:val="Strong"/>
          <w:rFonts w:eastAsia="SimSun"/>
        </w:rPr>
        <w:br/>
      </w:r>
      <w:r>
        <w:rPr>
          <w:b/>
        </w:rPr>
        <w:t xml:space="preserve">(NONCONFIDENTIAL) </w:t>
      </w:r>
      <w:r w:rsidRPr="00E05C6E">
        <w:rPr>
          <w:rStyle w:val="Strong"/>
          <w:rFonts w:eastAsia="SimSun"/>
        </w:rPr>
        <w:t>OF</w:t>
      </w:r>
      <w:r>
        <w:rPr>
          <w:rStyle w:val="Strong"/>
          <w:rFonts w:eastAsia="SimSun"/>
        </w:rPr>
        <w:t xml:space="preserve"> </w:t>
      </w:r>
      <w:r>
        <w:rPr>
          <w:rStyle w:val="Strong"/>
        </w:rPr>
        <w:t>L. EDWARD ODOM</w:t>
      </w:r>
    </w:p>
    <w:p w:rsidR="001F719C" w:rsidRPr="009514E6" w:rsidRDefault="001F719C" w:rsidP="00E355F7">
      <w:pPr>
        <w:widowControl w:val="0"/>
        <w:spacing w:before="240" w:after="360"/>
        <w:ind w:left="547" w:right="547"/>
        <w:jc w:val="center"/>
        <w:rPr>
          <w:rStyle w:val="Strong"/>
          <w:rFonts w:eastAsia="SimSun"/>
          <w:b w:val="0"/>
        </w:rPr>
      </w:pPr>
      <w:bookmarkStart w:id="1" w:name="TOCTitle"/>
      <w:r w:rsidRPr="009514E6">
        <w:rPr>
          <w:b/>
        </w:rPr>
        <w:t>CONTENTS</w:t>
      </w:r>
      <w:bookmarkEnd w:id="1"/>
    </w:p>
    <w:p w:rsidR="001F719C" w:rsidRPr="009514E6" w:rsidRDefault="001F719C">
      <w:pPr>
        <w:pStyle w:val="TOC1"/>
        <w:rPr>
          <w:rFonts w:eastAsia="Times New Roman"/>
          <w:color w:val="auto"/>
          <w:lang w:eastAsia="en-US"/>
        </w:rPr>
      </w:pPr>
      <w:r w:rsidRPr="009514E6">
        <w:rPr>
          <w:color w:val="auto"/>
        </w:rPr>
        <w:fldChar w:fldCharType="begin"/>
      </w:r>
      <w:r w:rsidRPr="009514E6">
        <w:rPr>
          <w:color w:val="auto"/>
        </w:rPr>
        <w:instrText xml:space="preserve"> TOC \o "1-4" \h \z \u </w:instrText>
      </w:r>
      <w:r w:rsidRPr="009514E6">
        <w:rPr>
          <w:color w:val="auto"/>
        </w:rPr>
        <w:fldChar w:fldCharType="separate"/>
      </w:r>
      <w:hyperlink w:anchor="_Toc365362702" w:history="1">
        <w:r w:rsidRPr="009514E6">
          <w:rPr>
            <w:rStyle w:val="Hyperlink"/>
            <w:color w:val="auto"/>
          </w:rPr>
          <w:t>I.</w:t>
        </w:r>
        <w:r w:rsidRPr="009514E6">
          <w:rPr>
            <w:rFonts w:eastAsia="Times New Roman"/>
            <w:color w:val="auto"/>
            <w:lang w:eastAsia="en-US"/>
          </w:rPr>
          <w:tab/>
        </w:r>
        <w:r w:rsidRPr="009514E6">
          <w:rPr>
            <w:rStyle w:val="Hyperlink"/>
            <w:color w:val="auto"/>
          </w:rPr>
          <w:t>INTRODUCTION</w:t>
        </w:r>
        <w:r w:rsidRPr="009514E6">
          <w:rPr>
            <w:webHidden/>
            <w:color w:val="auto"/>
          </w:rPr>
          <w:tab/>
        </w:r>
        <w:r w:rsidRPr="009514E6">
          <w:rPr>
            <w:webHidden/>
            <w:color w:val="auto"/>
          </w:rPr>
          <w:fldChar w:fldCharType="begin"/>
        </w:r>
        <w:r w:rsidRPr="009514E6">
          <w:rPr>
            <w:webHidden/>
            <w:color w:val="auto"/>
          </w:rPr>
          <w:instrText xml:space="preserve"> PAGEREF _Toc365362702 \h </w:instrText>
        </w:r>
        <w:r w:rsidRPr="009514E6">
          <w:rPr>
            <w:color w:val="auto"/>
          </w:rPr>
        </w:r>
        <w:r w:rsidRPr="009514E6">
          <w:rPr>
            <w:webHidden/>
            <w:color w:val="auto"/>
          </w:rPr>
          <w:fldChar w:fldCharType="separate"/>
        </w:r>
        <w:r>
          <w:rPr>
            <w:webHidden/>
            <w:color w:val="auto"/>
          </w:rPr>
          <w:t>1</w:t>
        </w:r>
        <w:r w:rsidRPr="009514E6">
          <w:rPr>
            <w:webHidden/>
            <w:color w:val="auto"/>
          </w:rPr>
          <w:fldChar w:fldCharType="end"/>
        </w:r>
      </w:hyperlink>
    </w:p>
    <w:p w:rsidR="001F719C" w:rsidRPr="009514E6" w:rsidRDefault="001F719C">
      <w:pPr>
        <w:pStyle w:val="TOC1"/>
        <w:rPr>
          <w:rFonts w:eastAsia="Times New Roman"/>
          <w:color w:val="auto"/>
          <w:lang w:eastAsia="en-US"/>
        </w:rPr>
      </w:pPr>
      <w:hyperlink w:anchor="_Toc365362703" w:history="1">
        <w:r w:rsidRPr="009514E6">
          <w:rPr>
            <w:rStyle w:val="Hyperlink"/>
            <w:color w:val="auto"/>
          </w:rPr>
          <w:t>II.</w:t>
        </w:r>
        <w:r w:rsidRPr="009514E6">
          <w:rPr>
            <w:rFonts w:eastAsia="Times New Roman"/>
            <w:color w:val="auto"/>
            <w:lang w:eastAsia="en-US"/>
          </w:rPr>
          <w:tab/>
        </w:r>
        <w:r w:rsidRPr="009514E6">
          <w:rPr>
            <w:rStyle w:val="Hyperlink"/>
            <w:color w:val="auto"/>
          </w:rPr>
          <w:t>UPDATES TO PSE'S PRODUCTION O&amp;M</w:t>
        </w:r>
        <w:r w:rsidRPr="009514E6">
          <w:rPr>
            <w:webHidden/>
            <w:color w:val="auto"/>
          </w:rPr>
          <w:tab/>
        </w:r>
        <w:r w:rsidRPr="009514E6">
          <w:rPr>
            <w:webHidden/>
            <w:color w:val="auto"/>
          </w:rPr>
          <w:fldChar w:fldCharType="begin"/>
        </w:r>
        <w:r w:rsidRPr="009514E6">
          <w:rPr>
            <w:webHidden/>
            <w:color w:val="auto"/>
          </w:rPr>
          <w:instrText xml:space="preserve"> PAGEREF _Toc365362703 \h </w:instrText>
        </w:r>
        <w:r w:rsidRPr="009514E6">
          <w:rPr>
            <w:color w:val="auto"/>
          </w:rPr>
        </w:r>
        <w:r w:rsidRPr="009514E6">
          <w:rPr>
            <w:webHidden/>
            <w:color w:val="auto"/>
          </w:rPr>
          <w:fldChar w:fldCharType="separate"/>
        </w:r>
        <w:r>
          <w:rPr>
            <w:webHidden/>
            <w:color w:val="auto"/>
          </w:rPr>
          <w:t>1</w:t>
        </w:r>
        <w:r w:rsidRPr="009514E6">
          <w:rPr>
            <w:webHidden/>
            <w:color w:val="auto"/>
          </w:rPr>
          <w:fldChar w:fldCharType="end"/>
        </w:r>
      </w:hyperlink>
    </w:p>
    <w:p w:rsidR="001F719C" w:rsidRPr="009514E6" w:rsidRDefault="001F719C">
      <w:pPr>
        <w:pStyle w:val="TOC1"/>
        <w:rPr>
          <w:rFonts w:eastAsia="Times New Roman"/>
          <w:color w:val="auto"/>
          <w:lang w:eastAsia="en-US"/>
        </w:rPr>
      </w:pPr>
      <w:hyperlink w:anchor="_Toc365362704" w:history="1">
        <w:r w:rsidRPr="009514E6">
          <w:rPr>
            <w:rStyle w:val="Hyperlink"/>
            <w:color w:val="auto"/>
          </w:rPr>
          <w:t>III.</w:t>
        </w:r>
        <w:r w:rsidRPr="009514E6">
          <w:rPr>
            <w:rFonts w:eastAsia="Times New Roman"/>
            <w:color w:val="auto"/>
            <w:lang w:eastAsia="en-US"/>
          </w:rPr>
          <w:tab/>
        </w:r>
        <w:r w:rsidRPr="009514E6">
          <w:rPr>
            <w:rStyle w:val="Hyperlink"/>
            <w:color w:val="auto"/>
          </w:rPr>
          <w:t>COLSTRIP OPERATIONS AND MAINTENANCE EXPENSE</w:t>
        </w:r>
        <w:r w:rsidRPr="009514E6">
          <w:rPr>
            <w:webHidden/>
            <w:color w:val="auto"/>
          </w:rPr>
          <w:tab/>
        </w:r>
        <w:r w:rsidRPr="009514E6">
          <w:rPr>
            <w:webHidden/>
            <w:color w:val="auto"/>
          </w:rPr>
          <w:fldChar w:fldCharType="begin"/>
        </w:r>
        <w:r w:rsidRPr="009514E6">
          <w:rPr>
            <w:webHidden/>
            <w:color w:val="auto"/>
          </w:rPr>
          <w:instrText xml:space="preserve"> PAGEREF _Toc365362704 \h </w:instrText>
        </w:r>
        <w:r w:rsidRPr="009514E6">
          <w:rPr>
            <w:color w:val="auto"/>
          </w:rPr>
        </w:r>
        <w:r w:rsidRPr="009514E6">
          <w:rPr>
            <w:webHidden/>
            <w:color w:val="auto"/>
          </w:rPr>
          <w:fldChar w:fldCharType="separate"/>
        </w:r>
        <w:r>
          <w:rPr>
            <w:webHidden/>
            <w:color w:val="auto"/>
          </w:rPr>
          <w:t>3</w:t>
        </w:r>
        <w:r w:rsidRPr="009514E6">
          <w:rPr>
            <w:webHidden/>
            <w:color w:val="auto"/>
          </w:rPr>
          <w:fldChar w:fldCharType="end"/>
        </w:r>
      </w:hyperlink>
    </w:p>
    <w:p w:rsidR="001F719C" w:rsidRPr="009514E6" w:rsidRDefault="001F719C">
      <w:pPr>
        <w:pStyle w:val="TOC1"/>
        <w:rPr>
          <w:rFonts w:eastAsia="Times New Roman"/>
          <w:color w:val="auto"/>
          <w:lang w:eastAsia="en-US"/>
        </w:rPr>
      </w:pPr>
      <w:hyperlink w:anchor="_Toc365362705" w:history="1">
        <w:r w:rsidRPr="009514E6">
          <w:rPr>
            <w:rStyle w:val="Hyperlink"/>
            <w:color w:val="auto"/>
          </w:rPr>
          <w:t>IV.</w:t>
        </w:r>
        <w:r w:rsidRPr="009514E6">
          <w:rPr>
            <w:rFonts w:eastAsia="Times New Roman"/>
            <w:color w:val="auto"/>
            <w:lang w:eastAsia="en-US"/>
          </w:rPr>
          <w:tab/>
        </w:r>
        <w:r w:rsidRPr="009514E6">
          <w:rPr>
            <w:rStyle w:val="Hyperlink"/>
            <w:color w:val="auto"/>
          </w:rPr>
          <w:t>OUTAGES FOR COLSTRIP UNITS 1 AND 2</w:t>
        </w:r>
        <w:r w:rsidRPr="009514E6">
          <w:rPr>
            <w:webHidden/>
            <w:color w:val="auto"/>
          </w:rPr>
          <w:tab/>
        </w:r>
        <w:r w:rsidRPr="009514E6">
          <w:rPr>
            <w:webHidden/>
            <w:color w:val="auto"/>
          </w:rPr>
          <w:fldChar w:fldCharType="begin"/>
        </w:r>
        <w:r w:rsidRPr="009514E6">
          <w:rPr>
            <w:webHidden/>
            <w:color w:val="auto"/>
          </w:rPr>
          <w:instrText xml:space="preserve"> PAGEREF _Toc365362705 \h </w:instrText>
        </w:r>
        <w:r w:rsidRPr="009514E6">
          <w:rPr>
            <w:color w:val="auto"/>
          </w:rPr>
        </w:r>
        <w:r w:rsidRPr="009514E6">
          <w:rPr>
            <w:webHidden/>
            <w:color w:val="auto"/>
          </w:rPr>
          <w:fldChar w:fldCharType="separate"/>
        </w:r>
        <w:r>
          <w:rPr>
            <w:webHidden/>
            <w:color w:val="auto"/>
          </w:rPr>
          <w:t>5</w:t>
        </w:r>
        <w:r w:rsidRPr="009514E6">
          <w:rPr>
            <w:webHidden/>
            <w:color w:val="auto"/>
          </w:rPr>
          <w:fldChar w:fldCharType="end"/>
        </w:r>
      </w:hyperlink>
    </w:p>
    <w:p w:rsidR="001F719C" w:rsidRPr="009514E6" w:rsidRDefault="001F719C">
      <w:pPr>
        <w:pStyle w:val="TOC1"/>
        <w:rPr>
          <w:rFonts w:eastAsia="Times New Roman"/>
          <w:color w:val="auto"/>
          <w:lang w:eastAsia="en-US"/>
        </w:rPr>
      </w:pPr>
      <w:hyperlink w:anchor="_Toc365362706" w:history="1">
        <w:r w:rsidRPr="009514E6">
          <w:rPr>
            <w:rStyle w:val="Hyperlink"/>
            <w:color w:val="auto"/>
          </w:rPr>
          <w:t>V.</w:t>
        </w:r>
        <w:r w:rsidRPr="009514E6">
          <w:rPr>
            <w:rFonts w:eastAsia="Times New Roman"/>
            <w:color w:val="auto"/>
            <w:lang w:eastAsia="en-US"/>
          </w:rPr>
          <w:tab/>
        </w:r>
        <w:r w:rsidRPr="009514E6">
          <w:rPr>
            <w:rStyle w:val="Hyperlink"/>
            <w:color w:val="auto"/>
          </w:rPr>
          <w:t>MAJOR MAINTENANCE EXPENSE</w:t>
        </w:r>
        <w:r w:rsidRPr="009514E6">
          <w:rPr>
            <w:webHidden/>
            <w:color w:val="auto"/>
          </w:rPr>
          <w:tab/>
        </w:r>
        <w:r w:rsidRPr="009514E6">
          <w:rPr>
            <w:webHidden/>
            <w:color w:val="auto"/>
          </w:rPr>
          <w:fldChar w:fldCharType="begin"/>
        </w:r>
        <w:r w:rsidRPr="009514E6">
          <w:rPr>
            <w:webHidden/>
            <w:color w:val="auto"/>
          </w:rPr>
          <w:instrText xml:space="preserve"> PAGEREF _Toc365362706 \h </w:instrText>
        </w:r>
        <w:r w:rsidRPr="009514E6">
          <w:rPr>
            <w:color w:val="auto"/>
          </w:rPr>
        </w:r>
        <w:r w:rsidRPr="009514E6">
          <w:rPr>
            <w:webHidden/>
            <w:color w:val="auto"/>
          </w:rPr>
          <w:fldChar w:fldCharType="separate"/>
        </w:r>
        <w:r>
          <w:rPr>
            <w:webHidden/>
            <w:color w:val="auto"/>
          </w:rPr>
          <w:t>6</w:t>
        </w:r>
        <w:r w:rsidRPr="009514E6">
          <w:rPr>
            <w:webHidden/>
            <w:color w:val="auto"/>
          </w:rPr>
          <w:fldChar w:fldCharType="end"/>
        </w:r>
      </w:hyperlink>
    </w:p>
    <w:p w:rsidR="001F719C" w:rsidRPr="009514E6" w:rsidRDefault="001F719C">
      <w:pPr>
        <w:pStyle w:val="TOC1"/>
        <w:rPr>
          <w:rFonts w:eastAsia="Times New Roman"/>
          <w:color w:val="auto"/>
          <w:lang w:eastAsia="en-US"/>
        </w:rPr>
      </w:pPr>
      <w:hyperlink w:anchor="_Toc365362707" w:history="1">
        <w:r w:rsidRPr="009514E6">
          <w:rPr>
            <w:rStyle w:val="Hyperlink"/>
            <w:color w:val="auto"/>
          </w:rPr>
          <w:t>VI.</w:t>
        </w:r>
        <w:r w:rsidRPr="009514E6">
          <w:rPr>
            <w:rFonts w:eastAsia="Times New Roman"/>
            <w:color w:val="auto"/>
            <w:lang w:eastAsia="en-US"/>
          </w:rPr>
          <w:tab/>
        </w:r>
        <w:r w:rsidRPr="009514E6">
          <w:rPr>
            <w:rStyle w:val="Hyperlink"/>
            <w:color w:val="auto"/>
          </w:rPr>
          <w:t>CONCLUSION</w:t>
        </w:r>
        <w:r w:rsidRPr="009514E6">
          <w:rPr>
            <w:webHidden/>
            <w:color w:val="auto"/>
          </w:rPr>
          <w:tab/>
        </w:r>
        <w:r w:rsidRPr="009514E6">
          <w:rPr>
            <w:webHidden/>
            <w:color w:val="auto"/>
          </w:rPr>
          <w:fldChar w:fldCharType="begin"/>
        </w:r>
        <w:r w:rsidRPr="009514E6">
          <w:rPr>
            <w:webHidden/>
            <w:color w:val="auto"/>
          </w:rPr>
          <w:instrText xml:space="preserve"> PAGEREF _Toc365362707 \h </w:instrText>
        </w:r>
        <w:r w:rsidRPr="009514E6">
          <w:rPr>
            <w:color w:val="auto"/>
          </w:rPr>
        </w:r>
        <w:r w:rsidRPr="009514E6">
          <w:rPr>
            <w:webHidden/>
            <w:color w:val="auto"/>
          </w:rPr>
          <w:fldChar w:fldCharType="separate"/>
        </w:r>
        <w:r>
          <w:rPr>
            <w:webHidden/>
            <w:color w:val="auto"/>
          </w:rPr>
          <w:t>8</w:t>
        </w:r>
        <w:r w:rsidRPr="009514E6">
          <w:rPr>
            <w:webHidden/>
            <w:color w:val="auto"/>
          </w:rPr>
          <w:fldChar w:fldCharType="end"/>
        </w:r>
      </w:hyperlink>
    </w:p>
    <w:p w:rsidR="001F719C" w:rsidRDefault="001F719C" w:rsidP="00E355F7">
      <w:pPr>
        <w:widowControl w:val="0"/>
        <w:spacing w:before="240" w:after="240" w:line="480" w:lineRule="auto"/>
        <w:ind w:left="720" w:right="720"/>
        <w:jc w:val="center"/>
        <w:rPr>
          <w:rFonts w:eastAsia="SimSun"/>
        </w:rPr>
        <w:sectPr w:rsidR="001F719C" w:rsidSect="003E15A5">
          <w:headerReference w:type="default" r:id="rId9"/>
          <w:footerReference w:type="default" r:id="rId10"/>
          <w:footerReference w:type="first" r:id="rId11"/>
          <w:pgSz w:w="12240" w:h="15840" w:code="1"/>
          <w:pgMar w:top="1440" w:right="1440" w:bottom="1440" w:left="2160" w:header="864" w:footer="576" w:gutter="0"/>
          <w:pgNumType w:fmt="lowerRoman" w:start="1"/>
          <w:cols w:space="720"/>
        </w:sectPr>
      </w:pPr>
      <w:r w:rsidRPr="009514E6">
        <w:fldChar w:fldCharType="end"/>
      </w:r>
    </w:p>
    <w:p w:rsidR="001F719C" w:rsidRPr="00E05C6E" w:rsidRDefault="001F719C" w:rsidP="00E355F7">
      <w:pPr>
        <w:widowControl w:val="0"/>
        <w:spacing w:before="240" w:after="240"/>
        <w:ind w:left="720" w:right="720"/>
        <w:jc w:val="center"/>
        <w:rPr>
          <w:rStyle w:val="Strong"/>
          <w:rFonts w:eastAsia="SimSun"/>
        </w:rPr>
      </w:pPr>
      <w:bookmarkStart w:id="5" w:name="_Toc117411518"/>
      <w:bookmarkStart w:id="6" w:name="_Toc125892215"/>
      <w:bookmarkStart w:id="7" w:name="_Toc126495831"/>
      <w:r w:rsidRPr="00E05C6E">
        <w:rPr>
          <w:rStyle w:val="Strong"/>
          <w:rFonts w:eastAsia="SimSun"/>
        </w:rPr>
        <w:t>PUGET SOUND ENERGY, INC.</w:t>
      </w:r>
    </w:p>
    <w:p w:rsidR="001F719C" w:rsidRPr="00E05C6E" w:rsidRDefault="001F719C" w:rsidP="00E355F7">
      <w:pPr>
        <w:widowControl w:val="0"/>
        <w:spacing w:before="240" w:after="360"/>
        <w:ind w:left="547" w:right="547"/>
        <w:jc w:val="center"/>
        <w:rPr>
          <w:rStyle w:val="Strong"/>
          <w:rFonts w:eastAsia="SimSun"/>
          <w:b w:val="0"/>
        </w:rPr>
      </w:pPr>
      <w:r w:rsidRPr="00E05C6E">
        <w:rPr>
          <w:rStyle w:val="Strong"/>
          <w:rFonts w:eastAsia="SimSun"/>
        </w:rPr>
        <w:t xml:space="preserve">PREFILED </w:t>
      </w:r>
      <w:r>
        <w:rPr>
          <w:rStyle w:val="Strong"/>
          <w:rFonts w:eastAsia="SimSun"/>
        </w:rPr>
        <w:t>REBUTTAL</w:t>
      </w:r>
      <w:r w:rsidRPr="00E05C6E">
        <w:rPr>
          <w:rStyle w:val="Strong"/>
          <w:rFonts w:eastAsia="SimSun"/>
        </w:rPr>
        <w:t xml:space="preserve"> TESTIMONY </w:t>
      </w:r>
      <w:r>
        <w:rPr>
          <w:rStyle w:val="Strong"/>
          <w:rFonts w:eastAsia="SimSun"/>
        </w:rPr>
        <w:br/>
      </w:r>
      <w:r>
        <w:rPr>
          <w:b/>
        </w:rPr>
        <w:t xml:space="preserve">(NONCONFIDENTIAL) </w:t>
      </w:r>
      <w:r w:rsidRPr="00E05C6E">
        <w:rPr>
          <w:rStyle w:val="Strong"/>
          <w:rFonts w:eastAsia="SimSun"/>
        </w:rPr>
        <w:t>OF</w:t>
      </w:r>
      <w:r>
        <w:rPr>
          <w:rStyle w:val="Strong"/>
          <w:rFonts w:eastAsia="SimSun"/>
        </w:rPr>
        <w:t xml:space="preserve"> </w:t>
      </w:r>
      <w:r>
        <w:rPr>
          <w:rStyle w:val="Strong"/>
        </w:rPr>
        <w:t>L. EDWARD ODOM</w:t>
      </w:r>
    </w:p>
    <w:p w:rsidR="001F719C" w:rsidRPr="004D5467" w:rsidRDefault="001F719C" w:rsidP="008C7884">
      <w:pPr>
        <w:pStyle w:val="Heading1"/>
        <w:keepLines w:val="0"/>
        <w:widowControl w:val="0"/>
        <w:spacing w:line="480" w:lineRule="auto"/>
        <w:rPr>
          <w:rFonts w:eastAsia="SimSun"/>
        </w:rPr>
      </w:pPr>
      <w:bookmarkStart w:id="8" w:name="_Toc365362702"/>
      <w:bookmarkStart w:id="9" w:name="_Toc161487050"/>
      <w:r w:rsidRPr="004D5467">
        <w:rPr>
          <w:rFonts w:eastAsia="SimSun"/>
        </w:rPr>
        <w:t>I.</w:t>
      </w:r>
      <w:r w:rsidRPr="004D5467">
        <w:rPr>
          <w:rFonts w:eastAsia="SimSun"/>
        </w:rPr>
        <w:tab/>
      </w:r>
      <w:r>
        <w:rPr>
          <w:rFonts w:eastAsia="SimSun"/>
        </w:rPr>
        <w:t>INTRODUCTION</w:t>
      </w:r>
      <w:bookmarkEnd w:id="8"/>
    </w:p>
    <w:bookmarkEnd w:id="5"/>
    <w:bookmarkEnd w:id="6"/>
    <w:bookmarkEnd w:id="7"/>
    <w:bookmarkEnd w:id="9"/>
    <w:p w:rsidR="001F719C" w:rsidRPr="004D5467" w:rsidRDefault="001F719C" w:rsidP="00BC1D27">
      <w:pPr>
        <w:pStyle w:val="question"/>
        <w:keepLines/>
        <w:spacing w:before="120"/>
      </w:pPr>
      <w:r w:rsidRPr="00B80A7F">
        <w:t>Q.</w:t>
      </w:r>
      <w:r w:rsidRPr="00B80A7F">
        <w:tab/>
        <w:t xml:space="preserve">Are you the same </w:t>
      </w:r>
      <w:r>
        <w:t>L. Edward Odom</w:t>
      </w:r>
      <w:r w:rsidRPr="00B80A7F">
        <w:t xml:space="preserve"> who provided prefiled direct testimony in th</w:t>
      </w:r>
      <w:r>
        <w:t>is</w:t>
      </w:r>
      <w:r w:rsidRPr="00B80A7F">
        <w:t xml:space="preserve"> docket on behalf of Puget Sound Energy, Inc. (</w:t>
      </w:r>
      <w:r>
        <w:t>“</w:t>
      </w:r>
      <w:r w:rsidRPr="00B80A7F">
        <w:t>PSE</w:t>
      </w:r>
      <w:r>
        <w:t>”</w:t>
      </w:r>
      <w:r w:rsidRPr="00B80A7F">
        <w:t>)?</w:t>
      </w:r>
    </w:p>
    <w:p w:rsidR="001F719C" w:rsidRPr="00B80A7F" w:rsidRDefault="001F719C" w:rsidP="004D5467">
      <w:pPr>
        <w:pStyle w:val="answer"/>
      </w:pPr>
      <w:r w:rsidRPr="00B80A7F">
        <w:t>A.</w:t>
      </w:r>
      <w:r w:rsidRPr="00B80A7F">
        <w:tab/>
        <w:t>Yes, I filed prefiled direct testimony, Exhibit No. ___(</w:t>
      </w:r>
      <w:r>
        <w:t>LEO</w:t>
      </w:r>
      <w:r w:rsidRPr="00B80A7F">
        <w:t>-1</w:t>
      </w:r>
      <w:r>
        <w:t>C</w:t>
      </w:r>
      <w:r w:rsidRPr="00B80A7F">
        <w:t>T)</w:t>
      </w:r>
      <w:r>
        <w:t>,</w:t>
      </w:r>
      <w:r w:rsidRPr="00B80A7F">
        <w:t xml:space="preserve"> and</w:t>
      </w:r>
      <w:r>
        <w:t xml:space="preserve"> two </w:t>
      </w:r>
      <w:r w:rsidRPr="00B80A7F">
        <w:t>supporting exhibits</w:t>
      </w:r>
      <w:r>
        <w:t>, Exhibit No. ___(LEO-2) through Exhibit No. ___(LEO-3)</w:t>
      </w:r>
      <w:r w:rsidRPr="00B80A7F">
        <w:t>.</w:t>
      </w:r>
    </w:p>
    <w:p w:rsidR="001F719C" w:rsidRPr="004D5467" w:rsidRDefault="001F719C" w:rsidP="004D5467">
      <w:pPr>
        <w:pStyle w:val="question"/>
        <w:keepLines/>
        <w:spacing w:before="120"/>
      </w:pPr>
      <w:r w:rsidRPr="000D31E4">
        <w:t>Q.</w:t>
      </w:r>
      <w:r w:rsidRPr="000D31E4">
        <w:tab/>
        <w:t xml:space="preserve">What topics are you </w:t>
      </w:r>
      <w:r>
        <w:t>addressing</w:t>
      </w:r>
      <w:r w:rsidRPr="000D31E4">
        <w:t xml:space="preserve"> in your </w:t>
      </w:r>
      <w:r>
        <w:t>prefiled rebuttal</w:t>
      </w:r>
      <w:r w:rsidRPr="000D31E4">
        <w:t xml:space="preserve"> testimony?</w:t>
      </w:r>
    </w:p>
    <w:p w:rsidR="001F719C" w:rsidRDefault="001F719C" w:rsidP="004D5467">
      <w:pPr>
        <w:pStyle w:val="answer"/>
      </w:pPr>
      <w:r>
        <w:t>A.</w:t>
      </w:r>
      <w:r>
        <w:tab/>
        <w:t xml:space="preserve">First, I provide an update to the production operations and maintenance ("O&amp;M") that PSE is requesting in this case.  Second, I respond to testimony from the Industrial Customers of Northwest Utilities ("ICNU") regarding the production O&amp;M expense for Colstrip.  Third, I provide an update on the scheduled outages for Colstrip Units 1 and 2.  Finally, I, along with Ms. Katherine Barnard, respond to Commission Staff's testimony regarding the recovery of major maintenance expense for PSE natural gas fired fleet.  </w:t>
      </w:r>
    </w:p>
    <w:p w:rsidR="001F719C" w:rsidRDefault="001F719C" w:rsidP="004D5467">
      <w:pPr>
        <w:pStyle w:val="Heading1"/>
        <w:widowControl w:val="0"/>
      </w:pPr>
      <w:bookmarkStart w:id="10" w:name="_Toc365362703"/>
      <w:bookmarkStart w:id="11" w:name="_Toc161487082"/>
      <w:r>
        <w:t>II.</w:t>
      </w:r>
      <w:r>
        <w:tab/>
        <w:t>UPDATES TO PSE'S PRODUCTION O&amp;M</w:t>
      </w:r>
      <w:bookmarkEnd w:id="10"/>
      <w:r>
        <w:t xml:space="preserve"> </w:t>
      </w:r>
    </w:p>
    <w:p w:rsidR="001F719C" w:rsidRPr="0045241D" w:rsidRDefault="001F719C" w:rsidP="0045241D">
      <w:pPr>
        <w:pStyle w:val="question"/>
        <w:spacing w:before="120"/>
        <w:rPr>
          <w:bCs/>
        </w:rPr>
      </w:pPr>
      <w:r w:rsidRPr="0045241D">
        <w:rPr>
          <w:bCs/>
        </w:rPr>
        <w:t>Q.</w:t>
      </w:r>
      <w:r w:rsidRPr="0045241D">
        <w:rPr>
          <w:bCs/>
        </w:rPr>
        <w:tab/>
      </w:r>
      <w:r>
        <w:rPr>
          <w:bCs/>
        </w:rPr>
        <w:t>Is PSE proposing to update</w:t>
      </w:r>
      <w:r w:rsidRPr="0045241D">
        <w:rPr>
          <w:bCs/>
        </w:rPr>
        <w:t xml:space="preserve"> production O&amp;M in its rebuttal filing.</w:t>
      </w:r>
    </w:p>
    <w:p w:rsidR="001F719C" w:rsidRDefault="001F719C" w:rsidP="008C7884">
      <w:pPr>
        <w:pStyle w:val="answer"/>
        <w:widowControl w:val="0"/>
      </w:pPr>
      <w:r>
        <w:t>A.</w:t>
      </w:r>
      <w:r>
        <w:tab/>
        <w:t>Yes.  PSE is proposing adjustments to increase rate year production O&amp;M</w:t>
      </w:r>
      <w:r w:rsidRPr="00395F03">
        <w:t xml:space="preserve"> </w:t>
      </w:r>
      <w:r>
        <w:t xml:space="preserve">by $1.7 million, from $135.0 million to $136.6 million, as shown below: </w:t>
      </w:r>
    </w:p>
    <w:p w:rsidR="001F719C" w:rsidRDefault="001F719C" w:rsidP="008C7884">
      <w:pPr>
        <w:pStyle w:val="answer"/>
        <w:widowControl w:val="0"/>
      </w:pPr>
      <w:r>
        <w:br w:type="page"/>
      </w:r>
    </w:p>
    <w:tbl>
      <w:tblPr>
        <w:tblW w:w="81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2430"/>
      </w:tblGrid>
      <w:tr w:rsidR="001F719C" w:rsidRPr="00CD2BC6" w:rsidTr="00214B35">
        <w:tc>
          <w:tcPr>
            <w:tcW w:w="5688" w:type="dxa"/>
            <w:tcBorders>
              <w:top w:val="nil"/>
              <w:left w:val="nil"/>
              <w:bottom w:val="nil"/>
              <w:right w:val="nil"/>
            </w:tcBorders>
          </w:tcPr>
          <w:p w:rsidR="001F719C" w:rsidRPr="00FF0068" w:rsidRDefault="001F719C" w:rsidP="00214B35">
            <w:pPr>
              <w:pStyle w:val="answer"/>
              <w:spacing w:line="240" w:lineRule="auto"/>
              <w:ind w:left="360" w:right="-558" w:firstLine="0"/>
              <w:jc w:val="both"/>
              <w:rPr>
                <w:b/>
              </w:rPr>
            </w:pPr>
            <w:r w:rsidRPr="00FF0068">
              <w:rPr>
                <w:b/>
              </w:rPr>
              <w:t>Rate Year Production O&amp;M</w:t>
            </w:r>
          </w:p>
        </w:tc>
        <w:tc>
          <w:tcPr>
            <w:tcW w:w="2430" w:type="dxa"/>
            <w:tcBorders>
              <w:top w:val="nil"/>
              <w:left w:val="nil"/>
              <w:bottom w:val="nil"/>
              <w:right w:val="nil"/>
            </w:tcBorders>
          </w:tcPr>
          <w:p w:rsidR="001F719C" w:rsidRPr="00214B35" w:rsidRDefault="001F719C" w:rsidP="00A84130">
            <w:pPr>
              <w:pStyle w:val="answer"/>
              <w:spacing w:line="240" w:lineRule="auto"/>
              <w:ind w:left="0" w:firstLine="0"/>
              <w:jc w:val="right"/>
              <w:rPr>
                <w:b/>
              </w:rPr>
            </w:pPr>
            <w:r w:rsidRPr="00214B35">
              <w:rPr>
                <w:b/>
              </w:rPr>
              <w:t>$ in millions</w:t>
            </w:r>
          </w:p>
        </w:tc>
      </w:tr>
      <w:tr w:rsidR="001F719C" w:rsidRPr="00CD2BC6" w:rsidTr="00214B35">
        <w:tc>
          <w:tcPr>
            <w:tcW w:w="5688" w:type="dxa"/>
            <w:tcBorders>
              <w:top w:val="nil"/>
              <w:left w:val="nil"/>
              <w:bottom w:val="nil"/>
              <w:right w:val="nil"/>
            </w:tcBorders>
          </w:tcPr>
          <w:p w:rsidR="001F719C" w:rsidRPr="00CD2BC6" w:rsidRDefault="001F719C" w:rsidP="00214B35">
            <w:pPr>
              <w:pStyle w:val="answer"/>
              <w:spacing w:line="240" w:lineRule="auto"/>
              <w:ind w:left="360" w:right="-558" w:firstLine="0"/>
              <w:jc w:val="both"/>
            </w:pPr>
            <w:r>
              <w:t>Production O&amp;M per Prefiled Direct Testimony</w:t>
            </w:r>
          </w:p>
        </w:tc>
        <w:tc>
          <w:tcPr>
            <w:tcW w:w="2430" w:type="dxa"/>
            <w:tcBorders>
              <w:top w:val="nil"/>
              <w:left w:val="nil"/>
              <w:bottom w:val="nil"/>
              <w:right w:val="nil"/>
            </w:tcBorders>
          </w:tcPr>
          <w:p w:rsidR="001F719C" w:rsidRPr="00CD2BC6" w:rsidRDefault="001F719C" w:rsidP="00A84130">
            <w:pPr>
              <w:pStyle w:val="answer"/>
              <w:spacing w:line="240" w:lineRule="auto"/>
              <w:ind w:left="0" w:firstLine="0"/>
              <w:jc w:val="right"/>
            </w:pPr>
            <w:r>
              <w:t>$134.97</w:t>
            </w:r>
          </w:p>
        </w:tc>
      </w:tr>
      <w:tr w:rsidR="001F719C" w:rsidRPr="00CD2BC6" w:rsidTr="00214B35">
        <w:tc>
          <w:tcPr>
            <w:tcW w:w="5688" w:type="dxa"/>
            <w:tcBorders>
              <w:top w:val="nil"/>
              <w:left w:val="nil"/>
              <w:bottom w:val="nil"/>
              <w:right w:val="nil"/>
            </w:tcBorders>
          </w:tcPr>
          <w:p w:rsidR="001F719C" w:rsidRPr="00CD2BC6" w:rsidRDefault="001F719C" w:rsidP="00214B35">
            <w:pPr>
              <w:pStyle w:val="answer"/>
              <w:spacing w:line="240" w:lineRule="auto"/>
              <w:ind w:left="360" w:right="-558" w:firstLine="0"/>
              <w:jc w:val="both"/>
            </w:pPr>
            <w:r>
              <w:br w:type="page"/>
              <w:t>Electron O&amp;M</w:t>
            </w:r>
          </w:p>
        </w:tc>
        <w:tc>
          <w:tcPr>
            <w:tcW w:w="2430" w:type="dxa"/>
            <w:tcBorders>
              <w:top w:val="nil"/>
              <w:left w:val="nil"/>
              <w:bottom w:val="nil"/>
              <w:right w:val="nil"/>
            </w:tcBorders>
          </w:tcPr>
          <w:p w:rsidR="001F719C" w:rsidRPr="00CD2BC6" w:rsidRDefault="001F719C" w:rsidP="00FE2B51">
            <w:pPr>
              <w:pStyle w:val="answer"/>
              <w:spacing w:line="240" w:lineRule="auto"/>
              <w:ind w:left="0" w:firstLine="0"/>
              <w:jc w:val="right"/>
            </w:pPr>
            <w:r w:rsidRPr="00CD2BC6">
              <w:t>$</w:t>
            </w:r>
            <w:r>
              <w:t>1</w:t>
            </w:r>
            <w:r w:rsidRPr="00CD2BC6">
              <w:t>.</w:t>
            </w:r>
            <w:r>
              <w:t>77</w:t>
            </w:r>
            <w:r w:rsidRPr="00CD2BC6">
              <w:t xml:space="preserve"> </w:t>
            </w:r>
          </w:p>
        </w:tc>
      </w:tr>
      <w:tr w:rsidR="001F719C" w:rsidRPr="00CD2BC6" w:rsidTr="00214B35">
        <w:tc>
          <w:tcPr>
            <w:tcW w:w="5688" w:type="dxa"/>
            <w:tcBorders>
              <w:top w:val="nil"/>
              <w:left w:val="nil"/>
              <w:bottom w:val="nil"/>
              <w:right w:val="nil"/>
            </w:tcBorders>
          </w:tcPr>
          <w:p w:rsidR="001F719C" w:rsidRPr="00CD2BC6" w:rsidRDefault="001F719C" w:rsidP="00214B35">
            <w:pPr>
              <w:pStyle w:val="answer"/>
              <w:spacing w:line="240" w:lineRule="auto"/>
              <w:ind w:left="360" w:firstLine="0"/>
              <w:jc w:val="both"/>
            </w:pPr>
            <w:r>
              <w:t>Snoqualmie O&amp;M</w:t>
            </w:r>
            <w:r w:rsidRPr="00CD2BC6">
              <w:t xml:space="preserve"> </w:t>
            </w:r>
          </w:p>
        </w:tc>
        <w:tc>
          <w:tcPr>
            <w:tcW w:w="2430" w:type="dxa"/>
            <w:tcBorders>
              <w:top w:val="nil"/>
              <w:left w:val="nil"/>
              <w:bottom w:val="nil"/>
              <w:right w:val="nil"/>
            </w:tcBorders>
          </w:tcPr>
          <w:p w:rsidR="001F719C" w:rsidRPr="00FE2B51" w:rsidRDefault="001F719C" w:rsidP="00F36F17">
            <w:pPr>
              <w:pStyle w:val="answer"/>
              <w:spacing w:line="240" w:lineRule="auto"/>
              <w:ind w:left="0" w:firstLine="0"/>
              <w:jc w:val="right"/>
              <w:rPr>
                <w:u w:val="single"/>
              </w:rPr>
            </w:pPr>
            <w:r>
              <w:rPr>
                <w:u w:val="single"/>
              </w:rPr>
              <w:t>(.096)</w:t>
            </w:r>
          </w:p>
        </w:tc>
      </w:tr>
      <w:tr w:rsidR="001F719C" w:rsidRPr="00CD2BC6" w:rsidTr="00214B35">
        <w:tc>
          <w:tcPr>
            <w:tcW w:w="5688" w:type="dxa"/>
            <w:tcBorders>
              <w:top w:val="nil"/>
              <w:left w:val="nil"/>
              <w:bottom w:val="nil"/>
              <w:right w:val="nil"/>
            </w:tcBorders>
          </w:tcPr>
          <w:p w:rsidR="001F719C" w:rsidRPr="00FE2B51" w:rsidDel="00EB7059" w:rsidRDefault="001F719C" w:rsidP="00214B35">
            <w:pPr>
              <w:pStyle w:val="answer"/>
              <w:spacing w:line="240" w:lineRule="auto"/>
              <w:ind w:left="360" w:firstLine="0"/>
              <w:jc w:val="both"/>
              <w:rPr>
                <w:b/>
              </w:rPr>
            </w:pPr>
            <w:r w:rsidRPr="00FE2B51">
              <w:rPr>
                <w:b/>
              </w:rPr>
              <w:t>Total Change</w:t>
            </w:r>
          </w:p>
        </w:tc>
        <w:tc>
          <w:tcPr>
            <w:tcW w:w="2430" w:type="dxa"/>
            <w:tcBorders>
              <w:top w:val="nil"/>
              <w:left w:val="nil"/>
              <w:bottom w:val="nil"/>
              <w:right w:val="nil"/>
            </w:tcBorders>
          </w:tcPr>
          <w:p w:rsidR="001F719C" w:rsidRPr="002B0507" w:rsidRDefault="001F719C" w:rsidP="00FE2B51">
            <w:pPr>
              <w:pStyle w:val="answer"/>
              <w:spacing w:line="240" w:lineRule="auto"/>
              <w:ind w:left="0" w:firstLine="0"/>
              <w:jc w:val="right"/>
              <w:rPr>
                <w:b/>
              </w:rPr>
            </w:pPr>
            <w:r w:rsidRPr="002B0507">
              <w:rPr>
                <w:b/>
              </w:rPr>
              <w:t>$1.67</w:t>
            </w:r>
          </w:p>
        </w:tc>
      </w:tr>
      <w:tr w:rsidR="001F719C" w:rsidRPr="00CD2BC6" w:rsidTr="00214B35">
        <w:tc>
          <w:tcPr>
            <w:tcW w:w="5688" w:type="dxa"/>
            <w:tcBorders>
              <w:top w:val="nil"/>
              <w:left w:val="nil"/>
              <w:bottom w:val="nil"/>
              <w:right w:val="nil"/>
            </w:tcBorders>
          </w:tcPr>
          <w:p w:rsidR="001F719C" w:rsidRPr="00FE2B51" w:rsidRDefault="001F719C" w:rsidP="00214B35">
            <w:pPr>
              <w:pStyle w:val="answer"/>
              <w:spacing w:line="240" w:lineRule="auto"/>
              <w:ind w:left="360" w:firstLine="0"/>
              <w:jc w:val="both"/>
              <w:rPr>
                <w:b/>
              </w:rPr>
            </w:pPr>
            <w:r>
              <w:t>Production O&amp;M per Prefiled Rebuttal Testimony</w:t>
            </w:r>
          </w:p>
        </w:tc>
        <w:tc>
          <w:tcPr>
            <w:tcW w:w="2430" w:type="dxa"/>
            <w:tcBorders>
              <w:top w:val="nil"/>
              <w:left w:val="nil"/>
              <w:bottom w:val="nil"/>
              <w:right w:val="nil"/>
            </w:tcBorders>
          </w:tcPr>
          <w:p w:rsidR="001F719C" w:rsidRPr="002B0507" w:rsidRDefault="001F719C" w:rsidP="00395F03">
            <w:pPr>
              <w:pStyle w:val="answer"/>
              <w:spacing w:line="240" w:lineRule="auto"/>
              <w:ind w:left="0" w:firstLine="0"/>
              <w:jc w:val="right"/>
              <w:rPr>
                <w:b/>
              </w:rPr>
            </w:pPr>
            <w:r>
              <w:rPr>
                <w:b/>
              </w:rPr>
              <w:t>$136.64</w:t>
            </w:r>
          </w:p>
        </w:tc>
      </w:tr>
    </w:tbl>
    <w:p w:rsidR="001F719C" w:rsidRDefault="001F719C" w:rsidP="003E3D10">
      <w:pPr>
        <w:pStyle w:val="question"/>
        <w:spacing w:before="120"/>
        <w:rPr>
          <w:bCs/>
        </w:rPr>
      </w:pPr>
      <w:r>
        <w:rPr>
          <w:bCs/>
        </w:rPr>
        <w:t>Q.</w:t>
      </w:r>
      <w:r>
        <w:rPr>
          <w:bCs/>
        </w:rPr>
        <w:tab/>
        <w:t>Please discuss the changes in rate year production O&amp;M.</w:t>
      </w:r>
    </w:p>
    <w:p w:rsidR="001F719C" w:rsidRPr="003E3D10" w:rsidRDefault="001F719C" w:rsidP="003E3D10">
      <w:pPr>
        <w:pStyle w:val="answer"/>
      </w:pPr>
      <w:r>
        <w:t>A.</w:t>
      </w:r>
      <w:r>
        <w:tab/>
        <w:t>As discussed in more detail in the prefiled rebuttal testimony of Paul K. Wetherbee, PSE has accepted Commission Staff's proposal to keep the Electron Generating Station in power cost and to remove the Electron PPA.  PSE has included an additional $1.77 million for production O&amp;M expense associated with the Electron Generating Station.  Accordingly,</w:t>
      </w:r>
      <w:r w:rsidRPr="000D4E0B">
        <w:t xml:space="preserve"> </w:t>
      </w:r>
      <w:r>
        <w:t xml:space="preserve">the $193,146 adjustment to increase </w:t>
      </w:r>
      <w:r w:rsidRPr="000D4E0B">
        <w:t xml:space="preserve">Snoqualmie </w:t>
      </w:r>
      <w:r>
        <w:t xml:space="preserve">rate year production O&amp;M labor for Snoqualmie personnel assigned to Electron during the test year has been reduced by 50% to $96,573.  The 50% reduction eliminates the double count of Snoqualmie labor that would otherwise occur.  The resulting increase to Production O&amp;M from the original filing for these adjustments is $1.67 million and reflected in Exhibit No. ___(LEO-5).  </w:t>
      </w:r>
      <w:bookmarkStart w:id="12" w:name="_GoBack"/>
      <w:bookmarkEnd w:id="12"/>
    </w:p>
    <w:p w:rsidR="001F719C" w:rsidRDefault="001F719C" w:rsidP="004D5467">
      <w:pPr>
        <w:pStyle w:val="Heading1"/>
        <w:widowControl w:val="0"/>
      </w:pPr>
      <w:bookmarkStart w:id="13" w:name="_Toc365362704"/>
      <w:r>
        <w:t>III.</w:t>
      </w:r>
      <w:r>
        <w:tab/>
        <w:t>COLSTRIP OPERATIONS AND MAINTENANCE EXPENSE</w:t>
      </w:r>
      <w:bookmarkEnd w:id="13"/>
    </w:p>
    <w:p w:rsidR="001F719C" w:rsidRDefault="001F719C" w:rsidP="003E1159">
      <w:pPr>
        <w:pStyle w:val="question"/>
        <w:spacing w:before="120"/>
      </w:pPr>
      <w:r>
        <w:t>Q.</w:t>
      </w:r>
      <w:r>
        <w:tab/>
        <w:t>Do you agree with the recommendation of ICNU witness Donald Schoenbeck to decrease Colstrip O&amp;M expense by 7.1 percent?</w:t>
      </w:r>
    </w:p>
    <w:p w:rsidR="001F719C" w:rsidRDefault="001F719C" w:rsidP="00C74396">
      <w:pPr>
        <w:pStyle w:val="answer"/>
      </w:pPr>
      <w:r>
        <w:t>A.</w:t>
      </w:r>
      <w:r>
        <w:tab/>
        <w:t xml:space="preserve">No, I do not agree with Mr. Schoenbeck that the Colstrip O&amp;M expense for the rate year should be reduced.  PSE used the same methodology for determining Colstrip O&amp;M as it used in its most recent general rate case, Docket UE-111048 ("2011 GRC").  </w:t>
      </w:r>
    </w:p>
    <w:p w:rsidR="001F719C" w:rsidRDefault="001F719C" w:rsidP="0045643F">
      <w:pPr>
        <w:pStyle w:val="question"/>
        <w:spacing w:before="120"/>
      </w:pPr>
      <w:r>
        <w:t>Q.</w:t>
      </w:r>
      <w:r>
        <w:tab/>
        <w:t xml:space="preserve">What reason does Mr. Schoenbeck provide for his proposal to reduce Colstrip O&amp;M expense by 7.1 percent?  </w:t>
      </w:r>
    </w:p>
    <w:p w:rsidR="001F719C" w:rsidRDefault="001F719C" w:rsidP="00C74396">
      <w:pPr>
        <w:pStyle w:val="answer"/>
      </w:pPr>
      <w:r>
        <w:t>A.</w:t>
      </w:r>
      <w:r>
        <w:tab/>
        <w:t xml:space="preserve">Mr. Schoenbeck picks four years of historical data and states that over this selected time period, the budgeted O&amp;M expense for Colstrip has exceeded actual expense by 7.1 percent.  For that reason, he reduces the Colstrip O&amp;M expense in this case by 7.1 percent.  </w:t>
      </w:r>
    </w:p>
    <w:p w:rsidR="001F719C" w:rsidRDefault="001F719C" w:rsidP="00453E35">
      <w:pPr>
        <w:pStyle w:val="question"/>
        <w:spacing w:before="120"/>
      </w:pPr>
      <w:r>
        <w:t>Q.</w:t>
      </w:r>
      <w:r>
        <w:tab/>
        <w:t>Why was the actual</w:t>
      </w:r>
      <w:r w:rsidDel="00EA315C">
        <w:t xml:space="preserve"> </w:t>
      </w:r>
      <w:r>
        <w:t xml:space="preserve">O&amp;M expense for Colstrip 7.1 percent lower than the budgeted expense for the four-year historical period Mr. Schoenbeck selected?  </w:t>
      </w:r>
    </w:p>
    <w:p w:rsidR="001F719C" w:rsidRDefault="001F719C" w:rsidP="00453E35">
      <w:pPr>
        <w:pStyle w:val="answer"/>
      </w:pPr>
      <w:r>
        <w:t>A.</w:t>
      </w:r>
      <w:r>
        <w:tab/>
        <w:t>As can be seen in Exhibit No. ___(DWS-3), the two years primarily driving the under-run of actual O&amp;M expense were the years 2011 and 2012.  These two years were anomalies.  B</w:t>
      </w:r>
      <w:r w:rsidRPr="00453E35">
        <w:t xml:space="preserve">oth </w:t>
      </w:r>
      <w:r>
        <w:t xml:space="preserve">2011 and 2012 </w:t>
      </w:r>
      <w:r w:rsidRPr="00453E35">
        <w:t xml:space="preserve">were extreme water years with substantially higher </w:t>
      </w:r>
      <w:r>
        <w:t>than normal l</w:t>
      </w:r>
      <w:r w:rsidRPr="00453E35">
        <w:t>evels of hydro generation in the second quarter of each year.</w:t>
      </w:r>
      <w:r>
        <w:t xml:space="preserve"> </w:t>
      </w:r>
      <w:r w:rsidRPr="00453E35">
        <w:t xml:space="preserve"> </w:t>
      </w:r>
      <w:r>
        <w:t>The 2011 flow was 125 percent of the 30-year normal ending in 2000 and the 2012 flow was 128 percent.  T</w:t>
      </w:r>
      <w:r w:rsidRPr="00453E35">
        <w:t xml:space="preserve">he availability of </w:t>
      </w:r>
      <w:r>
        <w:t xml:space="preserve">inexpensive </w:t>
      </w:r>
      <w:r w:rsidRPr="00453E35">
        <w:t>hydro</w:t>
      </w:r>
      <w:r>
        <w:t xml:space="preserve">power in 2011 and 2012 resulted in </w:t>
      </w:r>
      <w:r w:rsidRPr="00453E35">
        <w:t xml:space="preserve">the decision to place Colstrip Unit 1 </w:t>
      </w:r>
      <w:r>
        <w:t>and</w:t>
      </w:r>
      <w:r w:rsidRPr="00453E35">
        <w:t xml:space="preserve"> 2 o</w:t>
      </w:r>
      <w:r>
        <w:t>n</w:t>
      </w:r>
      <w:r w:rsidRPr="00453E35">
        <w:t xml:space="preserve"> </w:t>
      </w:r>
      <w:r>
        <w:t>r</w:t>
      </w:r>
      <w:r w:rsidRPr="00453E35">
        <w:t xml:space="preserve">eserve </w:t>
      </w:r>
      <w:r>
        <w:t>shutdown</w:t>
      </w:r>
      <w:r w:rsidRPr="00453E35">
        <w:t xml:space="preserve"> status (</w:t>
      </w:r>
      <w:r w:rsidRPr="00C04B39">
        <w:rPr>
          <w:i/>
        </w:rPr>
        <w:t>i.e.,</w:t>
      </w:r>
      <w:r w:rsidRPr="00453E35">
        <w:t xml:space="preserve"> </w:t>
      </w:r>
      <w:r>
        <w:t>both units</w:t>
      </w:r>
      <w:r w:rsidRPr="00453E35">
        <w:t xml:space="preserve"> </w:t>
      </w:r>
      <w:r>
        <w:t xml:space="preserve">were available to </w:t>
      </w:r>
      <w:r w:rsidRPr="00453E35">
        <w:t>generate</w:t>
      </w:r>
      <w:r>
        <w:t xml:space="preserve"> but</w:t>
      </w:r>
      <w:r w:rsidRPr="00EA315C">
        <w:t xml:space="preserve"> </w:t>
      </w:r>
      <w:r>
        <w:t>were</w:t>
      </w:r>
      <w:r w:rsidRPr="00453E35">
        <w:t xml:space="preserve"> not </w:t>
      </w:r>
      <w:r>
        <w:t xml:space="preserve">dispatched </w:t>
      </w:r>
      <w:r w:rsidRPr="00453E35">
        <w:t xml:space="preserve">because of the availability of lower cost power) during most or all of the second quarter of these </w:t>
      </w:r>
      <w:r>
        <w:t xml:space="preserve">two </w:t>
      </w:r>
      <w:r w:rsidRPr="00453E35">
        <w:t>years.</w:t>
      </w:r>
      <w:r>
        <w:t xml:space="preserve">  </w:t>
      </w:r>
      <w:r w:rsidRPr="00453E35">
        <w:t xml:space="preserve">Because of the </w:t>
      </w:r>
      <w:r>
        <w:t>r</w:t>
      </w:r>
      <w:r w:rsidRPr="00453E35">
        <w:t xml:space="preserve">eserve </w:t>
      </w:r>
      <w:r>
        <w:t>shutdown</w:t>
      </w:r>
      <w:r w:rsidRPr="00453E35">
        <w:t xml:space="preserve"> status</w:t>
      </w:r>
      <w:r>
        <w:t>,</w:t>
      </w:r>
      <w:r w:rsidRPr="00453E35">
        <w:t xml:space="preserve"> </w:t>
      </w:r>
      <w:r>
        <w:t xml:space="preserve">production O&amp;M expenses such as </w:t>
      </w:r>
      <w:r w:rsidRPr="00453E35">
        <w:t xml:space="preserve">overtime requirements, water treatment </w:t>
      </w:r>
      <w:r>
        <w:t xml:space="preserve">chemicals </w:t>
      </w:r>
      <w:r w:rsidRPr="00453E35">
        <w:t xml:space="preserve">and other operating </w:t>
      </w:r>
      <w:r>
        <w:t xml:space="preserve">and maintenance </w:t>
      </w:r>
      <w:r w:rsidRPr="00453E35">
        <w:t>costs were minimized</w:t>
      </w:r>
      <w:r>
        <w:t>,</w:t>
      </w:r>
      <w:r w:rsidRPr="00453E35">
        <w:t xml:space="preserve"> causing the under-run </w:t>
      </w:r>
      <w:r>
        <w:t xml:space="preserve">of actual expenses as </w:t>
      </w:r>
      <w:r w:rsidRPr="00453E35">
        <w:t>compared to budget.</w:t>
      </w:r>
      <w:r>
        <w:t xml:space="preserve"> </w:t>
      </w:r>
      <w:r w:rsidRPr="00453E35">
        <w:t xml:space="preserve"> </w:t>
      </w:r>
      <w:r>
        <w:t>In contrast, d</w:t>
      </w:r>
      <w:r w:rsidRPr="00453E35">
        <w:t xml:space="preserve">uring </w:t>
      </w:r>
      <w:r w:rsidRPr="0045643F">
        <w:t>2013</w:t>
      </w:r>
      <w:r w:rsidRPr="00453E35">
        <w:t>, a more normal water year, all four Colstrip units ran throughout the second quarter except for the 44-day planned overhaul of Unit 4.</w:t>
      </w:r>
      <w:r>
        <w:t xml:space="preserve"> </w:t>
      </w:r>
      <w:r w:rsidRPr="00453E35">
        <w:t xml:space="preserve"> Periods of extreme, </w:t>
      </w:r>
      <w:r>
        <w:t>low-</w:t>
      </w:r>
      <w:r w:rsidRPr="00453E35">
        <w:t>cost</w:t>
      </w:r>
      <w:r>
        <w:t xml:space="preserve"> </w:t>
      </w:r>
      <w:r w:rsidRPr="00453E35">
        <w:t>hydro</w:t>
      </w:r>
      <w:r>
        <w:t xml:space="preserve"> </w:t>
      </w:r>
      <w:r w:rsidRPr="00453E35">
        <w:t>generation, such as 2011 and 2012</w:t>
      </w:r>
      <w:r>
        <w:t xml:space="preserve">, </w:t>
      </w:r>
      <w:r w:rsidRPr="00453E35">
        <w:t>are not typical of normal Northwest power operations</w:t>
      </w:r>
      <w:r>
        <w:t xml:space="preserve"> </w:t>
      </w:r>
      <w:r w:rsidRPr="00453E35">
        <w:t>and should not be used as a basis for reduction of</w:t>
      </w:r>
      <w:r>
        <w:t xml:space="preserve"> </w:t>
      </w:r>
      <w:r w:rsidRPr="00453E35">
        <w:t>Colstrip</w:t>
      </w:r>
      <w:r>
        <w:t xml:space="preserve"> </w:t>
      </w:r>
      <w:r w:rsidRPr="00453E35">
        <w:t>operating costs.</w:t>
      </w:r>
    </w:p>
    <w:p w:rsidR="001F719C" w:rsidRDefault="001F719C" w:rsidP="00464DE3">
      <w:pPr>
        <w:pStyle w:val="question"/>
        <w:spacing w:before="120"/>
      </w:pPr>
      <w:r>
        <w:t>Q.</w:t>
      </w:r>
      <w:r>
        <w:tab/>
        <w:t>Have there been past years when the actual production O&amp;M costs for Colstrip exceeded the budgeted amounts?</w:t>
      </w:r>
    </w:p>
    <w:p w:rsidR="001F719C" w:rsidRDefault="001F719C" w:rsidP="00F61946">
      <w:pPr>
        <w:pStyle w:val="answer"/>
      </w:pPr>
      <w:r>
        <w:t>A.</w:t>
      </w:r>
      <w:r>
        <w:tab/>
        <w:t>Yes.  In the two years immediately prior to the years used by Mr. Schoenbeck, PSE’s total actual expenditures exceeded its budget as shown below:</w:t>
      </w:r>
    </w:p>
    <w:tbl>
      <w:tblPr>
        <w:tblW w:w="4980" w:type="dxa"/>
        <w:tblInd w:w="1908" w:type="dxa"/>
        <w:tblLook w:val="0000"/>
      </w:tblPr>
      <w:tblGrid>
        <w:gridCol w:w="1660"/>
        <w:gridCol w:w="1660"/>
        <w:gridCol w:w="1660"/>
      </w:tblGrid>
      <w:tr w:rsidR="001F719C" w:rsidRPr="00071047" w:rsidTr="00214B35">
        <w:trPr>
          <w:trHeight w:val="255"/>
        </w:trPr>
        <w:tc>
          <w:tcPr>
            <w:tcW w:w="1660" w:type="dxa"/>
            <w:noWrap/>
          </w:tcPr>
          <w:p w:rsidR="001F719C" w:rsidRPr="00071047" w:rsidRDefault="001F719C" w:rsidP="00071047">
            <w:pPr>
              <w:rPr>
                <w:rFonts w:ascii="Arial" w:hAnsi="Arial" w:cs="Arial"/>
                <w:sz w:val="20"/>
                <w:szCs w:val="20"/>
              </w:rPr>
            </w:pPr>
          </w:p>
        </w:tc>
        <w:tc>
          <w:tcPr>
            <w:tcW w:w="1660" w:type="dxa"/>
          </w:tcPr>
          <w:p w:rsidR="001F719C" w:rsidRPr="00071047" w:rsidRDefault="001F719C" w:rsidP="00071047">
            <w:pPr>
              <w:jc w:val="right"/>
              <w:rPr>
                <w:rFonts w:ascii="Arial" w:hAnsi="Arial" w:cs="Arial"/>
                <w:b/>
                <w:bCs/>
                <w:color w:val="000000"/>
                <w:sz w:val="20"/>
                <w:szCs w:val="20"/>
              </w:rPr>
            </w:pPr>
            <w:r w:rsidRPr="00071047">
              <w:rPr>
                <w:rFonts w:ascii="Arial" w:hAnsi="Arial" w:cs="Arial"/>
                <w:b/>
                <w:bCs/>
                <w:color w:val="000000"/>
                <w:sz w:val="20"/>
                <w:szCs w:val="20"/>
              </w:rPr>
              <w:t>2007</w:t>
            </w:r>
          </w:p>
        </w:tc>
        <w:tc>
          <w:tcPr>
            <w:tcW w:w="1660" w:type="dxa"/>
          </w:tcPr>
          <w:p w:rsidR="001F719C" w:rsidRPr="00071047" w:rsidRDefault="001F719C" w:rsidP="00071047">
            <w:pPr>
              <w:jc w:val="right"/>
              <w:rPr>
                <w:rFonts w:ascii="Arial" w:hAnsi="Arial" w:cs="Arial"/>
                <w:b/>
                <w:bCs/>
                <w:color w:val="000000"/>
                <w:sz w:val="20"/>
                <w:szCs w:val="20"/>
              </w:rPr>
            </w:pPr>
            <w:r w:rsidRPr="00071047">
              <w:rPr>
                <w:rFonts w:ascii="Arial" w:hAnsi="Arial" w:cs="Arial"/>
                <w:b/>
                <w:bCs/>
                <w:color w:val="000000"/>
                <w:sz w:val="20"/>
                <w:szCs w:val="20"/>
              </w:rPr>
              <w:t>2008</w:t>
            </w:r>
          </w:p>
        </w:tc>
      </w:tr>
      <w:tr w:rsidR="001F719C" w:rsidRPr="00071047" w:rsidTr="00214B35">
        <w:trPr>
          <w:trHeight w:val="255"/>
        </w:trPr>
        <w:tc>
          <w:tcPr>
            <w:tcW w:w="1660" w:type="dxa"/>
          </w:tcPr>
          <w:p w:rsidR="001F719C" w:rsidRPr="00071047" w:rsidRDefault="001F719C" w:rsidP="00104D81">
            <w:pPr>
              <w:ind w:firstLineChars="100" w:firstLine="200"/>
              <w:rPr>
                <w:rFonts w:ascii="Arial" w:hAnsi="Arial" w:cs="Arial"/>
                <w:color w:val="000000"/>
                <w:sz w:val="20"/>
                <w:szCs w:val="20"/>
              </w:rPr>
            </w:pPr>
            <w:r w:rsidRPr="00071047">
              <w:rPr>
                <w:rFonts w:ascii="Arial" w:hAnsi="Arial" w:cs="Arial"/>
                <w:color w:val="000000"/>
                <w:sz w:val="20"/>
                <w:szCs w:val="20"/>
              </w:rPr>
              <w:t>Colstrip 1&amp;2</w:t>
            </w:r>
          </w:p>
        </w:tc>
        <w:tc>
          <w:tcPr>
            <w:tcW w:w="1660" w:type="dxa"/>
          </w:tcPr>
          <w:p w:rsidR="001F719C" w:rsidRPr="00071047" w:rsidRDefault="001F719C" w:rsidP="00071047">
            <w:pPr>
              <w:jc w:val="right"/>
              <w:rPr>
                <w:rFonts w:ascii="Arial" w:hAnsi="Arial" w:cs="Arial"/>
                <w:color w:val="000000"/>
                <w:sz w:val="20"/>
                <w:szCs w:val="20"/>
              </w:rPr>
            </w:pPr>
            <w:r w:rsidRPr="00071047">
              <w:rPr>
                <w:rFonts w:ascii="Arial" w:hAnsi="Arial" w:cs="Arial"/>
                <w:color w:val="000000"/>
                <w:sz w:val="20"/>
                <w:szCs w:val="20"/>
              </w:rPr>
              <w:t>$16,124,429</w:t>
            </w:r>
          </w:p>
        </w:tc>
        <w:tc>
          <w:tcPr>
            <w:tcW w:w="1660" w:type="dxa"/>
          </w:tcPr>
          <w:p w:rsidR="001F719C" w:rsidRPr="00071047" w:rsidRDefault="001F719C" w:rsidP="00071047">
            <w:pPr>
              <w:jc w:val="right"/>
              <w:rPr>
                <w:rFonts w:ascii="Arial" w:hAnsi="Arial" w:cs="Arial"/>
                <w:color w:val="000000"/>
                <w:sz w:val="20"/>
                <w:szCs w:val="20"/>
              </w:rPr>
            </w:pPr>
            <w:r w:rsidRPr="00071047">
              <w:rPr>
                <w:rFonts w:ascii="Arial" w:hAnsi="Arial" w:cs="Arial"/>
                <w:color w:val="000000"/>
                <w:sz w:val="20"/>
                <w:szCs w:val="20"/>
              </w:rPr>
              <w:t>$27,249,499</w:t>
            </w:r>
          </w:p>
        </w:tc>
      </w:tr>
      <w:tr w:rsidR="001F719C" w:rsidRPr="00071047" w:rsidTr="00214B35">
        <w:trPr>
          <w:trHeight w:val="255"/>
        </w:trPr>
        <w:tc>
          <w:tcPr>
            <w:tcW w:w="1660" w:type="dxa"/>
          </w:tcPr>
          <w:p w:rsidR="001F719C" w:rsidRPr="00071047" w:rsidRDefault="001F719C" w:rsidP="00104D81">
            <w:pPr>
              <w:ind w:firstLineChars="100" w:firstLine="200"/>
              <w:rPr>
                <w:rFonts w:ascii="Arial" w:hAnsi="Arial" w:cs="Arial"/>
                <w:color w:val="000000"/>
                <w:sz w:val="20"/>
                <w:szCs w:val="20"/>
              </w:rPr>
            </w:pPr>
            <w:r w:rsidRPr="00071047">
              <w:rPr>
                <w:rFonts w:ascii="Arial" w:hAnsi="Arial" w:cs="Arial"/>
                <w:color w:val="000000"/>
                <w:sz w:val="20"/>
                <w:szCs w:val="20"/>
              </w:rPr>
              <w:t>Colstrip 3&amp;4</w:t>
            </w:r>
          </w:p>
        </w:tc>
        <w:tc>
          <w:tcPr>
            <w:tcW w:w="1660" w:type="dxa"/>
          </w:tcPr>
          <w:p w:rsidR="001F719C" w:rsidRPr="00071047" w:rsidRDefault="001F719C" w:rsidP="00071047">
            <w:pPr>
              <w:jc w:val="right"/>
              <w:rPr>
                <w:rFonts w:ascii="Arial" w:hAnsi="Arial" w:cs="Arial"/>
                <w:color w:val="000000"/>
                <w:sz w:val="20"/>
                <w:szCs w:val="20"/>
              </w:rPr>
            </w:pPr>
            <w:r w:rsidRPr="00071047">
              <w:rPr>
                <w:rFonts w:ascii="Arial" w:hAnsi="Arial" w:cs="Arial"/>
                <w:color w:val="000000"/>
                <w:sz w:val="20"/>
                <w:szCs w:val="20"/>
              </w:rPr>
              <w:t>$14,456,942</w:t>
            </w:r>
          </w:p>
        </w:tc>
        <w:tc>
          <w:tcPr>
            <w:tcW w:w="1660" w:type="dxa"/>
          </w:tcPr>
          <w:p w:rsidR="001F719C" w:rsidRPr="00071047" w:rsidRDefault="001F719C" w:rsidP="00071047">
            <w:pPr>
              <w:jc w:val="right"/>
              <w:rPr>
                <w:rFonts w:ascii="Arial" w:hAnsi="Arial" w:cs="Arial"/>
                <w:color w:val="000000"/>
                <w:sz w:val="20"/>
                <w:szCs w:val="20"/>
              </w:rPr>
            </w:pPr>
            <w:r w:rsidRPr="00071047">
              <w:rPr>
                <w:rFonts w:ascii="Arial" w:hAnsi="Arial" w:cs="Arial"/>
                <w:color w:val="000000"/>
                <w:sz w:val="20"/>
                <w:szCs w:val="20"/>
              </w:rPr>
              <w:t>$15,238,402</w:t>
            </w:r>
          </w:p>
        </w:tc>
      </w:tr>
      <w:tr w:rsidR="001F719C" w:rsidRPr="00071047" w:rsidTr="00214B35">
        <w:trPr>
          <w:trHeight w:val="255"/>
        </w:trPr>
        <w:tc>
          <w:tcPr>
            <w:tcW w:w="1660" w:type="dxa"/>
          </w:tcPr>
          <w:p w:rsidR="001F719C" w:rsidRPr="00071047" w:rsidRDefault="001F719C" w:rsidP="00104D81">
            <w:pPr>
              <w:ind w:firstLineChars="100" w:firstLine="200"/>
              <w:rPr>
                <w:rFonts w:ascii="Arial" w:hAnsi="Arial" w:cs="Arial"/>
                <w:color w:val="000000"/>
                <w:sz w:val="20"/>
                <w:szCs w:val="20"/>
              </w:rPr>
            </w:pPr>
            <w:r w:rsidRPr="00071047">
              <w:rPr>
                <w:rFonts w:ascii="Arial" w:hAnsi="Arial" w:cs="Arial"/>
                <w:color w:val="000000"/>
                <w:sz w:val="20"/>
                <w:szCs w:val="20"/>
              </w:rPr>
              <w:t>Total Actual</w:t>
            </w:r>
          </w:p>
        </w:tc>
        <w:tc>
          <w:tcPr>
            <w:tcW w:w="1660" w:type="dxa"/>
            <w:noWrap/>
          </w:tcPr>
          <w:p w:rsidR="001F719C" w:rsidRPr="00071047" w:rsidRDefault="001F719C" w:rsidP="00071047">
            <w:pPr>
              <w:jc w:val="right"/>
              <w:rPr>
                <w:rFonts w:ascii="Arial" w:hAnsi="Arial" w:cs="Arial"/>
                <w:sz w:val="20"/>
                <w:szCs w:val="20"/>
              </w:rPr>
            </w:pPr>
            <w:r w:rsidRPr="00071047">
              <w:rPr>
                <w:rFonts w:ascii="Arial" w:hAnsi="Arial" w:cs="Arial"/>
                <w:sz w:val="20"/>
                <w:szCs w:val="20"/>
              </w:rPr>
              <w:t>$30,581,371</w:t>
            </w:r>
          </w:p>
        </w:tc>
        <w:tc>
          <w:tcPr>
            <w:tcW w:w="1660" w:type="dxa"/>
            <w:noWrap/>
          </w:tcPr>
          <w:p w:rsidR="001F719C" w:rsidRPr="00071047" w:rsidRDefault="001F719C" w:rsidP="00071047">
            <w:pPr>
              <w:jc w:val="right"/>
              <w:rPr>
                <w:rFonts w:ascii="Arial" w:hAnsi="Arial" w:cs="Arial"/>
                <w:sz w:val="20"/>
                <w:szCs w:val="20"/>
              </w:rPr>
            </w:pPr>
            <w:r w:rsidRPr="00071047">
              <w:rPr>
                <w:rFonts w:ascii="Arial" w:hAnsi="Arial" w:cs="Arial"/>
                <w:sz w:val="20"/>
                <w:szCs w:val="20"/>
              </w:rPr>
              <w:t>$42,487,901</w:t>
            </w:r>
          </w:p>
        </w:tc>
      </w:tr>
      <w:tr w:rsidR="001F719C" w:rsidRPr="00071047" w:rsidTr="00214B35">
        <w:trPr>
          <w:trHeight w:val="120"/>
        </w:trPr>
        <w:tc>
          <w:tcPr>
            <w:tcW w:w="1660" w:type="dxa"/>
            <w:noWrap/>
          </w:tcPr>
          <w:p w:rsidR="001F719C" w:rsidRPr="00071047" w:rsidRDefault="001F719C" w:rsidP="00071047">
            <w:pPr>
              <w:rPr>
                <w:rFonts w:ascii="Arial" w:hAnsi="Arial" w:cs="Arial"/>
                <w:sz w:val="20"/>
                <w:szCs w:val="20"/>
              </w:rPr>
            </w:pPr>
          </w:p>
        </w:tc>
        <w:tc>
          <w:tcPr>
            <w:tcW w:w="1660" w:type="dxa"/>
            <w:noWrap/>
          </w:tcPr>
          <w:p w:rsidR="001F719C" w:rsidRPr="00071047" w:rsidRDefault="001F719C" w:rsidP="00071047">
            <w:pPr>
              <w:rPr>
                <w:rFonts w:ascii="Arial" w:hAnsi="Arial" w:cs="Arial"/>
                <w:sz w:val="20"/>
                <w:szCs w:val="20"/>
              </w:rPr>
            </w:pPr>
          </w:p>
        </w:tc>
        <w:tc>
          <w:tcPr>
            <w:tcW w:w="1660" w:type="dxa"/>
            <w:noWrap/>
          </w:tcPr>
          <w:p w:rsidR="001F719C" w:rsidRPr="00071047" w:rsidRDefault="001F719C" w:rsidP="00071047">
            <w:pPr>
              <w:rPr>
                <w:rFonts w:ascii="Arial" w:hAnsi="Arial" w:cs="Arial"/>
                <w:sz w:val="20"/>
                <w:szCs w:val="20"/>
              </w:rPr>
            </w:pPr>
          </w:p>
        </w:tc>
      </w:tr>
      <w:tr w:rsidR="001F719C" w:rsidRPr="00071047" w:rsidTr="00214B35">
        <w:trPr>
          <w:trHeight w:val="255"/>
        </w:trPr>
        <w:tc>
          <w:tcPr>
            <w:tcW w:w="1660" w:type="dxa"/>
          </w:tcPr>
          <w:p w:rsidR="001F719C" w:rsidRPr="00071047" w:rsidRDefault="001F719C" w:rsidP="00104D81">
            <w:pPr>
              <w:ind w:firstLineChars="100" w:firstLine="200"/>
              <w:rPr>
                <w:rFonts w:ascii="Arial" w:hAnsi="Arial" w:cs="Arial"/>
                <w:color w:val="000000"/>
                <w:sz w:val="20"/>
                <w:szCs w:val="20"/>
              </w:rPr>
            </w:pPr>
            <w:r w:rsidRPr="00071047">
              <w:rPr>
                <w:rFonts w:ascii="Arial" w:hAnsi="Arial" w:cs="Arial"/>
                <w:color w:val="000000"/>
                <w:sz w:val="20"/>
                <w:szCs w:val="20"/>
              </w:rPr>
              <w:t>Total Budget</w:t>
            </w:r>
          </w:p>
        </w:tc>
        <w:tc>
          <w:tcPr>
            <w:tcW w:w="1660" w:type="dxa"/>
            <w:noWrap/>
          </w:tcPr>
          <w:p w:rsidR="001F719C" w:rsidRPr="00071047" w:rsidRDefault="001F719C" w:rsidP="00071047">
            <w:pPr>
              <w:jc w:val="right"/>
              <w:rPr>
                <w:rFonts w:ascii="Arial" w:hAnsi="Arial" w:cs="Arial"/>
                <w:sz w:val="20"/>
                <w:szCs w:val="20"/>
              </w:rPr>
            </w:pPr>
            <w:r w:rsidRPr="00071047">
              <w:rPr>
                <w:rFonts w:ascii="Arial" w:hAnsi="Arial" w:cs="Arial"/>
                <w:sz w:val="20"/>
                <w:szCs w:val="20"/>
              </w:rPr>
              <w:t>$30,074,149</w:t>
            </w:r>
          </w:p>
        </w:tc>
        <w:tc>
          <w:tcPr>
            <w:tcW w:w="1660" w:type="dxa"/>
            <w:noWrap/>
          </w:tcPr>
          <w:p w:rsidR="001F719C" w:rsidRPr="00071047" w:rsidRDefault="001F719C" w:rsidP="00071047">
            <w:pPr>
              <w:jc w:val="right"/>
              <w:rPr>
                <w:rFonts w:ascii="Arial" w:hAnsi="Arial" w:cs="Arial"/>
                <w:sz w:val="20"/>
                <w:szCs w:val="20"/>
              </w:rPr>
            </w:pPr>
            <w:r w:rsidRPr="00071047">
              <w:rPr>
                <w:rFonts w:ascii="Arial" w:hAnsi="Arial" w:cs="Arial"/>
                <w:sz w:val="20"/>
                <w:szCs w:val="20"/>
              </w:rPr>
              <w:t>$33,327,150</w:t>
            </w:r>
          </w:p>
        </w:tc>
      </w:tr>
      <w:tr w:rsidR="001F719C" w:rsidRPr="00071047" w:rsidTr="00214B35">
        <w:trPr>
          <w:trHeight w:val="255"/>
        </w:trPr>
        <w:tc>
          <w:tcPr>
            <w:tcW w:w="1660" w:type="dxa"/>
          </w:tcPr>
          <w:p w:rsidR="001F719C" w:rsidRPr="00071047" w:rsidRDefault="001F719C" w:rsidP="00104D81">
            <w:pPr>
              <w:ind w:firstLineChars="100" w:firstLine="200"/>
              <w:rPr>
                <w:rFonts w:ascii="Arial" w:hAnsi="Arial" w:cs="Arial"/>
                <w:color w:val="000000"/>
                <w:sz w:val="20"/>
                <w:szCs w:val="20"/>
              </w:rPr>
            </w:pPr>
          </w:p>
        </w:tc>
        <w:tc>
          <w:tcPr>
            <w:tcW w:w="1660" w:type="dxa"/>
            <w:noWrap/>
          </w:tcPr>
          <w:p w:rsidR="001F719C" w:rsidRPr="00071047" w:rsidRDefault="001F719C" w:rsidP="00071047">
            <w:pPr>
              <w:jc w:val="right"/>
              <w:rPr>
                <w:rFonts w:ascii="Arial" w:hAnsi="Arial" w:cs="Arial"/>
                <w:sz w:val="20"/>
                <w:szCs w:val="20"/>
              </w:rPr>
            </w:pPr>
          </w:p>
        </w:tc>
        <w:tc>
          <w:tcPr>
            <w:tcW w:w="1660" w:type="dxa"/>
            <w:noWrap/>
          </w:tcPr>
          <w:p w:rsidR="001F719C" w:rsidRPr="00071047" w:rsidRDefault="001F719C" w:rsidP="00071047">
            <w:pPr>
              <w:jc w:val="right"/>
              <w:rPr>
                <w:rFonts w:ascii="Arial" w:hAnsi="Arial" w:cs="Arial"/>
                <w:sz w:val="20"/>
                <w:szCs w:val="20"/>
              </w:rPr>
            </w:pPr>
          </w:p>
        </w:tc>
      </w:tr>
      <w:tr w:rsidR="001F719C" w:rsidRPr="00071047" w:rsidTr="00214B35">
        <w:trPr>
          <w:trHeight w:val="255"/>
        </w:trPr>
        <w:tc>
          <w:tcPr>
            <w:tcW w:w="1660" w:type="dxa"/>
          </w:tcPr>
          <w:p w:rsidR="001F719C" w:rsidRPr="00071047" w:rsidRDefault="001F719C" w:rsidP="00104D81">
            <w:pPr>
              <w:ind w:firstLineChars="100" w:firstLine="200"/>
              <w:rPr>
                <w:rFonts w:ascii="Arial" w:hAnsi="Arial" w:cs="Arial"/>
                <w:color w:val="000000"/>
                <w:sz w:val="20"/>
                <w:szCs w:val="20"/>
              </w:rPr>
            </w:pPr>
            <w:r>
              <w:rPr>
                <w:rFonts w:ascii="Arial" w:hAnsi="Arial" w:cs="Arial"/>
                <w:color w:val="000000"/>
                <w:sz w:val="20"/>
                <w:szCs w:val="20"/>
              </w:rPr>
              <w:t>Difference</w:t>
            </w:r>
          </w:p>
        </w:tc>
        <w:tc>
          <w:tcPr>
            <w:tcW w:w="1660" w:type="dxa"/>
            <w:noWrap/>
          </w:tcPr>
          <w:p w:rsidR="001F719C" w:rsidRPr="00395F03" w:rsidRDefault="001F719C" w:rsidP="00071047">
            <w:pPr>
              <w:jc w:val="right"/>
              <w:rPr>
                <w:rFonts w:ascii="Arial" w:hAnsi="Arial" w:cs="Arial"/>
                <w:sz w:val="20"/>
                <w:szCs w:val="20"/>
              </w:rPr>
            </w:pPr>
            <w:r>
              <w:rPr>
                <w:rFonts w:ascii="Arial" w:hAnsi="Arial" w:cs="Arial"/>
                <w:sz w:val="20"/>
                <w:szCs w:val="20"/>
              </w:rPr>
              <w:t>$</w:t>
            </w:r>
            <w:r w:rsidRPr="00395F03">
              <w:rPr>
                <w:rFonts w:ascii="Arial" w:hAnsi="Arial" w:cs="Arial"/>
                <w:sz w:val="20"/>
                <w:szCs w:val="20"/>
              </w:rPr>
              <w:t>507</w:t>
            </w:r>
            <w:r>
              <w:rPr>
                <w:rFonts w:ascii="Arial" w:hAnsi="Arial" w:cs="Arial"/>
                <w:sz w:val="20"/>
                <w:szCs w:val="20"/>
              </w:rPr>
              <w:t>,</w:t>
            </w:r>
            <w:r w:rsidRPr="00395F03">
              <w:rPr>
                <w:rFonts w:ascii="Arial" w:hAnsi="Arial" w:cs="Arial"/>
                <w:sz w:val="20"/>
                <w:szCs w:val="20"/>
              </w:rPr>
              <w:t>222</w:t>
            </w:r>
          </w:p>
        </w:tc>
        <w:tc>
          <w:tcPr>
            <w:tcW w:w="1660" w:type="dxa"/>
            <w:noWrap/>
          </w:tcPr>
          <w:p w:rsidR="001F719C" w:rsidRPr="00395F03" w:rsidRDefault="001F719C" w:rsidP="00071047">
            <w:pPr>
              <w:jc w:val="right"/>
              <w:rPr>
                <w:rFonts w:ascii="Arial" w:hAnsi="Arial" w:cs="Arial"/>
                <w:sz w:val="20"/>
                <w:szCs w:val="20"/>
              </w:rPr>
            </w:pPr>
            <w:r>
              <w:rPr>
                <w:rFonts w:ascii="Arial" w:hAnsi="Arial" w:cs="Arial"/>
                <w:sz w:val="20"/>
                <w:szCs w:val="20"/>
              </w:rPr>
              <w:t>$</w:t>
            </w:r>
            <w:r w:rsidRPr="00395F03">
              <w:rPr>
                <w:rFonts w:ascii="Arial" w:hAnsi="Arial" w:cs="Arial"/>
                <w:sz w:val="20"/>
                <w:szCs w:val="20"/>
              </w:rPr>
              <w:t>9</w:t>
            </w:r>
            <w:r>
              <w:rPr>
                <w:rFonts w:ascii="Arial" w:hAnsi="Arial" w:cs="Arial"/>
                <w:sz w:val="20"/>
                <w:szCs w:val="20"/>
              </w:rPr>
              <w:t>,</w:t>
            </w:r>
            <w:r w:rsidRPr="00395F03">
              <w:rPr>
                <w:rFonts w:ascii="Arial" w:hAnsi="Arial" w:cs="Arial"/>
                <w:sz w:val="20"/>
                <w:szCs w:val="20"/>
              </w:rPr>
              <w:t>160</w:t>
            </w:r>
            <w:r>
              <w:rPr>
                <w:rFonts w:ascii="Arial" w:hAnsi="Arial" w:cs="Arial"/>
                <w:sz w:val="20"/>
                <w:szCs w:val="20"/>
              </w:rPr>
              <w:t>,</w:t>
            </w:r>
            <w:r w:rsidRPr="00395F03">
              <w:rPr>
                <w:rFonts w:ascii="Arial" w:hAnsi="Arial" w:cs="Arial"/>
                <w:sz w:val="20"/>
                <w:szCs w:val="20"/>
              </w:rPr>
              <w:t>751</w:t>
            </w:r>
          </w:p>
        </w:tc>
      </w:tr>
    </w:tbl>
    <w:p w:rsidR="001F719C" w:rsidRDefault="001F719C" w:rsidP="00F96BF6">
      <w:pPr>
        <w:pStyle w:val="question"/>
        <w:spacing w:before="120"/>
      </w:pPr>
      <w:r>
        <w:t>Q.</w:t>
      </w:r>
      <w:r>
        <w:tab/>
        <w:t>Do you believe that the third-party budget used to determine Colstrip rate year production O&amp;M is appropriate in this case?</w:t>
      </w:r>
    </w:p>
    <w:p w:rsidR="001F719C" w:rsidRPr="005A7828" w:rsidRDefault="001F719C" w:rsidP="00283530">
      <w:pPr>
        <w:pStyle w:val="answer"/>
      </w:pPr>
      <w:r>
        <w:t>A.</w:t>
      </w:r>
      <w:r>
        <w:tab/>
        <w:t xml:space="preserve">Yes.  This is the methodology accepted by the Commission in numerous past cases, including the 2011 GRC.  </w:t>
      </w:r>
    </w:p>
    <w:p w:rsidR="001F719C" w:rsidRDefault="001F719C" w:rsidP="003E3D10">
      <w:pPr>
        <w:pStyle w:val="Heading1"/>
        <w:widowControl w:val="0"/>
      </w:pPr>
      <w:bookmarkStart w:id="14" w:name="_Toc365362705"/>
      <w:r>
        <w:t>IV.</w:t>
      </w:r>
      <w:r>
        <w:tab/>
        <w:t>OUTAGES FOR COLSTRIP UNITS 1 AND 2</w:t>
      </w:r>
      <w:bookmarkEnd w:id="14"/>
      <w:r>
        <w:t xml:space="preserve"> </w:t>
      </w:r>
    </w:p>
    <w:p w:rsidR="001F719C" w:rsidRPr="007B0574" w:rsidRDefault="001F719C" w:rsidP="003E3D10">
      <w:pPr>
        <w:pStyle w:val="question"/>
        <w:spacing w:before="120"/>
        <w:rPr>
          <w:bCs/>
        </w:rPr>
      </w:pPr>
      <w:r>
        <w:rPr>
          <w:bCs/>
        </w:rPr>
        <w:t>Q.</w:t>
      </w:r>
      <w:r>
        <w:rPr>
          <w:bCs/>
        </w:rPr>
        <w:tab/>
        <w:t xml:space="preserve">Please describe the change to the maintenance schedule for Colstrip Units 1 and 2. </w:t>
      </w:r>
    </w:p>
    <w:p w:rsidR="001F719C" w:rsidRDefault="001F719C" w:rsidP="00B909C2">
      <w:pPr>
        <w:pStyle w:val="answer"/>
        <w:widowControl w:val="0"/>
      </w:pPr>
      <w:r>
        <w:t>A.</w:t>
      </w:r>
      <w:r>
        <w:tab/>
        <w:t>Colstrip Units 1 and 2 were originally planned to be derated during the rate year for six days and 37 days, respectively, for a total of 43 days.  Specifically, U</w:t>
      </w:r>
      <w:r w:rsidRPr="00CF70E1">
        <w:t xml:space="preserve">nit 1 </w:t>
      </w:r>
      <w:r>
        <w:t>was to</w:t>
      </w:r>
      <w:r w:rsidRPr="00CF70E1">
        <w:t xml:space="preserve"> be reduced to </w:t>
      </w:r>
      <w:r>
        <w:t>two-thirds</w:t>
      </w:r>
      <w:r w:rsidRPr="00CF70E1">
        <w:t xml:space="preserve"> of normal output for six days for scrubber cleaning and repair</w:t>
      </w:r>
      <w:r>
        <w:t xml:space="preserve"> and U</w:t>
      </w:r>
      <w:r w:rsidRPr="00CF70E1">
        <w:t xml:space="preserve">nit 2 </w:t>
      </w:r>
      <w:r>
        <w:t>was to</w:t>
      </w:r>
      <w:r w:rsidRPr="00CF70E1">
        <w:t xml:space="preserve"> be reduced to </w:t>
      </w:r>
      <w:r>
        <w:t>two-thirds of normal output for 37 days for s</w:t>
      </w:r>
      <w:r w:rsidRPr="00CF70E1">
        <w:t>crubber modifications</w:t>
      </w:r>
      <w:r w:rsidRPr="00240A80">
        <w:t>.</w:t>
      </w:r>
      <w:r>
        <w:t xml:space="preserve">  The more current maintenance schedule has increased the number of days the units will be derated during the rate year to 49 days for each unit, for a total of 98 days.  This is an increase of 56 days, in which one of the Colstrip units will have a reduced capacity to provide generation.  Mr. David Mills discusses the impact on power costs resulting from this change in planned maintenance in his prefiled rebuttal testimony.  </w:t>
      </w:r>
    </w:p>
    <w:p w:rsidR="001F719C" w:rsidRPr="006612B1" w:rsidRDefault="001F719C" w:rsidP="003E3D10">
      <w:pPr>
        <w:pStyle w:val="question"/>
        <w:keepLines/>
        <w:spacing w:before="120"/>
      </w:pPr>
      <w:r w:rsidRPr="006612B1">
        <w:t>Q</w:t>
      </w:r>
      <w:r>
        <w:t>.</w:t>
      </w:r>
      <w:r w:rsidRPr="006612B1">
        <w:t xml:space="preserve"> </w:t>
      </w:r>
      <w:r>
        <w:tab/>
      </w:r>
      <w:r w:rsidRPr="006612B1">
        <w:t>What has caused the change in</w:t>
      </w:r>
      <w:r>
        <w:t xml:space="preserve"> </w:t>
      </w:r>
      <w:r w:rsidRPr="006612B1">
        <w:t>the duration of the</w:t>
      </w:r>
      <w:r>
        <w:t xml:space="preserve"> </w:t>
      </w:r>
      <w:r w:rsidRPr="006612B1">
        <w:t xml:space="preserve">deratings of Units 1 </w:t>
      </w:r>
      <w:r>
        <w:t>and</w:t>
      </w:r>
      <w:r w:rsidRPr="006612B1">
        <w:t xml:space="preserve"> 2</w:t>
      </w:r>
      <w:r>
        <w:t>?</w:t>
      </w:r>
    </w:p>
    <w:p w:rsidR="001F719C" w:rsidRPr="00214099" w:rsidRDefault="001F719C" w:rsidP="00214B35">
      <w:pPr>
        <w:pStyle w:val="answer"/>
      </w:pPr>
      <w:r w:rsidRPr="006612B1">
        <w:t>A</w:t>
      </w:r>
      <w:r>
        <w:t>.</w:t>
      </w:r>
      <w:r w:rsidRPr="006612B1">
        <w:t xml:space="preserve"> </w:t>
      </w:r>
      <w:r>
        <w:tab/>
      </w:r>
      <w:r w:rsidRPr="006612B1">
        <w:t>The changes are based on</w:t>
      </w:r>
      <w:r>
        <w:t xml:space="preserve"> </w:t>
      </w:r>
      <w:r w:rsidRPr="006612B1">
        <w:t>actual experience gained during the 2013 modification of one scrubber vessel to meet the Mercury and Air Toxics rule that is effective in April 2015.</w:t>
      </w:r>
      <w:r>
        <w:t xml:space="preserve"> </w:t>
      </w:r>
      <w:r w:rsidRPr="006612B1">
        <w:t xml:space="preserve"> It revealed</w:t>
      </w:r>
      <w:r>
        <w:t xml:space="preserve"> </w:t>
      </w:r>
      <w:r w:rsidRPr="006612B1">
        <w:t>that modifications to the scrubbers were more extensive and required more installation time than the 36 to 42 days originally estimated.</w:t>
      </w:r>
      <w:r>
        <w:t xml:space="preserve"> </w:t>
      </w:r>
      <w:r w:rsidRPr="006612B1">
        <w:t xml:space="preserve"> Also the installation of the second Unit 1 scrubber modification was changed from 2015 to 2014 to assure completion by the effective date of the rule.</w:t>
      </w:r>
    </w:p>
    <w:p w:rsidR="001F719C" w:rsidRDefault="001F719C" w:rsidP="004D5467">
      <w:pPr>
        <w:pStyle w:val="Heading1"/>
        <w:widowControl w:val="0"/>
      </w:pPr>
      <w:bookmarkStart w:id="15" w:name="_Toc365362706"/>
      <w:r>
        <w:t>V.</w:t>
      </w:r>
      <w:r>
        <w:tab/>
        <w:t>MAJOR MAINTENANCE EXPENSE</w:t>
      </w:r>
      <w:bookmarkEnd w:id="15"/>
    </w:p>
    <w:p w:rsidR="001F719C" w:rsidRDefault="001F719C" w:rsidP="00083750">
      <w:pPr>
        <w:pStyle w:val="question"/>
        <w:spacing w:before="120"/>
      </w:pPr>
      <w:r>
        <w:t>Q.</w:t>
      </w:r>
      <w:r>
        <w:tab/>
        <w:t>How do you respond to Mr. Mickelson's testimony regarding recovery of major maintenance expense?</w:t>
      </w:r>
    </w:p>
    <w:p w:rsidR="001F719C" w:rsidRDefault="001F719C" w:rsidP="008A2241">
      <w:pPr>
        <w:pStyle w:val="answer"/>
        <w:rPr>
          <w:b/>
        </w:rPr>
      </w:pPr>
      <w:r>
        <w:t>A.</w:t>
      </w:r>
      <w:r>
        <w:tab/>
        <w:t xml:space="preserve">It appears that PSE and Commission Staff agree on some aspects of major maintenance recovery, although there are some details that need to be clarified to ensure that Commission Staff and PSE are in agreement as to the specifics of the accounting treatment and how it should be applied.  Ms. Barnard discusses the accounting treatment in more detail in her rebuttal testimony.  My testimony focuses on the generation plants and type of maintenance to which the deferral accounting applies.  </w:t>
      </w:r>
    </w:p>
    <w:p w:rsidR="001F719C" w:rsidRPr="007B38BC" w:rsidRDefault="001F719C" w:rsidP="008A2241">
      <w:pPr>
        <w:pStyle w:val="question"/>
        <w:spacing w:before="120"/>
        <w:rPr>
          <w:bCs/>
        </w:rPr>
      </w:pPr>
      <w:r>
        <w:rPr>
          <w:bCs/>
        </w:rPr>
        <w:t>Q.</w:t>
      </w:r>
      <w:r>
        <w:rPr>
          <w:bCs/>
        </w:rPr>
        <w:tab/>
        <w:t>To what plants should the Deferral Method of accounting under AUG AIR-1 ("AIR-1") apply?</w:t>
      </w:r>
    </w:p>
    <w:p w:rsidR="001F719C" w:rsidRDefault="001F719C" w:rsidP="008C7884">
      <w:pPr>
        <w:pStyle w:val="answer"/>
        <w:widowControl w:val="0"/>
        <w:rPr>
          <w:bCs/>
        </w:rPr>
      </w:pPr>
      <w:r>
        <w:t>A.</w:t>
      </w:r>
      <w:r>
        <w:tab/>
        <w:t>As discussed in Ms. Barnard’s rebuttal testimony, Mr. Mickelson’s testimony states, “the appropriate accounting for major maintenance is to amortize these major maintenance costs following the time of the major maintenance event until the next major maintenance event.”</w:t>
      </w:r>
      <w:r>
        <w:rPr>
          <w:rStyle w:val="FootnoteReference"/>
        </w:rPr>
        <w:footnoteReference w:id="1"/>
      </w:r>
      <w:r>
        <w:t xml:space="preserve">  PSE would agree that all major maintenance associated with PSE’s natural gas fired turbines should be accounted for using the Deferral </w:t>
      </w:r>
      <w:r>
        <w:rPr>
          <w:bCs/>
        </w:rPr>
        <w:t>Method</w:t>
      </w:r>
      <w:r>
        <w:t xml:space="preserve"> of accounting under AIR-1.</w:t>
      </w:r>
    </w:p>
    <w:p w:rsidR="001F719C" w:rsidRPr="0030469A" w:rsidRDefault="001F719C" w:rsidP="008C7884">
      <w:pPr>
        <w:pStyle w:val="question"/>
        <w:keepNext w:val="0"/>
        <w:widowControl w:val="0"/>
        <w:spacing w:before="120"/>
        <w:rPr>
          <w:bCs/>
        </w:rPr>
      </w:pPr>
      <w:r w:rsidRPr="0030469A">
        <w:rPr>
          <w:bCs/>
        </w:rPr>
        <w:t>Q.</w:t>
      </w:r>
      <w:r w:rsidRPr="0030469A">
        <w:rPr>
          <w:bCs/>
        </w:rPr>
        <w:tab/>
        <w:t>What has changed with respect to the pre-1990 combustion turbine generating facilities that would make</w:t>
      </w:r>
      <w:r>
        <w:rPr>
          <w:bCs/>
        </w:rPr>
        <w:t xml:space="preserve"> the</w:t>
      </w:r>
      <w:r w:rsidRPr="0030469A">
        <w:rPr>
          <w:bCs/>
        </w:rPr>
        <w:t xml:space="preserve"> </w:t>
      </w:r>
      <w:r>
        <w:t xml:space="preserve">Deferral </w:t>
      </w:r>
      <w:r>
        <w:rPr>
          <w:bCs/>
        </w:rPr>
        <w:t>Method</w:t>
      </w:r>
      <w:r w:rsidRPr="0030469A">
        <w:rPr>
          <w:bCs/>
        </w:rPr>
        <w:t xml:space="preserve"> a more appropriate accounting methodology for major maintenance at these facilities?</w:t>
      </w:r>
    </w:p>
    <w:p w:rsidR="001F719C" w:rsidRDefault="001F719C" w:rsidP="00214B35">
      <w:pPr>
        <w:pStyle w:val="answer"/>
      </w:pPr>
      <w:r w:rsidRPr="00F81A4B">
        <w:t>A.</w:t>
      </w:r>
      <w:r w:rsidRPr="00F81A4B">
        <w:tab/>
      </w:r>
      <w:r>
        <w:t xml:space="preserve">The operating environment for PSE's pre-1990 facilities has changed significantly from the environment in place when these facilities were acquired and the “Direct Expense” methodology was adopted.  </w:t>
      </w:r>
      <w:r w:rsidRPr="005017A7">
        <w:t xml:space="preserve">PSE has historically used its </w:t>
      </w:r>
      <w:r>
        <w:t>simple cycle combustion turbine ("SCCT") facilities</w:t>
      </w:r>
      <w:r w:rsidRPr="005017A7">
        <w:t xml:space="preserve"> in a support role to its lower cost hydro resources</w:t>
      </w:r>
      <w:r>
        <w:t>—</w:t>
      </w:r>
      <w:r w:rsidRPr="005017A7">
        <w:t>making up for variations in hydro flow and market conditions</w:t>
      </w:r>
      <w:r>
        <w:t>—but t</w:t>
      </w:r>
      <w:r w:rsidRPr="005017A7">
        <w:t xml:space="preserve">he support role of the </w:t>
      </w:r>
      <w:r>
        <w:t>plants has changed</w:t>
      </w:r>
      <w:r w:rsidRPr="005017A7">
        <w:t xml:space="preserve"> over the past several years.  The </w:t>
      </w:r>
      <w:r>
        <w:t xml:space="preserve">operating </w:t>
      </w:r>
      <w:r w:rsidRPr="005017A7">
        <w:t xml:space="preserve">changes are due to increased constraints on the Columbia River </w:t>
      </w:r>
      <w:r>
        <w:t>h</w:t>
      </w:r>
      <w:r w:rsidRPr="005017A7">
        <w:t>ydro system operations that mandate tighter management of water flows during spring and summer water runoff months.  These increased flow restrictions have added to the number of starts on PSE</w:t>
      </w:r>
      <w:r>
        <w:t>’</w:t>
      </w:r>
      <w:r w:rsidRPr="005017A7">
        <w:t>s SCCT equipment during these months.  In addition to recent changes in hydro regulation, the support role of these units has increased with the integration of wind resources.  Wind production is both more variable and the ramping rates are greater than compared to hydro production.  With wind production growing as a proportion of the Company</w:t>
      </w:r>
      <w:r>
        <w:t>’</w:t>
      </w:r>
      <w:r w:rsidRPr="005017A7">
        <w:t>s portfolio, this more volatile resource places additional pressure on SCCT units on top of the already existing pressure to backup the hydro production</w:t>
      </w:r>
      <w:r>
        <w:t>.</w:t>
      </w:r>
    </w:p>
    <w:p w:rsidR="001F719C" w:rsidRPr="00E23E9E" w:rsidRDefault="001F719C" w:rsidP="00214B35">
      <w:pPr>
        <w:pStyle w:val="question"/>
      </w:pPr>
      <w:r w:rsidRPr="00E23E9E">
        <w:t>Q.</w:t>
      </w:r>
      <w:r w:rsidRPr="00E23E9E">
        <w:tab/>
      </w:r>
      <w:r>
        <w:t>Has the change in the facilities usage improved PSE's ability to predict the timing of the major maintenance events of its pre-1990 facilities?</w:t>
      </w:r>
    </w:p>
    <w:p w:rsidR="001F719C" w:rsidRPr="007B0574" w:rsidRDefault="001F719C" w:rsidP="00214B35">
      <w:pPr>
        <w:pStyle w:val="answer"/>
      </w:pPr>
      <w:r>
        <w:t>A.</w:t>
      </w:r>
      <w:r>
        <w:tab/>
        <w:t xml:space="preserve">Yes, it has.  Of course, the actual timing of the major maintenance events are a function of the operating profile of each unit which in turn is impacted by energy demand, wind and hydro conditions, equipment availability, etc.; however, PSE's Thermal Generation management has developed tools to reasonably predict the timing of the major maintenance events of these pre-1990 facilities and, therefore, to predict the timing of the next event.  This allows for use of the Deferral </w:t>
      </w:r>
      <w:r w:rsidRPr="00214B35">
        <w:rPr>
          <w:bCs/>
        </w:rPr>
        <w:t>Method</w:t>
      </w:r>
      <w:r w:rsidRPr="00214B35">
        <w:t xml:space="preserve"> of</w:t>
      </w:r>
      <w:r>
        <w:t xml:space="preserve"> accounting under AIR-1.  </w:t>
      </w:r>
    </w:p>
    <w:p w:rsidR="001F719C" w:rsidRPr="004D5467" w:rsidRDefault="001F719C" w:rsidP="004D5467">
      <w:pPr>
        <w:pStyle w:val="Heading1"/>
        <w:widowControl w:val="0"/>
        <w:rPr>
          <w:rFonts w:eastAsia="SimSun"/>
        </w:rPr>
      </w:pPr>
      <w:bookmarkStart w:id="16" w:name="_Toc365362707"/>
      <w:r>
        <w:t>VI.</w:t>
      </w:r>
      <w:r>
        <w:tab/>
        <w:t>CONCLUSION</w:t>
      </w:r>
      <w:bookmarkEnd w:id="11"/>
      <w:bookmarkEnd w:id="16"/>
    </w:p>
    <w:p w:rsidR="001F719C" w:rsidRPr="004D5467" w:rsidRDefault="001F719C" w:rsidP="004D5467">
      <w:pPr>
        <w:pStyle w:val="question"/>
        <w:keepLines/>
        <w:spacing w:before="120"/>
      </w:pPr>
      <w:r>
        <w:t>Q.</w:t>
      </w:r>
      <w:r>
        <w:tab/>
        <w:t>Does that conclude your prefiled rebuttal testimony?</w:t>
      </w:r>
    </w:p>
    <w:p w:rsidR="001F719C" w:rsidRDefault="001F719C" w:rsidP="004D5467">
      <w:pPr>
        <w:pStyle w:val="answer"/>
      </w:pPr>
      <w:r>
        <w:t>A.</w:t>
      </w:r>
      <w:r>
        <w:tab/>
        <w:t>Yes, it does.</w:t>
      </w:r>
    </w:p>
    <w:sectPr w:rsidR="001F719C" w:rsidSect="00071233">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9C" w:rsidRDefault="001F719C">
      <w:r>
        <w:separator/>
      </w:r>
    </w:p>
  </w:endnote>
  <w:endnote w:type="continuationSeparator" w:id="0">
    <w:p w:rsidR="001F719C" w:rsidRDefault="001F7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9C" w:rsidRPr="006A4EC4" w:rsidRDefault="001F719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1F719C" w:rsidRPr="006A4EC4" w:rsidRDefault="001F719C" w:rsidP="00E05C6E">
    <w:pPr>
      <w:pStyle w:val="Footer"/>
      <w:tabs>
        <w:tab w:val="clear" w:pos="4507"/>
        <w:tab w:val="clear" w:pos="9000"/>
        <w:tab w:val="right" w:pos="8640"/>
      </w:tabs>
      <w:spacing w:line="240" w:lineRule="auto"/>
      <w:ind w:right="0" w:hanging="4"/>
      <w:rPr>
        <w:sz w:val="10"/>
        <w:szCs w:val="10"/>
      </w:rPr>
    </w:pPr>
  </w:p>
  <w:p w:rsidR="001F719C" w:rsidRDefault="001F719C" w:rsidP="00E05C6E">
    <w:pPr>
      <w:pStyle w:val="Footer"/>
      <w:tabs>
        <w:tab w:val="clear" w:pos="4507"/>
        <w:tab w:val="clear" w:pos="9000"/>
        <w:tab w:val="right" w:pos="8640"/>
      </w:tabs>
      <w:ind w:hanging="4"/>
    </w:pPr>
    <w:r>
      <w:t>Prefiled Rebuttal Testimony</w:t>
    </w:r>
    <w:r>
      <w:tab/>
      <w:t>Exhibit No. ___(LEO-4T)</w:t>
    </w:r>
  </w:p>
  <w:p w:rsidR="001F719C" w:rsidRDefault="001F719C" w:rsidP="00E05C6E">
    <w:pPr>
      <w:pStyle w:val="Footer"/>
      <w:tabs>
        <w:tab w:val="clear" w:pos="4507"/>
        <w:tab w:val="clear" w:pos="9000"/>
        <w:tab w:val="right" w:pos="8640"/>
      </w:tabs>
      <w:ind w:hanging="4"/>
    </w:pPr>
    <w:r>
      <w:t>(Nonconfidential) of</w:t>
    </w:r>
    <w:r w:rsidRPr="009145C4">
      <w:t xml:space="preserve"> </w:t>
    </w:r>
    <w:r>
      <w:t>L. Edward Odom</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fldSimple w:instr=" SECTIONPAGES  \* roman  \* MERGEFORMAT ">
      <w:r w:rsidRPr="009514E6">
        <w:rPr>
          <w:rStyle w:val="PageNumber"/>
          <w:noProof/>
        </w:rPr>
        <w:t>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9C" w:rsidRDefault="001F719C" w:rsidP="00E05C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9C" w:rsidRPr="006A4EC4" w:rsidRDefault="001F719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1F719C" w:rsidRDefault="001F719C" w:rsidP="00E05C6E">
    <w:pPr>
      <w:pStyle w:val="Footer"/>
      <w:tabs>
        <w:tab w:val="clear" w:pos="4507"/>
        <w:tab w:val="clear" w:pos="9000"/>
        <w:tab w:val="right" w:pos="8640"/>
      </w:tabs>
    </w:pPr>
    <w:r>
      <w:t>Prefiled Rebuttal Testimony</w:t>
    </w:r>
    <w:r>
      <w:tab/>
      <w:t>Exhibit No. ___(LEO-4T)</w:t>
    </w:r>
  </w:p>
  <w:p w:rsidR="001F719C" w:rsidRDefault="001F719C" w:rsidP="00E05C6E">
    <w:pPr>
      <w:pStyle w:val="Footer"/>
      <w:tabs>
        <w:tab w:val="clear" w:pos="4507"/>
        <w:tab w:val="clear" w:pos="9000"/>
        <w:tab w:val="right" w:pos="8640"/>
      </w:tabs>
      <w:rPr>
        <w:rStyle w:val="PageNumber"/>
      </w:rPr>
    </w:pPr>
    <w:r>
      <w:t>(Nonconfidential) of</w:t>
    </w:r>
    <w:r w:rsidRPr="009145C4">
      <w:t xml:space="preserve"> </w:t>
    </w:r>
    <w:r>
      <w:t>L. Edward Odom</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fldSimple w:instr=" SECTIONPAGES  \* Arabic  \* MERGEFORMAT ">
      <w:r w:rsidRPr="009514E6">
        <w:rPr>
          <w:rStyle w:val="PageNumber"/>
          <w:noProof/>
        </w:rPr>
        <w:t>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9C" w:rsidRDefault="001F719C" w:rsidP="00E05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9C" w:rsidRDefault="001F719C">
      <w:r>
        <w:separator/>
      </w:r>
    </w:p>
  </w:footnote>
  <w:footnote w:type="continuationSeparator" w:id="0">
    <w:p w:rsidR="001F719C" w:rsidRDefault="001F719C">
      <w:r>
        <w:continuationSeparator/>
      </w:r>
    </w:p>
  </w:footnote>
  <w:footnote w:id="1">
    <w:p w:rsidR="001F719C" w:rsidRDefault="001F719C" w:rsidP="00B909C2">
      <w:pPr>
        <w:pStyle w:val="FootnoteText"/>
        <w:widowControl w:val="0"/>
        <w:spacing w:before="0"/>
      </w:pPr>
      <w:r>
        <w:rPr>
          <w:rStyle w:val="FootnoteReference"/>
        </w:rPr>
        <w:footnoteRef/>
      </w:r>
      <w:r>
        <w:t xml:space="preserve"> Exhibit No. ___(CTM-1T) page 13, lines 18 through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9C" w:rsidRDefault="001F719C">
    <w:pPr>
      <w:pStyle w:val="Header"/>
    </w:pPr>
    <w:bookmarkStart w:id="0" w:name="_Toc100550978"/>
    <w:bookmarkEnd w:id="0"/>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9C" w:rsidRDefault="001F719C">
    <w:pPr>
      <w:pStyle w:val="Header"/>
    </w:pPr>
    <w:r>
      <w:rPr>
        <w:noProof/>
      </w:rPr>
      <w:pict>
        <v:line id="Line 1" o:spid="_x0000_s2049" style="position:absolute;z-index:251658240;visibility:visibl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9C" w:rsidRDefault="001F719C">
    <w:pPr>
      <w:pStyle w:val="Header"/>
      <w:jc w:val="right"/>
    </w:pPr>
    <w:bookmarkStart w:id="2" w:name="OLE_LINK1"/>
    <w:bookmarkStart w:id="3" w:name="OLE_LINK2"/>
    <w:bookmarkStart w:id="4" w:name="_Hlk125911586"/>
    <w:r>
      <w:rPr>
        <w:noProof/>
      </w:rPr>
      <w:pict>
        <v:line id="Line 2" o:spid="_x0000_s2050" style="position:absolute;left:0;text-align:left;z-index:251657216;visibility:visibl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bookmarkEnd w:id="2"/>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Tab5Data-EnDash"/>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color w:val="auto"/>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67C42705"/>
    <w:multiLevelType w:val="multilevel"/>
    <w:tmpl w:val="AF422406"/>
    <w:lvl w:ilvl="0">
      <w:start w:val="1"/>
      <w:numFmt w:val="decimal"/>
      <w:pStyle w:val="Int3ATMBullet"/>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color w:val="auto"/>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3">
    <w:nsid w:val="67FD0F6D"/>
    <w:multiLevelType w:val="multilevel"/>
    <w:tmpl w:val="30FEEC8E"/>
    <w:lvl w:ilvl="0">
      <w:start w:val="1"/>
      <w:numFmt w:val="decimal"/>
      <w:pStyle w:val="Table3Data-EnDash"/>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color w:val="auto"/>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 w:numId="42">
    <w:abstractNumId w:val="10"/>
  </w:num>
  <w:num w:numId="43">
    <w:abstractNumId w:val="13"/>
  </w:num>
  <w:num w:numId="4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2225"/>
    <w:rsid w:val="0000267D"/>
    <w:rsid w:val="00003F75"/>
    <w:rsid w:val="00004556"/>
    <w:rsid w:val="00010E5D"/>
    <w:rsid w:val="00014348"/>
    <w:rsid w:val="00016DD6"/>
    <w:rsid w:val="00025DBC"/>
    <w:rsid w:val="00026A20"/>
    <w:rsid w:val="000310FF"/>
    <w:rsid w:val="00031CBA"/>
    <w:rsid w:val="00032A18"/>
    <w:rsid w:val="00033037"/>
    <w:rsid w:val="000337FC"/>
    <w:rsid w:val="00040B67"/>
    <w:rsid w:val="00041A40"/>
    <w:rsid w:val="00041E64"/>
    <w:rsid w:val="000447CA"/>
    <w:rsid w:val="000457F3"/>
    <w:rsid w:val="00055585"/>
    <w:rsid w:val="0005731E"/>
    <w:rsid w:val="000573B4"/>
    <w:rsid w:val="00060DE1"/>
    <w:rsid w:val="00061223"/>
    <w:rsid w:val="000613A7"/>
    <w:rsid w:val="000625CB"/>
    <w:rsid w:val="00062A35"/>
    <w:rsid w:val="0006608A"/>
    <w:rsid w:val="0006636A"/>
    <w:rsid w:val="00067174"/>
    <w:rsid w:val="0006775A"/>
    <w:rsid w:val="00067AC2"/>
    <w:rsid w:val="00071047"/>
    <w:rsid w:val="00071233"/>
    <w:rsid w:val="00081C91"/>
    <w:rsid w:val="00081EB3"/>
    <w:rsid w:val="00081FE4"/>
    <w:rsid w:val="0008221D"/>
    <w:rsid w:val="0008370C"/>
    <w:rsid w:val="00083750"/>
    <w:rsid w:val="000870ED"/>
    <w:rsid w:val="00087233"/>
    <w:rsid w:val="00091203"/>
    <w:rsid w:val="00091601"/>
    <w:rsid w:val="000921C9"/>
    <w:rsid w:val="000929B4"/>
    <w:rsid w:val="00094B37"/>
    <w:rsid w:val="00096964"/>
    <w:rsid w:val="000A0295"/>
    <w:rsid w:val="000A449F"/>
    <w:rsid w:val="000A4B1F"/>
    <w:rsid w:val="000A6145"/>
    <w:rsid w:val="000A638A"/>
    <w:rsid w:val="000A7CAA"/>
    <w:rsid w:val="000B0CEF"/>
    <w:rsid w:val="000B213E"/>
    <w:rsid w:val="000B458E"/>
    <w:rsid w:val="000B6DF0"/>
    <w:rsid w:val="000C0304"/>
    <w:rsid w:val="000C17A4"/>
    <w:rsid w:val="000C28F0"/>
    <w:rsid w:val="000C2A07"/>
    <w:rsid w:val="000C2FEF"/>
    <w:rsid w:val="000D2F76"/>
    <w:rsid w:val="000D31E4"/>
    <w:rsid w:val="000D4E0B"/>
    <w:rsid w:val="000E101B"/>
    <w:rsid w:val="000E2C50"/>
    <w:rsid w:val="000E58B7"/>
    <w:rsid w:val="000F1141"/>
    <w:rsid w:val="000F2C54"/>
    <w:rsid w:val="000F3A8B"/>
    <w:rsid w:val="000F47DA"/>
    <w:rsid w:val="000F502A"/>
    <w:rsid w:val="000F61F8"/>
    <w:rsid w:val="000F633F"/>
    <w:rsid w:val="001019FC"/>
    <w:rsid w:val="00102133"/>
    <w:rsid w:val="0010496F"/>
    <w:rsid w:val="00104D81"/>
    <w:rsid w:val="00110F1D"/>
    <w:rsid w:val="0011712A"/>
    <w:rsid w:val="0012613C"/>
    <w:rsid w:val="0012738A"/>
    <w:rsid w:val="00134A5D"/>
    <w:rsid w:val="0013799B"/>
    <w:rsid w:val="00140FA8"/>
    <w:rsid w:val="001442A0"/>
    <w:rsid w:val="0014432A"/>
    <w:rsid w:val="00144AFC"/>
    <w:rsid w:val="00145325"/>
    <w:rsid w:val="0014678E"/>
    <w:rsid w:val="00147354"/>
    <w:rsid w:val="00150E6D"/>
    <w:rsid w:val="001637F0"/>
    <w:rsid w:val="001639D5"/>
    <w:rsid w:val="00171EB2"/>
    <w:rsid w:val="00172EF7"/>
    <w:rsid w:val="0017664D"/>
    <w:rsid w:val="00177C4F"/>
    <w:rsid w:val="00177F2E"/>
    <w:rsid w:val="0018157D"/>
    <w:rsid w:val="00182AF5"/>
    <w:rsid w:val="00182B04"/>
    <w:rsid w:val="001834DD"/>
    <w:rsid w:val="00184331"/>
    <w:rsid w:val="00184FDC"/>
    <w:rsid w:val="001851DC"/>
    <w:rsid w:val="00186746"/>
    <w:rsid w:val="00193A40"/>
    <w:rsid w:val="00194C6D"/>
    <w:rsid w:val="001A0D96"/>
    <w:rsid w:val="001A393E"/>
    <w:rsid w:val="001A6D21"/>
    <w:rsid w:val="001A6E5D"/>
    <w:rsid w:val="001B2FC7"/>
    <w:rsid w:val="001B5350"/>
    <w:rsid w:val="001B5AE3"/>
    <w:rsid w:val="001B682D"/>
    <w:rsid w:val="001C183B"/>
    <w:rsid w:val="001D03F2"/>
    <w:rsid w:val="001D1E62"/>
    <w:rsid w:val="001D24FC"/>
    <w:rsid w:val="001D3AC7"/>
    <w:rsid w:val="001D4311"/>
    <w:rsid w:val="001D52B3"/>
    <w:rsid w:val="001D5D57"/>
    <w:rsid w:val="001D7DB8"/>
    <w:rsid w:val="001E0605"/>
    <w:rsid w:val="001E0D14"/>
    <w:rsid w:val="001E1F56"/>
    <w:rsid w:val="001E55AD"/>
    <w:rsid w:val="001E6331"/>
    <w:rsid w:val="001E6E5B"/>
    <w:rsid w:val="001E774A"/>
    <w:rsid w:val="001F05B3"/>
    <w:rsid w:val="001F0BAF"/>
    <w:rsid w:val="001F15B2"/>
    <w:rsid w:val="001F3055"/>
    <w:rsid w:val="001F542A"/>
    <w:rsid w:val="001F54A6"/>
    <w:rsid w:val="001F719C"/>
    <w:rsid w:val="00205492"/>
    <w:rsid w:val="00205848"/>
    <w:rsid w:val="00207B32"/>
    <w:rsid w:val="00214099"/>
    <w:rsid w:val="00214B35"/>
    <w:rsid w:val="00216112"/>
    <w:rsid w:val="00217121"/>
    <w:rsid w:val="002174DC"/>
    <w:rsid w:val="002205A0"/>
    <w:rsid w:val="0022160E"/>
    <w:rsid w:val="00222BA7"/>
    <w:rsid w:val="0022698C"/>
    <w:rsid w:val="00232E6B"/>
    <w:rsid w:val="0024085E"/>
    <w:rsid w:val="00240A80"/>
    <w:rsid w:val="00241AE4"/>
    <w:rsid w:val="002431F5"/>
    <w:rsid w:val="00244CD7"/>
    <w:rsid w:val="00253225"/>
    <w:rsid w:val="00253962"/>
    <w:rsid w:val="00255074"/>
    <w:rsid w:val="00255921"/>
    <w:rsid w:val="002633A0"/>
    <w:rsid w:val="00271059"/>
    <w:rsid w:val="00273D05"/>
    <w:rsid w:val="00275B9E"/>
    <w:rsid w:val="002813F1"/>
    <w:rsid w:val="0028218B"/>
    <w:rsid w:val="0028232E"/>
    <w:rsid w:val="00282657"/>
    <w:rsid w:val="00283530"/>
    <w:rsid w:val="0029344C"/>
    <w:rsid w:val="00293934"/>
    <w:rsid w:val="00293BA8"/>
    <w:rsid w:val="00295D7D"/>
    <w:rsid w:val="00297202"/>
    <w:rsid w:val="002A0D4D"/>
    <w:rsid w:val="002A2BAC"/>
    <w:rsid w:val="002A5398"/>
    <w:rsid w:val="002A6E1C"/>
    <w:rsid w:val="002B0507"/>
    <w:rsid w:val="002B17C0"/>
    <w:rsid w:val="002B1928"/>
    <w:rsid w:val="002B3BD3"/>
    <w:rsid w:val="002B4D27"/>
    <w:rsid w:val="002B5686"/>
    <w:rsid w:val="002B5F25"/>
    <w:rsid w:val="002C037F"/>
    <w:rsid w:val="002C0490"/>
    <w:rsid w:val="002C07C5"/>
    <w:rsid w:val="002C295F"/>
    <w:rsid w:val="002C463F"/>
    <w:rsid w:val="002C4AD0"/>
    <w:rsid w:val="002C50EA"/>
    <w:rsid w:val="002D3053"/>
    <w:rsid w:val="002D484E"/>
    <w:rsid w:val="002D63C0"/>
    <w:rsid w:val="002D6CAE"/>
    <w:rsid w:val="002D6F91"/>
    <w:rsid w:val="002E23B4"/>
    <w:rsid w:val="002E365A"/>
    <w:rsid w:val="002E4864"/>
    <w:rsid w:val="002F0F54"/>
    <w:rsid w:val="002F1D57"/>
    <w:rsid w:val="002F2D5C"/>
    <w:rsid w:val="002F4022"/>
    <w:rsid w:val="002F69A9"/>
    <w:rsid w:val="002F72F4"/>
    <w:rsid w:val="002F7F99"/>
    <w:rsid w:val="003006DF"/>
    <w:rsid w:val="003008BC"/>
    <w:rsid w:val="0030108A"/>
    <w:rsid w:val="00301A58"/>
    <w:rsid w:val="00303728"/>
    <w:rsid w:val="0030469A"/>
    <w:rsid w:val="00305A12"/>
    <w:rsid w:val="00305B0F"/>
    <w:rsid w:val="003160AD"/>
    <w:rsid w:val="00320950"/>
    <w:rsid w:val="003238E4"/>
    <w:rsid w:val="003241C9"/>
    <w:rsid w:val="003314CE"/>
    <w:rsid w:val="00331FB7"/>
    <w:rsid w:val="0033531F"/>
    <w:rsid w:val="00335E31"/>
    <w:rsid w:val="00335E4D"/>
    <w:rsid w:val="00340995"/>
    <w:rsid w:val="003420DA"/>
    <w:rsid w:val="00346179"/>
    <w:rsid w:val="00350C50"/>
    <w:rsid w:val="00350CB5"/>
    <w:rsid w:val="00351918"/>
    <w:rsid w:val="00351DAC"/>
    <w:rsid w:val="00353913"/>
    <w:rsid w:val="0035658E"/>
    <w:rsid w:val="00356746"/>
    <w:rsid w:val="00360F19"/>
    <w:rsid w:val="00361AA7"/>
    <w:rsid w:val="00362104"/>
    <w:rsid w:val="00363AD7"/>
    <w:rsid w:val="00365998"/>
    <w:rsid w:val="00366E20"/>
    <w:rsid w:val="003758EE"/>
    <w:rsid w:val="0037668D"/>
    <w:rsid w:val="003945E2"/>
    <w:rsid w:val="00394CDA"/>
    <w:rsid w:val="0039576C"/>
    <w:rsid w:val="00395F03"/>
    <w:rsid w:val="00396A48"/>
    <w:rsid w:val="003A47A5"/>
    <w:rsid w:val="003B1157"/>
    <w:rsid w:val="003B159E"/>
    <w:rsid w:val="003B5653"/>
    <w:rsid w:val="003C2226"/>
    <w:rsid w:val="003C433F"/>
    <w:rsid w:val="003C625A"/>
    <w:rsid w:val="003C64C6"/>
    <w:rsid w:val="003D3205"/>
    <w:rsid w:val="003D3FCF"/>
    <w:rsid w:val="003D456D"/>
    <w:rsid w:val="003D4BB8"/>
    <w:rsid w:val="003D77EB"/>
    <w:rsid w:val="003E0F92"/>
    <w:rsid w:val="003E1159"/>
    <w:rsid w:val="003E15A5"/>
    <w:rsid w:val="003E20DC"/>
    <w:rsid w:val="003E3D10"/>
    <w:rsid w:val="003E4FC4"/>
    <w:rsid w:val="003F1CF4"/>
    <w:rsid w:val="003F2638"/>
    <w:rsid w:val="003F37DE"/>
    <w:rsid w:val="003F60CE"/>
    <w:rsid w:val="003F7A47"/>
    <w:rsid w:val="003F7B63"/>
    <w:rsid w:val="00400A46"/>
    <w:rsid w:val="00401ACB"/>
    <w:rsid w:val="00402C8D"/>
    <w:rsid w:val="0040369B"/>
    <w:rsid w:val="00406AE8"/>
    <w:rsid w:val="00407298"/>
    <w:rsid w:val="00410109"/>
    <w:rsid w:val="00410132"/>
    <w:rsid w:val="00410CB5"/>
    <w:rsid w:val="004122E8"/>
    <w:rsid w:val="004127DA"/>
    <w:rsid w:val="0041378F"/>
    <w:rsid w:val="00413813"/>
    <w:rsid w:val="004157EA"/>
    <w:rsid w:val="00415D58"/>
    <w:rsid w:val="004203AC"/>
    <w:rsid w:val="004210FB"/>
    <w:rsid w:val="00423925"/>
    <w:rsid w:val="004251A1"/>
    <w:rsid w:val="00427665"/>
    <w:rsid w:val="00430B8E"/>
    <w:rsid w:val="00435715"/>
    <w:rsid w:val="0043715C"/>
    <w:rsid w:val="00441A6F"/>
    <w:rsid w:val="0044222D"/>
    <w:rsid w:val="00442B6B"/>
    <w:rsid w:val="00444224"/>
    <w:rsid w:val="0045014F"/>
    <w:rsid w:val="00450781"/>
    <w:rsid w:val="00451133"/>
    <w:rsid w:val="0045241D"/>
    <w:rsid w:val="00453E35"/>
    <w:rsid w:val="00454EAF"/>
    <w:rsid w:val="0045643F"/>
    <w:rsid w:val="0045721C"/>
    <w:rsid w:val="00461366"/>
    <w:rsid w:val="004643C3"/>
    <w:rsid w:val="00464DE3"/>
    <w:rsid w:val="004650AB"/>
    <w:rsid w:val="00466085"/>
    <w:rsid w:val="00467759"/>
    <w:rsid w:val="004709CB"/>
    <w:rsid w:val="00471F54"/>
    <w:rsid w:val="00484CFB"/>
    <w:rsid w:val="0048529D"/>
    <w:rsid w:val="00485EED"/>
    <w:rsid w:val="00495A75"/>
    <w:rsid w:val="004965A4"/>
    <w:rsid w:val="00497341"/>
    <w:rsid w:val="004A0599"/>
    <w:rsid w:val="004A350A"/>
    <w:rsid w:val="004A3B2A"/>
    <w:rsid w:val="004A3C0C"/>
    <w:rsid w:val="004A4261"/>
    <w:rsid w:val="004B6B8B"/>
    <w:rsid w:val="004B6C41"/>
    <w:rsid w:val="004C3F10"/>
    <w:rsid w:val="004D5467"/>
    <w:rsid w:val="004D7940"/>
    <w:rsid w:val="004E0E6E"/>
    <w:rsid w:val="004E1FBC"/>
    <w:rsid w:val="004E2295"/>
    <w:rsid w:val="004E2FFF"/>
    <w:rsid w:val="004E39B3"/>
    <w:rsid w:val="004E4787"/>
    <w:rsid w:val="004E6259"/>
    <w:rsid w:val="004E69EB"/>
    <w:rsid w:val="004F107C"/>
    <w:rsid w:val="004F3689"/>
    <w:rsid w:val="004F4D77"/>
    <w:rsid w:val="004F5BEE"/>
    <w:rsid w:val="004F6011"/>
    <w:rsid w:val="005017A7"/>
    <w:rsid w:val="00503313"/>
    <w:rsid w:val="0050468E"/>
    <w:rsid w:val="00505E64"/>
    <w:rsid w:val="00511424"/>
    <w:rsid w:val="00517897"/>
    <w:rsid w:val="005203CD"/>
    <w:rsid w:val="00520483"/>
    <w:rsid w:val="00525197"/>
    <w:rsid w:val="00525A27"/>
    <w:rsid w:val="00526A48"/>
    <w:rsid w:val="00527523"/>
    <w:rsid w:val="00531584"/>
    <w:rsid w:val="005328BE"/>
    <w:rsid w:val="00533963"/>
    <w:rsid w:val="005403D7"/>
    <w:rsid w:val="005409CF"/>
    <w:rsid w:val="00542AB9"/>
    <w:rsid w:val="0054456E"/>
    <w:rsid w:val="00546D2E"/>
    <w:rsid w:val="00551507"/>
    <w:rsid w:val="00555B71"/>
    <w:rsid w:val="0056192C"/>
    <w:rsid w:val="0056268F"/>
    <w:rsid w:val="00562C0C"/>
    <w:rsid w:val="0056310E"/>
    <w:rsid w:val="00565713"/>
    <w:rsid w:val="005666B3"/>
    <w:rsid w:val="00570062"/>
    <w:rsid w:val="00573155"/>
    <w:rsid w:val="00573E36"/>
    <w:rsid w:val="00574472"/>
    <w:rsid w:val="005819D4"/>
    <w:rsid w:val="00581AEF"/>
    <w:rsid w:val="00584A5A"/>
    <w:rsid w:val="00585A28"/>
    <w:rsid w:val="00585D52"/>
    <w:rsid w:val="00586646"/>
    <w:rsid w:val="00586EE1"/>
    <w:rsid w:val="00587EAC"/>
    <w:rsid w:val="00596115"/>
    <w:rsid w:val="0059671E"/>
    <w:rsid w:val="00596A3E"/>
    <w:rsid w:val="00596A99"/>
    <w:rsid w:val="005A118A"/>
    <w:rsid w:val="005A31F8"/>
    <w:rsid w:val="005A39C3"/>
    <w:rsid w:val="005A7828"/>
    <w:rsid w:val="005A7ABE"/>
    <w:rsid w:val="005B24DE"/>
    <w:rsid w:val="005B49E1"/>
    <w:rsid w:val="005C009D"/>
    <w:rsid w:val="005C2A40"/>
    <w:rsid w:val="005C2E41"/>
    <w:rsid w:val="005C33F3"/>
    <w:rsid w:val="005C354E"/>
    <w:rsid w:val="005C4415"/>
    <w:rsid w:val="005C68A6"/>
    <w:rsid w:val="005C703E"/>
    <w:rsid w:val="005D0766"/>
    <w:rsid w:val="005D0C5F"/>
    <w:rsid w:val="005D1FC1"/>
    <w:rsid w:val="005D332E"/>
    <w:rsid w:val="005D51F2"/>
    <w:rsid w:val="005D5503"/>
    <w:rsid w:val="005D5BDF"/>
    <w:rsid w:val="005E0771"/>
    <w:rsid w:val="005E485D"/>
    <w:rsid w:val="005E4F1A"/>
    <w:rsid w:val="005F014F"/>
    <w:rsid w:val="005F3CCB"/>
    <w:rsid w:val="005F4E78"/>
    <w:rsid w:val="005F523B"/>
    <w:rsid w:val="006049CF"/>
    <w:rsid w:val="00604EB8"/>
    <w:rsid w:val="00604F4E"/>
    <w:rsid w:val="0061122C"/>
    <w:rsid w:val="00611E66"/>
    <w:rsid w:val="00614579"/>
    <w:rsid w:val="006242BA"/>
    <w:rsid w:val="0062515E"/>
    <w:rsid w:val="00627755"/>
    <w:rsid w:val="00631A23"/>
    <w:rsid w:val="00634CC2"/>
    <w:rsid w:val="006369AF"/>
    <w:rsid w:val="0063795E"/>
    <w:rsid w:val="00640542"/>
    <w:rsid w:val="00641F5B"/>
    <w:rsid w:val="00645340"/>
    <w:rsid w:val="00650347"/>
    <w:rsid w:val="00650C4F"/>
    <w:rsid w:val="00654FCA"/>
    <w:rsid w:val="0065594B"/>
    <w:rsid w:val="00657FCA"/>
    <w:rsid w:val="00660791"/>
    <w:rsid w:val="006612B1"/>
    <w:rsid w:val="00661660"/>
    <w:rsid w:val="00664308"/>
    <w:rsid w:val="006655A6"/>
    <w:rsid w:val="0066722A"/>
    <w:rsid w:val="006719BE"/>
    <w:rsid w:val="006737B3"/>
    <w:rsid w:val="00675C9C"/>
    <w:rsid w:val="006774FD"/>
    <w:rsid w:val="00683F35"/>
    <w:rsid w:val="006854DE"/>
    <w:rsid w:val="00685CB1"/>
    <w:rsid w:val="00687052"/>
    <w:rsid w:val="00687114"/>
    <w:rsid w:val="0069039B"/>
    <w:rsid w:val="0069216B"/>
    <w:rsid w:val="006922B1"/>
    <w:rsid w:val="00694931"/>
    <w:rsid w:val="00694FE8"/>
    <w:rsid w:val="00695344"/>
    <w:rsid w:val="00696F85"/>
    <w:rsid w:val="006A271D"/>
    <w:rsid w:val="006A4EC4"/>
    <w:rsid w:val="006A54DB"/>
    <w:rsid w:val="006A55E9"/>
    <w:rsid w:val="006A56F7"/>
    <w:rsid w:val="006A615F"/>
    <w:rsid w:val="006B3AEA"/>
    <w:rsid w:val="006C274D"/>
    <w:rsid w:val="006C3A32"/>
    <w:rsid w:val="006C40EE"/>
    <w:rsid w:val="006C5678"/>
    <w:rsid w:val="006D079F"/>
    <w:rsid w:val="006D2D70"/>
    <w:rsid w:val="006D54C8"/>
    <w:rsid w:val="006D6427"/>
    <w:rsid w:val="006E0ADF"/>
    <w:rsid w:val="006E1405"/>
    <w:rsid w:val="006E7898"/>
    <w:rsid w:val="006F3AD8"/>
    <w:rsid w:val="006F5B57"/>
    <w:rsid w:val="00701E2A"/>
    <w:rsid w:val="00706C80"/>
    <w:rsid w:val="0071117F"/>
    <w:rsid w:val="00713864"/>
    <w:rsid w:val="00714CBD"/>
    <w:rsid w:val="007203A0"/>
    <w:rsid w:val="00721199"/>
    <w:rsid w:val="0072237A"/>
    <w:rsid w:val="007305DF"/>
    <w:rsid w:val="00732F6C"/>
    <w:rsid w:val="00734969"/>
    <w:rsid w:val="00740063"/>
    <w:rsid w:val="007449DD"/>
    <w:rsid w:val="00744A26"/>
    <w:rsid w:val="00744E4E"/>
    <w:rsid w:val="007514C6"/>
    <w:rsid w:val="007515D2"/>
    <w:rsid w:val="00763F8B"/>
    <w:rsid w:val="0076529C"/>
    <w:rsid w:val="00767000"/>
    <w:rsid w:val="00770832"/>
    <w:rsid w:val="007723F0"/>
    <w:rsid w:val="007738F1"/>
    <w:rsid w:val="007748ED"/>
    <w:rsid w:val="00777B5F"/>
    <w:rsid w:val="0078036F"/>
    <w:rsid w:val="0078664D"/>
    <w:rsid w:val="00790654"/>
    <w:rsid w:val="00794662"/>
    <w:rsid w:val="007957E4"/>
    <w:rsid w:val="007A0B38"/>
    <w:rsid w:val="007A15D7"/>
    <w:rsid w:val="007A3276"/>
    <w:rsid w:val="007A764C"/>
    <w:rsid w:val="007B0574"/>
    <w:rsid w:val="007B28A2"/>
    <w:rsid w:val="007B38BC"/>
    <w:rsid w:val="007B6288"/>
    <w:rsid w:val="007B7205"/>
    <w:rsid w:val="007C2D87"/>
    <w:rsid w:val="007D254F"/>
    <w:rsid w:val="007D3E65"/>
    <w:rsid w:val="007D4D78"/>
    <w:rsid w:val="007D7AFC"/>
    <w:rsid w:val="007E072D"/>
    <w:rsid w:val="007E32F2"/>
    <w:rsid w:val="007E4DE2"/>
    <w:rsid w:val="007E4EF5"/>
    <w:rsid w:val="007E5EC6"/>
    <w:rsid w:val="007F2D62"/>
    <w:rsid w:val="007F2F93"/>
    <w:rsid w:val="007F355A"/>
    <w:rsid w:val="007F37DA"/>
    <w:rsid w:val="007F46E9"/>
    <w:rsid w:val="007F4B5E"/>
    <w:rsid w:val="007F5F0F"/>
    <w:rsid w:val="007F796E"/>
    <w:rsid w:val="00802720"/>
    <w:rsid w:val="00802D16"/>
    <w:rsid w:val="00806FCC"/>
    <w:rsid w:val="00811083"/>
    <w:rsid w:val="00812036"/>
    <w:rsid w:val="00812EE5"/>
    <w:rsid w:val="00821B74"/>
    <w:rsid w:val="00822483"/>
    <w:rsid w:val="00822E40"/>
    <w:rsid w:val="00822F90"/>
    <w:rsid w:val="0082650F"/>
    <w:rsid w:val="0083008F"/>
    <w:rsid w:val="008326D5"/>
    <w:rsid w:val="00834380"/>
    <w:rsid w:val="00842B7F"/>
    <w:rsid w:val="00843DFC"/>
    <w:rsid w:val="008442D5"/>
    <w:rsid w:val="00846D4E"/>
    <w:rsid w:val="0085086A"/>
    <w:rsid w:val="00850FC6"/>
    <w:rsid w:val="00851608"/>
    <w:rsid w:val="00852DA8"/>
    <w:rsid w:val="00855E7B"/>
    <w:rsid w:val="00856AD9"/>
    <w:rsid w:val="00856D9D"/>
    <w:rsid w:val="00862AA6"/>
    <w:rsid w:val="00865DEF"/>
    <w:rsid w:val="00870B20"/>
    <w:rsid w:val="00872890"/>
    <w:rsid w:val="0087436C"/>
    <w:rsid w:val="008805AD"/>
    <w:rsid w:val="008805B1"/>
    <w:rsid w:val="008815C6"/>
    <w:rsid w:val="00881D1D"/>
    <w:rsid w:val="00882D47"/>
    <w:rsid w:val="008858C6"/>
    <w:rsid w:val="00887F89"/>
    <w:rsid w:val="00892BD2"/>
    <w:rsid w:val="0089685E"/>
    <w:rsid w:val="00896D34"/>
    <w:rsid w:val="0089721C"/>
    <w:rsid w:val="00897CFB"/>
    <w:rsid w:val="008A2241"/>
    <w:rsid w:val="008A35A8"/>
    <w:rsid w:val="008A4102"/>
    <w:rsid w:val="008A60B8"/>
    <w:rsid w:val="008A6C47"/>
    <w:rsid w:val="008A75E9"/>
    <w:rsid w:val="008B062D"/>
    <w:rsid w:val="008B1E2E"/>
    <w:rsid w:val="008C2C61"/>
    <w:rsid w:val="008C3345"/>
    <w:rsid w:val="008C4A78"/>
    <w:rsid w:val="008C5722"/>
    <w:rsid w:val="008C614F"/>
    <w:rsid w:val="008C68E6"/>
    <w:rsid w:val="008C7884"/>
    <w:rsid w:val="008D4239"/>
    <w:rsid w:val="008E7A67"/>
    <w:rsid w:val="008E7B20"/>
    <w:rsid w:val="008F0833"/>
    <w:rsid w:val="008F09B7"/>
    <w:rsid w:val="008F4FD6"/>
    <w:rsid w:val="008F5422"/>
    <w:rsid w:val="008F6698"/>
    <w:rsid w:val="008F713C"/>
    <w:rsid w:val="008F7866"/>
    <w:rsid w:val="009043FD"/>
    <w:rsid w:val="00904A0F"/>
    <w:rsid w:val="00904E9D"/>
    <w:rsid w:val="00905D1C"/>
    <w:rsid w:val="00910E78"/>
    <w:rsid w:val="009131CD"/>
    <w:rsid w:val="009145C4"/>
    <w:rsid w:val="00915F37"/>
    <w:rsid w:val="00917B05"/>
    <w:rsid w:val="00917D0B"/>
    <w:rsid w:val="00923841"/>
    <w:rsid w:val="00924A4E"/>
    <w:rsid w:val="00933BFD"/>
    <w:rsid w:val="00937B6E"/>
    <w:rsid w:val="00937BC3"/>
    <w:rsid w:val="00937C36"/>
    <w:rsid w:val="00950A3D"/>
    <w:rsid w:val="009514E6"/>
    <w:rsid w:val="009515F0"/>
    <w:rsid w:val="009533A8"/>
    <w:rsid w:val="00953914"/>
    <w:rsid w:val="00953B2D"/>
    <w:rsid w:val="00953EAB"/>
    <w:rsid w:val="00953EF2"/>
    <w:rsid w:val="00961674"/>
    <w:rsid w:val="00961914"/>
    <w:rsid w:val="00962541"/>
    <w:rsid w:val="0096285A"/>
    <w:rsid w:val="00964929"/>
    <w:rsid w:val="00965D70"/>
    <w:rsid w:val="00967F5E"/>
    <w:rsid w:val="00972EAE"/>
    <w:rsid w:val="00974A49"/>
    <w:rsid w:val="00974E08"/>
    <w:rsid w:val="009814C2"/>
    <w:rsid w:val="00983536"/>
    <w:rsid w:val="009842E4"/>
    <w:rsid w:val="00984AE2"/>
    <w:rsid w:val="00985FB2"/>
    <w:rsid w:val="009935CE"/>
    <w:rsid w:val="0099490A"/>
    <w:rsid w:val="009A107F"/>
    <w:rsid w:val="009A1CB1"/>
    <w:rsid w:val="009A6A6C"/>
    <w:rsid w:val="009B0467"/>
    <w:rsid w:val="009B04C7"/>
    <w:rsid w:val="009B1227"/>
    <w:rsid w:val="009B2502"/>
    <w:rsid w:val="009B25CD"/>
    <w:rsid w:val="009B4CE8"/>
    <w:rsid w:val="009B6B51"/>
    <w:rsid w:val="009C2504"/>
    <w:rsid w:val="009C253C"/>
    <w:rsid w:val="009C36A4"/>
    <w:rsid w:val="009C4BF4"/>
    <w:rsid w:val="009C5BB3"/>
    <w:rsid w:val="009D461A"/>
    <w:rsid w:val="009E1994"/>
    <w:rsid w:val="009E19D8"/>
    <w:rsid w:val="009F1347"/>
    <w:rsid w:val="009F207F"/>
    <w:rsid w:val="009F3BCF"/>
    <w:rsid w:val="009F59A8"/>
    <w:rsid w:val="00A00C33"/>
    <w:rsid w:val="00A02EFA"/>
    <w:rsid w:val="00A04491"/>
    <w:rsid w:val="00A05B96"/>
    <w:rsid w:val="00A06EE8"/>
    <w:rsid w:val="00A12A04"/>
    <w:rsid w:val="00A132E3"/>
    <w:rsid w:val="00A21D12"/>
    <w:rsid w:val="00A22EE9"/>
    <w:rsid w:val="00A24EB4"/>
    <w:rsid w:val="00A25889"/>
    <w:rsid w:val="00A265EF"/>
    <w:rsid w:val="00A27D64"/>
    <w:rsid w:val="00A32975"/>
    <w:rsid w:val="00A33BC3"/>
    <w:rsid w:val="00A342E7"/>
    <w:rsid w:val="00A42030"/>
    <w:rsid w:val="00A45CA8"/>
    <w:rsid w:val="00A46E87"/>
    <w:rsid w:val="00A4740A"/>
    <w:rsid w:val="00A47A17"/>
    <w:rsid w:val="00A52E83"/>
    <w:rsid w:val="00A54113"/>
    <w:rsid w:val="00A54487"/>
    <w:rsid w:val="00A56703"/>
    <w:rsid w:val="00A60202"/>
    <w:rsid w:val="00A61A25"/>
    <w:rsid w:val="00A61C1F"/>
    <w:rsid w:val="00A63C80"/>
    <w:rsid w:val="00A65D7D"/>
    <w:rsid w:val="00A67F14"/>
    <w:rsid w:val="00A705B3"/>
    <w:rsid w:val="00A72181"/>
    <w:rsid w:val="00A7382B"/>
    <w:rsid w:val="00A7489B"/>
    <w:rsid w:val="00A74E2A"/>
    <w:rsid w:val="00A767F3"/>
    <w:rsid w:val="00A76B90"/>
    <w:rsid w:val="00A77353"/>
    <w:rsid w:val="00A807F8"/>
    <w:rsid w:val="00A84031"/>
    <w:rsid w:val="00A84130"/>
    <w:rsid w:val="00A865A1"/>
    <w:rsid w:val="00A91BE0"/>
    <w:rsid w:val="00A94D5E"/>
    <w:rsid w:val="00A9533A"/>
    <w:rsid w:val="00A9549D"/>
    <w:rsid w:val="00A96722"/>
    <w:rsid w:val="00AA0075"/>
    <w:rsid w:val="00AA5C46"/>
    <w:rsid w:val="00AA600A"/>
    <w:rsid w:val="00AB102B"/>
    <w:rsid w:val="00AB1AA5"/>
    <w:rsid w:val="00AB34BA"/>
    <w:rsid w:val="00AB431E"/>
    <w:rsid w:val="00AB7694"/>
    <w:rsid w:val="00AB7AA5"/>
    <w:rsid w:val="00AC44B8"/>
    <w:rsid w:val="00AD07D5"/>
    <w:rsid w:val="00AD1E26"/>
    <w:rsid w:val="00AD3CA4"/>
    <w:rsid w:val="00AD3F7C"/>
    <w:rsid w:val="00AD66EC"/>
    <w:rsid w:val="00AD7D2E"/>
    <w:rsid w:val="00AE2ACA"/>
    <w:rsid w:val="00AE7890"/>
    <w:rsid w:val="00AF075B"/>
    <w:rsid w:val="00AF3E16"/>
    <w:rsid w:val="00AF4F03"/>
    <w:rsid w:val="00AF532D"/>
    <w:rsid w:val="00AF5FB8"/>
    <w:rsid w:val="00AF62A2"/>
    <w:rsid w:val="00AF6BB4"/>
    <w:rsid w:val="00AF6E55"/>
    <w:rsid w:val="00B04E0D"/>
    <w:rsid w:val="00B04EA8"/>
    <w:rsid w:val="00B06D40"/>
    <w:rsid w:val="00B07754"/>
    <w:rsid w:val="00B077D0"/>
    <w:rsid w:val="00B1061B"/>
    <w:rsid w:val="00B10F56"/>
    <w:rsid w:val="00B11419"/>
    <w:rsid w:val="00B11780"/>
    <w:rsid w:val="00B11975"/>
    <w:rsid w:val="00B128A7"/>
    <w:rsid w:val="00B13AA0"/>
    <w:rsid w:val="00B15D38"/>
    <w:rsid w:val="00B17B7D"/>
    <w:rsid w:val="00B26174"/>
    <w:rsid w:val="00B26E94"/>
    <w:rsid w:val="00B2726C"/>
    <w:rsid w:val="00B30356"/>
    <w:rsid w:val="00B30DE1"/>
    <w:rsid w:val="00B40976"/>
    <w:rsid w:val="00B41C03"/>
    <w:rsid w:val="00B4357B"/>
    <w:rsid w:val="00B46673"/>
    <w:rsid w:val="00B53E3B"/>
    <w:rsid w:val="00B57D33"/>
    <w:rsid w:val="00B600DE"/>
    <w:rsid w:val="00B64074"/>
    <w:rsid w:val="00B66656"/>
    <w:rsid w:val="00B71D1C"/>
    <w:rsid w:val="00B74647"/>
    <w:rsid w:val="00B76F67"/>
    <w:rsid w:val="00B76FC2"/>
    <w:rsid w:val="00B80A7F"/>
    <w:rsid w:val="00B823D3"/>
    <w:rsid w:val="00B909C2"/>
    <w:rsid w:val="00B927F7"/>
    <w:rsid w:val="00BA7A55"/>
    <w:rsid w:val="00BB277B"/>
    <w:rsid w:val="00BB5DDE"/>
    <w:rsid w:val="00BB7700"/>
    <w:rsid w:val="00BC1D27"/>
    <w:rsid w:val="00BC360C"/>
    <w:rsid w:val="00BC6039"/>
    <w:rsid w:val="00BD00FC"/>
    <w:rsid w:val="00BD0950"/>
    <w:rsid w:val="00BD0DC1"/>
    <w:rsid w:val="00BD4DDB"/>
    <w:rsid w:val="00BE47FF"/>
    <w:rsid w:val="00BE5D9C"/>
    <w:rsid w:val="00BF09DE"/>
    <w:rsid w:val="00BF1F96"/>
    <w:rsid w:val="00BF2731"/>
    <w:rsid w:val="00BF5FC0"/>
    <w:rsid w:val="00BF64C1"/>
    <w:rsid w:val="00C00867"/>
    <w:rsid w:val="00C02E65"/>
    <w:rsid w:val="00C033A7"/>
    <w:rsid w:val="00C0394B"/>
    <w:rsid w:val="00C039EF"/>
    <w:rsid w:val="00C03C38"/>
    <w:rsid w:val="00C04B39"/>
    <w:rsid w:val="00C07368"/>
    <w:rsid w:val="00C102F3"/>
    <w:rsid w:val="00C11CBF"/>
    <w:rsid w:val="00C15AFA"/>
    <w:rsid w:val="00C24E47"/>
    <w:rsid w:val="00C257B9"/>
    <w:rsid w:val="00C274AD"/>
    <w:rsid w:val="00C30944"/>
    <w:rsid w:val="00C30FC3"/>
    <w:rsid w:val="00C36A7A"/>
    <w:rsid w:val="00C4187C"/>
    <w:rsid w:val="00C43D1D"/>
    <w:rsid w:val="00C45334"/>
    <w:rsid w:val="00C45E37"/>
    <w:rsid w:val="00C501D4"/>
    <w:rsid w:val="00C50DDC"/>
    <w:rsid w:val="00C55CAE"/>
    <w:rsid w:val="00C575F1"/>
    <w:rsid w:val="00C57999"/>
    <w:rsid w:val="00C57D74"/>
    <w:rsid w:val="00C60355"/>
    <w:rsid w:val="00C71457"/>
    <w:rsid w:val="00C72443"/>
    <w:rsid w:val="00C74396"/>
    <w:rsid w:val="00C7464B"/>
    <w:rsid w:val="00C75238"/>
    <w:rsid w:val="00C764A9"/>
    <w:rsid w:val="00C804B4"/>
    <w:rsid w:val="00C806BF"/>
    <w:rsid w:val="00C819C8"/>
    <w:rsid w:val="00C837C6"/>
    <w:rsid w:val="00C851AC"/>
    <w:rsid w:val="00C858F2"/>
    <w:rsid w:val="00C85D59"/>
    <w:rsid w:val="00C87B5B"/>
    <w:rsid w:val="00C87F9F"/>
    <w:rsid w:val="00C91AF9"/>
    <w:rsid w:val="00C95C9D"/>
    <w:rsid w:val="00C96B29"/>
    <w:rsid w:val="00CA03BD"/>
    <w:rsid w:val="00CA740E"/>
    <w:rsid w:val="00CB11B2"/>
    <w:rsid w:val="00CB1C95"/>
    <w:rsid w:val="00CB46C9"/>
    <w:rsid w:val="00CB7DB9"/>
    <w:rsid w:val="00CB7E40"/>
    <w:rsid w:val="00CC0DFF"/>
    <w:rsid w:val="00CC2D6D"/>
    <w:rsid w:val="00CC5118"/>
    <w:rsid w:val="00CC5122"/>
    <w:rsid w:val="00CC54AA"/>
    <w:rsid w:val="00CC6F71"/>
    <w:rsid w:val="00CD2346"/>
    <w:rsid w:val="00CD2BC6"/>
    <w:rsid w:val="00CD5C0D"/>
    <w:rsid w:val="00CD7FFC"/>
    <w:rsid w:val="00CE0BA0"/>
    <w:rsid w:val="00CF2854"/>
    <w:rsid w:val="00CF38A5"/>
    <w:rsid w:val="00CF3F7A"/>
    <w:rsid w:val="00CF4BFE"/>
    <w:rsid w:val="00CF4EC3"/>
    <w:rsid w:val="00CF55CA"/>
    <w:rsid w:val="00CF70E1"/>
    <w:rsid w:val="00D00C0E"/>
    <w:rsid w:val="00D01BB0"/>
    <w:rsid w:val="00D01D04"/>
    <w:rsid w:val="00D0233D"/>
    <w:rsid w:val="00D06D76"/>
    <w:rsid w:val="00D07C49"/>
    <w:rsid w:val="00D119B6"/>
    <w:rsid w:val="00D11B55"/>
    <w:rsid w:val="00D12434"/>
    <w:rsid w:val="00D12AB6"/>
    <w:rsid w:val="00D13A95"/>
    <w:rsid w:val="00D13BFF"/>
    <w:rsid w:val="00D15E62"/>
    <w:rsid w:val="00D200B3"/>
    <w:rsid w:val="00D215E6"/>
    <w:rsid w:val="00D23108"/>
    <w:rsid w:val="00D25260"/>
    <w:rsid w:val="00D27678"/>
    <w:rsid w:val="00D30718"/>
    <w:rsid w:val="00D33B21"/>
    <w:rsid w:val="00D33C63"/>
    <w:rsid w:val="00D36E36"/>
    <w:rsid w:val="00D40088"/>
    <w:rsid w:val="00D406B6"/>
    <w:rsid w:val="00D41816"/>
    <w:rsid w:val="00D457F6"/>
    <w:rsid w:val="00D467E8"/>
    <w:rsid w:val="00D47336"/>
    <w:rsid w:val="00D50719"/>
    <w:rsid w:val="00D50A9D"/>
    <w:rsid w:val="00D50FF5"/>
    <w:rsid w:val="00D51CF8"/>
    <w:rsid w:val="00D52DDF"/>
    <w:rsid w:val="00D532F8"/>
    <w:rsid w:val="00D5446D"/>
    <w:rsid w:val="00D552D4"/>
    <w:rsid w:val="00D57331"/>
    <w:rsid w:val="00D5762E"/>
    <w:rsid w:val="00D66910"/>
    <w:rsid w:val="00D67241"/>
    <w:rsid w:val="00D67284"/>
    <w:rsid w:val="00D754F9"/>
    <w:rsid w:val="00D75BCF"/>
    <w:rsid w:val="00D80CBB"/>
    <w:rsid w:val="00D81ADC"/>
    <w:rsid w:val="00D91A89"/>
    <w:rsid w:val="00D96F01"/>
    <w:rsid w:val="00DA0AFE"/>
    <w:rsid w:val="00DA1EAB"/>
    <w:rsid w:val="00DA2F85"/>
    <w:rsid w:val="00DA3459"/>
    <w:rsid w:val="00DA34A3"/>
    <w:rsid w:val="00DA3512"/>
    <w:rsid w:val="00DA3C1D"/>
    <w:rsid w:val="00DA51AE"/>
    <w:rsid w:val="00DB18DB"/>
    <w:rsid w:val="00DB425A"/>
    <w:rsid w:val="00DB6234"/>
    <w:rsid w:val="00DB6373"/>
    <w:rsid w:val="00DB6BD1"/>
    <w:rsid w:val="00DC119D"/>
    <w:rsid w:val="00DC3646"/>
    <w:rsid w:val="00DC3D69"/>
    <w:rsid w:val="00DC5F10"/>
    <w:rsid w:val="00DC6A9C"/>
    <w:rsid w:val="00DC724A"/>
    <w:rsid w:val="00DD1695"/>
    <w:rsid w:val="00DD3602"/>
    <w:rsid w:val="00DD4ACE"/>
    <w:rsid w:val="00DD632E"/>
    <w:rsid w:val="00DD7D0C"/>
    <w:rsid w:val="00DE2E92"/>
    <w:rsid w:val="00DE2F16"/>
    <w:rsid w:val="00DE3522"/>
    <w:rsid w:val="00DE37A5"/>
    <w:rsid w:val="00DE6437"/>
    <w:rsid w:val="00DF1728"/>
    <w:rsid w:val="00DF1799"/>
    <w:rsid w:val="00E00D7C"/>
    <w:rsid w:val="00E022D0"/>
    <w:rsid w:val="00E04A09"/>
    <w:rsid w:val="00E051DE"/>
    <w:rsid w:val="00E05434"/>
    <w:rsid w:val="00E05C6E"/>
    <w:rsid w:val="00E07937"/>
    <w:rsid w:val="00E07F58"/>
    <w:rsid w:val="00E10466"/>
    <w:rsid w:val="00E222E7"/>
    <w:rsid w:val="00E23E9E"/>
    <w:rsid w:val="00E24F37"/>
    <w:rsid w:val="00E330A2"/>
    <w:rsid w:val="00E342F5"/>
    <w:rsid w:val="00E3468D"/>
    <w:rsid w:val="00E34B78"/>
    <w:rsid w:val="00E34EA7"/>
    <w:rsid w:val="00E355F7"/>
    <w:rsid w:val="00E367FD"/>
    <w:rsid w:val="00E40C82"/>
    <w:rsid w:val="00E43C5F"/>
    <w:rsid w:val="00E51A1F"/>
    <w:rsid w:val="00E53EF0"/>
    <w:rsid w:val="00E55751"/>
    <w:rsid w:val="00E55836"/>
    <w:rsid w:val="00E55DB7"/>
    <w:rsid w:val="00E5673A"/>
    <w:rsid w:val="00E6199C"/>
    <w:rsid w:val="00E61DE4"/>
    <w:rsid w:val="00E6209C"/>
    <w:rsid w:val="00E65582"/>
    <w:rsid w:val="00E70931"/>
    <w:rsid w:val="00E74C18"/>
    <w:rsid w:val="00E750D9"/>
    <w:rsid w:val="00E82E1D"/>
    <w:rsid w:val="00E857C5"/>
    <w:rsid w:val="00E86D13"/>
    <w:rsid w:val="00E902C9"/>
    <w:rsid w:val="00E90969"/>
    <w:rsid w:val="00E90DB4"/>
    <w:rsid w:val="00E93254"/>
    <w:rsid w:val="00E96040"/>
    <w:rsid w:val="00EA02BF"/>
    <w:rsid w:val="00EA1543"/>
    <w:rsid w:val="00EA173A"/>
    <w:rsid w:val="00EA1878"/>
    <w:rsid w:val="00EA2C9B"/>
    <w:rsid w:val="00EA2D13"/>
    <w:rsid w:val="00EA315C"/>
    <w:rsid w:val="00EA3317"/>
    <w:rsid w:val="00EA4DD9"/>
    <w:rsid w:val="00EB0520"/>
    <w:rsid w:val="00EB0B75"/>
    <w:rsid w:val="00EB2619"/>
    <w:rsid w:val="00EB44C4"/>
    <w:rsid w:val="00EB50CD"/>
    <w:rsid w:val="00EB5144"/>
    <w:rsid w:val="00EB5D26"/>
    <w:rsid w:val="00EB7059"/>
    <w:rsid w:val="00EC1198"/>
    <w:rsid w:val="00EC1B45"/>
    <w:rsid w:val="00EC1CC5"/>
    <w:rsid w:val="00EC23FD"/>
    <w:rsid w:val="00EC2FFE"/>
    <w:rsid w:val="00EC43ED"/>
    <w:rsid w:val="00EC5236"/>
    <w:rsid w:val="00EC5A59"/>
    <w:rsid w:val="00ED09D3"/>
    <w:rsid w:val="00ED1FFA"/>
    <w:rsid w:val="00ED3AB6"/>
    <w:rsid w:val="00EE0722"/>
    <w:rsid w:val="00EE30D3"/>
    <w:rsid w:val="00EE5581"/>
    <w:rsid w:val="00EE5A04"/>
    <w:rsid w:val="00EE6BBD"/>
    <w:rsid w:val="00EE7AC2"/>
    <w:rsid w:val="00EF0DB6"/>
    <w:rsid w:val="00EF13B1"/>
    <w:rsid w:val="00EF1E87"/>
    <w:rsid w:val="00EF653A"/>
    <w:rsid w:val="00EF6AC5"/>
    <w:rsid w:val="00EF6F6F"/>
    <w:rsid w:val="00F0175A"/>
    <w:rsid w:val="00F02780"/>
    <w:rsid w:val="00F03918"/>
    <w:rsid w:val="00F07B5D"/>
    <w:rsid w:val="00F12070"/>
    <w:rsid w:val="00F137B5"/>
    <w:rsid w:val="00F17BD1"/>
    <w:rsid w:val="00F2498E"/>
    <w:rsid w:val="00F356AB"/>
    <w:rsid w:val="00F35E85"/>
    <w:rsid w:val="00F36F17"/>
    <w:rsid w:val="00F43449"/>
    <w:rsid w:val="00F51801"/>
    <w:rsid w:val="00F521E0"/>
    <w:rsid w:val="00F54790"/>
    <w:rsid w:val="00F55CF4"/>
    <w:rsid w:val="00F57399"/>
    <w:rsid w:val="00F61120"/>
    <w:rsid w:val="00F612C4"/>
    <w:rsid w:val="00F61946"/>
    <w:rsid w:val="00F628B4"/>
    <w:rsid w:val="00F640E8"/>
    <w:rsid w:val="00F70C61"/>
    <w:rsid w:val="00F71906"/>
    <w:rsid w:val="00F72CA7"/>
    <w:rsid w:val="00F73342"/>
    <w:rsid w:val="00F74663"/>
    <w:rsid w:val="00F746A0"/>
    <w:rsid w:val="00F7514F"/>
    <w:rsid w:val="00F81A4B"/>
    <w:rsid w:val="00F8289A"/>
    <w:rsid w:val="00F82A06"/>
    <w:rsid w:val="00F8440A"/>
    <w:rsid w:val="00F86F04"/>
    <w:rsid w:val="00F933BB"/>
    <w:rsid w:val="00F93438"/>
    <w:rsid w:val="00F93EF0"/>
    <w:rsid w:val="00F944C0"/>
    <w:rsid w:val="00F95D21"/>
    <w:rsid w:val="00F96199"/>
    <w:rsid w:val="00F9670B"/>
    <w:rsid w:val="00F96BF6"/>
    <w:rsid w:val="00F97374"/>
    <w:rsid w:val="00F978BD"/>
    <w:rsid w:val="00FA49A9"/>
    <w:rsid w:val="00FB0274"/>
    <w:rsid w:val="00FB0C14"/>
    <w:rsid w:val="00FB1194"/>
    <w:rsid w:val="00FB1C38"/>
    <w:rsid w:val="00FB3BA1"/>
    <w:rsid w:val="00FB7596"/>
    <w:rsid w:val="00FC256A"/>
    <w:rsid w:val="00FC26CA"/>
    <w:rsid w:val="00FC50A5"/>
    <w:rsid w:val="00FC61EF"/>
    <w:rsid w:val="00FC7234"/>
    <w:rsid w:val="00FC7FB4"/>
    <w:rsid w:val="00FD0D65"/>
    <w:rsid w:val="00FD3666"/>
    <w:rsid w:val="00FD79B9"/>
    <w:rsid w:val="00FE0564"/>
    <w:rsid w:val="00FE0665"/>
    <w:rsid w:val="00FE0DF6"/>
    <w:rsid w:val="00FE2B51"/>
    <w:rsid w:val="00FE35E1"/>
    <w:rsid w:val="00FE6160"/>
    <w:rsid w:val="00FE7CF9"/>
    <w:rsid w:val="00FF0068"/>
    <w:rsid w:val="00FF021B"/>
    <w:rsid w:val="00FF0EC4"/>
    <w:rsid w:val="00FF251A"/>
    <w:rsid w:val="00FF2E31"/>
    <w:rsid w:val="00FF315D"/>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ascii="CG Times (WN)" w:eastAsia="Times New Roman" w:hAnsi="CG Times (WN)"/>
      <w:b/>
      <w:szCs w:val="20"/>
    </w:rPr>
  </w:style>
  <w:style w:type="paragraph" w:styleId="Heading2">
    <w:name w:val="heading 2"/>
    <w:aliases w:val="h2"/>
    <w:basedOn w:val="Heading1"/>
    <w:next w:val="Normal"/>
    <w:link w:val="Heading2Char"/>
    <w:uiPriority w:val="99"/>
    <w:qFormat/>
    <w:rsid w:val="00E05C6E"/>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CB11B2"/>
    <w:pPr>
      <w:spacing w:before="120"/>
      <w:ind w:left="1440"/>
      <w:outlineLvl w:val="2"/>
    </w:pPr>
    <w:rPr>
      <w:rFonts w:ascii="Cambria" w:hAnsi="Cambria"/>
      <w:bCs/>
      <w:sz w:val="26"/>
      <w:szCs w:val="26"/>
      <w:u w:val="none"/>
      <w:lang w:eastAsia="en-US"/>
    </w:rPr>
  </w:style>
  <w:style w:type="paragraph" w:styleId="Heading4">
    <w:name w:val="heading 4"/>
    <w:aliases w:val="h4"/>
    <w:basedOn w:val="Heading3"/>
    <w:next w:val="Normal"/>
    <w:link w:val="Heading4Char"/>
    <w:uiPriority w:val="99"/>
    <w:qFormat/>
    <w:rsid w:val="00CB11B2"/>
    <w:pPr>
      <w:ind w:left="2160"/>
      <w:outlineLvl w:val="3"/>
    </w:pPr>
    <w:rPr>
      <w:rFonts w:ascii="Calibri" w:hAnsi="Calibri"/>
      <w:bCs w:val="0"/>
      <w:sz w:val="28"/>
      <w:szCs w:val="28"/>
    </w:rPr>
  </w:style>
  <w:style w:type="paragraph" w:styleId="Heading5">
    <w:name w:val="heading 5"/>
    <w:aliases w:val="h5"/>
    <w:basedOn w:val="Heading4"/>
    <w:next w:val="Normal"/>
    <w:link w:val="Heading5Char"/>
    <w:uiPriority w:val="99"/>
    <w:qFormat/>
    <w:rsid w:val="00CB11B2"/>
    <w:pPr>
      <w:ind w:left="2880"/>
      <w:outlineLvl w:val="4"/>
    </w:pPr>
    <w:rPr>
      <w:bCs/>
      <w:i/>
      <w:iCs/>
      <w:sz w:val="26"/>
      <w:szCs w:val="26"/>
    </w:rPr>
  </w:style>
  <w:style w:type="paragraph" w:styleId="Heading6">
    <w:name w:val="heading 6"/>
    <w:aliases w:val="h6"/>
    <w:basedOn w:val="Heading5"/>
    <w:next w:val="Normal"/>
    <w:link w:val="Heading6Char"/>
    <w:uiPriority w:val="99"/>
    <w:qFormat/>
    <w:rsid w:val="00CB11B2"/>
    <w:pPr>
      <w:ind w:left="3600"/>
      <w:outlineLvl w:val="5"/>
    </w:pPr>
    <w:rPr>
      <w:bCs w:val="0"/>
      <w:sz w:val="22"/>
      <w:szCs w:val="22"/>
    </w:rPr>
  </w:style>
  <w:style w:type="paragraph" w:styleId="Heading7">
    <w:name w:val="heading 7"/>
    <w:aliases w:val="h7"/>
    <w:basedOn w:val="Heading6"/>
    <w:next w:val="Normal"/>
    <w:link w:val="Heading7Char"/>
    <w:uiPriority w:val="99"/>
    <w:qFormat/>
    <w:rsid w:val="00CB11B2"/>
    <w:pPr>
      <w:ind w:left="4320"/>
      <w:outlineLvl w:val="6"/>
    </w:pPr>
    <w:rPr>
      <w:b w:val="0"/>
      <w:szCs w:val="24"/>
    </w:rPr>
  </w:style>
  <w:style w:type="paragraph" w:styleId="Heading8">
    <w:name w:val="heading 8"/>
    <w:aliases w:val="h8"/>
    <w:basedOn w:val="Heading6"/>
    <w:next w:val="Normal"/>
    <w:link w:val="Heading8Char"/>
    <w:uiPriority w:val="99"/>
    <w:qFormat/>
    <w:rsid w:val="00CB11B2"/>
    <w:pPr>
      <w:ind w:left="5040"/>
      <w:outlineLvl w:val="7"/>
    </w:pPr>
    <w:rPr>
      <w:b w:val="0"/>
      <w:i w:val="0"/>
      <w:iCs w:val="0"/>
      <w:szCs w:val="24"/>
    </w:rPr>
  </w:style>
  <w:style w:type="paragraph" w:styleId="Heading9">
    <w:name w:val="heading 9"/>
    <w:aliases w:val="h9"/>
    <w:basedOn w:val="Heading6"/>
    <w:next w:val="Normal"/>
    <w:link w:val="Heading9Char"/>
    <w:uiPriority w:val="99"/>
    <w:qFormat/>
    <w:rsid w:val="00CB11B2"/>
    <w:pPr>
      <w:ind w:left="5760"/>
      <w:outlineLvl w:val="8"/>
    </w:pPr>
    <w:rPr>
      <w:rFonts w:ascii="Cambria" w:hAnsi="Cambria"/>
      <w:b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05C6E"/>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05C6E"/>
    <w:rPr>
      <w:rFonts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CB11B2"/>
    <w:rPr>
      <w:rFonts w:ascii="Cambria" w:hAnsi="Cambria" w:cs="Times New Roman"/>
      <w:b/>
      <w:sz w:val="26"/>
    </w:rPr>
  </w:style>
  <w:style w:type="character" w:customStyle="1" w:styleId="Heading4Char">
    <w:name w:val="Heading 4 Char"/>
    <w:aliases w:val="h4 Char"/>
    <w:basedOn w:val="DefaultParagraphFont"/>
    <w:link w:val="Heading4"/>
    <w:uiPriority w:val="99"/>
    <w:semiHidden/>
    <w:locked/>
    <w:rsid w:val="00CB11B2"/>
    <w:rPr>
      <w:rFonts w:ascii="Calibri" w:hAnsi="Calibri" w:cs="Times New Roman"/>
      <w:b/>
      <w:sz w:val="28"/>
    </w:rPr>
  </w:style>
  <w:style w:type="character" w:customStyle="1" w:styleId="Heading5Char">
    <w:name w:val="Heading 5 Char"/>
    <w:aliases w:val="h5 Char"/>
    <w:basedOn w:val="DefaultParagraphFont"/>
    <w:link w:val="Heading5"/>
    <w:uiPriority w:val="99"/>
    <w:semiHidden/>
    <w:locked/>
    <w:rsid w:val="00CB11B2"/>
    <w:rPr>
      <w:rFonts w:ascii="Calibri" w:hAnsi="Calibri" w:cs="Times New Roman"/>
      <w:b/>
      <w:i/>
      <w:sz w:val="26"/>
    </w:rPr>
  </w:style>
  <w:style w:type="character" w:customStyle="1" w:styleId="Heading6Char">
    <w:name w:val="Heading 6 Char"/>
    <w:aliases w:val="h6 Char"/>
    <w:basedOn w:val="DefaultParagraphFont"/>
    <w:link w:val="Heading6"/>
    <w:uiPriority w:val="99"/>
    <w:semiHidden/>
    <w:locked/>
    <w:rsid w:val="00CB11B2"/>
    <w:rPr>
      <w:rFonts w:ascii="Calibri" w:hAnsi="Calibri" w:cs="Times New Roman"/>
      <w:b/>
      <w:sz w:val="22"/>
    </w:rPr>
  </w:style>
  <w:style w:type="character" w:customStyle="1" w:styleId="Heading7Char">
    <w:name w:val="Heading 7 Char"/>
    <w:aliases w:val="h7 Char"/>
    <w:basedOn w:val="DefaultParagraphFont"/>
    <w:link w:val="Heading7"/>
    <w:uiPriority w:val="99"/>
    <w:semiHidden/>
    <w:locked/>
    <w:rsid w:val="00CB11B2"/>
    <w:rPr>
      <w:rFonts w:ascii="Calibri" w:hAnsi="Calibri" w:cs="Times New Roman"/>
      <w:sz w:val="24"/>
    </w:rPr>
  </w:style>
  <w:style w:type="character" w:customStyle="1" w:styleId="Heading8Char">
    <w:name w:val="Heading 8 Char"/>
    <w:aliases w:val="h8 Char"/>
    <w:basedOn w:val="DefaultParagraphFont"/>
    <w:link w:val="Heading8"/>
    <w:uiPriority w:val="99"/>
    <w:semiHidden/>
    <w:locked/>
    <w:rsid w:val="00CB11B2"/>
    <w:rPr>
      <w:rFonts w:ascii="Calibri" w:hAnsi="Calibri" w:cs="Times New Roman"/>
      <w:i/>
      <w:sz w:val="24"/>
    </w:rPr>
  </w:style>
  <w:style w:type="character" w:customStyle="1" w:styleId="Heading9Char">
    <w:name w:val="Heading 9 Char"/>
    <w:aliases w:val="h9 Char"/>
    <w:basedOn w:val="DefaultParagraphFont"/>
    <w:link w:val="Heading9"/>
    <w:uiPriority w:val="99"/>
    <w:semiHidden/>
    <w:locked/>
    <w:rsid w:val="00CB11B2"/>
    <w:rPr>
      <w:rFonts w:ascii="Cambria" w:hAnsi="Cambria" w:cs="Times New Roman"/>
      <w:sz w:val="22"/>
    </w:rPr>
  </w:style>
  <w:style w:type="paragraph" w:customStyle="1" w:styleId="single">
    <w:name w:val="single"/>
    <w:basedOn w:val="Normal"/>
    <w:uiPriority w:val="99"/>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CB11B2"/>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CB11B2"/>
  </w:style>
  <w:style w:type="character" w:customStyle="1" w:styleId="CommentTextChar">
    <w:name w:val="Comment Text Char"/>
    <w:basedOn w:val="DefaultParagraphFont"/>
    <w:link w:val="CommentText"/>
    <w:uiPriority w:val="99"/>
    <w:semiHidden/>
    <w:locked/>
    <w:rsid w:val="00CB11B2"/>
    <w:rPr>
      <w:rFonts w:ascii="Times New Roman" w:hAnsi="Times New Roman" w:cs="Times New Roman"/>
    </w:rPr>
  </w:style>
  <w:style w:type="paragraph" w:styleId="FootnoteText">
    <w:name w:val="footnote text"/>
    <w:basedOn w:val="single"/>
    <w:link w:val="FootnoteTextChar"/>
    <w:uiPriority w:val="99"/>
    <w:semiHidden/>
    <w:rsid w:val="00CB11B2"/>
    <w:rPr>
      <w:rFonts w:eastAsia="Times New Roman"/>
      <w:sz w:val="20"/>
      <w:szCs w:val="20"/>
      <w:lang w:eastAsia="en-US"/>
    </w:rPr>
  </w:style>
  <w:style w:type="character" w:customStyle="1" w:styleId="FootnoteTextChar">
    <w:name w:val="Footnote Text Char"/>
    <w:basedOn w:val="DefaultParagraphFont"/>
    <w:link w:val="FootnoteText"/>
    <w:uiPriority w:val="99"/>
    <w:semiHidden/>
    <w:locked/>
    <w:rsid w:val="00CB11B2"/>
    <w:rPr>
      <w:rFonts w:ascii="Times New Roman" w:hAnsi="Times New Roman" w:cs="Times New Roman"/>
    </w:rPr>
  </w:style>
  <w:style w:type="paragraph" w:styleId="TOC7">
    <w:name w:val="toc 7"/>
    <w:basedOn w:val="TOC4"/>
    <w:uiPriority w:val="99"/>
    <w:semiHidden/>
    <w:rsid w:val="00CB11B2"/>
    <w:pPr>
      <w:ind w:left="5040"/>
    </w:pPr>
  </w:style>
  <w:style w:type="paragraph" w:styleId="TOC4">
    <w:name w:val="toc 4"/>
    <w:basedOn w:val="TOC3"/>
    <w:uiPriority w:val="99"/>
    <w:semiHidden/>
    <w:rsid w:val="00CB11B2"/>
    <w:pPr>
      <w:ind w:left="2880"/>
    </w:pPr>
  </w:style>
  <w:style w:type="paragraph" w:styleId="TOC3">
    <w:name w:val="toc 3"/>
    <w:basedOn w:val="TOC2"/>
    <w:uiPriority w:val="99"/>
    <w:semiHidden/>
    <w:rsid w:val="00CB11B2"/>
    <w:pPr>
      <w:ind w:left="2160"/>
    </w:pPr>
  </w:style>
  <w:style w:type="paragraph" w:styleId="TOC2">
    <w:name w:val="toc 2"/>
    <w:basedOn w:val="TOC1"/>
    <w:uiPriority w:val="99"/>
    <w:semiHidden/>
    <w:rsid w:val="00CB11B2"/>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CB11B2"/>
  </w:style>
  <w:style w:type="paragraph" w:customStyle="1" w:styleId="singleblock">
    <w:name w:val="single block"/>
    <w:basedOn w:val="single"/>
    <w:uiPriority w:val="99"/>
    <w:rsid w:val="00CB11B2"/>
    <w:pPr>
      <w:ind w:firstLine="0"/>
    </w:pPr>
  </w:style>
  <w:style w:type="paragraph" w:styleId="TOC6">
    <w:name w:val="toc 6"/>
    <w:basedOn w:val="TOC4"/>
    <w:uiPriority w:val="99"/>
    <w:semiHidden/>
    <w:rsid w:val="00CB11B2"/>
    <w:pPr>
      <w:ind w:left="4320"/>
    </w:pPr>
  </w:style>
  <w:style w:type="paragraph" w:styleId="TOC5">
    <w:name w:val="toc 5"/>
    <w:basedOn w:val="TOC4"/>
    <w:uiPriority w:val="99"/>
    <w:semiHidden/>
    <w:rsid w:val="00CB11B2"/>
    <w:pPr>
      <w:ind w:left="3600"/>
    </w:pPr>
  </w:style>
  <w:style w:type="paragraph" w:styleId="Index2">
    <w:name w:val="index 2"/>
    <w:basedOn w:val="unjustifiedblock"/>
    <w:next w:val="Normal"/>
    <w:uiPriority w:val="99"/>
    <w:semiHidden/>
    <w:rsid w:val="00CB11B2"/>
    <w:pPr>
      <w:tabs>
        <w:tab w:val="right" w:leader="dot" w:pos="9000"/>
      </w:tabs>
      <w:ind w:left="360" w:right="2520" w:hanging="360"/>
    </w:pPr>
    <w:rPr>
      <w:color w:val="0000FF"/>
    </w:rPr>
  </w:style>
  <w:style w:type="paragraph" w:styleId="Index1">
    <w:name w:val="index 1"/>
    <w:basedOn w:val="unjustifiedblock"/>
    <w:next w:val="Normal"/>
    <w:uiPriority w:val="99"/>
    <w:semiHidden/>
    <w:rsid w:val="00CB11B2"/>
    <w:rPr>
      <w:b/>
      <w:color w:val="0000FF"/>
    </w:rPr>
  </w:style>
  <w:style w:type="paragraph" w:styleId="IndexHeading">
    <w:name w:val="index heading"/>
    <w:basedOn w:val="unjustifiedblock"/>
    <w:next w:val="Normal"/>
    <w:uiPriority w:val="99"/>
    <w:semiHidden/>
    <w:rsid w:val="00CB11B2"/>
    <w:rPr>
      <w:b/>
    </w:rPr>
  </w:style>
  <w:style w:type="paragraph" w:styleId="Footer">
    <w:name w:val="footer"/>
    <w:basedOn w:val="plain"/>
    <w:link w:val="FooterChar"/>
    <w:uiPriority w:val="99"/>
    <w:rsid w:val="00E05C6E"/>
    <w:pPr>
      <w:tabs>
        <w:tab w:val="center" w:pos="4507"/>
        <w:tab w:val="right" w:pos="9000"/>
      </w:tabs>
      <w:ind w:right="4320"/>
    </w:pPr>
    <w:rPr>
      <w:rFonts w:ascii="Times New Roman" w:eastAsia="Times New Roman" w:hAnsi="Times New Roman"/>
      <w:lang w:eastAsia="en-US"/>
    </w:rPr>
  </w:style>
  <w:style w:type="character" w:customStyle="1" w:styleId="FooterChar">
    <w:name w:val="Footer Char"/>
    <w:basedOn w:val="DefaultParagraphFont"/>
    <w:link w:val="Footer"/>
    <w:uiPriority w:val="99"/>
    <w:semiHidden/>
    <w:locked/>
    <w:rsid w:val="00CB11B2"/>
    <w:rPr>
      <w:rFonts w:ascii="Times New Roman" w:hAnsi="Times New Roman" w:cs="Times New Roman"/>
      <w:sz w:val="24"/>
    </w:rPr>
  </w:style>
  <w:style w:type="paragraph" w:customStyle="1" w:styleId="plain">
    <w:name w:val="plain"/>
    <w:basedOn w:val="unjustifiedblock"/>
    <w:link w:val="plainChar"/>
    <w:uiPriority w:val="99"/>
    <w:rsid w:val="00E05C6E"/>
    <w:pPr>
      <w:spacing w:before="0"/>
    </w:pPr>
    <w:rPr>
      <w:rFonts w:ascii="CG Times (WN)" w:hAnsi="CG Times (WN)"/>
      <w:szCs w:val="20"/>
    </w:rPr>
  </w:style>
  <w:style w:type="paragraph" w:styleId="Header">
    <w:name w:val="header"/>
    <w:basedOn w:val="plain"/>
    <w:link w:val="HeaderChar"/>
    <w:uiPriority w:val="99"/>
    <w:rsid w:val="00E05C6E"/>
    <w:pPr>
      <w:tabs>
        <w:tab w:val="center" w:pos="4507"/>
        <w:tab w:val="right" w:pos="9000"/>
      </w:tabs>
    </w:pPr>
    <w:rPr>
      <w:rFonts w:ascii="Times New Roman" w:eastAsia="Times New Roman" w:hAnsi="Times New Roman"/>
      <w:lang w:eastAsia="en-US"/>
    </w:rPr>
  </w:style>
  <w:style w:type="character" w:customStyle="1" w:styleId="HeaderChar">
    <w:name w:val="Header Char"/>
    <w:basedOn w:val="DefaultParagraphFont"/>
    <w:link w:val="Header"/>
    <w:uiPriority w:val="99"/>
    <w:semiHidden/>
    <w:locked/>
    <w:rsid w:val="00CB11B2"/>
    <w:rPr>
      <w:rFonts w:ascii="Times New Roman" w:hAnsi="Times New Roman" w:cs="Times New Roman"/>
      <w:sz w:val="24"/>
    </w:rPr>
  </w:style>
  <w:style w:type="character" w:styleId="FootnoteReference">
    <w:name w:val="footnote reference"/>
    <w:basedOn w:val="DefaultParagraphFont"/>
    <w:uiPriority w:val="99"/>
    <w:semiHidden/>
    <w:rsid w:val="00CB11B2"/>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CB11B2"/>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CB11B2"/>
  </w:style>
  <w:style w:type="paragraph" w:customStyle="1" w:styleId="coverpage">
    <w:name w:val="cover page"/>
    <w:basedOn w:val="unjustifiedblock"/>
    <w:uiPriority w:val="99"/>
    <w:rsid w:val="00CB11B2"/>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CB11B2"/>
    <w:pPr>
      <w:ind w:firstLine="1440"/>
    </w:pPr>
  </w:style>
  <w:style w:type="paragraph" w:customStyle="1" w:styleId="table">
    <w:name w:val="table"/>
    <w:basedOn w:val="plain"/>
    <w:uiPriority w:val="99"/>
    <w:rsid w:val="00CB11B2"/>
    <w:pPr>
      <w:spacing w:before="60" w:after="60" w:line="240" w:lineRule="auto"/>
    </w:pPr>
  </w:style>
  <w:style w:type="paragraph" w:customStyle="1" w:styleId="footnoteblock">
    <w:name w:val="footnote block"/>
    <w:basedOn w:val="FootnoteText"/>
    <w:uiPriority w:val="99"/>
    <w:rsid w:val="00CB11B2"/>
    <w:pPr>
      <w:ind w:firstLine="0"/>
    </w:pPr>
  </w:style>
  <w:style w:type="paragraph" w:customStyle="1" w:styleId="footnoteindent">
    <w:name w:val="footnote indent"/>
    <w:basedOn w:val="footnoteblock"/>
    <w:uiPriority w:val="99"/>
    <w:rsid w:val="00CB11B2"/>
    <w:pPr>
      <w:ind w:left="1440" w:right="720"/>
    </w:pPr>
  </w:style>
  <w:style w:type="paragraph" w:styleId="Title">
    <w:name w:val="Title"/>
    <w:basedOn w:val="Normal"/>
    <w:link w:val="TitleChar"/>
    <w:uiPriority w:val="99"/>
    <w:qFormat/>
    <w:rsid w:val="00CB11B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CB11B2"/>
    <w:rPr>
      <w:rFonts w:ascii="Cambria" w:hAnsi="Cambria" w:cs="Times New Roman"/>
      <w:b/>
      <w:kern w:val="28"/>
      <w:sz w:val="32"/>
    </w:rPr>
  </w:style>
  <w:style w:type="paragraph" w:customStyle="1" w:styleId="normal3">
    <w:name w:val="normal3"/>
    <w:basedOn w:val="normal2"/>
    <w:uiPriority w:val="99"/>
    <w:rsid w:val="00CB11B2"/>
    <w:pPr>
      <w:ind w:firstLine="2160"/>
    </w:pPr>
  </w:style>
  <w:style w:type="paragraph" w:customStyle="1" w:styleId="normalhanging">
    <w:name w:val="normal hanging"/>
    <w:basedOn w:val="Normal"/>
    <w:uiPriority w:val="99"/>
    <w:rsid w:val="00CB11B2"/>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CB11B2"/>
    <w:pPr>
      <w:ind w:left="1440"/>
    </w:pPr>
  </w:style>
  <w:style w:type="paragraph" w:customStyle="1" w:styleId="normalhanging3">
    <w:name w:val="normal hanging3"/>
    <w:basedOn w:val="normalhanging2"/>
    <w:uiPriority w:val="99"/>
    <w:rsid w:val="00CB11B2"/>
    <w:pPr>
      <w:ind w:left="2160"/>
    </w:pPr>
  </w:style>
  <w:style w:type="paragraph" w:customStyle="1" w:styleId="singlehanging">
    <w:name w:val="single hanging"/>
    <w:basedOn w:val="singleblock"/>
    <w:uiPriority w:val="99"/>
    <w:rsid w:val="00CB11B2"/>
    <w:pPr>
      <w:ind w:left="720" w:hanging="720"/>
    </w:pPr>
  </w:style>
  <w:style w:type="paragraph" w:customStyle="1" w:styleId="pleading-linenums">
    <w:name w:val="pleading-line nums"/>
    <w:uiPriority w:val="99"/>
    <w:rsid w:val="00CB11B2"/>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CB11B2"/>
    <w:pPr>
      <w:spacing w:before="0" w:after="240"/>
      <w:ind w:left="1440"/>
    </w:pPr>
  </w:style>
  <w:style w:type="paragraph" w:customStyle="1" w:styleId="response">
    <w:name w:val="response"/>
    <w:basedOn w:val="Normal"/>
    <w:uiPriority w:val="99"/>
    <w:rsid w:val="00CB11B2"/>
    <w:pPr>
      <w:spacing w:after="2880" w:line="480" w:lineRule="atLeast"/>
    </w:pPr>
  </w:style>
  <w:style w:type="paragraph" w:customStyle="1" w:styleId="pleading-leftbar">
    <w:name w:val="pleading-left bar"/>
    <w:uiPriority w:val="99"/>
    <w:rsid w:val="00CB11B2"/>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CB11B2"/>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CB11B2"/>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CB11B2"/>
    <w:pPr>
      <w:ind w:left="2160"/>
    </w:pPr>
  </w:style>
  <w:style w:type="paragraph" w:customStyle="1" w:styleId="singleindent">
    <w:name w:val="single indent"/>
    <w:basedOn w:val="singleblock"/>
    <w:uiPriority w:val="99"/>
    <w:rsid w:val="00CB11B2"/>
    <w:pPr>
      <w:spacing w:before="0" w:after="240"/>
      <w:ind w:left="1440" w:right="720"/>
    </w:pPr>
  </w:style>
  <w:style w:type="paragraph" w:customStyle="1" w:styleId="unjustifiedhanging">
    <w:name w:val="unjustified hanging"/>
    <w:basedOn w:val="unjustifiedblock"/>
    <w:uiPriority w:val="99"/>
    <w:rsid w:val="00CB11B2"/>
    <w:pPr>
      <w:ind w:left="720" w:hanging="720"/>
    </w:pPr>
  </w:style>
  <w:style w:type="paragraph" w:customStyle="1" w:styleId="unjustifiedhanging2">
    <w:name w:val="unjustified hanging2"/>
    <w:basedOn w:val="unjustifiedhanging"/>
    <w:uiPriority w:val="99"/>
    <w:rsid w:val="00CB11B2"/>
    <w:pPr>
      <w:ind w:left="1440"/>
    </w:pPr>
  </w:style>
  <w:style w:type="paragraph" w:customStyle="1" w:styleId="unjustifiedhanging3">
    <w:name w:val="unjustified hanging3"/>
    <w:basedOn w:val="unjustifiedhanging2"/>
    <w:uiPriority w:val="99"/>
    <w:rsid w:val="00CB11B2"/>
    <w:pPr>
      <w:ind w:left="2160"/>
    </w:pPr>
  </w:style>
  <w:style w:type="paragraph" w:customStyle="1" w:styleId="GilbertAssoc1990">
    <w:name w:val="©Gilbert&amp;Assoc. 1990"/>
    <w:basedOn w:val="Normal"/>
    <w:uiPriority w:val="99"/>
    <w:rsid w:val="00CB11B2"/>
  </w:style>
  <w:style w:type="paragraph" w:customStyle="1" w:styleId="pleading-rightrule">
    <w:name w:val="pleading-right rule"/>
    <w:basedOn w:val="pleading-leftrule"/>
    <w:uiPriority w:val="99"/>
    <w:rsid w:val="00CB11B2"/>
    <w:pPr>
      <w:framePr w:wrap="auto" w:x="11708"/>
    </w:pPr>
  </w:style>
  <w:style w:type="paragraph" w:customStyle="1" w:styleId="pleading-leftrule">
    <w:name w:val="pleading-left rule"/>
    <w:basedOn w:val="pleading-linenums"/>
    <w:uiPriority w:val="99"/>
    <w:rsid w:val="00CB11B2"/>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CB11B2"/>
    <w:pPr>
      <w:framePr w:w="576" w:vSpace="0" w:wrap="notBeside" w:vAnchor="margin" w:hAnchor="text" w:x="720" w:yAlign="top"/>
      <w:spacing w:line="480" w:lineRule="exact"/>
    </w:pPr>
  </w:style>
  <w:style w:type="paragraph" w:styleId="EnvelopeAddress">
    <w:name w:val="envelope address"/>
    <w:basedOn w:val="Normal"/>
    <w:uiPriority w:val="99"/>
    <w:rsid w:val="00CB11B2"/>
    <w:pPr>
      <w:framePr w:w="7920" w:h="1987" w:hRule="exact" w:hSpace="187" w:wrap="around" w:hAnchor="page" w:xAlign="center" w:yAlign="bottom"/>
      <w:ind w:left="2880" w:firstLine="1440"/>
    </w:pPr>
  </w:style>
  <w:style w:type="paragraph" w:styleId="EnvelopeReturn">
    <w:name w:val="envelope return"/>
    <w:basedOn w:val="Normal"/>
    <w:uiPriority w:val="99"/>
    <w:rsid w:val="00CB11B2"/>
    <w:rPr>
      <w:sz w:val="20"/>
    </w:rPr>
  </w:style>
  <w:style w:type="paragraph" w:styleId="TOAHeading">
    <w:name w:val="toa heading"/>
    <w:basedOn w:val="Normal"/>
    <w:next w:val="Normal"/>
    <w:uiPriority w:val="99"/>
    <w:semiHidden/>
    <w:rsid w:val="00CB11B2"/>
    <w:pPr>
      <w:spacing w:before="120"/>
    </w:pPr>
    <w:rPr>
      <w:b/>
    </w:rPr>
  </w:style>
  <w:style w:type="paragraph" w:styleId="TableofAuthorities">
    <w:name w:val="table of authorities"/>
    <w:basedOn w:val="Normal"/>
    <w:next w:val="Normal"/>
    <w:uiPriority w:val="99"/>
    <w:semiHidden/>
    <w:rsid w:val="00CB11B2"/>
    <w:pPr>
      <w:tabs>
        <w:tab w:val="right" w:leader="dot" w:pos="9000"/>
      </w:tabs>
      <w:spacing w:before="240"/>
      <w:ind w:left="245" w:right="1440" w:hanging="245"/>
    </w:pPr>
  </w:style>
  <w:style w:type="paragraph" w:customStyle="1" w:styleId="ti">
    <w:name w:val="ti"/>
    <w:basedOn w:val="normalblock"/>
    <w:uiPriority w:val="99"/>
    <w:rsid w:val="00CB11B2"/>
    <w:rPr>
      <w:b/>
    </w:rPr>
  </w:style>
  <w:style w:type="paragraph" w:styleId="BodyTextIndent">
    <w:name w:val="Body Text Indent"/>
    <w:basedOn w:val="Normal"/>
    <w:link w:val="BodyTextIndentChar"/>
    <w:uiPriority w:val="99"/>
    <w:rsid w:val="00CB11B2"/>
  </w:style>
  <w:style w:type="character" w:customStyle="1" w:styleId="BodyTextIndentChar">
    <w:name w:val="Body Text Indent Char"/>
    <w:basedOn w:val="DefaultParagraphFont"/>
    <w:link w:val="BodyTextIndent"/>
    <w:uiPriority w:val="99"/>
    <w:semiHidden/>
    <w:locked/>
    <w:rsid w:val="00CB11B2"/>
    <w:rPr>
      <w:rFonts w:ascii="Times New Roman" w:hAnsi="Times New Roman" w:cs="Times New Roman"/>
      <w:sz w:val="24"/>
    </w:rPr>
  </w:style>
  <w:style w:type="paragraph" w:styleId="BodyText">
    <w:name w:val="Body Text"/>
    <w:aliases w:val="bt"/>
    <w:basedOn w:val="Normal"/>
    <w:link w:val="BodyTextChar"/>
    <w:uiPriority w:val="99"/>
    <w:rsid w:val="00CB11B2"/>
    <w:pPr>
      <w:jc w:val="both"/>
    </w:pPr>
  </w:style>
  <w:style w:type="character" w:customStyle="1" w:styleId="BodyTextChar">
    <w:name w:val="Body Text Char"/>
    <w:aliases w:val="bt Char"/>
    <w:basedOn w:val="DefaultParagraphFont"/>
    <w:link w:val="BodyText"/>
    <w:uiPriority w:val="99"/>
    <w:semiHidden/>
    <w:locked/>
    <w:rsid w:val="00CB11B2"/>
    <w:rPr>
      <w:rFonts w:ascii="Times New Roman" w:hAnsi="Times New Roman" w:cs="Times New Roman"/>
      <w:sz w:val="24"/>
    </w:rPr>
  </w:style>
  <w:style w:type="paragraph" w:customStyle="1" w:styleId="bul">
    <w:name w:val="bul"/>
    <w:basedOn w:val="Normal"/>
    <w:uiPriority w:val="99"/>
    <w:rsid w:val="00CB11B2"/>
    <w:pPr>
      <w:spacing w:before="240" w:line="240" w:lineRule="atLeast"/>
      <w:ind w:left="1440" w:hanging="720"/>
    </w:pPr>
    <w:rPr>
      <w:sz w:val="26"/>
    </w:rPr>
  </w:style>
  <w:style w:type="paragraph" w:customStyle="1" w:styleId="ind">
    <w:name w:val="ind"/>
    <w:basedOn w:val="bul"/>
    <w:uiPriority w:val="99"/>
    <w:rsid w:val="00CB11B2"/>
    <w:pPr>
      <w:ind w:firstLine="0"/>
    </w:pPr>
  </w:style>
  <w:style w:type="paragraph" w:customStyle="1" w:styleId="Commitmenttotheenvironment">
    <w:name w:val="Commitment to the environment"/>
    <w:basedOn w:val="normalhanging"/>
    <w:uiPriority w:val="99"/>
    <w:rsid w:val="00CB11B2"/>
    <w:pPr>
      <w:widowControl w:val="0"/>
    </w:pPr>
  </w:style>
  <w:style w:type="character" w:styleId="PageNumber">
    <w:name w:val="page number"/>
    <w:basedOn w:val="DefaultParagraphFont"/>
    <w:uiPriority w:val="99"/>
    <w:rsid w:val="00CB11B2"/>
    <w:rPr>
      <w:rFonts w:cs="Times New Roman"/>
    </w:rPr>
  </w:style>
  <w:style w:type="paragraph" w:customStyle="1" w:styleId="memo">
    <w:name w:val="memo"/>
    <w:basedOn w:val="normalblock"/>
    <w:uiPriority w:val="99"/>
    <w:rsid w:val="00CB11B2"/>
    <w:pPr>
      <w:spacing w:before="240" w:line="240" w:lineRule="atLeast"/>
      <w:ind w:left="1440" w:hanging="1440"/>
    </w:pPr>
    <w:rPr>
      <w:sz w:val="26"/>
    </w:rPr>
  </w:style>
  <w:style w:type="paragraph" w:customStyle="1" w:styleId="cclist">
    <w:name w:val="cc list"/>
    <w:basedOn w:val="plain"/>
    <w:uiPriority w:val="99"/>
    <w:rsid w:val="00CB11B2"/>
    <w:pPr>
      <w:keepLines/>
      <w:spacing w:before="240"/>
      <w:ind w:left="720" w:hanging="720"/>
    </w:pPr>
    <w:rPr>
      <w:sz w:val="26"/>
    </w:rPr>
  </w:style>
  <w:style w:type="paragraph" w:customStyle="1" w:styleId="roman">
    <w:name w:val="roman"/>
    <w:basedOn w:val="Normal"/>
    <w:uiPriority w:val="99"/>
    <w:rsid w:val="00CB11B2"/>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CB11B2"/>
    <w:pPr>
      <w:spacing w:before="240" w:line="240" w:lineRule="atLeast"/>
      <w:ind w:left="720"/>
    </w:pPr>
    <w:rPr>
      <w:sz w:val="26"/>
    </w:rPr>
  </w:style>
  <w:style w:type="paragraph" w:customStyle="1" w:styleId="footnotehanging">
    <w:name w:val="footnote hanging"/>
    <w:basedOn w:val="footnoteindent"/>
    <w:uiPriority w:val="99"/>
    <w:rsid w:val="00CB11B2"/>
    <w:pPr>
      <w:ind w:left="720" w:hanging="720"/>
    </w:pPr>
  </w:style>
  <w:style w:type="paragraph" w:customStyle="1" w:styleId="roman2">
    <w:name w:val="roman2"/>
    <w:basedOn w:val="roman"/>
    <w:uiPriority w:val="99"/>
    <w:rsid w:val="00CB11B2"/>
    <w:pPr>
      <w:tabs>
        <w:tab w:val="clear" w:pos="1800"/>
        <w:tab w:val="clear" w:pos="2160"/>
      </w:tabs>
      <w:ind w:left="2880" w:hanging="720"/>
    </w:pPr>
  </w:style>
  <w:style w:type="paragraph" w:customStyle="1" w:styleId="question">
    <w:name w:val="question"/>
    <w:basedOn w:val="singlehanging"/>
    <w:next w:val="answer"/>
    <w:link w:val="questionChar"/>
    <w:uiPriority w:val="99"/>
    <w:rsid w:val="00E05C6E"/>
    <w:pPr>
      <w:keepNext/>
      <w:spacing w:after="120" w:line="480" w:lineRule="auto"/>
    </w:pPr>
    <w:rPr>
      <w:b/>
      <w:szCs w:val="20"/>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CB11B2"/>
    <w:pPr>
      <w:spacing w:line="480" w:lineRule="auto"/>
    </w:pPr>
    <w:rPr>
      <w:b/>
      <w:sz w:val="26"/>
    </w:rPr>
  </w:style>
  <w:style w:type="paragraph" w:customStyle="1" w:styleId="normalhangingQ">
    <w:name w:val="normal hangingQ"/>
    <w:basedOn w:val="normalhanging"/>
    <w:uiPriority w:val="99"/>
    <w:rsid w:val="00CB11B2"/>
    <w:pPr>
      <w:keepNext/>
      <w:spacing w:before="240"/>
    </w:pPr>
    <w:rPr>
      <w:b/>
    </w:rPr>
  </w:style>
  <w:style w:type="paragraph" w:styleId="BodyTextIndent2">
    <w:name w:val="Body Text Indent 2"/>
    <w:basedOn w:val="Normal"/>
    <w:link w:val="BodyTextIndent2Char"/>
    <w:uiPriority w:val="99"/>
    <w:rsid w:val="00CB11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style>
  <w:style w:type="character" w:customStyle="1" w:styleId="BodyTextIndent2Char">
    <w:name w:val="Body Text Indent 2 Char"/>
    <w:basedOn w:val="DefaultParagraphFont"/>
    <w:link w:val="BodyTextIndent2"/>
    <w:uiPriority w:val="99"/>
    <w:semiHidden/>
    <w:locked/>
    <w:rsid w:val="00CB11B2"/>
    <w:rPr>
      <w:rFonts w:ascii="Times New Roman" w:hAnsi="Times New Roman" w:cs="Times New Roman"/>
      <w:sz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CB11B2"/>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CB11B2"/>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CB11B2"/>
    <w:pPr>
      <w:tabs>
        <w:tab w:val="left" w:pos="533"/>
        <w:tab w:val="left" w:pos="734"/>
      </w:tabs>
      <w:ind w:left="533" w:hanging="317"/>
    </w:pPr>
    <w:rPr>
      <w:rFonts w:ascii="Times" w:hAnsi="Times"/>
      <w:sz w:val="23"/>
    </w:rPr>
  </w:style>
  <w:style w:type="paragraph" w:customStyle="1" w:styleId="EmDashDS">
    <w:name w:val="EmDash DS"/>
    <w:basedOn w:val="Normal"/>
    <w:uiPriority w:val="99"/>
    <w:rsid w:val="00CB11B2"/>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CB11B2"/>
    <w:pPr>
      <w:tabs>
        <w:tab w:val="left" w:pos="734"/>
      </w:tabs>
      <w:ind w:left="734" w:hanging="201"/>
    </w:pPr>
    <w:rPr>
      <w:rFonts w:ascii="Times" w:hAnsi="Times"/>
      <w:sz w:val="23"/>
    </w:rPr>
  </w:style>
  <w:style w:type="paragraph" w:customStyle="1" w:styleId="EnDashDS">
    <w:name w:val="EnDash DS"/>
    <w:basedOn w:val="Normal"/>
    <w:uiPriority w:val="99"/>
    <w:rsid w:val="00CB11B2"/>
    <w:pPr>
      <w:tabs>
        <w:tab w:val="left" w:pos="734"/>
      </w:tabs>
      <w:spacing w:after="260"/>
      <w:ind w:left="734" w:hanging="201"/>
    </w:pPr>
    <w:rPr>
      <w:rFonts w:ascii="Times" w:hAnsi="Times"/>
      <w:sz w:val="23"/>
    </w:rPr>
  </w:style>
  <w:style w:type="paragraph" w:customStyle="1" w:styleId="Numbr10DS">
    <w:name w:val="Numbr 10+ DS"/>
    <w:basedOn w:val="Normal"/>
    <w:uiPriority w:val="99"/>
    <w:rsid w:val="00CB11B2"/>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CB11B2"/>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CB11B2"/>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CB11B2"/>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CB11B2"/>
    <w:pPr>
      <w:tabs>
        <w:tab w:val="left" w:pos="187"/>
      </w:tabs>
      <w:ind w:left="187" w:hanging="187"/>
    </w:pPr>
    <w:rPr>
      <w:rFonts w:ascii="Times" w:hAnsi="Times"/>
      <w:sz w:val="20"/>
    </w:rPr>
  </w:style>
  <w:style w:type="paragraph" w:customStyle="1" w:styleId="Table3Data-EmDash">
    <w:name w:val="Table3/Data-EmDash"/>
    <w:basedOn w:val="Normal"/>
    <w:uiPriority w:val="99"/>
    <w:rsid w:val="00CB11B2"/>
    <w:pPr>
      <w:tabs>
        <w:tab w:val="left" w:pos="504"/>
      </w:tabs>
      <w:ind w:left="504" w:hanging="317"/>
    </w:pPr>
    <w:rPr>
      <w:rFonts w:ascii="Times" w:hAnsi="Times"/>
      <w:sz w:val="20"/>
    </w:rPr>
  </w:style>
  <w:style w:type="paragraph" w:customStyle="1" w:styleId="Tab5Data-EmDash">
    <w:name w:val="Tab5/Data-EmDash"/>
    <w:basedOn w:val="Normal"/>
    <w:uiPriority w:val="99"/>
    <w:rsid w:val="00CB11B2"/>
    <w:pPr>
      <w:tabs>
        <w:tab w:val="left" w:pos="504"/>
      </w:tabs>
      <w:ind w:left="504" w:hanging="317"/>
    </w:pPr>
    <w:rPr>
      <w:rFonts w:ascii="Times" w:hAnsi="Times"/>
      <w:sz w:val="20"/>
    </w:rPr>
  </w:style>
  <w:style w:type="paragraph" w:customStyle="1" w:styleId="Tab5Data-Bullet">
    <w:name w:val="Tab5/Data-Bullet"/>
    <w:basedOn w:val="Normal"/>
    <w:uiPriority w:val="99"/>
    <w:rsid w:val="00CB11B2"/>
    <w:pPr>
      <w:tabs>
        <w:tab w:val="left" w:pos="187"/>
      </w:tabs>
      <w:ind w:left="187" w:hanging="187"/>
    </w:pPr>
    <w:rPr>
      <w:rFonts w:ascii="Times" w:hAnsi="Times"/>
      <w:sz w:val="20"/>
    </w:rPr>
  </w:style>
  <w:style w:type="paragraph" w:customStyle="1" w:styleId="Int3ATMBullet">
    <w:name w:val="Int3/ATM Bullet"/>
    <w:basedOn w:val="Int3ATMText"/>
    <w:uiPriority w:val="99"/>
    <w:rsid w:val="00CB11B2"/>
    <w:pPr>
      <w:numPr>
        <w:numId w:val="41"/>
      </w:numPr>
      <w:tabs>
        <w:tab w:val="clear" w:pos="360"/>
        <w:tab w:val="left" w:pos="230"/>
      </w:tabs>
      <w:ind w:left="230" w:hanging="230"/>
    </w:pPr>
  </w:style>
  <w:style w:type="paragraph" w:customStyle="1" w:styleId="Int3ATMText">
    <w:name w:val="Int3/ATM Text"/>
    <w:basedOn w:val="NormalDS"/>
    <w:uiPriority w:val="99"/>
    <w:rsid w:val="00CB11B2"/>
    <w:rPr>
      <w:sz w:val="30"/>
    </w:rPr>
  </w:style>
  <w:style w:type="paragraph" w:customStyle="1" w:styleId="NormalDS">
    <w:name w:val="Normal DS"/>
    <w:basedOn w:val="Normal"/>
    <w:uiPriority w:val="99"/>
    <w:rsid w:val="00CB11B2"/>
    <w:pPr>
      <w:spacing w:after="260"/>
    </w:pPr>
    <w:rPr>
      <w:rFonts w:ascii="Times" w:hAnsi="Times"/>
      <w:sz w:val="23"/>
    </w:rPr>
  </w:style>
  <w:style w:type="paragraph" w:customStyle="1" w:styleId="Tab5Data-EnDash">
    <w:name w:val="Tab5/Data-EnDash"/>
    <w:basedOn w:val="Normal"/>
    <w:uiPriority w:val="99"/>
    <w:rsid w:val="00CB11B2"/>
    <w:pPr>
      <w:numPr>
        <w:numId w:val="42"/>
      </w:numPr>
      <w:tabs>
        <w:tab w:val="clear" w:pos="360"/>
        <w:tab w:val="left" w:pos="706"/>
      </w:tabs>
      <w:ind w:left="706" w:hanging="202"/>
    </w:pPr>
    <w:rPr>
      <w:rFonts w:ascii="Times" w:hAnsi="Times"/>
      <w:sz w:val="20"/>
    </w:rPr>
  </w:style>
  <w:style w:type="paragraph" w:customStyle="1" w:styleId="Table3Data-EnDash">
    <w:name w:val="Table3/Data-EnDash"/>
    <w:basedOn w:val="Normal"/>
    <w:uiPriority w:val="99"/>
    <w:rsid w:val="00CB11B2"/>
    <w:pPr>
      <w:numPr>
        <w:numId w:val="43"/>
      </w:numPr>
      <w:tabs>
        <w:tab w:val="clear" w:pos="360"/>
        <w:tab w:val="left" w:pos="706"/>
      </w:tabs>
      <w:ind w:left="706" w:hanging="202"/>
    </w:pPr>
    <w:rPr>
      <w:rFonts w:ascii="Times" w:hAnsi="Times"/>
      <w:sz w:val="20"/>
    </w:rPr>
  </w:style>
  <w:style w:type="paragraph" w:styleId="BodyTextIndent3">
    <w:name w:val="Body Text Indent 3"/>
    <w:basedOn w:val="Normal"/>
    <w:link w:val="BodyTextIndent3Char"/>
    <w:uiPriority w:val="99"/>
    <w:rsid w:val="00CB11B2"/>
    <w:pPr>
      <w:ind w:left="1440"/>
    </w:pPr>
    <w:rPr>
      <w:sz w:val="16"/>
      <w:szCs w:val="16"/>
    </w:rPr>
  </w:style>
  <w:style w:type="character" w:customStyle="1" w:styleId="BodyTextIndent3Char">
    <w:name w:val="Body Text Indent 3 Char"/>
    <w:basedOn w:val="DefaultParagraphFont"/>
    <w:link w:val="BodyTextIndent3"/>
    <w:uiPriority w:val="99"/>
    <w:semiHidden/>
    <w:locked/>
    <w:rsid w:val="00CB11B2"/>
    <w:rPr>
      <w:rFonts w:ascii="Times New Roman" w:hAnsi="Times New Roman" w:cs="Times New Roman"/>
      <w:sz w:val="16"/>
    </w:rPr>
  </w:style>
  <w:style w:type="paragraph" w:customStyle="1" w:styleId="draft">
    <w:name w:val="draft"/>
    <w:basedOn w:val="Header"/>
    <w:uiPriority w:val="99"/>
    <w:rsid w:val="00CB11B2"/>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CB11B2"/>
    <w:pPr>
      <w:widowControl w:val="0"/>
      <w:tabs>
        <w:tab w:val="left" w:pos="1260"/>
      </w:tabs>
      <w:spacing w:before="252"/>
    </w:pPr>
    <w:rPr>
      <w:noProof/>
      <w:color w:val="000000"/>
      <w:sz w:val="20"/>
    </w:rPr>
  </w:style>
  <w:style w:type="paragraph" w:customStyle="1" w:styleId="H1">
    <w:name w:val="H1"/>
    <w:basedOn w:val="Normal"/>
    <w:next w:val="Normal"/>
    <w:uiPriority w:val="99"/>
    <w:rsid w:val="00CB11B2"/>
    <w:pPr>
      <w:keepNext/>
      <w:spacing w:before="100" w:after="100"/>
      <w:outlineLvl w:val="1"/>
    </w:pPr>
    <w:rPr>
      <w:b/>
      <w:kern w:val="36"/>
      <w:sz w:val="48"/>
    </w:rPr>
  </w:style>
  <w:style w:type="paragraph" w:customStyle="1" w:styleId="Preformatted">
    <w:name w:val="Preformatted"/>
    <w:basedOn w:val="Normal"/>
    <w:uiPriority w:val="99"/>
    <w:rsid w:val="00CB11B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CB11B2"/>
  </w:style>
  <w:style w:type="character" w:customStyle="1" w:styleId="BodyText2Char">
    <w:name w:val="Body Text 2 Char"/>
    <w:basedOn w:val="DefaultParagraphFont"/>
    <w:link w:val="BodyText2"/>
    <w:uiPriority w:val="99"/>
    <w:semiHidden/>
    <w:locked/>
    <w:rsid w:val="00CB11B2"/>
    <w:rPr>
      <w:rFonts w:ascii="Times New Roman" w:hAnsi="Times New Roman" w:cs="Times New Roman"/>
      <w:sz w:val="24"/>
    </w:rPr>
  </w:style>
  <w:style w:type="paragraph" w:styleId="BodyText3">
    <w:name w:val="Body Text 3"/>
    <w:basedOn w:val="Normal"/>
    <w:link w:val="BodyText3Char"/>
    <w:uiPriority w:val="99"/>
    <w:rsid w:val="00CB11B2"/>
    <w:pPr>
      <w:spacing w:line="360" w:lineRule="auto"/>
      <w:ind w:right="-720"/>
    </w:pPr>
    <w:rPr>
      <w:sz w:val="16"/>
      <w:szCs w:val="16"/>
    </w:rPr>
  </w:style>
  <w:style w:type="character" w:customStyle="1" w:styleId="BodyText3Char">
    <w:name w:val="Body Text 3 Char"/>
    <w:basedOn w:val="DefaultParagraphFont"/>
    <w:link w:val="BodyText3"/>
    <w:uiPriority w:val="99"/>
    <w:semiHidden/>
    <w:locked/>
    <w:rsid w:val="00CB11B2"/>
    <w:rPr>
      <w:rFonts w:ascii="Times New Roman" w:hAnsi="Times New Roman" w:cs="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CB11B2"/>
    <w:pPr>
      <w:ind w:left="1680"/>
    </w:pPr>
  </w:style>
  <w:style w:type="paragraph" w:styleId="TOC9">
    <w:name w:val="toc 9"/>
    <w:basedOn w:val="Normal"/>
    <w:next w:val="Normal"/>
    <w:autoRedefine/>
    <w:uiPriority w:val="99"/>
    <w:semiHidden/>
    <w:rsid w:val="00CB11B2"/>
    <w:pPr>
      <w:ind w:left="1920"/>
    </w:pPr>
  </w:style>
  <w:style w:type="character" w:styleId="Hyperlink">
    <w:name w:val="Hyperlink"/>
    <w:basedOn w:val="DefaultParagraphFont"/>
    <w:uiPriority w:val="99"/>
    <w:rsid w:val="00CB11B2"/>
    <w:rPr>
      <w:rFonts w:cs="Times New Roman"/>
      <w:color w:val="0000FF"/>
      <w:u w:val="single"/>
    </w:rPr>
  </w:style>
  <w:style w:type="paragraph" w:customStyle="1" w:styleId="Default">
    <w:name w:val="Default"/>
    <w:uiPriority w:val="99"/>
    <w:rsid w:val="00CB11B2"/>
    <w:rPr>
      <w:rFonts w:ascii="Garamond" w:hAnsi="Garamond" w:cs="Times New Roman"/>
      <w:color w:val="000000"/>
      <w:sz w:val="24"/>
      <w:szCs w:val="20"/>
    </w:rPr>
  </w:style>
  <w:style w:type="paragraph" w:customStyle="1" w:styleId="LZBulletText">
    <w:name w:val="LZ Bullet Text"/>
    <w:basedOn w:val="Default"/>
    <w:next w:val="Default"/>
    <w:uiPriority w:val="99"/>
    <w:rsid w:val="00CB11B2"/>
    <w:rPr>
      <w:color w:val="auto"/>
    </w:rPr>
  </w:style>
  <w:style w:type="paragraph" w:styleId="BalloonText">
    <w:name w:val="Balloon Text"/>
    <w:basedOn w:val="Normal"/>
    <w:link w:val="BalloonTextChar"/>
    <w:uiPriority w:val="99"/>
    <w:semiHidden/>
    <w:rsid w:val="00CB11B2"/>
    <w:rPr>
      <w:rFonts w:ascii="Tahoma" w:hAnsi="Tahoma"/>
      <w:sz w:val="16"/>
      <w:szCs w:val="16"/>
    </w:rPr>
  </w:style>
  <w:style w:type="character" w:customStyle="1" w:styleId="BalloonTextChar">
    <w:name w:val="Balloon Text Char"/>
    <w:basedOn w:val="DefaultParagraphFont"/>
    <w:link w:val="BalloonText"/>
    <w:uiPriority w:val="99"/>
    <w:semiHidden/>
    <w:locked/>
    <w:rsid w:val="00CB11B2"/>
    <w:rPr>
      <w:rFonts w:ascii="Tahoma" w:hAnsi="Tahoma" w:cs="Times New Roman"/>
      <w:sz w:val="16"/>
    </w:rPr>
  </w:style>
  <w:style w:type="paragraph" w:customStyle="1" w:styleId="body">
    <w:name w:val="*body"/>
    <w:basedOn w:val="Normal"/>
    <w:uiPriority w:val="99"/>
    <w:rsid w:val="00CB11B2"/>
    <w:pPr>
      <w:widowControl w:val="0"/>
      <w:spacing w:line="280" w:lineRule="exact"/>
      <w:ind w:firstLine="540"/>
    </w:pPr>
    <w:rPr>
      <w:rFonts w:ascii="TheSerif 3-Light" w:hAnsi="TheSerif 3-Light"/>
      <w:sz w:val="18"/>
    </w:rPr>
  </w:style>
  <w:style w:type="paragraph" w:styleId="BlockText">
    <w:name w:val="Block Text"/>
    <w:basedOn w:val="Normal"/>
    <w:uiPriority w:val="99"/>
    <w:rsid w:val="00CB11B2"/>
    <w:pPr>
      <w:numPr>
        <w:numId w:val="44"/>
      </w:numPr>
      <w:spacing w:after="120"/>
      <w:ind w:right="1440"/>
    </w:pPr>
  </w:style>
  <w:style w:type="character" w:styleId="Strong">
    <w:name w:val="Strong"/>
    <w:basedOn w:val="DefaultParagraphFont"/>
    <w:uiPriority w:val="99"/>
    <w:qFormat/>
    <w:rsid w:val="00CB11B2"/>
    <w:rPr>
      <w:rFonts w:cs="Times New Roman"/>
      <w:b/>
    </w:rPr>
  </w:style>
  <w:style w:type="paragraph" w:styleId="Caption">
    <w:name w:val="caption"/>
    <w:basedOn w:val="Normal"/>
    <w:next w:val="Normal"/>
    <w:uiPriority w:val="99"/>
    <w:qFormat/>
    <w:rsid w:val="00CB11B2"/>
    <w:pPr>
      <w:spacing w:before="120" w:after="120" w:line="240" w:lineRule="exact"/>
    </w:pPr>
    <w:rPr>
      <w:b/>
      <w:bCs/>
      <w:sz w:val="20"/>
    </w:rPr>
  </w:style>
  <w:style w:type="paragraph" w:customStyle="1" w:styleId="Arial11">
    <w:name w:val="Arial 11"/>
    <w:aliases w:val="Line Space 1.5,Justified"/>
    <w:basedOn w:val="Normal"/>
    <w:uiPriority w:val="99"/>
    <w:rsid w:val="00CB11B2"/>
    <w:pPr>
      <w:spacing w:line="360" w:lineRule="auto"/>
      <w:jc w:val="both"/>
    </w:pPr>
    <w:rPr>
      <w:rFonts w:ascii="Arial" w:hAnsi="Arial" w:cs="Arial"/>
      <w:sz w:val="22"/>
    </w:rPr>
  </w:style>
  <w:style w:type="character" w:customStyle="1" w:styleId="singleChar">
    <w:name w:val="single Char"/>
    <w:uiPriority w:val="99"/>
    <w:rsid w:val="00CB11B2"/>
    <w:rPr>
      <w:sz w:val="24"/>
      <w:lang w:val="en-US" w:eastAsia="zh-CN"/>
    </w:rPr>
  </w:style>
  <w:style w:type="character" w:customStyle="1" w:styleId="h1CharChar">
    <w:name w:val="h1 Char Char"/>
    <w:uiPriority w:val="99"/>
    <w:rsid w:val="00CB11B2"/>
    <w:rPr>
      <w:b/>
      <w:sz w:val="24"/>
      <w:lang w:val="en-US" w:eastAsia="zh-CN"/>
    </w:rPr>
  </w:style>
  <w:style w:type="character" w:customStyle="1" w:styleId="h2CharChar">
    <w:name w:val="h2 Char Char"/>
    <w:uiPriority w:val="99"/>
    <w:rsid w:val="00CB11B2"/>
    <w:rPr>
      <w:b/>
      <w:sz w:val="24"/>
      <w:u w:val="single"/>
      <w:lang w:val="en-US" w:eastAsia="zh-CN"/>
    </w:rPr>
  </w:style>
  <w:style w:type="character" w:customStyle="1" w:styleId="h3CharChar">
    <w:name w:val="h3 Char Char"/>
    <w:uiPriority w:val="99"/>
    <w:rsid w:val="00CB11B2"/>
    <w:rPr>
      <w:b/>
      <w:sz w:val="24"/>
      <w:u w:val="single"/>
      <w:lang w:val="en-US" w:eastAsia="zh-CN"/>
    </w:rPr>
  </w:style>
  <w:style w:type="character" w:styleId="FollowedHyperlink">
    <w:name w:val="FollowedHyperlink"/>
    <w:basedOn w:val="DefaultParagraphFont"/>
    <w:uiPriority w:val="99"/>
    <w:rsid w:val="00CB11B2"/>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CB11B2"/>
  </w:style>
  <w:style w:type="paragraph" w:styleId="BodyTextFirstIndent2">
    <w:name w:val="Body Text First Indent 2"/>
    <w:basedOn w:val="BodyTextIndent"/>
    <w:link w:val="BodyTextFirstIndent2Char"/>
    <w:uiPriority w:val="99"/>
    <w:rsid w:val="00CF3F7A"/>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CB11B2"/>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CB11B2"/>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rPr>
  </w:style>
  <w:style w:type="character" w:customStyle="1" w:styleId="CommentSubjectChar">
    <w:name w:val="Comment Subject Char"/>
    <w:basedOn w:val="CommentTextChar"/>
    <w:link w:val="CommentSubject"/>
    <w:uiPriority w:val="99"/>
    <w:semiHidden/>
    <w:locked/>
    <w:rsid w:val="00CB11B2"/>
    <w:rPr>
      <w:b/>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CB11B2"/>
    <w:rPr>
      <w:rFonts w:ascii="Times New Roman" w:hAnsi="Times New Roman" w:cs="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sid w:val="00CB11B2"/>
    <w:rPr>
      <w:rFonts w:ascii="Tahoma" w:hAnsi="Tahoma" w:cs="Times New Roman"/>
      <w:sz w:val="16"/>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CB11B2"/>
    <w:rPr>
      <w:rFonts w:ascii="Times New Roman" w:hAnsi="Times New Roman" w:cs="Times New Roman"/>
      <w:sz w:val="24"/>
    </w:rPr>
  </w:style>
  <w:style w:type="paragraph" w:styleId="EndnoteText">
    <w:name w:val="endnote text"/>
    <w:basedOn w:val="Normal"/>
    <w:link w:val="EndnoteTextChar"/>
    <w:uiPriority w:val="99"/>
    <w:semiHidden/>
    <w:rsid w:val="00CF3F7A"/>
    <w:rPr>
      <w:sz w:val="20"/>
      <w:szCs w:val="20"/>
    </w:rPr>
  </w:style>
  <w:style w:type="character" w:customStyle="1" w:styleId="EndnoteTextChar">
    <w:name w:val="Endnote Text Char"/>
    <w:basedOn w:val="DefaultParagraphFont"/>
    <w:link w:val="EndnoteText"/>
    <w:uiPriority w:val="99"/>
    <w:semiHidden/>
    <w:locked/>
    <w:rsid w:val="00CB11B2"/>
    <w:rPr>
      <w:rFonts w:ascii="Times New Roman" w:hAnsi="Times New Roman" w:cs="Times New Roman"/>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CB11B2"/>
    <w:rPr>
      <w:rFonts w:ascii="Times New Roman" w:hAnsi="Times New Roman" w:cs="Times New Roman"/>
      <w:i/>
      <w:sz w:val="24"/>
    </w:rPr>
  </w:style>
  <w:style w:type="paragraph" w:styleId="HTMLPreformatted">
    <w:name w:val="HTML Preformatted"/>
    <w:basedOn w:val="Normal"/>
    <w:link w:val="HTMLPreformattedChar"/>
    <w:uiPriority w:val="99"/>
    <w:rsid w:val="00CF3F7A"/>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CB11B2"/>
    <w:rPr>
      <w:rFonts w:ascii="Courier New" w:hAnsi="Courier New" w:cs="Times New Roman"/>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
      </w:numPr>
    </w:pPr>
  </w:style>
  <w:style w:type="paragraph" w:styleId="ListBullet2">
    <w:name w:val="List Bullet 2"/>
    <w:basedOn w:val="Normal"/>
    <w:autoRedefine/>
    <w:uiPriority w:val="99"/>
    <w:rsid w:val="00CF3F7A"/>
    <w:pPr>
      <w:numPr>
        <w:numId w:val="2"/>
      </w:numPr>
    </w:pPr>
  </w:style>
  <w:style w:type="paragraph" w:styleId="ListBullet3">
    <w:name w:val="List Bullet 3"/>
    <w:basedOn w:val="Normal"/>
    <w:autoRedefine/>
    <w:uiPriority w:val="99"/>
    <w:rsid w:val="00CF3F7A"/>
    <w:pPr>
      <w:numPr>
        <w:numId w:val="3"/>
      </w:numPr>
    </w:pPr>
  </w:style>
  <w:style w:type="paragraph" w:styleId="ListBullet4">
    <w:name w:val="List Bullet 4"/>
    <w:basedOn w:val="Normal"/>
    <w:autoRedefine/>
    <w:uiPriority w:val="99"/>
    <w:rsid w:val="00CF3F7A"/>
    <w:pPr>
      <w:numPr>
        <w:numId w:val="4"/>
      </w:numPr>
    </w:pPr>
  </w:style>
  <w:style w:type="paragraph" w:styleId="ListBullet5">
    <w:name w:val="List Bullet 5"/>
    <w:basedOn w:val="Normal"/>
    <w:autoRedefine/>
    <w:uiPriority w:val="99"/>
    <w:rsid w:val="00CF3F7A"/>
    <w:pPr>
      <w:numPr>
        <w:numId w:val="5"/>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6"/>
      </w:numPr>
    </w:pPr>
  </w:style>
  <w:style w:type="paragraph" w:styleId="ListNumber2">
    <w:name w:val="List Number 2"/>
    <w:basedOn w:val="Normal"/>
    <w:uiPriority w:val="99"/>
    <w:rsid w:val="00CF3F7A"/>
    <w:pPr>
      <w:numPr>
        <w:numId w:val="7"/>
      </w:numPr>
    </w:pPr>
  </w:style>
  <w:style w:type="paragraph" w:styleId="ListNumber3">
    <w:name w:val="List Number 3"/>
    <w:basedOn w:val="Normal"/>
    <w:uiPriority w:val="99"/>
    <w:rsid w:val="00CF3F7A"/>
    <w:pPr>
      <w:numPr>
        <w:numId w:val="8"/>
      </w:numPr>
    </w:pPr>
  </w:style>
  <w:style w:type="paragraph" w:styleId="ListNumber4">
    <w:name w:val="List Number 4"/>
    <w:basedOn w:val="Normal"/>
    <w:uiPriority w:val="99"/>
    <w:rsid w:val="00CF3F7A"/>
    <w:pPr>
      <w:numPr>
        <w:numId w:val="9"/>
      </w:numPr>
    </w:pPr>
  </w:style>
  <w:style w:type="paragraph" w:styleId="ListNumber5">
    <w:name w:val="List Number 5"/>
    <w:basedOn w:val="Normal"/>
    <w:uiPriority w:val="99"/>
    <w:rsid w:val="00CF3F7A"/>
    <w:pPr>
      <w:numPr>
        <w:numId w:val="10"/>
      </w:numPr>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CB11B2"/>
    <w:rPr>
      <w:rFonts w:ascii="Courier New" w:hAnsi="Courier New" w:cs="Courier New"/>
      <w:lang w:val="en-US" w:eastAsia="en-US"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semiHidden/>
    <w:locked/>
    <w:rsid w:val="00CB11B2"/>
    <w:rPr>
      <w:rFonts w:ascii="Cambria" w:hAnsi="Cambria" w:cs="Times New Roman"/>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CB11B2"/>
    <w:rPr>
      <w:rFonts w:ascii="Times New Roman" w:hAnsi="Times New Roman" w:cs="Times New Roman"/>
      <w:sz w:val="24"/>
    </w:rPr>
  </w:style>
  <w:style w:type="paragraph" w:styleId="PlainText">
    <w:name w:val="Plain Text"/>
    <w:basedOn w:val="Normal"/>
    <w:link w:val="PlainTextChar"/>
    <w:uiPriority w:val="99"/>
    <w:rsid w:val="00CF3F7A"/>
    <w:rPr>
      <w:rFonts w:ascii="Courier New" w:hAnsi="Courier New"/>
      <w:sz w:val="20"/>
      <w:szCs w:val="20"/>
    </w:rPr>
  </w:style>
  <w:style w:type="character" w:customStyle="1" w:styleId="PlainTextChar">
    <w:name w:val="Plain Text Char"/>
    <w:basedOn w:val="DefaultParagraphFont"/>
    <w:link w:val="PlainText"/>
    <w:uiPriority w:val="99"/>
    <w:semiHidden/>
    <w:locked/>
    <w:rsid w:val="00CB11B2"/>
    <w:rPr>
      <w:rFonts w:ascii="Courier New" w:hAnsi="Courier New" w:cs="Times New Roman"/>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CB11B2"/>
    <w:rPr>
      <w:rFonts w:ascii="Times New Roman" w:hAnsi="Times New Roman" w:cs="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CB11B2"/>
    <w:rPr>
      <w:rFonts w:ascii="Times New Roman" w:hAnsi="Times New Roman" w:cs="Times New Roman"/>
      <w:sz w:val="24"/>
    </w:rPr>
  </w:style>
  <w:style w:type="paragraph" w:styleId="Subtitle">
    <w:name w:val="Subtitle"/>
    <w:basedOn w:val="Normal"/>
    <w:link w:val="SubtitleChar"/>
    <w:uiPriority w:val="99"/>
    <w:qFormat/>
    <w:rsid w:val="00CF3F7A"/>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CB11B2"/>
    <w:rPr>
      <w:rFonts w:ascii="Cambria" w:hAnsi="Cambria" w:cs="Times New Roman"/>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3E20DC"/>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CB11B2"/>
    <w:rPr>
      <w:b/>
      <w:spacing w:val="0"/>
      <w:u w:val="double"/>
    </w:rPr>
  </w:style>
  <w:style w:type="character" w:customStyle="1" w:styleId="DeltaViewDeletion">
    <w:name w:val="DeltaView Deletion"/>
    <w:uiPriority w:val="99"/>
    <w:rsid w:val="00CB11B2"/>
    <w:rPr>
      <w:strike/>
      <w:spacing w:val="0"/>
    </w:rPr>
  </w:style>
  <w:style w:type="paragraph" w:customStyle="1" w:styleId="Answer0">
    <w:name w:val="Answer"/>
    <w:basedOn w:val="Normal"/>
    <w:uiPriority w:val="99"/>
    <w:rsid w:val="007F5F0F"/>
    <w:pPr>
      <w:spacing w:before="120" w:after="120" w:line="480" w:lineRule="auto"/>
      <w:ind w:left="720" w:hanging="720"/>
    </w:pPr>
    <w:rPr>
      <w:szCs w:val="20"/>
      <w:lang w:eastAsia="zh-CN"/>
    </w:rPr>
  </w:style>
  <w:style w:type="character" w:customStyle="1" w:styleId="questionChar">
    <w:name w:val="question Char"/>
    <w:link w:val="question"/>
    <w:uiPriority w:val="99"/>
    <w:locked/>
    <w:rsid w:val="00BC1D27"/>
    <w:rPr>
      <w:rFonts w:ascii="Times New Roman" w:eastAsia="SimSun" w:hAnsi="Times New Roman"/>
      <w:b/>
      <w:sz w:val="24"/>
      <w:lang w:eastAsia="zh-CN"/>
    </w:rPr>
  </w:style>
  <w:style w:type="character" w:customStyle="1" w:styleId="answerChar1">
    <w:name w:val="answer Char1"/>
    <w:uiPriority w:val="99"/>
    <w:rsid w:val="00BC1D27"/>
    <w:rPr>
      <w:rFonts w:eastAsia="SimSun"/>
      <w:sz w:val="24"/>
      <w:lang w:val="en-US" w:eastAsia="zh-CN"/>
    </w:rPr>
  </w:style>
  <w:style w:type="character" w:customStyle="1" w:styleId="plainChar">
    <w:name w:val="plain Char"/>
    <w:link w:val="plain"/>
    <w:uiPriority w:val="99"/>
    <w:locked/>
    <w:rsid w:val="00EC2FFE"/>
    <w:rPr>
      <w:rFonts w:eastAsia="SimSun"/>
      <w:sz w:val="24"/>
      <w:lang w:val="en-US" w:eastAsia="zh-CN"/>
    </w:rPr>
  </w:style>
</w:styles>
</file>

<file path=word/webSettings.xml><?xml version="1.0" encoding="utf-8"?>
<w:webSettings xmlns:r="http://schemas.openxmlformats.org/officeDocument/2006/relationships" xmlns:w="http://schemas.openxmlformats.org/wordprocessingml/2006/main">
  <w:divs>
    <w:div w:id="2101638511">
      <w:marLeft w:val="0"/>
      <w:marRight w:val="0"/>
      <w:marTop w:val="0"/>
      <w:marBottom w:val="0"/>
      <w:divBdr>
        <w:top w:val="none" w:sz="0" w:space="0" w:color="auto"/>
        <w:left w:val="none" w:sz="0" w:space="0" w:color="auto"/>
        <w:bottom w:val="none" w:sz="0" w:space="0" w:color="auto"/>
        <w:right w:val="none" w:sz="0" w:space="0" w:color="auto"/>
      </w:divBdr>
    </w:div>
    <w:div w:id="2101638512">
      <w:marLeft w:val="0"/>
      <w:marRight w:val="0"/>
      <w:marTop w:val="0"/>
      <w:marBottom w:val="0"/>
      <w:divBdr>
        <w:top w:val="none" w:sz="0" w:space="0" w:color="auto"/>
        <w:left w:val="none" w:sz="0" w:space="0" w:color="auto"/>
        <w:bottom w:val="none" w:sz="0" w:space="0" w:color="auto"/>
        <w:right w:val="none" w:sz="0" w:space="0" w:color="auto"/>
      </w:divBdr>
    </w:div>
    <w:div w:id="2101638513">
      <w:marLeft w:val="0"/>
      <w:marRight w:val="0"/>
      <w:marTop w:val="0"/>
      <w:marBottom w:val="0"/>
      <w:divBdr>
        <w:top w:val="none" w:sz="0" w:space="0" w:color="auto"/>
        <w:left w:val="none" w:sz="0" w:space="0" w:color="auto"/>
        <w:bottom w:val="none" w:sz="0" w:space="0" w:color="auto"/>
        <w:right w:val="none" w:sz="0" w:space="0" w:color="auto"/>
      </w:divBdr>
    </w:div>
    <w:div w:id="2101638514">
      <w:marLeft w:val="0"/>
      <w:marRight w:val="0"/>
      <w:marTop w:val="0"/>
      <w:marBottom w:val="0"/>
      <w:divBdr>
        <w:top w:val="none" w:sz="0" w:space="0" w:color="auto"/>
        <w:left w:val="none" w:sz="0" w:space="0" w:color="auto"/>
        <w:bottom w:val="none" w:sz="0" w:space="0" w:color="auto"/>
        <w:right w:val="none" w:sz="0" w:space="0" w:color="auto"/>
      </w:divBdr>
    </w:div>
    <w:div w:id="2101638515">
      <w:marLeft w:val="0"/>
      <w:marRight w:val="0"/>
      <w:marTop w:val="0"/>
      <w:marBottom w:val="0"/>
      <w:divBdr>
        <w:top w:val="none" w:sz="0" w:space="0" w:color="auto"/>
        <w:left w:val="none" w:sz="0" w:space="0" w:color="auto"/>
        <w:bottom w:val="none" w:sz="0" w:space="0" w:color="auto"/>
        <w:right w:val="none" w:sz="0" w:space="0" w:color="auto"/>
      </w:divBdr>
    </w:div>
    <w:div w:id="2101638516">
      <w:marLeft w:val="0"/>
      <w:marRight w:val="0"/>
      <w:marTop w:val="0"/>
      <w:marBottom w:val="0"/>
      <w:divBdr>
        <w:top w:val="none" w:sz="0" w:space="0" w:color="auto"/>
        <w:left w:val="none" w:sz="0" w:space="0" w:color="auto"/>
        <w:bottom w:val="none" w:sz="0" w:space="0" w:color="auto"/>
        <w:right w:val="none" w:sz="0" w:space="0" w:color="auto"/>
      </w:divBdr>
    </w:div>
    <w:div w:id="2101638517">
      <w:marLeft w:val="0"/>
      <w:marRight w:val="0"/>
      <w:marTop w:val="0"/>
      <w:marBottom w:val="0"/>
      <w:divBdr>
        <w:top w:val="none" w:sz="0" w:space="0" w:color="auto"/>
        <w:left w:val="none" w:sz="0" w:space="0" w:color="auto"/>
        <w:bottom w:val="none" w:sz="0" w:space="0" w:color="auto"/>
        <w:right w:val="none" w:sz="0" w:space="0" w:color="auto"/>
      </w:divBdr>
    </w:div>
    <w:div w:id="2101638518">
      <w:marLeft w:val="0"/>
      <w:marRight w:val="0"/>
      <w:marTop w:val="0"/>
      <w:marBottom w:val="0"/>
      <w:divBdr>
        <w:top w:val="none" w:sz="0" w:space="0" w:color="auto"/>
        <w:left w:val="none" w:sz="0" w:space="0" w:color="auto"/>
        <w:bottom w:val="none" w:sz="0" w:space="0" w:color="auto"/>
        <w:right w:val="none" w:sz="0" w:space="0" w:color="auto"/>
      </w:divBdr>
    </w:div>
    <w:div w:id="2101638519">
      <w:marLeft w:val="0"/>
      <w:marRight w:val="0"/>
      <w:marTop w:val="0"/>
      <w:marBottom w:val="0"/>
      <w:divBdr>
        <w:top w:val="none" w:sz="0" w:space="0" w:color="auto"/>
        <w:left w:val="none" w:sz="0" w:space="0" w:color="auto"/>
        <w:bottom w:val="none" w:sz="0" w:space="0" w:color="auto"/>
        <w:right w:val="none" w:sz="0" w:space="0" w:color="auto"/>
      </w:divBdr>
    </w:div>
    <w:div w:id="2101638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2F9B63-058E-4AE5-B4DA-86075846A1A5}"/>
</file>

<file path=customXml/itemProps2.xml><?xml version="1.0" encoding="utf-8"?>
<ds:datastoreItem xmlns:ds="http://schemas.openxmlformats.org/officeDocument/2006/customXml" ds:itemID="{D63E09EE-2EC4-4C07-995A-B910254B61B4}"/>
</file>

<file path=customXml/itemProps3.xml><?xml version="1.0" encoding="utf-8"?>
<ds:datastoreItem xmlns:ds="http://schemas.openxmlformats.org/officeDocument/2006/customXml" ds:itemID="{15A44649-2FAC-4FC0-8439-1AA9B46F8788}"/>
</file>

<file path=customXml/itemProps4.xml><?xml version="1.0" encoding="utf-8"?>
<ds:datastoreItem xmlns:ds="http://schemas.openxmlformats.org/officeDocument/2006/customXml" ds:itemID="{2529F636-E45E-4D05-876C-BDBB46990357}"/>
</file>

<file path=docProps/app.xml><?xml version="1.0" encoding="utf-8"?>
<Properties xmlns="http://schemas.openxmlformats.org/officeDocument/2006/extended-properties" xmlns:vt="http://schemas.openxmlformats.org/officeDocument/2006/docPropsVTypes">
  <Template>Normal_Wordconv.dotm</Template>
  <TotalTime>60</TotalTime>
  <Pages>10</Pages>
  <Words>1783</Words>
  <Characters>10165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cp:lastPrinted>2013-08-28T17:17:00Z</cp:lastPrinted>
  <dcterms:created xsi:type="dcterms:W3CDTF">2013-08-26T01:39:00Z</dcterms:created>
  <dcterms:modified xsi:type="dcterms:W3CDTF">2013-08-28T17:18:00Z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gFAA9xAl/vizjZgIzOTK0E7wEYmCw8VJqOZSXWIhK5JCVtehBs9YWoG49hEgWySGlZRZGnZmT22ZWg2mvJRkoIqGvOrnt/noNNZKConfPU8GR3fB7XSNg60KJHO5Q/iOy27Pr6qKFOwa5nUXrDgg8OAS/nyRo24nQjc9PHF21sSrXpPH4ITJticMM9CVhFnZV+Lug4FkRs1DG+7LQESACFRu7yidJSyzLqxGBbKwiTd4r1C3gtPNayTj1</vt:lpwstr>
  </property>
  <property fmtid="{D5CDD505-2E9C-101B-9397-08002B2CF9AE}" pid="3" name="MAIL_MSG_ID2">
    <vt:lpwstr>jZPkOAoj59DFoNcy0Vc5AiFgPyjGHqkf0q7xmBqtwPjNcSC/DfYQq5kM0b4GxtJXWGygyCoO6jc1++bF+Dagio/c9+3kWygmQ==</vt:lpwstr>
  </property>
  <property fmtid="{D5CDD505-2E9C-101B-9397-08002B2CF9AE}" pid="4" name="RESPONSE_SENDER_NAME">
    <vt:lpwstr>sAAA4E8dREqJqIr4GDl9eUldnUpOCerSrXmcCb4jWrXito0=</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0x0101006E56B4D1795A2E4DB2F0B01679ED314A0007C83C83ECB19D4DB5F4F888CFD68042</vt:lpwstr>
  </property>
  <property fmtid="{D5CDD505-2E9C-101B-9397-08002B2CF9AE}" pid="7" name="_docset_NoMedatataSyncRequired">
    <vt:lpwstr>False</vt:lpwstr>
  </property>
</Properties>
</file>