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0BB1A" w14:textId="77777777" w:rsidR="0025000E" w:rsidRDefault="0025000E" w:rsidP="0025000E">
      <w:pPr>
        <w:pStyle w:val="NoSpacing"/>
        <w:jc w:val="center"/>
        <w:rPr>
          <w:sz w:val="14"/>
        </w:rPr>
      </w:pPr>
      <w:r>
        <w:rPr>
          <w:noProof/>
        </w:rPr>
        <w:drawing>
          <wp:inline distT="0" distB="0" distL="0" distR="0" wp14:anchorId="3ABF6413" wp14:editId="5B6F05D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29B6C1EB" w14:textId="77777777" w:rsidR="0025000E" w:rsidRDefault="0025000E" w:rsidP="0025000E">
      <w:pPr>
        <w:pStyle w:val="NoSpacing"/>
        <w:jc w:val="center"/>
        <w:rPr>
          <w:rFonts w:ascii="Arial" w:hAnsi="Arial"/>
          <w:b/>
          <w:color w:val="008000"/>
          <w:sz w:val="18"/>
        </w:rPr>
      </w:pPr>
    </w:p>
    <w:p w14:paraId="633A164E" w14:textId="77777777" w:rsidR="0025000E" w:rsidRDefault="0025000E" w:rsidP="0025000E">
      <w:pPr>
        <w:pStyle w:val="NoSpacing"/>
        <w:spacing w:after="80"/>
        <w:jc w:val="center"/>
        <w:rPr>
          <w:rFonts w:ascii="Arial" w:hAnsi="Arial"/>
          <w:b/>
          <w:color w:val="008000"/>
          <w:sz w:val="18"/>
        </w:rPr>
      </w:pPr>
      <w:r>
        <w:rPr>
          <w:rFonts w:ascii="Arial" w:hAnsi="Arial"/>
          <w:b/>
          <w:color w:val="008000"/>
          <w:sz w:val="18"/>
        </w:rPr>
        <w:t>STATE OF WASHINGTON</w:t>
      </w:r>
    </w:p>
    <w:p w14:paraId="4676A88B" w14:textId="77777777" w:rsidR="0025000E" w:rsidRDefault="0025000E" w:rsidP="0025000E">
      <w:pPr>
        <w:pStyle w:val="NoSpacing"/>
        <w:spacing w:after="80"/>
        <w:jc w:val="center"/>
        <w:rPr>
          <w:rFonts w:ascii="Arial" w:hAnsi="Arial"/>
          <w:color w:val="008000"/>
          <w:sz w:val="28"/>
        </w:rPr>
      </w:pPr>
      <w:r>
        <w:rPr>
          <w:rFonts w:ascii="Arial" w:hAnsi="Arial"/>
          <w:color w:val="008000"/>
          <w:sz w:val="28"/>
        </w:rPr>
        <w:t>UTILITIES AND TRANSPORTATION COMMISSION</w:t>
      </w:r>
    </w:p>
    <w:p w14:paraId="512CC026" w14:textId="77777777" w:rsidR="0025000E" w:rsidRDefault="0025000E" w:rsidP="0025000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CD461F9" w14:textId="77777777" w:rsidR="0025000E" w:rsidRDefault="0025000E" w:rsidP="0025000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A763A9D" w14:textId="77777777" w:rsidR="0025000E" w:rsidRDefault="0025000E" w:rsidP="0025000E">
      <w:pPr>
        <w:pStyle w:val="NoSpacing"/>
        <w:spacing w:line="264" w:lineRule="auto"/>
        <w:jc w:val="center"/>
        <w:rPr>
          <w:szCs w:val="24"/>
        </w:rPr>
      </w:pPr>
    </w:p>
    <w:p w14:paraId="365304D3" w14:textId="4926C17C" w:rsidR="00E47331" w:rsidRPr="00142D2C" w:rsidRDefault="00954B21" w:rsidP="0025000E">
      <w:pPr>
        <w:pStyle w:val="NoSpacing"/>
        <w:spacing w:line="264" w:lineRule="auto"/>
        <w:jc w:val="center"/>
        <w:rPr>
          <w:szCs w:val="24"/>
        </w:rPr>
      </w:pPr>
      <w:r w:rsidRPr="00142D2C">
        <w:rPr>
          <w:szCs w:val="24"/>
        </w:rPr>
        <w:t>September 4</w:t>
      </w:r>
      <w:r w:rsidR="00FA55E2" w:rsidRPr="00142D2C">
        <w:rPr>
          <w:szCs w:val="24"/>
        </w:rPr>
        <w:t>, 201</w:t>
      </w:r>
      <w:r w:rsidR="00292564" w:rsidRPr="00142D2C">
        <w:rPr>
          <w:szCs w:val="24"/>
        </w:rPr>
        <w:t>5</w:t>
      </w:r>
    </w:p>
    <w:p w14:paraId="29ECD26B" w14:textId="77777777" w:rsidR="009C5E2C" w:rsidRPr="00142D2C" w:rsidRDefault="009C5E2C" w:rsidP="0025000E">
      <w:pPr>
        <w:pStyle w:val="NoSpacing"/>
        <w:spacing w:line="264" w:lineRule="auto"/>
        <w:rPr>
          <w:szCs w:val="24"/>
        </w:rPr>
      </w:pPr>
    </w:p>
    <w:p w14:paraId="7D511C72" w14:textId="77777777" w:rsidR="00E47331" w:rsidRPr="00142D2C" w:rsidRDefault="00E47331" w:rsidP="0025000E">
      <w:pPr>
        <w:pStyle w:val="NoSpacing"/>
        <w:spacing w:line="264" w:lineRule="auto"/>
        <w:rPr>
          <w:szCs w:val="24"/>
        </w:rPr>
      </w:pPr>
    </w:p>
    <w:p w14:paraId="2BBD4FDB" w14:textId="77777777" w:rsidR="00E47331" w:rsidRPr="00142D2C" w:rsidRDefault="00E47331" w:rsidP="0025000E">
      <w:pPr>
        <w:spacing w:line="264" w:lineRule="auto"/>
        <w:jc w:val="center"/>
        <w:rPr>
          <w:b/>
          <w:bCs/>
        </w:rPr>
      </w:pPr>
      <w:r w:rsidRPr="00142D2C">
        <w:rPr>
          <w:b/>
          <w:bCs/>
        </w:rPr>
        <w:t>NOTICE OF OPPORTUNITY TO FILE WRITTEN COMMENTS</w:t>
      </w:r>
    </w:p>
    <w:p w14:paraId="18AD4393" w14:textId="054D85FB" w:rsidR="00E47331" w:rsidRPr="00142D2C" w:rsidRDefault="00E47331" w:rsidP="0025000E">
      <w:pPr>
        <w:spacing w:line="264" w:lineRule="auto"/>
        <w:jc w:val="center"/>
        <w:rPr>
          <w:b/>
          <w:bCs/>
        </w:rPr>
      </w:pPr>
      <w:r w:rsidRPr="00142D2C">
        <w:rPr>
          <w:b/>
          <w:bCs/>
        </w:rPr>
        <w:t xml:space="preserve">(By </w:t>
      </w:r>
      <w:r w:rsidR="00292564" w:rsidRPr="00142D2C">
        <w:rPr>
          <w:b/>
          <w:bCs/>
        </w:rPr>
        <w:t>Monday</w:t>
      </w:r>
      <w:r w:rsidR="00036F02" w:rsidRPr="00142D2C">
        <w:rPr>
          <w:b/>
          <w:bCs/>
        </w:rPr>
        <w:t xml:space="preserve">, </w:t>
      </w:r>
      <w:r w:rsidR="001F7DF4" w:rsidRPr="00142D2C">
        <w:rPr>
          <w:b/>
          <w:bCs/>
        </w:rPr>
        <w:t>October 5</w:t>
      </w:r>
      <w:r w:rsidR="00361923" w:rsidRPr="00142D2C">
        <w:rPr>
          <w:b/>
          <w:bCs/>
        </w:rPr>
        <w:t>, 201</w:t>
      </w:r>
      <w:r w:rsidR="00292564" w:rsidRPr="00142D2C">
        <w:rPr>
          <w:b/>
          <w:bCs/>
        </w:rPr>
        <w:t>5</w:t>
      </w:r>
      <w:r w:rsidRPr="00142D2C">
        <w:rPr>
          <w:b/>
          <w:bCs/>
        </w:rPr>
        <w:t>)</w:t>
      </w:r>
    </w:p>
    <w:p w14:paraId="51AC3BDF" w14:textId="77777777" w:rsidR="00E47331" w:rsidRPr="00142D2C" w:rsidRDefault="00E47331" w:rsidP="0025000E">
      <w:pPr>
        <w:spacing w:line="264" w:lineRule="auto"/>
      </w:pPr>
    </w:p>
    <w:p w14:paraId="5781B0ED" w14:textId="77777777" w:rsidR="00E47331" w:rsidRPr="00142D2C" w:rsidRDefault="00E47331" w:rsidP="0025000E">
      <w:pPr>
        <w:spacing w:line="264" w:lineRule="auto"/>
      </w:pPr>
    </w:p>
    <w:p w14:paraId="256D68EA" w14:textId="02E44D0E" w:rsidR="00E47331" w:rsidRPr="00142D2C" w:rsidRDefault="00E47331" w:rsidP="0025000E">
      <w:pPr>
        <w:spacing w:line="264" w:lineRule="auto"/>
        <w:ind w:left="720" w:hanging="720"/>
      </w:pPr>
      <w:r w:rsidRPr="00142D2C">
        <w:t>Re:</w:t>
      </w:r>
      <w:r w:rsidRPr="00142D2C">
        <w:tab/>
      </w:r>
      <w:r w:rsidR="00523DD9" w:rsidRPr="00142D2C">
        <w:t>Rulemaking to Consider</w:t>
      </w:r>
      <w:r w:rsidR="00361923" w:rsidRPr="00142D2C">
        <w:t xml:space="preserve"> </w:t>
      </w:r>
      <w:r w:rsidR="00FA55E2" w:rsidRPr="00142D2C">
        <w:t xml:space="preserve">Adoption of Rules </w:t>
      </w:r>
      <w:r w:rsidR="00361923" w:rsidRPr="00142D2C">
        <w:t xml:space="preserve">Relating to </w:t>
      </w:r>
      <w:r w:rsidR="00292564" w:rsidRPr="00142D2C">
        <w:t>Electric and Natural Gas</w:t>
      </w:r>
      <w:r w:rsidR="00C11E20" w:rsidRPr="00142D2C">
        <w:t xml:space="preserve"> Companies</w:t>
      </w:r>
      <w:r w:rsidR="00361923" w:rsidRPr="00142D2C">
        <w:t>,</w:t>
      </w:r>
      <w:r w:rsidR="00FC1615" w:rsidRPr="00142D2C">
        <w:t xml:space="preserve"> </w:t>
      </w:r>
      <w:r w:rsidR="002B0614" w:rsidRPr="00142D2C">
        <w:t>D</w:t>
      </w:r>
      <w:r w:rsidR="00FC1615" w:rsidRPr="00142D2C">
        <w:t xml:space="preserve">ocket </w:t>
      </w:r>
      <w:r w:rsidR="00C11E20" w:rsidRPr="00142D2C">
        <w:t>U</w:t>
      </w:r>
      <w:r w:rsidR="001F07CF" w:rsidRPr="00142D2C">
        <w:t>-</w:t>
      </w:r>
      <w:r w:rsidR="00091701" w:rsidRPr="00142D2C">
        <w:t>144155</w:t>
      </w:r>
    </w:p>
    <w:p w14:paraId="715E934D" w14:textId="77777777" w:rsidR="00E47331" w:rsidRPr="00142D2C" w:rsidRDefault="00E47331" w:rsidP="0025000E">
      <w:pPr>
        <w:spacing w:line="264" w:lineRule="auto"/>
      </w:pPr>
    </w:p>
    <w:p w14:paraId="5445D6F3" w14:textId="77777777" w:rsidR="00E47331" w:rsidRPr="00142D2C" w:rsidRDefault="00E47331" w:rsidP="0025000E">
      <w:pPr>
        <w:spacing w:line="264" w:lineRule="auto"/>
      </w:pPr>
      <w:r w:rsidRPr="00142D2C">
        <w:t>TO ALL INTERESTED PERSONS:</w:t>
      </w:r>
    </w:p>
    <w:p w14:paraId="16540A5D" w14:textId="77777777" w:rsidR="00E47331" w:rsidRPr="00142D2C" w:rsidRDefault="00E47331" w:rsidP="0025000E">
      <w:pPr>
        <w:spacing w:line="264" w:lineRule="auto"/>
      </w:pPr>
    </w:p>
    <w:p w14:paraId="311E3C58" w14:textId="1569009D" w:rsidR="00E47331" w:rsidRPr="00142D2C" w:rsidRDefault="000D0A79" w:rsidP="0025000E">
      <w:pPr>
        <w:pStyle w:val="NoSpacing"/>
        <w:spacing w:line="264" w:lineRule="auto"/>
        <w:rPr>
          <w:szCs w:val="24"/>
        </w:rPr>
      </w:pPr>
      <w:r w:rsidRPr="00142D2C">
        <w:rPr>
          <w:szCs w:val="24"/>
        </w:rPr>
        <w:t xml:space="preserve">On </w:t>
      </w:r>
      <w:r w:rsidR="00292564" w:rsidRPr="00142D2C">
        <w:rPr>
          <w:szCs w:val="24"/>
        </w:rPr>
        <w:t>February</w:t>
      </w:r>
      <w:r w:rsidR="00036F02" w:rsidRPr="00142D2C">
        <w:rPr>
          <w:szCs w:val="24"/>
        </w:rPr>
        <w:t xml:space="preserve"> 1</w:t>
      </w:r>
      <w:r w:rsidR="00292564" w:rsidRPr="00142D2C">
        <w:rPr>
          <w:szCs w:val="24"/>
        </w:rPr>
        <w:t>8</w:t>
      </w:r>
      <w:r w:rsidR="00834926" w:rsidRPr="00142D2C">
        <w:rPr>
          <w:szCs w:val="24"/>
        </w:rPr>
        <w:t>, 201</w:t>
      </w:r>
      <w:r w:rsidR="00292564" w:rsidRPr="00142D2C">
        <w:rPr>
          <w:szCs w:val="24"/>
        </w:rPr>
        <w:t>5</w:t>
      </w:r>
      <w:r w:rsidRPr="00142D2C">
        <w:rPr>
          <w:szCs w:val="24"/>
        </w:rPr>
        <w:t>, t</w:t>
      </w:r>
      <w:r w:rsidR="00E47331" w:rsidRPr="00142D2C">
        <w:rPr>
          <w:szCs w:val="24"/>
        </w:rPr>
        <w:t xml:space="preserve">he Washington Utilities and Transportation Commission (Commission) filed with the Code Reviser </w:t>
      </w:r>
      <w:r w:rsidRPr="00142D2C">
        <w:rPr>
          <w:szCs w:val="24"/>
        </w:rPr>
        <w:t xml:space="preserve">a Preproposal Statement of Inquiry (CR-101) to consider </w:t>
      </w:r>
      <w:r w:rsidR="00FA55E2" w:rsidRPr="00142D2C">
        <w:rPr>
          <w:szCs w:val="24"/>
        </w:rPr>
        <w:t>adoption of rules</w:t>
      </w:r>
      <w:r w:rsidR="00277944" w:rsidRPr="00142D2C">
        <w:rPr>
          <w:szCs w:val="24"/>
        </w:rPr>
        <w:t xml:space="preserve"> within WAC 480-</w:t>
      </w:r>
      <w:r w:rsidR="00292564" w:rsidRPr="00142D2C">
        <w:rPr>
          <w:szCs w:val="24"/>
        </w:rPr>
        <w:t>90-178 and WAC 480-100-178</w:t>
      </w:r>
      <w:r w:rsidR="00FA55E2" w:rsidRPr="00142D2C">
        <w:rPr>
          <w:szCs w:val="24"/>
        </w:rPr>
        <w:t xml:space="preserve"> to </w:t>
      </w:r>
      <w:r w:rsidR="00292564" w:rsidRPr="00142D2C">
        <w:rPr>
          <w:szCs w:val="24"/>
        </w:rPr>
        <w:t>establish common standards for all the regulated energy companies to identify and correct stopped meters and unidentified energy usage issues</w:t>
      </w:r>
      <w:r w:rsidR="00DB1C5C" w:rsidRPr="00142D2C">
        <w:rPr>
          <w:szCs w:val="24"/>
        </w:rPr>
        <w:t xml:space="preserve"> and provide incentives for companies to make appropriate </w:t>
      </w:r>
      <w:r w:rsidR="00231DEF" w:rsidRPr="00142D2C">
        <w:rPr>
          <w:szCs w:val="24"/>
        </w:rPr>
        <w:t>resource allocation to reduce retroactive bill duration related to the forgoing circumstances.</w:t>
      </w:r>
    </w:p>
    <w:p w14:paraId="78493A35" w14:textId="77777777" w:rsidR="00142D2C" w:rsidRPr="00142D2C" w:rsidRDefault="00142D2C" w:rsidP="0025000E">
      <w:pPr>
        <w:pStyle w:val="NoSpacing"/>
        <w:spacing w:line="264" w:lineRule="auto"/>
        <w:rPr>
          <w:szCs w:val="24"/>
        </w:rPr>
      </w:pPr>
    </w:p>
    <w:p w14:paraId="42619F88" w14:textId="66F6DD79" w:rsidR="00623A03" w:rsidRPr="00142D2C" w:rsidRDefault="00623A03" w:rsidP="0025000E">
      <w:pPr>
        <w:pStyle w:val="NoSpacing"/>
        <w:spacing w:line="264" w:lineRule="auto"/>
        <w:rPr>
          <w:szCs w:val="24"/>
        </w:rPr>
      </w:pPr>
      <w:r w:rsidRPr="00142D2C">
        <w:rPr>
          <w:szCs w:val="24"/>
        </w:rPr>
        <w:t xml:space="preserve">On September 2, 2015, the Commission filed a supplemental CR-101 to that noticed at </w:t>
      </w:r>
      <w:proofErr w:type="spellStart"/>
      <w:r w:rsidRPr="00142D2C">
        <w:rPr>
          <w:szCs w:val="24"/>
        </w:rPr>
        <w:t>WSR</w:t>
      </w:r>
      <w:proofErr w:type="spellEnd"/>
      <w:r w:rsidRPr="00142D2C">
        <w:rPr>
          <w:szCs w:val="24"/>
        </w:rPr>
        <w:t xml:space="preserve"> #15-05-082 to consider expanding the rulemaking to all corrected billing situations. The supplemental CR-101, filed with the Code Reviser at </w:t>
      </w:r>
      <w:proofErr w:type="spellStart"/>
      <w:r w:rsidRPr="00142D2C">
        <w:rPr>
          <w:szCs w:val="24"/>
        </w:rPr>
        <w:t>WSR</w:t>
      </w:r>
      <w:proofErr w:type="spellEnd"/>
      <w:r w:rsidRPr="00142D2C">
        <w:rPr>
          <w:szCs w:val="24"/>
        </w:rPr>
        <w:t xml:space="preserve"> # 15-18-</w:t>
      </w:r>
      <w:r w:rsidR="00142D2C" w:rsidRPr="00142D2C">
        <w:rPr>
          <w:szCs w:val="24"/>
        </w:rPr>
        <w:t>121</w:t>
      </w:r>
      <w:r w:rsidRPr="00142D2C">
        <w:rPr>
          <w:szCs w:val="24"/>
        </w:rPr>
        <w:t xml:space="preserve">, is available for inspection on the Commission’s website at </w:t>
      </w:r>
      <w:hyperlink r:id="rId9" w:history="1">
        <w:r w:rsidRPr="00142D2C">
          <w:rPr>
            <w:rStyle w:val="Hyperlink"/>
            <w:szCs w:val="24"/>
          </w:rPr>
          <w:t>www.utc.wa.gov/144155</w:t>
        </w:r>
      </w:hyperlink>
      <w:r w:rsidRPr="00142D2C">
        <w:rPr>
          <w:szCs w:val="24"/>
        </w:rPr>
        <w:t>. If you are unable to access the Commission’s web page and would like a copy of the CR-101 mailed to you, please contact the Records Center at (360) 664-1234.</w:t>
      </w:r>
    </w:p>
    <w:p w14:paraId="2C4B05C8" w14:textId="77777777" w:rsidR="00142D2C" w:rsidRPr="00142D2C" w:rsidRDefault="00142D2C" w:rsidP="0025000E">
      <w:pPr>
        <w:pStyle w:val="NoSpacing"/>
        <w:spacing w:line="264" w:lineRule="auto"/>
        <w:rPr>
          <w:szCs w:val="24"/>
        </w:rPr>
      </w:pPr>
    </w:p>
    <w:p w14:paraId="133DB75C" w14:textId="44183A7C" w:rsidR="00AB3F32" w:rsidRPr="00142D2C" w:rsidRDefault="00623A03" w:rsidP="0025000E">
      <w:pPr>
        <w:pStyle w:val="NoSpacing"/>
        <w:spacing w:line="264" w:lineRule="auto"/>
        <w:rPr>
          <w:szCs w:val="24"/>
        </w:rPr>
      </w:pPr>
      <w:r w:rsidRPr="00142D2C">
        <w:rPr>
          <w:szCs w:val="24"/>
        </w:rPr>
        <w:t xml:space="preserve">As a result of the comments received on July 21, 2015, Commission staff has developed revised draft rules for review and comment by interested persons. The draft rules are </w:t>
      </w:r>
      <w:r w:rsidR="0025000E">
        <w:rPr>
          <w:szCs w:val="24"/>
        </w:rPr>
        <w:t xml:space="preserve">also </w:t>
      </w:r>
      <w:r w:rsidRPr="00142D2C">
        <w:rPr>
          <w:szCs w:val="24"/>
        </w:rPr>
        <w:t xml:space="preserve">available for inspection on the Commission’s website at </w:t>
      </w:r>
      <w:hyperlink r:id="rId10" w:history="1">
        <w:r w:rsidR="00FF55F6" w:rsidRPr="00142D2C">
          <w:rPr>
            <w:rStyle w:val="Hyperlink"/>
            <w:szCs w:val="24"/>
          </w:rPr>
          <w:t>www.utc.wa.gov/144155</w:t>
        </w:r>
      </w:hyperlink>
      <w:r w:rsidRPr="00142D2C">
        <w:rPr>
          <w:szCs w:val="24"/>
        </w:rPr>
        <w:t>.</w:t>
      </w:r>
      <w:r w:rsidR="00FF55F6" w:rsidRPr="00142D2C">
        <w:rPr>
          <w:szCs w:val="24"/>
        </w:rPr>
        <w:t xml:space="preserve"> If you would like a copy of the revised draft rules mailed to you, please contact the Records Center at (360) 664-1234.</w:t>
      </w:r>
    </w:p>
    <w:p w14:paraId="6CDA03AA" w14:textId="77777777" w:rsidR="00DB1C5C" w:rsidRPr="00142D2C" w:rsidRDefault="00DB1C5C" w:rsidP="0025000E">
      <w:pPr>
        <w:pStyle w:val="NoSpacing"/>
        <w:spacing w:line="264" w:lineRule="auto"/>
        <w:rPr>
          <w:szCs w:val="24"/>
        </w:rPr>
      </w:pPr>
    </w:p>
    <w:p w14:paraId="3EF8F1AC" w14:textId="6E83A3A9" w:rsidR="009742C8" w:rsidRPr="00142D2C" w:rsidRDefault="006173E1" w:rsidP="0025000E">
      <w:pPr>
        <w:pStyle w:val="NoSpacing"/>
        <w:spacing w:line="264" w:lineRule="auto"/>
        <w:rPr>
          <w:szCs w:val="24"/>
        </w:rPr>
      </w:pPr>
      <w:r w:rsidRPr="00142D2C">
        <w:rPr>
          <w:szCs w:val="24"/>
        </w:rPr>
        <w:lastRenderedPageBreak/>
        <w:t xml:space="preserve">It is reasonable to expect utilities to </w:t>
      </w:r>
      <w:r w:rsidR="001F7DF4" w:rsidRPr="00142D2C">
        <w:rPr>
          <w:szCs w:val="24"/>
        </w:rPr>
        <w:t xml:space="preserve">correct billing errors, </w:t>
      </w:r>
      <w:r w:rsidRPr="00142D2C">
        <w:rPr>
          <w:szCs w:val="24"/>
        </w:rPr>
        <w:t xml:space="preserve">identify and correct stopped meters, as well as unidentified energy usage, within a reasonable timeframe to minimize the </w:t>
      </w:r>
      <w:r w:rsidR="001F7DF4" w:rsidRPr="00142D2C">
        <w:rPr>
          <w:szCs w:val="24"/>
        </w:rPr>
        <w:t>corrected</w:t>
      </w:r>
      <w:r w:rsidRPr="00142D2C">
        <w:rPr>
          <w:szCs w:val="24"/>
        </w:rPr>
        <w:t xml:space="preserve"> bill generated to correct the </w:t>
      </w:r>
      <w:r w:rsidR="001F7DF4" w:rsidRPr="00142D2C">
        <w:rPr>
          <w:szCs w:val="24"/>
        </w:rPr>
        <w:t xml:space="preserve">billing error or </w:t>
      </w:r>
      <w:r w:rsidRPr="00142D2C">
        <w:rPr>
          <w:szCs w:val="24"/>
        </w:rPr>
        <w:t>inaccurate energy usage metering.</w:t>
      </w:r>
    </w:p>
    <w:p w14:paraId="270F60A1" w14:textId="77777777" w:rsidR="0083372C" w:rsidRPr="00142D2C" w:rsidRDefault="0083372C" w:rsidP="0025000E">
      <w:pPr>
        <w:autoSpaceDE w:val="0"/>
        <w:autoSpaceDN w:val="0"/>
        <w:adjustRightInd w:val="0"/>
        <w:spacing w:line="264" w:lineRule="auto"/>
        <w:rPr>
          <w:rFonts w:eastAsia="Calibri"/>
          <w:color w:val="000000"/>
        </w:rPr>
      </w:pPr>
    </w:p>
    <w:p w14:paraId="6FFDDC66" w14:textId="2BF94EDF" w:rsidR="0063664B" w:rsidRPr="00142D2C" w:rsidRDefault="0083372C" w:rsidP="0025000E">
      <w:pPr>
        <w:pStyle w:val="NoSpacing"/>
        <w:spacing w:line="264" w:lineRule="auto"/>
        <w:rPr>
          <w:color w:val="000000"/>
          <w:szCs w:val="24"/>
        </w:rPr>
      </w:pPr>
      <w:r w:rsidRPr="00142D2C">
        <w:rPr>
          <w:color w:val="000000"/>
          <w:szCs w:val="24"/>
        </w:rPr>
        <w:t xml:space="preserve">The Commission is seeking written comments from interested persons related to </w:t>
      </w:r>
      <w:r w:rsidR="001B15CD" w:rsidRPr="00142D2C">
        <w:rPr>
          <w:color w:val="000000"/>
          <w:szCs w:val="24"/>
        </w:rPr>
        <w:t xml:space="preserve">rules to </w:t>
      </w:r>
      <w:r w:rsidR="006173E1" w:rsidRPr="00142D2C">
        <w:rPr>
          <w:color w:val="000000"/>
          <w:szCs w:val="24"/>
        </w:rPr>
        <w:t>encourage regulated utilities to identify and correct faulty meters in a timely fashion</w:t>
      </w:r>
      <w:r w:rsidRPr="00142D2C">
        <w:rPr>
          <w:color w:val="000000"/>
          <w:szCs w:val="24"/>
        </w:rPr>
        <w:t xml:space="preserve">. </w:t>
      </w:r>
      <w:r w:rsidR="00114CB5" w:rsidRPr="00142D2C">
        <w:rPr>
          <w:color w:val="000000"/>
          <w:szCs w:val="24"/>
        </w:rPr>
        <w:t xml:space="preserve"> </w:t>
      </w:r>
      <w:r w:rsidRPr="00142D2C">
        <w:rPr>
          <w:color w:val="000000"/>
          <w:szCs w:val="24"/>
        </w:rPr>
        <w:t>While the Commission does not want to unduly limit comments, responses to the following questions would be most helpful:</w:t>
      </w:r>
    </w:p>
    <w:p w14:paraId="3159A260" w14:textId="77777777" w:rsidR="0083372C" w:rsidRPr="00142D2C" w:rsidRDefault="0083372C" w:rsidP="0025000E">
      <w:pPr>
        <w:pStyle w:val="NoSpacing"/>
        <w:spacing w:line="264" w:lineRule="auto"/>
        <w:rPr>
          <w:szCs w:val="24"/>
        </w:rPr>
      </w:pPr>
    </w:p>
    <w:p w14:paraId="4D272827" w14:textId="77777777" w:rsidR="00B8743F" w:rsidRPr="00142D2C" w:rsidRDefault="00B8743F" w:rsidP="0025000E">
      <w:pPr>
        <w:pStyle w:val="ListParagraph"/>
        <w:numPr>
          <w:ilvl w:val="0"/>
          <w:numId w:val="13"/>
        </w:numPr>
        <w:spacing w:after="0" w:line="264" w:lineRule="auto"/>
        <w:contextualSpacing w:val="0"/>
        <w:rPr>
          <w:rFonts w:ascii="Times New Roman" w:hAnsi="Times New Roman"/>
          <w:sz w:val="24"/>
          <w:szCs w:val="24"/>
        </w:rPr>
      </w:pPr>
      <w:r w:rsidRPr="00142D2C">
        <w:rPr>
          <w:rFonts w:ascii="Times New Roman" w:hAnsi="Times New Roman"/>
          <w:sz w:val="24"/>
          <w:szCs w:val="24"/>
        </w:rPr>
        <w:t>Please provide the three most recent years of data regarding the number of corrected bills issued for under-billed amounts due to meter failure or malfunctions, or unassigned energy usage meters that exceeded six months in duration. Please provide the information in the following format:</w:t>
      </w:r>
    </w:p>
    <w:p w14:paraId="723C5188" w14:textId="77777777" w:rsidR="00B8743F" w:rsidRDefault="00B8743F" w:rsidP="00B8743F"/>
    <w:tbl>
      <w:tblPr>
        <w:tblW w:w="0" w:type="auto"/>
        <w:tblCellMar>
          <w:left w:w="0" w:type="dxa"/>
          <w:right w:w="0" w:type="dxa"/>
        </w:tblCellMar>
        <w:tblLook w:val="04A0" w:firstRow="1" w:lastRow="0" w:firstColumn="1" w:lastColumn="0" w:noHBand="0" w:noVBand="1"/>
      </w:tblPr>
      <w:tblGrid>
        <w:gridCol w:w="871"/>
        <w:gridCol w:w="1515"/>
        <w:gridCol w:w="1084"/>
        <w:gridCol w:w="2073"/>
        <w:gridCol w:w="1794"/>
        <w:gridCol w:w="1643"/>
      </w:tblGrid>
      <w:tr w:rsidR="00B8743F" w14:paraId="1681317B" w14:textId="77777777" w:rsidTr="00E516B1">
        <w:tc>
          <w:tcPr>
            <w:tcW w:w="8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0C7CB" w14:textId="77777777" w:rsidR="00B8743F" w:rsidRDefault="00B8743F" w:rsidP="00E516B1">
            <w:pPr>
              <w:jc w:val="center"/>
            </w:pPr>
            <w:r>
              <w:t>Year</w:t>
            </w:r>
          </w:p>
        </w:tc>
        <w:tc>
          <w:tcPr>
            <w:tcW w:w="26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CD741E" w14:textId="77777777" w:rsidR="00B8743F" w:rsidRDefault="00B8743F" w:rsidP="00E516B1">
            <w:pPr>
              <w:jc w:val="center"/>
            </w:pPr>
            <w:r>
              <w:t xml:space="preserve">Residential </w:t>
            </w:r>
          </w:p>
        </w:tc>
        <w:tc>
          <w:tcPr>
            <w:tcW w:w="40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EC4D50" w14:textId="77777777" w:rsidR="00B8743F" w:rsidRDefault="00B8743F" w:rsidP="00E516B1">
            <w:pPr>
              <w:jc w:val="center"/>
            </w:pPr>
            <w:r>
              <w:t>Non Residential</w:t>
            </w:r>
          </w:p>
        </w:tc>
        <w:tc>
          <w:tcPr>
            <w:tcW w:w="1707" w:type="dxa"/>
            <w:tcBorders>
              <w:top w:val="single" w:sz="8" w:space="0" w:color="auto"/>
              <w:left w:val="nil"/>
              <w:bottom w:val="single" w:sz="8" w:space="0" w:color="auto"/>
              <w:right w:val="single" w:sz="8" w:space="0" w:color="auto"/>
            </w:tcBorders>
          </w:tcPr>
          <w:p w14:paraId="315EA232" w14:textId="77777777" w:rsidR="00B8743F" w:rsidRDefault="00B8743F" w:rsidP="00E516B1">
            <w:pPr>
              <w:jc w:val="center"/>
            </w:pPr>
            <w:r>
              <w:t>Total Revenue</w:t>
            </w:r>
          </w:p>
        </w:tc>
      </w:tr>
      <w:tr w:rsidR="00B8743F" w14:paraId="3A4B8AC4" w14:textId="77777777" w:rsidTr="00E516B1">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5402F0" w14:textId="77777777" w:rsidR="00B8743F" w:rsidRDefault="00B8743F" w:rsidP="00E516B1"/>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3301A76D" w14:textId="112CE178" w:rsidR="00B8743F" w:rsidRDefault="00B8743F" w:rsidP="00FA6F9B">
            <w:r>
              <w:t>Number of accounts issued</w:t>
            </w:r>
            <w:r w:rsidR="00FA6F9B">
              <w:t xml:space="preserve"> </w:t>
            </w:r>
            <w:r>
              <w:t>corrected bills exceeding six months</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6180CC59" w14:textId="77777777" w:rsidR="00B8743F" w:rsidRDefault="00B8743F" w:rsidP="00E516B1">
            <w:r>
              <w:t>Total amount billed in excess of six months</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14:paraId="252C64AD" w14:textId="43F4162A" w:rsidR="00B8743F" w:rsidRDefault="00B8743F" w:rsidP="00FA6F9B">
            <w:r>
              <w:t xml:space="preserve">Number of accounts issued </w:t>
            </w:r>
            <w:r w:rsidR="00FA6F9B">
              <w:t xml:space="preserve"> </w:t>
            </w:r>
            <w:r>
              <w:t>corrected bills exceeding six months</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331EFB5E" w14:textId="77777777" w:rsidR="00B8743F" w:rsidRDefault="00B8743F" w:rsidP="00E516B1">
            <w:r>
              <w:t>Total amount billed in excess of six months</w:t>
            </w:r>
          </w:p>
        </w:tc>
        <w:tc>
          <w:tcPr>
            <w:tcW w:w="1707" w:type="dxa"/>
            <w:tcBorders>
              <w:top w:val="nil"/>
              <w:left w:val="nil"/>
              <w:bottom w:val="single" w:sz="8" w:space="0" w:color="auto"/>
              <w:right w:val="single" w:sz="8" w:space="0" w:color="auto"/>
            </w:tcBorders>
          </w:tcPr>
          <w:p w14:paraId="469E19AB" w14:textId="77777777" w:rsidR="00B8743F" w:rsidRDefault="00B8743F" w:rsidP="00E516B1">
            <w:r>
              <w:t>Company’s total revenue</w:t>
            </w:r>
          </w:p>
        </w:tc>
      </w:tr>
      <w:tr w:rsidR="00B8743F" w14:paraId="6F73D542" w14:textId="77777777" w:rsidTr="00E516B1">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174C47" w14:textId="77777777" w:rsidR="00B8743F" w:rsidRDefault="00B8743F" w:rsidP="00E516B1">
            <w:r>
              <w:t>2012</w:t>
            </w:r>
          </w:p>
        </w:tc>
        <w:tc>
          <w:tcPr>
            <w:tcW w:w="1555" w:type="dxa"/>
            <w:tcBorders>
              <w:top w:val="nil"/>
              <w:left w:val="nil"/>
              <w:bottom w:val="single" w:sz="8" w:space="0" w:color="auto"/>
              <w:right w:val="single" w:sz="8" w:space="0" w:color="auto"/>
            </w:tcBorders>
            <w:tcMar>
              <w:top w:w="0" w:type="dxa"/>
              <w:left w:w="108" w:type="dxa"/>
              <w:bottom w:w="0" w:type="dxa"/>
              <w:right w:w="108" w:type="dxa"/>
            </w:tcMar>
          </w:tcPr>
          <w:p w14:paraId="3BD64025" w14:textId="77777777" w:rsidR="00B8743F" w:rsidRDefault="00B8743F" w:rsidP="00E516B1"/>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2567AB20" w14:textId="77777777" w:rsidR="00B8743F" w:rsidRDefault="00B8743F" w:rsidP="00E516B1"/>
        </w:tc>
        <w:tc>
          <w:tcPr>
            <w:tcW w:w="2183" w:type="dxa"/>
            <w:tcBorders>
              <w:top w:val="nil"/>
              <w:left w:val="nil"/>
              <w:bottom w:val="single" w:sz="8" w:space="0" w:color="auto"/>
              <w:right w:val="single" w:sz="8" w:space="0" w:color="auto"/>
            </w:tcBorders>
            <w:tcMar>
              <w:top w:w="0" w:type="dxa"/>
              <w:left w:w="108" w:type="dxa"/>
              <w:bottom w:w="0" w:type="dxa"/>
              <w:right w:w="108" w:type="dxa"/>
            </w:tcMar>
          </w:tcPr>
          <w:p w14:paraId="151CC2BE" w14:textId="77777777" w:rsidR="00B8743F" w:rsidRDefault="00B8743F" w:rsidP="00E516B1"/>
        </w:tc>
        <w:tc>
          <w:tcPr>
            <w:tcW w:w="1900" w:type="dxa"/>
            <w:tcBorders>
              <w:top w:val="nil"/>
              <w:left w:val="nil"/>
              <w:bottom w:val="single" w:sz="8" w:space="0" w:color="auto"/>
              <w:right w:val="single" w:sz="8" w:space="0" w:color="auto"/>
            </w:tcBorders>
            <w:tcMar>
              <w:top w:w="0" w:type="dxa"/>
              <w:left w:w="108" w:type="dxa"/>
              <w:bottom w:w="0" w:type="dxa"/>
              <w:right w:w="108" w:type="dxa"/>
            </w:tcMar>
          </w:tcPr>
          <w:p w14:paraId="0B67BDE1" w14:textId="77777777" w:rsidR="00B8743F" w:rsidRDefault="00B8743F" w:rsidP="00E516B1"/>
        </w:tc>
        <w:tc>
          <w:tcPr>
            <w:tcW w:w="1707" w:type="dxa"/>
            <w:tcBorders>
              <w:top w:val="nil"/>
              <w:left w:val="nil"/>
              <w:bottom w:val="single" w:sz="8" w:space="0" w:color="auto"/>
              <w:right w:val="single" w:sz="8" w:space="0" w:color="auto"/>
            </w:tcBorders>
          </w:tcPr>
          <w:p w14:paraId="25EC25D3" w14:textId="77777777" w:rsidR="00B8743F" w:rsidRDefault="00B8743F" w:rsidP="00E516B1"/>
        </w:tc>
      </w:tr>
      <w:tr w:rsidR="00B8743F" w14:paraId="743E5664" w14:textId="77777777" w:rsidTr="00E516B1">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C93B5D" w14:textId="77777777" w:rsidR="00B8743F" w:rsidRDefault="00B8743F" w:rsidP="00E516B1">
            <w:r>
              <w:t>2013</w:t>
            </w:r>
          </w:p>
        </w:tc>
        <w:tc>
          <w:tcPr>
            <w:tcW w:w="1555" w:type="dxa"/>
            <w:tcBorders>
              <w:top w:val="nil"/>
              <w:left w:val="nil"/>
              <w:bottom w:val="single" w:sz="8" w:space="0" w:color="auto"/>
              <w:right w:val="single" w:sz="8" w:space="0" w:color="auto"/>
            </w:tcBorders>
            <w:tcMar>
              <w:top w:w="0" w:type="dxa"/>
              <w:left w:w="108" w:type="dxa"/>
              <w:bottom w:w="0" w:type="dxa"/>
              <w:right w:w="108" w:type="dxa"/>
            </w:tcMar>
          </w:tcPr>
          <w:p w14:paraId="47F73853" w14:textId="77777777" w:rsidR="00B8743F" w:rsidRDefault="00B8743F" w:rsidP="00E516B1"/>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7238A450" w14:textId="77777777" w:rsidR="00B8743F" w:rsidRDefault="00B8743F" w:rsidP="00E516B1"/>
        </w:tc>
        <w:tc>
          <w:tcPr>
            <w:tcW w:w="2183" w:type="dxa"/>
            <w:tcBorders>
              <w:top w:val="nil"/>
              <w:left w:val="nil"/>
              <w:bottom w:val="single" w:sz="8" w:space="0" w:color="auto"/>
              <w:right w:val="single" w:sz="8" w:space="0" w:color="auto"/>
            </w:tcBorders>
            <w:tcMar>
              <w:top w:w="0" w:type="dxa"/>
              <w:left w:w="108" w:type="dxa"/>
              <w:bottom w:w="0" w:type="dxa"/>
              <w:right w:w="108" w:type="dxa"/>
            </w:tcMar>
          </w:tcPr>
          <w:p w14:paraId="02047AF1" w14:textId="77777777" w:rsidR="00B8743F" w:rsidRDefault="00B8743F" w:rsidP="00E516B1"/>
        </w:tc>
        <w:tc>
          <w:tcPr>
            <w:tcW w:w="1900" w:type="dxa"/>
            <w:tcBorders>
              <w:top w:val="nil"/>
              <w:left w:val="nil"/>
              <w:bottom w:val="single" w:sz="8" w:space="0" w:color="auto"/>
              <w:right w:val="single" w:sz="8" w:space="0" w:color="auto"/>
            </w:tcBorders>
            <w:tcMar>
              <w:top w:w="0" w:type="dxa"/>
              <w:left w:w="108" w:type="dxa"/>
              <w:bottom w:w="0" w:type="dxa"/>
              <w:right w:w="108" w:type="dxa"/>
            </w:tcMar>
          </w:tcPr>
          <w:p w14:paraId="00ED15FE" w14:textId="77777777" w:rsidR="00B8743F" w:rsidRDefault="00B8743F" w:rsidP="00E516B1"/>
        </w:tc>
        <w:tc>
          <w:tcPr>
            <w:tcW w:w="1707" w:type="dxa"/>
            <w:tcBorders>
              <w:top w:val="nil"/>
              <w:left w:val="nil"/>
              <w:bottom w:val="single" w:sz="8" w:space="0" w:color="auto"/>
              <w:right w:val="single" w:sz="8" w:space="0" w:color="auto"/>
            </w:tcBorders>
          </w:tcPr>
          <w:p w14:paraId="22716BB9" w14:textId="77777777" w:rsidR="00B8743F" w:rsidRDefault="00B8743F" w:rsidP="00E516B1"/>
        </w:tc>
      </w:tr>
      <w:tr w:rsidR="00B8743F" w14:paraId="0C2606C0" w14:textId="77777777" w:rsidTr="00E516B1">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851E3F" w14:textId="77777777" w:rsidR="00B8743F" w:rsidRDefault="00B8743F" w:rsidP="00E516B1">
            <w:r>
              <w:t>2014</w:t>
            </w:r>
          </w:p>
        </w:tc>
        <w:tc>
          <w:tcPr>
            <w:tcW w:w="1555" w:type="dxa"/>
            <w:tcBorders>
              <w:top w:val="nil"/>
              <w:left w:val="nil"/>
              <w:bottom w:val="single" w:sz="8" w:space="0" w:color="auto"/>
              <w:right w:val="single" w:sz="8" w:space="0" w:color="auto"/>
            </w:tcBorders>
            <w:tcMar>
              <w:top w:w="0" w:type="dxa"/>
              <w:left w:w="108" w:type="dxa"/>
              <w:bottom w:w="0" w:type="dxa"/>
              <w:right w:w="108" w:type="dxa"/>
            </w:tcMar>
          </w:tcPr>
          <w:p w14:paraId="0BE625F1" w14:textId="77777777" w:rsidR="00B8743F" w:rsidRDefault="00B8743F" w:rsidP="00E516B1"/>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174A33DE" w14:textId="77777777" w:rsidR="00B8743F" w:rsidRDefault="00B8743F" w:rsidP="00E516B1"/>
        </w:tc>
        <w:tc>
          <w:tcPr>
            <w:tcW w:w="2183" w:type="dxa"/>
            <w:tcBorders>
              <w:top w:val="nil"/>
              <w:left w:val="nil"/>
              <w:bottom w:val="single" w:sz="8" w:space="0" w:color="auto"/>
              <w:right w:val="single" w:sz="8" w:space="0" w:color="auto"/>
            </w:tcBorders>
            <w:tcMar>
              <w:top w:w="0" w:type="dxa"/>
              <w:left w:w="108" w:type="dxa"/>
              <w:bottom w:w="0" w:type="dxa"/>
              <w:right w:w="108" w:type="dxa"/>
            </w:tcMar>
          </w:tcPr>
          <w:p w14:paraId="14B490A9" w14:textId="77777777" w:rsidR="00B8743F" w:rsidRDefault="00B8743F" w:rsidP="00E516B1"/>
        </w:tc>
        <w:tc>
          <w:tcPr>
            <w:tcW w:w="1900" w:type="dxa"/>
            <w:tcBorders>
              <w:top w:val="nil"/>
              <w:left w:val="nil"/>
              <w:bottom w:val="single" w:sz="8" w:space="0" w:color="auto"/>
              <w:right w:val="single" w:sz="8" w:space="0" w:color="auto"/>
            </w:tcBorders>
            <w:tcMar>
              <w:top w:w="0" w:type="dxa"/>
              <w:left w:w="108" w:type="dxa"/>
              <w:bottom w:w="0" w:type="dxa"/>
              <w:right w:w="108" w:type="dxa"/>
            </w:tcMar>
          </w:tcPr>
          <w:p w14:paraId="6E1E6208" w14:textId="77777777" w:rsidR="00B8743F" w:rsidRDefault="00B8743F" w:rsidP="00E516B1"/>
        </w:tc>
        <w:tc>
          <w:tcPr>
            <w:tcW w:w="1707" w:type="dxa"/>
            <w:tcBorders>
              <w:top w:val="nil"/>
              <w:left w:val="nil"/>
              <w:bottom w:val="single" w:sz="8" w:space="0" w:color="auto"/>
              <w:right w:val="single" w:sz="8" w:space="0" w:color="auto"/>
            </w:tcBorders>
          </w:tcPr>
          <w:p w14:paraId="1EA3C76B" w14:textId="77777777" w:rsidR="00B8743F" w:rsidRDefault="00B8743F" w:rsidP="00E516B1"/>
        </w:tc>
      </w:tr>
    </w:tbl>
    <w:p w14:paraId="29DDB40A" w14:textId="77777777" w:rsidR="00B8743F" w:rsidRDefault="00B8743F" w:rsidP="00B8743F">
      <w:pPr>
        <w:rPr>
          <w:rFonts w:eastAsiaTheme="minorHAnsi"/>
        </w:rPr>
      </w:pPr>
    </w:p>
    <w:p w14:paraId="12EE6269" w14:textId="35EC9FCD" w:rsidR="00B8743F" w:rsidRPr="00142D2C" w:rsidRDefault="00B8743F" w:rsidP="0025000E">
      <w:pPr>
        <w:pStyle w:val="ListParagraph"/>
        <w:numPr>
          <w:ilvl w:val="0"/>
          <w:numId w:val="13"/>
        </w:numPr>
        <w:spacing w:after="0" w:line="264" w:lineRule="auto"/>
        <w:rPr>
          <w:rFonts w:ascii="Times New Roman" w:hAnsi="Times New Roman"/>
          <w:sz w:val="24"/>
          <w:szCs w:val="24"/>
        </w:rPr>
      </w:pPr>
      <w:r w:rsidRPr="00142D2C">
        <w:rPr>
          <w:rFonts w:ascii="Times New Roman" w:hAnsi="Times New Roman"/>
          <w:sz w:val="24"/>
          <w:szCs w:val="24"/>
        </w:rPr>
        <w:t>Please provide the three most recent years of data regarding the number of corrected bills issued for under-billed amounts due to all other billing errors (excluding meter tampering, fraud and estimated bills.) Examples include: corrected bills for incorrect prorated bills: mislabeled meter bases; incorrectly installed meters; incorrect billing rate schedules; and incorrect billing multipliers.  Please provide the information in the following format:</w:t>
      </w:r>
    </w:p>
    <w:p w14:paraId="5E420725" w14:textId="77777777" w:rsidR="00B8743F" w:rsidRPr="00142D2C" w:rsidRDefault="00B8743F" w:rsidP="0025000E">
      <w:pPr>
        <w:pStyle w:val="ListParagraph"/>
        <w:spacing w:after="0" w:line="264" w:lineRule="auto"/>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871"/>
        <w:gridCol w:w="1515"/>
        <w:gridCol w:w="1084"/>
        <w:gridCol w:w="2073"/>
        <w:gridCol w:w="1794"/>
        <w:gridCol w:w="1643"/>
      </w:tblGrid>
      <w:tr w:rsidR="00B8743F" w14:paraId="3373014B" w14:textId="77777777" w:rsidTr="00E516B1">
        <w:tc>
          <w:tcPr>
            <w:tcW w:w="8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190EB4" w14:textId="77777777" w:rsidR="00B8743F" w:rsidRDefault="00B8743F" w:rsidP="00E516B1">
            <w:pPr>
              <w:jc w:val="center"/>
            </w:pPr>
            <w:r>
              <w:t>Year</w:t>
            </w:r>
          </w:p>
        </w:tc>
        <w:tc>
          <w:tcPr>
            <w:tcW w:w="26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55D753" w14:textId="77777777" w:rsidR="00B8743F" w:rsidRDefault="00B8743F" w:rsidP="00E516B1">
            <w:pPr>
              <w:jc w:val="center"/>
            </w:pPr>
            <w:r>
              <w:t xml:space="preserve">Residential </w:t>
            </w:r>
          </w:p>
        </w:tc>
        <w:tc>
          <w:tcPr>
            <w:tcW w:w="40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24D04" w14:textId="77777777" w:rsidR="00B8743F" w:rsidRDefault="00B8743F" w:rsidP="00E516B1">
            <w:pPr>
              <w:jc w:val="center"/>
            </w:pPr>
            <w:r>
              <w:t>Non Residential</w:t>
            </w:r>
          </w:p>
        </w:tc>
        <w:tc>
          <w:tcPr>
            <w:tcW w:w="1707" w:type="dxa"/>
            <w:tcBorders>
              <w:top w:val="single" w:sz="8" w:space="0" w:color="auto"/>
              <w:left w:val="nil"/>
              <w:bottom w:val="single" w:sz="8" w:space="0" w:color="auto"/>
              <w:right w:val="single" w:sz="8" w:space="0" w:color="auto"/>
            </w:tcBorders>
          </w:tcPr>
          <w:p w14:paraId="36C15F55" w14:textId="77777777" w:rsidR="00B8743F" w:rsidRDefault="00B8743F" w:rsidP="00E516B1">
            <w:pPr>
              <w:jc w:val="center"/>
            </w:pPr>
            <w:r>
              <w:t>Total Revenue</w:t>
            </w:r>
          </w:p>
        </w:tc>
      </w:tr>
      <w:tr w:rsidR="00B8743F" w14:paraId="555ADC91" w14:textId="77777777" w:rsidTr="00E516B1">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563AD" w14:textId="77777777" w:rsidR="00B8743F" w:rsidRDefault="00B8743F" w:rsidP="00E516B1"/>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0FCDBDFD" w14:textId="77777777" w:rsidR="00B8743F" w:rsidRDefault="00B8743F" w:rsidP="00E516B1">
            <w:r>
              <w:t>Number of accounts issued corrected bills exceeding six months</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62FE5A17" w14:textId="77777777" w:rsidR="00B8743F" w:rsidRDefault="00B8743F" w:rsidP="00E516B1">
            <w:r>
              <w:t>Total amount billed in excess of six months</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14:paraId="52D313A0" w14:textId="77777777" w:rsidR="00B8743F" w:rsidRDefault="00B8743F" w:rsidP="00E516B1">
            <w:r>
              <w:t>Number of accounts issued corrected bills exceeding six months</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06A4B0DA" w14:textId="77777777" w:rsidR="00B8743F" w:rsidRDefault="00B8743F" w:rsidP="00E516B1">
            <w:r>
              <w:t>Total amount billed in excess of six months</w:t>
            </w:r>
          </w:p>
        </w:tc>
        <w:tc>
          <w:tcPr>
            <w:tcW w:w="1707" w:type="dxa"/>
            <w:tcBorders>
              <w:top w:val="nil"/>
              <w:left w:val="nil"/>
              <w:bottom w:val="single" w:sz="8" w:space="0" w:color="auto"/>
              <w:right w:val="single" w:sz="8" w:space="0" w:color="auto"/>
            </w:tcBorders>
          </w:tcPr>
          <w:p w14:paraId="772158DC" w14:textId="77777777" w:rsidR="00B8743F" w:rsidRDefault="00B8743F" w:rsidP="00E516B1">
            <w:r>
              <w:t>Company’s total revenue</w:t>
            </w:r>
          </w:p>
        </w:tc>
      </w:tr>
      <w:tr w:rsidR="00B8743F" w14:paraId="09ADF36A" w14:textId="77777777" w:rsidTr="00E516B1">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CC8F34" w14:textId="77777777" w:rsidR="00B8743F" w:rsidRDefault="00B8743F" w:rsidP="00E516B1">
            <w:r>
              <w:t>2012</w:t>
            </w:r>
          </w:p>
        </w:tc>
        <w:tc>
          <w:tcPr>
            <w:tcW w:w="1555" w:type="dxa"/>
            <w:tcBorders>
              <w:top w:val="nil"/>
              <w:left w:val="nil"/>
              <w:bottom w:val="single" w:sz="8" w:space="0" w:color="auto"/>
              <w:right w:val="single" w:sz="8" w:space="0" w:color="auto"/>
            </w:tcBorders>
            <w:tcMar>
              <w:top w:w="0" w:type="dxa"/>
              <w:left w:w="108" w:type="dxa"/>
              <w:bottom w:w="0" w:type="dxa"/>
              <w:right w:w="108" w:type="dxa"/>
            </w:tcMar>
          </w:tcPr>
          <w:p w14:paraId="579E8047" w14:textId="77777777" w:rsidR="00B8743F" w:rsidRDefault="00B8743F" w:rsidP="00E516B1"/>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76ABFB15" w14:textId="77777777" w:rsidR="00B8743F" w:rsidRDefault="00B8743F" w:rsidP="00E516B1"/>
        </w:tc>
        <w:tc>
          <w:tcPr>
            <w:tcW w:w="2183" w:type="dxa"/>
            <w:tcBorders>
              <w:top w:val="nil"/>
              <w:left w:val="nil"/>
              <w:bottom w:val="single" w:sz="8" w:space="0" w:color="auto"/>
              <w:right w:val="single" w:sz="8" w:space="0" w:color="auto"/>
            </w:tcBorders>
            <w:tcMar>
              <w:top w:w="0" w:type="dxa"/>
              <w:left w:w="108" w:type="dxa"/>
              <w:bottom w:w="0" w:type="dxa"/>
              <w:right w:w="108" w:type="dxa"/>
            </w:tcMar>
          </w:tcPr>
          <w:p w14:paraId="3ECC45EC" w14:textId="77777777" w:rsidR="00B8743F" w:rsidRDefault="00B8743F" w:rsidP="00E516B1"/>
        </w:tc>
        <w:tc>
          <w:tcPr>
            <w:tcW w:w="1900" w:type="dxa"/>
            <w:tcBorders>
              <w:top w:val="nil"/>
              <w:left w:val="nil"/>
              <w:bottom w:val="single" w:sz="8" w:space="0" w:color="auto"/>
              <w:right w:val="single" w:sz="8" w:space="0" w:color="auto"/>
            </w:tcBorders>
            <w:tcMar>
              <w:top w:w="0" w:type="dxa"/>
              <w:left w:w="108" w:type="dxa"/>
              <w:bottom w:w="0" w:type="dxa"/>
              <w:right w:w="108" w:type="dxa"/>
            </w:tcMar>
          </w:tcPr>
          <w:p w14:paraId="3DA33AC9" w14:textId="77777777" w:rsidR="00B8743F" w:rsidRDefault="00B8743F" w:rsidP="00E516B1"/>
        </w:tc>
        <w:tc>
          <w:tcPr>
            <w:tcW w:w="1707" w:type="dxa"/>
            <w:tcBorders>
              <w:top w:val="nil"/>
              <w:left w:val="nil"/>
              <w:bottom w:val="single" w:sz="8" w:space="0" w:color="auto"/>
              <w:right w:val="single" w:sz="8" w:space="0" w:color="auto"/>
            </w:tcBorders>
          </w:tcPr>
          <w:p w14:paraId="3A1318DF" w14:textId="77777777" w:rsidR="00B8743F" w:rsidRDefault="00B8743F" w:rsidP="00E516B1"/>
        </w:tc>
      </w:tr>
      <w:tr w:rsidR="00B8743F" w14:paraId="1EB3C021" w14:textId="77777777" w:rsidTr="00E516B1">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FD929" w14:textId="77777777" w:rsidR="00B8743F" w:rsidRDefault="00B8743F" w:rsidP="00E516B1">
            <w:r>
              <w:t>2013</w:t>
            </w:r>
          </w:p>
        </w:tc>
        <w:tc>
          <w:tcPr>
            <w:tcW w:w="1555" w:type="dxa"/>
            <w:tcBorders>
              <w:top w:val="nil"/>
              <w:left w:val="nil"/>
              <w:bottom w:val="single" w:sz="8" w:space="0" w:color="auto"/>
              <w:right w:val="single" w:sz="8" w:space="0" w:color="auto"/>
            </w:tcBorders>
            <w:tcMar>
              <w:top w:w="0" w:type="dxa"/>
              <w:left w:w="108" w:type="dxa"/>
              <w:bottom w:w="0" w:type="dxa"/>
              <w:right w:w="108" w:type="dxa"/>
            </w:tcMar>
          </w:tcPr>
          <w:p w14:paraId="051AE7D1" w14:textId="77777777" w:rsidR="00B8743F" w:rsidRDefault="00B8743F" w:rsidP="00E516B1"/>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743C0262" w14:textId="77777777" w:rsidR="00B8743F" w:rsidRDefault="00B8743F" w:rsidP="00E516B1"/>
        </w:tc>
        <w:tc>
          <w:tcPr>
            <w:tcW w:w="2183" w:type="dxa"/>
            <w:tcBorders>
              <w:top w:val="nil"/>
              <w:left w:val="nil"/>
              <w:bottom w:val="single" w:sz="8" w:space="0" w:color="auto"/>
              <w:right w:val="single" w:sz="8" w:space="0" w:color="auto"/>
            </w:tcBorders>
            <w:tcMar>
              <w:top w:w="0" w:type="dxa"/>
              <w:left w:w="108" w:type="dxa"/>
              <w:bottom w:w="0" w:type="dxa"/>
              <w:right w:w="108" w:type="dxa"/>
            </w:tcMar>
          </w:tcPr>
          <w:p w14:paraId="3D34520D" w14:textId="77777777" w:rsidR="00B8743F" w:rsidRDefault="00B8743F" w:rsidP="00E516B1"/>
        </w:tc>
        <w:tc>
          <w:tcPr>
            <w:tcW w:w="1900" w:type="dxa"/>
            <w:tcBorders>
              <w:top w:val="nil"/>
              <w:left w:val="nil"/>
              <w:bottom w:val="single" w:sz="8" w:space="0" w:color="auto"/>
              <w:right w:val="single" w:sz="8" w:space="0" w:color="auto"/>
            </w:tcBorders>
            <w:tcMar>
              <w:top w:w="0" w:type="dxa"/>
              <w:left w:w="108" w:type="dxa"/>
              <w:bottom w:w="0" w:type="dxa"/>
              <w:right w:w="108" w:type="dxa"/>
            </w:tcMar>
          </w:tcPr>
          <w:p w14:paraId="1B3C9EA8" w14:textId="77777777" w:rsidR="00B8743F" w:rsidRDefault="00B8743F" w:rsidP="00E516B1"/>
        </w:tc>
        <w:tc>
          <w:tcPr>
            <w:tcW w:w="1707" w:type="dxa"/>
            <w:tcBorders>
              <w:top w:val="nil"/>
              <w:left w:val="nil"/>
              <w:bottom w:val="single" w:sz="8" w:space="0" w:color="auto"/>
              <w:right w:val="single" w:sz="8" w:space="0" w:color="auto"/>
            </w:tcBorders>
          </w:tcPr>
          <w:p w14:paraId="7F9F5603" w14:textId="77777777" w:rsidR="00B8743F" w:rsidRDefault="00B8743F" w:rsidP="00E516B1"/>
        </w:tc>
      </w:tr>
      <w:tr w:rsidR="00B8743F" w14:paraId="60A81023" w14:textId="77777777" w:rsidTr="00E516B1">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DE8262" w14:textId="77777777" w:rsidR="00B8743F" w:rsidRDefault="00B8743F" w:rsidP="00E516B1">
            <w:r>
              <w:t>2014</w:t>
            </w:r>
          </w:p>
        </w:tc>
        <w:tc>
          <w:tcPr>
            <w:tcW w:w="1555" w:type="dxa"/>
            <w:tcBorders>
              <w:top w:val="nil"/>
              <w:left w:val="nil"/>
              <w:bottom w:val="single" w:sz="8" w:space="0" w:color="auto"/>
              <w:right w:val="single" w:sz="8" w:space="0" w:color="auto"/>
            </w:tcBorders>
            <w:tcMar>
              <w:top w:w="0" w:type="dxa"/>
              <w:left w:w="108" w:type="dxa"/>
              <w:bottom w:w="0" w:type="dxa"/>
              <w:right w:w="108" w:type="dxa"/>
            </w:tcMar>
          </w:tcPr>
          <w:p w14:paraId="233CE5FC" w14:textId="77777777" w:rsidR="00B8743F" w:rsidRDefault="00B8743F" w:rsidP="00E516B1"/>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724FBC1A" w14:textId="77777777" w:rsidR="00B8743F" w:rsidRDefault="00B8743F" w:rsidP="00E516B1"/>
        </w:tc>
        <w:tc>
          <w:tcPr>
            <w:tcW w:w="2183" w:type="dxa"/>
            <w:tcBorders>
              <w:top w:val="nil"/>
              <w:left w:val="nil"/>
              <w:bottom w:val="single" w:sz="8" w:space="0" w:color="auto"/>
              <w:right w:val="single" w:sz="8" w:space="0" w:color="auto"/>
            </w:tcBorders>
            <w:tcMar>
              <w:top w:w="0" w:type="dxa"/>
              <w:left w:w="108" w:type="dxa"/>
              <w:bottom w:w="0" w:type="dxa"/>
              <w:right w:w="108" w:type="dxa"/>
            </w:tcMar>
          </w:tcPr>
          <w:p w14:paraId="77F01D30" w14:textId="77777777" w:rsidR="00B8743F" w:rsidRDefault="00B8743F" w:rsidP="00E516B1"/>
        </w:tc>
        <w:tc>
          <w:tcPr>
            <w:tcW w:w="1900" w:type="dxa"/>
            <w:tcBorders>
              <w:top w:val="nil"/>
              <w:left w:val="nil"/>
              <w:bottom w:val="single" w:sz="8" w:space="0" w:color="auto"/>
              <w:right w:val="single" w:sz="8" w:space="0" w:color="auto"/>
            </w:tcBorders>
            <w:tcMar>
              <w:top w:w="0" w:type="dxa"/>
              <w:left w:w="108" w:type="dxa"/>
              <w:bottom w:w="0" w:type="dxa"/>
              <w:right w:w="108" w:type="dxa"/>
            </w:tcMar>
          </w:tcPr>
          <w:p w14:paraId="519CC26E" w14:textId="77777777" w:rsidR="00B8743F" w:rsidRDefault="00B8743F" w:rsidP="00E516B1"/>
        </w:tc>
        <w:tc>
          <w:tcPr>
            <w:tcW w:w="1707" w:type="dxa"/>
            <w:tcBorders>
              <w:top w:val="nil"/>
              <w:left w:val="nil"/>
              <w:bottom w:val="single" w:sz="8" w:space="0" w:color="auto"/>
              <w:right w:val="single" w:sz="8" w:space="0" w:color="auto"/>
            </w:tcBorders>
          </w:tcPr>
          <w:p w14:paraId="05DBE9E1" w14:textId="77777777" w:rsidR="00B8743F" w:rsidRDefault="00B8743F" w:rsidP="00E516B1"/>
        </w:tc>
      </w:tr>
    </w:tbl>
    <w:p w14:paraId="2A7FFFC9" w14:textId="77777777" w:rsidR="00B8743F" w:rsidRPr="006956F7" w:rsidRDefault="00B8743F" w:rsidP="00B8743F">
      <w:pPr>
        <w:pStyle w:val="ListParagraph"/>
        <w:ind w:left="0"/>
        <w:rPr>
          <w:rFonts w:ascii="Times New Roman" w:hAnsi="Times New Roman"/>
        </w:rPr>
      </w:pPr>
    </w:p>
    <w:p w14:paraId="0B84792C" w14:textId="77777777" w:rsidR="00B8743F" w:rsidRPr="00142D2C" w:rsidRDefault="00B8743F" w:rsidP="0025000E">
      <w:pPr>
        <w:pStyle w:val="ListParagraph"/>
        <w:numPr>
          <w:ilvl w:val="0"/>
          <w:numId w:val="13"/>
        </w:numPr>
        <w:spacing w:after="0" w:line="264" w:lineRule="auto"/>
        <w:contextualSpacing w:val="0"/>
        <w:rPr>
          <w:rFonts w:ascii="Times New Roman" w:hAnsi="Times New Roman"/>
          <w:sz w:val="24"/>
          <w:szCs w:val="24"/>
        </w:rPr>
      </w:pPr>
      <w:r w:rsidRPr="00142D2C">
        <w:rPr>
          <w:rFonts w:ascii="Times New Roman" w:hAnsi="Times New Roman"/>
          <w:sz w:val="24"/>
          <w:szCs w:val="24"/>
        </w:rPr>
        <w:lastRenderedPageBreak/>
        <w:t xml:space="preserve">The rationale for requesting the exclusion of non-residential customers from the six month billing correction limitation is unclear. </w:t>
      </w:r>
    </w:p>
    <w:p w14:paraId="74293478" w14:textId="77777777" w:rsidR="00B8743F" w:rsidRPr="00142D2C" w:rsidRDefault="00B8743F" w:rsidP="0025000E">
      <w:pPr>
        <w:pStyle w:val="ListParagraph"/>
        <w:numPr>
          <w:ilvl w:val="1"/>
          <w:numId w:val="13"/>
        </w:numPr>
        <w:spacing w:after="0" w:line="264" w:lineRule="auto"/>
        <w:contextualSpacing w:val="0"/>
        <w:rPr>
          <w:rFonts w:ascii="Times New Roman" w:hAnsi="Times New Roman"/>
          <w:sz w:val="24"/>
          <w:szCs w:val="24"/>
        </w:rPr>
      </w:pPr>
      <w:r w:rsidRPr="00142D2C">
        <w:rPr>
          <w:rFonts w:ascii="Times New Roman" w:hAnsi="Times New Roman"/>
          <w:sz w:val="24"/>
          <w:szCs w:val="24"/>
        </w:rPr>
        <w:t xml:space="preserve">Please provide additional rationale and examples of why it is important to exclude non-residential customers. </w:t>
      </w:r>
    </w:p>
    <w:p w14:paraId="6BCED53B" w14:textId="77777777" w:rsidR="00B8743F" w:rsidRPr="00142D2C" w:rsidRDefault="00B8743F" w:rsidP="0025000E">
      <w:pPr>
        <w:pStyle w:val="ListParagraph"/>
        <w:numPr>
          <w:ilvl w:val="1"/>
          <w:numId w:val="13"/>
        </w:numPr>
        <w:spacing w:after="0" w:line="264" w:lineRule="auto"/>
        <w:contextualSpacing w:val="0"/>
        <w:rPr>
          <w:rFonts w:ascii="Times New Roman" w:hAnsi="Times New Roman"/>
          <w:sz w:val="24"/>
          <w:szCs w:val="24"/>
        </w:rPr>
      </w:pPr>
      <w:r w:rsidRPr="00142D2C">
        <w:rPr>
          <w:rFonts w:ascii="Times New Roman" w:hAnsi="Times New Roman"/>
          <w:sz w:val="24"/>
          <w:szCs w:val="24"/>
        </w:rPr>
        <w:t xml:space="preserve">Please provide an explanation of the terms “small business customer,” “commercial customer,” “large commercial customer,” and “industrial customer.” </w:t>
      </w:r>
    </w:p>
    <w:p w14:paraId="78D7192A" w14:textId="77777777" w:rsidR="00B8743F" w:rsidRPr="00142D2C" w:rsidRDefault="00B8743F" w:rsidP="0025000E">
      <w:pPr>
        <w:pStyle w:val="ListParagraph"/>
        <w:numPr>
          <w:ilvl w:val="1"/>
          <w:numId w:val="13"/>
        </w:numPr>
        <w:spacing w:after="0" w:line="264" w:lineRule="auto"/>
        <w:contextualSpacing w:val="0"/>
        <w:rPr>
          <w:rFonts w:ascii="Times New Roman" w:hAnsi="Times New Roman"/>
          <w:sz w:val="24"/>
          <w:szCs w:val="24"/>
        </w:rPr>
      </w:pPr>
      <w:r w:rsidRPr="00142D2C">
        <w:rPr>
          <w:rFonts w:ascii="Times New Roman" w:hAnsi="Times New Roman"/>
          <w:sz w:val="24"/>
          <w:szCs w:val="24"/>
        </w:rPr>
        <w:t xml:space="preserve">Please provide the following additional data regarding seasonal commercial customers. Also, please provide an explanation of how seasonal commercial customers pose a problem for companies to identify and correct billing problems. </w:t>
      </w:r>
    </w:p>
    <w:p w14:paraId="20BA81B9" w14:textId="77777777" w:rsidR="00B8743F" w:rsidRPr="00B12930" w:rsidRDefault="00B8743F" w:rsidP="0025000E">
      <w:pPr>
        <w:spacing w:line="264" w:lineRule="auto"/>
      </w:pPr>
    </w:p>
    <w:tbl>
      <w:tblPr>
        <w:tblStyle w:val="TableGrid"/>
        <w:tblW w:w="0" w:type="auto"/>
        <w:tblInd w:w="720" w:type="dxa"/>
        <w:tblLook w:val="04A0" w:firstRow="1" w:lastRow="0" w:firstColumn="1" w:lastColumn="0" w:noHBand="0" w:noVBand="1"/>
      </w:tblPr>
      <w:tblGrid>
        <w:gridCol w:w="1143"/>
        <w:gridCol w:w="1775"/>
        <w:gridCol w:w="1675"/>
        <w:gridCol w:w="2210"/>
      </w:tblGrid>
      <w:tr w:rsidR="00B8743F" w14:paraId="0BD329C6" w14:textId="77777777" w:rsidTr="00E516B1">
        <w:tc>
          <w:tcPr>
            <w:tcW w:w="1143" w:type="dxa"/>
          </w:tcPr>
          <w:p w14:paraId="2E0F6376" w14:textId="77777777" w:rsidR="00B8743F" w:rsidRDefault="00B8743F" w:rsidP="00E516B1">
            <w:pPr>
              <w:pStyle w:val="ListParagraph"/>
              <w:ind w:left="0"/>
              <w:contextualSpacing w:val="0"/>
              <w:jc w:val="center"/>
              <w:rPr>
                <w:rFonts w:ascii="Times New Roman" w:hAnsi="Times New Roman"/>
              </w:rPr>
            </w:pPr>
            <w:r>
              <w:rPr>
                <w:rFonts w:ascii="Times New Roman" w:hAnsi="Times New Roman"/>
              </w:rPr>
              <w:t>Year</w:t>
            </w:r>
          </w:p>
        </w:tc>
        <w:tc>
          <w:tcPr>
            <w:tcW w:w="3450" w:type="dxa"/>
            <w:gridSpan w:val="2"/>
          </w:tcPr>
          <w:p w14:paraId="1F6763C3" w14:textId="77777777" w:rsidR="00B8743F" w:rsidRDefault="00B8743F" w:rsidP="00E516B1">
            <w:pPr>
              <w:pStyle w:val="ListParagraph"/>
              <w:ind w:left="0"/>
              <w:contextualSpacing w:val="0"/>
              <w:jc w:val="center"/>
              <w:rPr>
                <w:rFonts w:ascii="Times New Roman" w:hAnsi="Times New Roman"/>
              </w:rPr>
            </w:pPr>
            <w:r>
              <w:rPr>
                <w:rFonts w:ascii="Times New Roman" w:hAnsi="Times New Roman"/>
              </w:rPr>
              <w:t>Seasonal Commercial Customers</w:t>
            </w:r>
          </w:p>
        </w:tc>
        <w:tc>
          <w:tcPr>
            <w:tcW w:w="2210" w:type="dxa"/>
          </w:tcPr>
          <w:p w14:paraId="5C6AE4AA" w14:textId="77777777" w:rsidR="00B8743F" w:rsidRDefault="00B8743F" w:rsidP="00E516B1">
            <w:pPr>
              <w:pStyle w:val="ListParagraph"/>
              <w:ind w:left="0"/>
              <w:contextualSpacing w:val="0"/>
              <w:jc w:val="center"/>
              <w:rPr>
                <w:rFonts w:ascii="Times New Roman" w:hAnsi="Times New Roman"/>
              </w:rPr>
            </w:pPr>
            <w:r>
              <w:rPr>
                <w:rFonts w:ascii="Times New Roman" w:hAnsi="Times New Roman"/>
              </w:rPr>
              <w:t>Total Revenue</w:t>
            </w:r>
          </w:p>
        </w:tc>
      </w:tr>
      <w:tr w:rsidR="00B8743F" w14:paraId="577F8DEF" w14:textId="77777777" w:rsidTr="00E516B1">
        <w:tc>
          <w:tcPr>
            <w:tcW w:w="1143" w:type="dxa"/>
          </w:tcPr>
          <w:p w14:paraId="3EF64681" w14:textId="77777777" w:rsidR="00B8743F" w:rsidRDefault="00B8743F" w:rsidP="00E516B1">
            <w:pPr>
              <w:pStyle w:val="ListParagraph"/>
              <w:ind w:left="0"/>
              <w:contextualSpacing w:val="0"/>
              <w:rPr>
                <w:rFonts w:ascii="Times New Roman" w:hAnsi="Times New Roman"/>
              </w:rPr>
            </w:pPr>
          </w:p>
        </w:tc>
        <w:tc>
          <w:tcPr>
            <w:tcW w:w="1775" w:type="dxa"/>
          </w:tcPr>
          <w:p w14:paraId="08FB97D6" w14:textId="77777777" w:rsidR="00B8743F" w:rsidRDefault="00B8743F" w:rsidP="00E516B1">
            <w:pPr>
              <w:pStyle w:val="ListParagraph"/>
              <w:ind w:left="0"/>
              <w:contextualSpacing w:val="0"/>
              <w:rPr>
                <w:rFonts w:ascii="Times New Roman" w:hAnsi="Times New Roman"/>
              </w:rPr>
            </w:pPr>
            <w:r>
              <w:rPr>
                <w:rFonts w:ascii="Times New Roman" w:hAnsi="Times New Roman"/>
              </w:rPr>
              <w:t>Number of accounts issued corrected bills exceeding six months</w:t>
            </w:r>
          </w:p>
        </w:tc>
        <w:tc>
          <w:tcPr>
            <w:tcW w:w="1675" w:type="dxa"/>
          </w:tcPr>
          <w:p w14:paraId="36FC9F78" w14:textId="77777777" w:rsidR="00B8743F" w:rsidRDefault="00B8743F" w:rsidP="00E516B1">
            <w:pPr>
              <w:pStyle w:val="ListParagraph"/>
              <w:ind w:left="0"/>
              <w:contextualSpacing w:val="0"/>
              <w:rPr>
                <w:rFonts w:ascii="Times New Roman" w:hAnsi="Times New Roman"/>
              </w:rPr>
            </w:pPr>
            <w:r>
              <w:rPr>
                <w:rFonts w:ascii="Times New Roman" w:hAnsi="Times New Roman"/>
              </w:rPr>
              <w:t>Total amount billed in excess of six months</w:t>
            </w:r>
          </w:p>
        </w:tc>
        <w:tc>
          <w:tcPr>
            <w:tcW w:w="2210" w:type="dxa"/>
          </w:tcPr>
          <w:p w14:paraId="147E9750" w14:textId="580AED84" w:rsidR="00B8743F" w:rsidRDefault="00DE0A03" w:rsidP="00E516B1">
            <w:pPr>
              <w:pStyle w:val="ListParagraph"/>
              <w:ind w:left="0"/>
              <w:contextualSpacing w:val="0"/>
              <w:rPr>
                <w:rFonts w:ascii="Times New Roman" w:hAnsi="Times New Roman"/>
              </w:rPr>
            </w:pPr>
            <w:r>
              <w:rPr>
                <w:rFonts w:ascii="Times New Roman" w:hAnsi="Times New Roman"/>
              </w:rPr>
              <w:t>Seasonal customer</w:t>
            </w:r>
            <w:r w:rsidR="00B8743F">
              <w:rPr>
                <w:rFonts w:ascii="Times New Roman" w:hAnsi="Times New Roman"/>
              </w:rPr>
              <w:t xml:space="preserve"> revenue</w:t>
            </w:r>
          </w:p>
        </w:tc>
      </w:tr>
      <w:tr w:rsidR="00B8743F" w14:paraId="777DD8C4" w14:textId="77777777" w:rsidTr="00E516B1">
        <w:tc>
          <w:tcPr>
            <w:tcW w:w="1143" w:type="dxa"/>
          </w:tcPr>
          <w:p w14:paraId="5374FAAA" w14:textId="77777777" w:rsidR="00B8743F" w:rsidRDefault="00B8743F" w:rsidP="00E516B1">
            <w:pPr>
              <w:pStyle w:val="ListParagraph"/>
              <w:ind w:left="0"/>
              <w:contextualSpacing w:val="0"/>
              <w:jc w:val="center"/>
              <w:rPr>
                <w:rFonts w:ascii="Times New Roman" w:hAnsi="Times New Roman"/>
              </w:rPr>
            </w:pPr>
            <w:r>
              <w:rPr>
                <w:rFonts w:ascii="Times New Roman" w:hAnsi="Times New Roman"/>
              </w:rPr>
              <w:t>2012</w:t>
            </w:r>
          </w:p>
        </w:tc>
        <w:tc>
          <w:tcPr>
            <w:tcW w:w="1775" w:type="dxa"/>
          </w:tcPr>
          <w:p w14:paraId="49C13ABA" w14:textId="77777777" w:rsidR="00B8743F" w:rsidRDefault="00B8743F" w:rsidP="00E516B1">
            <w:pPr>
              <w:pStyle w:val="ListParagraph"/>
              <w:ind w:left="0"/>
              <w:contextualSpacing w:val="0"/>
              <w:rPr>
                <w:rFonts w:ascii="Times New Roman" w:hAnsi="Times New Roman"/>
              </w:rPr>
            </w:pPr>
          </w:p>
        </w:tc>
        <w:tc>
          <w:tcPr>
            <w:tcW w:w="1675" w:type="dxa"/>
          </w:tcPr>
          <w:p w14:paraId="14F6CBC9" w14:textId="77777777" w:rsidR="00B8743F" w:rsidRDefault="00B8743F" w:rsidP="00E516B1">
            <w:pPr>
              <w:pStyle w:val="ListParagraph"/>
              <w:ind w:left="0"/>
              <w:contextualSpacing w:val="0"/>
              <w:rPr>
                <w:rFonts w:ascii="Times New Roman" w:hAnsi="Times New Roman"/>
              </w:rPr>
            </w:pPr>
          </w:p>
        </w:tc>
        <w:tc>
          <w:tcPr>
            <w:tcW w:w="2210" w:type="dxa"/>
          </w:tcPr>
          <w:p w14:paraId="5AF4AC2B" w14:textId="77777777" w:rsidR="00B8743F" w:rsidRDefault="00B8743F" w:rsidP="00E516B1">
            <w:pPr>
              <w:pStyle w:val="ListParagraph"/>
              <w:ind w:left="0"/>
              <w:contextualSpacing w:val="0"/>
              <w:rPr>
                <w:rFonts w:ascii="Times New Roman" w:hAnsi="Times New Roman"/>
              </w:rPr>
            </w:pPr>
          </w:p>
        </w:tc>
      </w:tr>
      <w:tr w:rsidR="00B8743F" w14:paraId="3B0EF4D7" w14:textId="77777777" w:rsidTr="00E516B1">
        <w:tc>
          <w:tcPr>
            <w:tcW w:w="1143" w:type="dxa"/>
          </w:tcPr>
          <w:p w14:paraId="31F1CDAA" w14:textId="77777777" w:rsidR="00B8743F" w:rsidRDefault="00B8743F" w:rsidP="00E516B1">
            <w:pPr>
              <w:pStyle w:val="ListParagraph"/>
              <w:ind w:left="0"/>
              <w:contextualSpacing w:val="0"/>
              <w:jc w:val="center"/>
              <w:rPr>
                <w:rFonts w:ascii="Times New Roman" w:hAnsi="Times New Roman"/>
              </w:rPr>
            </w:pPr>
            <w:r>
              <w:rPr>
                <w:rFonts w:ascii="Times New Roman" w:hAnsi="Times New Roman"/>
              </w:rPr>
              <w:t>2013</w:t>
            </w:r>
          </w:p>
        </w:tc>
        <w:tc>
          <w:tcPr>
            <w:tcW w:w="1775" w:type="dxa"/>
          </w:tcPr>
          <w:p w14:paraId="246BD358" w14:textId="77777777" w:rsidR="00B8743F" w:rsidRDefault="00B8743F" w:rsidP="00E516B1">
            <w:pPr>
              <w:pStyle w:val="ListParagraph"/>
              <w:ind w:left="0"/>
              <w:contextualSpacing w:val="0"/>
              <w:rPr>
                <w:rFonts w:ascii="Times New Roman" w:hAnsi="Times New Roman"/>
              </w:rPr>
            </w:pPr>
          </w:p>
        </w:tc>
        <w:tc>
          <w:tcPr>
            <w:tcW w:w="1675" w:type="dxa"/>
          </w:tcPr>
          <w:p w14:paraId="57978F9D" w14:textId="77777777" w:rsidR="00B8743F" w:rsidRDefault="00B8743F" w:rsidP="00E516B1">
            <w:pPr>
              <w:pStyle w:val="ListParagraph"/>
              <w:ind w:left="0"/>
              <w:contextualSpacing w:val="0"/>
              <w:rPr>
                <w:rFonts w:ascii="Times New Roman" w:hAnsi="Times New Roman"/>
              </w:rPr>
            </w:pPr>
          </w:p>
        </w:tc>
        <w:tc>
          <w:tcPr>
            <w:tcW w:w="2210" w:type="dxa"/>
          </w:tcPr>
          <w:p w14:paraId="6C6D6029" w14:textId="77777777" w:rsidR="00B8743F" w:rsidRDefault="00B8743F" w:rsidP="00E516B1">
            <w:pPr>
              <w:pStyle w:val="ListParagraph"/>
              <w:ind w:left="0"/>
              <w:contextualSpacing w:val="0"/>
              <w:rPr>
                <w:rFonts w:ascii="Times New Roman" w:hAnsi="Times New Roman"/>
              </w:rPr>
            </w:pPr>
          </w:p>
        </w:tc>
      </w:tr>
      <w:tr w:rsidR="00B8743F" w14:paraId="10930131" w14:textId="77777777" w:rsidTr="00E516B1">
        <w:tc>
          <w:tcPr>
            <w:tcW w:w="1143" w:type="dxa"/>
          </w:tcPr>
          <w:p w14:paraId="47D39DF8" w14:textId="77777777" w:rsidR="00B8743F" w:rsidRDefault="00B8743F" w:rsidP="00E516B1">
            <w:pPr>
              <w:pStyle w:val="ListParagraph"/>
              <w:ind w:left="0"/>
              <w:contextualSpacing w:val="0"/>
              <w:jc w:val="center"/>
              <w:rPr>
                <w:rFonts w:ascii="Times New Roman" w:hAnsi="Times New Roman"/>
              </w:rPr>
            </w:pPr>
            <w:r>
              <w:rPr>
                <w:rFonts w:ascii="Times New Roman" w:hAnsi="Times New Roman"/>
              </w:rPr>
              <w:t>2014</w:t>
            </w:r>
          </w:p>
        </w:tc>
        <w:tc>
          <w:tcPr>
            <w:tcW w:w="1775" w:type="dxa"/>
          </w:tcPr>
          <w:p w14:paraId="1C5FFFF9" w14:textId="77777777" w:rsidR="00B8743F" w:rsidRDefault="00B8743F" w:rsidP="00E516B1">
            <w:pPr>
              <w:pStyle w:val="ListParagraph"/>
              <w:ind w:left="0"/>
              <w:contextualSpacing w:val="0"/>
              <w:rPr>
                <w:rFonts w:ascii="Times New Roman" w:hAnsi="Times New Roman"/>
              </w:rPr>
            </w:pPr>
          </w:p>
        </w:tc>
        <w:tc>
          <w:tcPr>
            <w:tcW w:w="1675" w:type="dxa"/>
          </w:tcPr>
          <w:p w14:paraId="29EBB4DF" w14:textId="77777777" w:rsidR="00B8743F" w:rsidRDefault="00B8743F" w:rsidP="00E516B1">
            <w:pPr>
              <w:pStyle w:val="ListParagraph"/>
              <w:ind w:left="0"/>
              <w:contextualSpacing w:val="0"/>
              <w:rPr>
                <w:rFonts w:ascii="Times New Roman" w:hAnsi="Times New Roman"/>
              </w:rPr>
            </w:pPr>
          </w:p>
        </w:tc>
        <w:tc>
          <w:tcPr>
            <w:tcW w:w="2210" w:type="dxa"/>
          </w:tcPr>
          <w:p w14:paraId="52869871" w14:textId="77777777" w:rsidR="00B8743F" w:rsidRDefault="00B8743F" w:rsidP="00E516B1">
            <w:pPr>
              <w:pStyle w:val="ListParagraph"/>
              <w:ind w:left="0"/>
              <w:contextualSpacing w:val="0"/>
              <w:rPr>
                <w:rFonts w:ascii="Times New Roman" w:hAnsi="Times New Roman"/>
              </w:rPr>
            </w:pPr>
          </w:p>
        </w:tc>
      </w:tr>
    </w:tbl>
    <w:p w14:paraId="72A17BFB" w14:textId="77777777" w:rsidR="00B8743F" w:rsidRDefault="00B8743F" w:rsidP="00B8743F">
      <w:pPr>
        <w:pStyle w:val="ListParagraph"/>
        <w:ind w:left="1440"/>
        <w:contextualSpacing w:val="0"/>
        <w:rPr>
          <w:rFonts w:ascii="Times New Roman" w:hAnsi="Times New Roman"/>
        </w:rPr>
      </w:pPr>
    </w:p>
    <w:p w14:paraId="381E3B74" w14:textId="77777777" w:rsidR="00B8743F" w:rsidRPr="00142D2C" w:rsidRDefault="00B8743F" w:rsidP="0025000E">
      <w:pPr>
        <w:pStyle w:val="ListParagraph"/>
        <w:numPr>
          <w:ilvl w:val="0"/>
          <w:numId w:val="13"/>
        </w:numPr>
        <w:spacing w:after="0" w:line="264" w:lineRule="auto"/>
        <w:contextualSpacing w:val="0"/>
        <w:rPr>
          <w:rFonts w:ascii="Times New Roman" w:hAnsi="Times New Roman"/>
          <w:sz w:val="24"/>
          <w:szCs w:val="24"/>
        </w:rPr>
      </w:pPr>
      <w:r w:rsidRPr="00142D2C">
        <w:rPr>
          <w:rFonts w:ascii="Times New Roman" w:hAnsi="Times New Roman"/>
          <w:sz w:val="24"/>
          <w:szCs w:val="24"/>
        </w:rPr>
        <w:t>Please provide the most recent three years of data for corrected bills related to over-billing.</w:t>
      </w:r>
    </w:p>
    <w:p w14:paraId="7ADBA0F0" w14:textId="77777777" w:rsidR="00B8743F" w:rsidRPr="00307765" w:rsidRDefault="00B8743F" w:rsidP="0025000E">
      <w:pPr>
        <w:pStyle w:val="ListParagraph"/>
        <w:spacing w:after="0" w:line="264" w:lineRule="auto"/>
        <w:ind w:left="1440"/>
        <w:contextualSpacing w:val="0"/>
        <w:rPr>
          <w:rFonts w:ascii="Times New Roman" w:hAnsi="Times New Roman"/>
        </w:rPr>
      </w:pPr>
    </w:p>
    <w:tbl>
      <w:tblPr>
        <w:tblW w:w="0" w:type="auto"/>
        <w:tblInd w:w="720" w:type="dxa"/>
        <w:tblCellMar>
          <w:left w:w="0" w:type="dxa"/>
          <w:right w:w="0" w:type="dxa"/>
        </w:tblCellMar>
        <w:tblLook w:val="04A0" w:firstRow="1" w:lastRow="0" w:firstColumn="1" w:lastColumn="0" w:noHBand="0" w:noVBand="1"/>
      </w:tblPr>
      <w:tblGrid>
        <w:gridCol w:w="893"/>
        <w:gridCol w:w="1555"/>
        <w:gridCol w:w="1102"/>
        <w:gridCol w:w="2183"/>
        <w:gridCol w:w="1900"/>
      </w:tblGrid>
      <w:tr w:rsidR="00B8743F" w14:paraId="3C25272C" w14:textId="77777777" w:rsidTr="00E516B1">
        <w:tc>
          <w:tcPr>
            <w:tcW w:w="8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A022F" w14:textId="77777777" w:rsidR="00B8743F" w:rsidRDefault="00B8743F" w:rsidP="00E516B1">
            <w:pPr>
              <w:jc w:val="center"/>
            </w:pPr>
            <w:r>
              <w:t>Year</w:t>
            </w:r>
          </w:p>
        </w:tc>
        <w:tc>
          <w:tcPr>
            <w:tcW w:w="26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F2AD9A" w14:textId="77777777" w:rsidR="00B8743F" w:rsidRDefault="00B8743F" w:rsidP="00E516B1">
            <w:pPr>
              <w:jc w:val="center"/>
            </w:pPr>
            <w:r>
              <w:t xml:space="preserve">Residential </w:t>
            </w:r>
          </w:p>
        </w:tc>
        <w:tc>
          <w:tcPr>
            <w:tcW w:w="40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AAF55" w14:textId="77777777" w:rsidR="00B8743F" w:rsidRDefault="00B8743F" w:rsidP="00E516B1">
            <w:pPr>
              <w:jc w:val="center"/>
            </w:pPr>
            <w:r>
              <w:t>Non Residential</w:t>
            </w:r>
          </w:p>
        </w:tc>
      </w:tr>
      <w:tr w:rsidR="00B8743F" w14:paraId="347C662B" w14:textId="77777777" w:rsidTr="00E516B1">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5C8DE9" w14:textId="77777777" w:rsidR="00B8743F" w:rsidRDefault="00B8743F" w:rsidP="00E516B1"/>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11BD1610" w14:textId="77777777" w:rsidR="00B8743F" w:rsidRDefault="00B8743F" w:rsidP="00E516B1">
            <w:r>
              <w:t>Number of accounts issued refunds exceeding six months</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1E042561" w14:textId="77777777" w:rsidR="00B8743F" w:rsidRDefault="00B8743F" w:rsidP="00E516B1">
            <w:r>
              <w:t>Total amount of refunds  in excess of six months</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14:paraId="201AAB3E" w14:textId="77777777" w:rsidR="00B8743F" w:rsidRDefault="00B8743F" w:rsidP="00E516B1">
            <w:r>
              <w:t>Number of accounts issued refunds exceeding six months</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14:paraId="3A283B6C" w14:textId="77777777" w:rsidR="00B8743F" w:rsidRDefault="00B8743F" w:rsidP="00E516B1">
            <w:r>
              <w:t>Total amount of refunds exceeding six months</w:t>
            </w:r>
          </w:p>
        </w:tc>
      </w:tr>
      <w:tr w:rsidR="00B8743F" w14:paraId="79503713" w14:textId="77777777" w:rsidTr="00E516B1">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68417C" w14:textId="77777777" w:rsidR="00B8743F" w:rsidRDefault="00B8743F" w:rsidP="00E516B1">
            <w:r>
              <w:t>2012</w:t>
            </w:r>
          </w:p>
        </w:tc>
        <w:tc>
          <w:tcPr>
            <w:tcW w:w="1555" w:type="dxa"/>
            <w:tcBorders>
              <w:top w:val="nil"/>
              <w:left w:val="nil"/>
              <w:bottom w:val="single" w:sz="8" w:space="0" w:color="auto"/>
              <w:right w:val="single" w:sz="8" w:space="0" w:color="auto"/>
            </w:tcBorders>
            <w:tcMar>
              <w:top w:w="0" w:type="dxa"/>
              <w:left w:w="108" w:type="dxa"/>
              <w:bottom w:w="0" w:type="dxa"/>
              <w:right w:w="108" w:type="dxa"/>
            </w:tcMar>
          </w:tcPr>
          <w:p w14:paraId="71A4FEEC" w14:textId="77777777" w:rsidR="00B8743F" w:rsidRDefault="00B8743F" w:rsidP="00E516B1"/>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61D48B82" w14:textId="77777777" w:rsidR="00B8743F" w:rsidRDefault="00B8743F" w:rsidP="00E516B1"/>
        </w:tc>
        <w:tc>
          <w:tcPr>
            <w:tcW w:w="2183" w:type="dxa"/>
            <w:tcBorders>
              <w:top w:val="nil"/>
              <w:left w:val="nil"/>
              <w:bottom w:val="single" w:sz="8" w:space="0" w:color="auto"/>
              <w:right w:val="single" w:sz="8" w:space="0" w:color="auto"/>
            </w:tcBorders>
            <w:tcMar>
              <w:top w:w="0" w:type="dxa"/>
              <w:left w:w="108" w:type="dxa"/>
              <w:bottom w:w="0" w:type="dxa"/>
              <w:right w:w="108" w:type="dxa"/>
            </w:tcMar>
          </w:tcPr>
          <w:p w14:paraId="31F8EA18" w14:textId="77777777" w:rsidR="00B8743F" w:rsidRDefault="00B8743F" w:rsidP="00E516B1"/>
        </w:tc>
        <w:tc>
          <w:tcPr>
            <w:tcW w:w="1900" w:type="dxa"/>
            <w:tcBorders>
              <w:top w:val="nil"/>
              <w:left w:val="nil"/>
              <w:bottom w:val="single" w:sz="8" w:space="0" w:color="auto"/>
              <w:right w:val="single" w:sz="8" w:space="0" w:color="auto"/>
            </w:tcBorders>
            <w:tcMar>
              <w:top w:w="0" w:type="dxa"/>
              <w:left w:w="108" w:type="dxa"/>
              <w:bottom w:w="0" w:type="dxa"/>
              <w:right w:w="108" w:type="dxa"/>
            </w:tcMar>
          </w:tcPr>
          <w:p w14:paraId="35397BD4" w14:textId="77777777" w:rsidR="00B8743F" w:rsidRDefault="00B8743F" w:rsidP="00E516B1"/>
        </w:tc>
      </w:tr>
      <w:tr w:rsidR="00B8743F" w14:paraId="1F53F24A" w14:textId="77777777" w:rsidTr="00E516B1">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5DC38C" w14:textId="77777777" w:rsidR="00B8743F" w:rsidRDefault="00B8743F" w:rsidP="00E516B1">
            <w:r>
              <w:t>2013</w:t>
            </w:r>
          </w:p>
        </w:tc>
        <w:tc>
          <w:tcPr>
            <w:tcW w:w="1555" w:type="dxa"/>
            <w:tcBorders>
              <w:top w:val="nil"/>
              <w:left w:val="nil"/>
              <w:bottom w:val="single" w:sz="8" w:space="0" w:color="auto"/>
              <w:right w:val="single" w:sz="8" w:space="0" w:color="auto"/>
            </w:tcBorders>
            <w:tcMar>
              <w:top w:w="0" w:type="dxa"/>
              <w:left w:w="108" w:type="dxa"/>
              <w:bottom w:w="0" w:type="dxa"/>
              <w:right w:w="108" w:type="dxa"/>
            </w:tcMar>
          </w:tcPr>
          <w:p w14:paraId="49239E36" w14:textId="77777777" w:rsidR="00B8743F" w:rsidRDefault="00B8743F" w:rsidP="00E516B1"/>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76795AFA" w14:textId="77777777" w:rsidR="00B8743F" w:rsidRDefault="00B8743F" w:rsidP="00E516B1"/>
        </w:tc>
        <w:tc>
          <w:tcPr>
            <w:tcW w:w="2183" w:type="dxa"/>
            <w:tcBorders>
              <w:top w:val="nil"/>
              <w:left w:val="nil"/>
              <w:bottom w:val="single" w:sz="8" w:space="0" w:color="auto"/>
              <w:right w:val="single" w:sz="8" w:space="0" w:color="auto"/>
            </w:tcBorders>
            <w:tcMar>
              <w:top w:w="0" w:type="dxa"/>
              <w:left w:w="108" w:type="dxa"/>
              <w:bottom w:w="0" w:type="dxa"/>
              <w:right w:w="108" w:type="dxa"/>
            </w:tcMar>
          </w:tcPr>
          <w:p w14:paraId="28A40F19" w14:textId="77777777" w:rsidR="00B8743F" w:rsidRDefault="00B8743F" w:rsidP="00E516B1"/>
        </w:tc>
        <w:tc>
          <w:tcPr>
            <w:tcW w:w="1900" w:type="dxa"/>
            <w:tcBorders>
              <w:top w:val="nil"/>
              <w:left w:val="nil"/>
              <w:bottom w:val="single" w:sz="8" w:space="0" w:color="auto"/>
              <w:right w:val="single" w:sz="8" w:space="0" w:color="auto"/>
            </w:tcBorders>
            <w:tcMar>
              <w:top w:w="0" w:type="dxa"/>
              <w:left w:w="108" w:type="dxa"/>
              <w:bottom w:w="0" w:type="dxa"/>
              <w:right w:w="108" w:type="dxa"/>
            </w:tcMar>
          </w:tcPr>
          <w:p w14:paraId="38E409AD" w14:textId="77777777" w:rsidR="00B8743F" w:rsidRDefault="00B8743F" w:rsidP="00E516B1"/>
        </w:tc>
      </w:tr>
      <w:tr w:rsidR="00B8743F" w14:paraId="6115587A" w14:textId="77777777" w:rsidTr="00E516B1">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2BC73" w14:textId="77777777" w:rsidR="00B8743F" w:rsidRDefault="00B8743F" w:rsidP="00E516B1">
            <w:r>
              <w:t>2014</w:t>
            </w:r>
          </w:p>
        </w:tc>
        <w:tc>
          <w:tcPr>
            <w:tcW w:w="1555" w:type="dxa"/>
            <w:tcBorders>
              <w:top w:val="nil"/>
              <w:left w:val="nil"/>
              <w:bottom w:val="single" w:sz="8" w:space="0" w:color="auto"/>
              <w:right w:val="single" w:sz="8" w:space="0" w:color="auto"/>
            </w:tcBorders>
            <w:tcMar>
              <w:top w:w="0" w:type="dxa"/>
              <w:left w:w="108" w:type="dxa"/>
              <w:bottom w:w="0" w:type="dxa"/>
              <w:right w:w="108" w:type="dxa"/>
            </w:tcMar>
          </w:tcPr>
          <w:p w14:paraId="1C847121" w14:textId="77777777" w:rsidR="00B8743F" w:rsidRDefault="00B8743F" w:rsidP="00E516B1"/>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1FF4C174" w14:textId="77777777" w:rsidR="00B8743F" w:rsidRDefault="00B8743F" w:rsidP="00E516B1"/>
        </w:tc>
        <w:tc>
          <w:tcPr>
            <w:tcW w:w="2183" w:type="dxa"/>
            <w:tcBorders>
              <w:top w:val="nil"/>
              <w:left w:val="nil"/>
              <w:bottom w:val="single" w:sz="8" w:space="0" w:color="auto"/>
              <w:right w:val="single" w:sz="8" w:space="0" w:color="auto"/>
            </w:tcBorders>
            <w:tcMar>
              <w:top w:w="0" w:type="dxa"/>
              <w:left w:w="108" w:type="dxa"/>
              <w:bottom w:w="0" w:type="dxa"/>
              <w:right w:w="108" w:type="dxa"/>
            </w:tcMar>
          </w:tcPr>
          <w:p w14:paraId="0BAE370A" w14:textId="77777777" w:rsidR="00B8743F" w:rsidRDefault="00B8743F" w:rsidP="00E516B1"/>
        </w:tc>
        <w:tc>
          <w:tcPr>
            <w:tcW w:w="1900" w:type="dxa"/>
            <w:tcBorders>
              <w:top w:val="nil"/>
              <w:left w:val="nil"/>
              <w:bottom w:val="single" w:sz="8" w:space="0" w:color="auto"/>
              <w:right w:val="single" w:sz="8" w:space="0" w:color="auto"/>
            </w:tcBorders>
            <w:tcMar>
              <w:top w:w="0" w:type="dxa"/>
              <w:left w:w="108" w:type="dxa"/>
              <w:bottom w:w="0" w:type="dxa"/>
              <w:right w:w="108" w:type="dxa"/>
            </w:tcMar>
          </w:tcPr>
          <w:p w14:paraId="35824171" w14:textId="77777777" w:rsidR="00B8743F" w:rsidRDefault="00B8743F" w:rsidP="00E516B1"/>
        </w:tc>
      </w:tr>
    </w:tbl>
    <w:p w14:paraId="0AF024A7" w14:textId="77777777" w:rsidR="00B8743F" w:rsidRDefault="00B8743F" w:rsidP="00B8743F">
      <w:pPr>
        <w:pStyle w:val="FootnoteText"/>
        <w:ind w:left="720"/>
        <w:rPr>
          <w:rFonts w:ascii="Times New Roman" w:hAnsi="Times New Roman"/>
          <w:sz w:val="24"/>
          <w:szCs w:val="24"/>
        </w:rPr>
      </w:pPr>
    </w:p>
    <w:p w14:paraId="39BAD676" w14:textId="77777777" w:rsidR="00B8743F" w:rsidRDefault="00B8743F" w:rsidP="0025000E">
      <w:pPr>
        <w:pStyle w:val="FootnoteText"/>
        <w:numPr>
          <w:ilvl w:val="0"/>
          <w:numId w:val="13"/>
        </w:numPr>
        <w:spacing w:line="264" w:lineRule="auto"/>
        <w:rPr>
          <w:rFonts w:ascii="Times New Roman" w:hAnsi="Times New Roman"/>
          <w:sz w:val="24"/>
          <w:szCs w:val="24"/>
        </w:rPr>
      </w:pPr>
      <w:r>
        <w:rPr>
          <w:rFonts w:ascii="Times New Roman" w:hAnsi="Times New Roman"/>
          <w:sz w:val="24"/>
          <w:szCs w:val="24"/>
        </w:rPr>
        <w:t>Please describe all current procedures in place to prevent and identify billing errors resulting from: incorrect prorated bills; mislabeled meter bases; incorrectly installed meters; incorrect billing rate schedules; or incorrect billing multipliers.</w:t>
      </w:r>
    </w:p>
    <w:p w14:paraId="29E212A4" w14:textId="77777777" w:rsidR="001F7DF4" w:rsidRPr="00142D2C" w:rsidRDefault="001F7DF4" w:rsidP="001F7DF4">
      <w:pPr>
        <w:pStyle w:val="FootnoteText"/>
        <w:rPr>
          <w:rFonts w:ascii="Times New Roman" w:hAnsi="Times New Roman"/>
          <w:sz w:val="24"/>
          <w:szCs w:val="24"/>
        </w:rPr>
      </w:pPr>
    </w:p>
    <w:p w14:paraId="4141EF60" w14:textId="0FEBF568" w:rsidR="00255A53" w:rsidRDefault="00954799" w:rsidP="0025000E">
      <w:pPr>
        <w:pStyle w:val="NoSpacing"/>
        <w:spacing w:line="264" w:lineRule="auto"/>
        <w:rPr>
          <w:color w:val="000000"/>
          <w:szCs w:val="24"/>
        </w:rPr>
      </w:pPr>
      <w:r w:rsidRPr="00142D2C">
        <w:rPr>
          <w:rFonts w:cs="Calibri"/>
          <w:szCs w:val="24"/>
        </w:rPr>
        <w:t xml:space="preserve">The Commission invites initial written comments on </w:t>
      </w:r>
      <w:r w:rsidR="00690652" w:rsidRPr="00142D2C">
        <w:rPr>
          <w:rFonts w:cs="Calibri"/>
          <w:szCs w:val="24"/>
        </w:rPr>
        <w:t>these and other issues related to</w:t>
      </w:r>
      <w:r w:rsidR="00FD3C05" w:rsidRPr="00142D2C">
        <w:rPr>
          <w:rFonts w:cs="Calibri"/>
          <w:szCs w:val="24"/>
        </w:rPr>
        <w:t xml:space="preserve"> developing rules to</w:t>
      </w:r>
      <w:r w:rsidR="00690652" w:rsidRPr="00142D2C">
        <w:rPr>
          <w:rFonts w:cs="Calibri"/>
          <w:szCs w:val="24"/>
        </w:rPr>
        <w:t xml:space="preserve"> </w:t>
      </w:r>
      <w:r w:rsidR="00177DA6" w:rsidRPr="00142D2C">
        <w:rPr>
          <w:color w:val="000000"/>
          <w:szCs w:val="24"/>
        </w:rPr>
        <w:t xml:space="preserve">encourage regulated utilities to identify and correct </w:t>
      </w:r>
      <w:r w:rsidR="001F7DF4" w:rsidRPr="00142D2C">
        <w:rPr>
          <w:color w:val="000000"/>
          <w:szCs w:val="24"/>
        </w:rPr>
        <w:t xml:space="preserve">billing errors and </w:t>
      </w:r>
      <w:r w:rsidR="00177DA6" w:rsidRPr="00142D2C">
        <w:rPr>
          <w:color w:val="000000"/>
          <w:szCs w:val="24"/>
        </w:rPr>
        <w:t xml:space="preserve">faulty meters in a timely fashion.  </w:t>
      </w:r>
    </w:p>
    <w:p w14:paraId="70888C46" w14:textId="77777777" w:rsidR="0025000E" w:rsidRPr="00142D2C" w:rsidRDefault="0025000E" w:rsidP="0025000E">
      <w:pPr>
        <w:pStyle w:val="NoSpacing"/>
        <w:spacing w:line="264" w:lineRule="auto"/>
        <w:rPr>
          <w:rFonts w:cs="Calibri"/>
          <w:szCs w:val="24"/>
        </w:rPr>
      </w:pPr>
    </w:p>
    <w:p w14:paraId="678DE622" w14:textId="77777777" w:rsidR="00CC3890" w:rsidRPr="00142D2C" w:rsidRDefault="00CC3890" w:rsidP="0025000E">
      <w:pPr>
        <w:pStyle w:val="BodyTextIndent2"/>
        <w:spacing w:line="264" w:lineRule="auto"/>
        <w:ind w:left="0"/>
        <w:rPr>
          <w:b/>
          <w:sz w:val="24"/>
          <w:szCs w:val="24"/>
        </w:rPr>
      </w:pPr>
      <w:r w:rsidRPr="00142D2C">
        <w:rPr>
          <w:b/>
          <w:sz w:val="24"/>
          <w:szCs w:val="24"/>
        </w:rPr>
        <w:t>WRITTEN COMMENTS</w:t>
      </w:r>
    </w:p>
    <w:p w14:paraId="49C287D5" w14:textId="77777777" w:rsidR="00E47331" w:rsidRPr="00142D2C" w:rsidRDefault="00E47331" w:rsidP="0025000E">
      <w:pPr>
        <w:spacing w:line="264" w:lineRule="auto"/>
      </w:pPr>
    </w:p>
    <w:p w14:paraId="46E1DC48" w14:textId="58514933" w:rsidR="00E47331" w:rsidRPr="00142D2C" w:rsidRDefault="006269C8" w:rsidP="0025000E">
      <w:pPr>
        <w:spacing w:line="264" w:lineRule="auto"/>
        <w:rPr>
          <w:color w:val="000000"/>
        </w:rPr>
      </w:pPr>
      <w:r w:rsidRPr="00142D2C">
        <w:rPr>
          <w:bCs/>
        </w:rPr>
        <w:t>W</w:t>
      </w:r>
      <w:r w:rsidR="00CC3890" w:rsidRPr="00142D2C">
        <w:rPr>
          <w:bCs/>
        </w:rPr>
        <w:t xml:space="preserve">ritten comments on the </w:t>
      </w:r>
      <w:r w:rsidR="00623A03" w:rsidRPr="00142D2C">
        <w:rPr>
          <w:bCs/>
        </w:rPr>
        <w:t>s</w:t>
      </w:r>
      <w:r w:rsidR="007E0B9B" w:rsidRPr="00142D2C">
        <w:rPr>
          <w:bCs/>
        </w:rPr>
        <w:t xml:space="preserve">upplemental </w:t>
      </w:r>
      <w:r w:rsidR="00794763" w:rsidRPr="00142D2C">
        <w:rPr>
          <w:bCs/>
        </w:rPr>
        <w:t>CR-101</w:t>
      </w:r>
      <w:r w:rsidR="002C50C2" w:rsidRPr="00142D2C">
        <w:rPr>
          <w:bCs/>
        </w:rPr>
        <w:t xml:space="preserve"> inquiry</w:t>
      </w:r>
      <w:r w:rsidR="00623A03" w:rsidRPr="00142D2C">
        <w:rPr>
          <w:bCs/>
        </w:rPr>
        <w:t>,</w:t>
      </w:r>
      <w:r w:rsidR="007E0B9B" w:rsidRPr="00142D2C">
        <w:rPr>
          <w:bCs/>
        </w:rPr>
        <w:t xml:space="preserve"> issues listed above</w:t>
      </w:r>
      <w:r w:rsidR="00623A03" w:rsidRPr="00142D2C">
        <w:rPr>
          <w:bCs/>
        </w:rPr>
        <w:t>, and revised draft rules</w:t>
      </w:r>
      <w:r w:rsidR="007E0B9B" w:rsidRPr="00142D2C">
        <w:rPr>
          <w:bCs/>
        </w:rPr>
        <w:t xml:space="preserve"> </w:t>
      </w:r>
      <w:r w:rsidR="00990A7C" w:rsidRPr="00142D2C">
        <w:rPr>
          <w:bCs/>
        </w:rPr>
        <w:t>must</w:t>
      </w:r>
      <w:r w:rsidRPr="00142D2C">
        <w:rPr>
          <w:bCs/>
        </w:rPr>
        <w:t xml:space="preserve"> be filed with the Commission no later than </w:t>
      </w:r>
      <w:r w:rsidRPr="00142D2C">
        <w:rPr>
          <w:b/>
          <w:bCs/>
        </w:rPr>
        <w:t xml:space="preserve">5:00 p.m., </w:t>
      </w:r>
      <w:r w:rsidR="00177DA6" w:rsidRPr="00142D2C">
        <w:rPr>
          <w:b/>
          <w:bCs/>
        </w:rPr>
        <w:t>Monday</w:t>
      </w:r>
      <w:r w:rsidR="00036F02" w:rsidRPr="00142D2C">
        <w:rPr>
          <w:b/>
          <w:bCs/>
        </w:rPr>
        <w:t xml:space="preserve">, </w:t>
      </w:r>
      <w:r w:rsidR="00353983" w:rsidRPr="00142D2C">
        <w:rPr>
          <w:b/>
          <w:bCs/>
        </w:rPr>
        <w:t>October 5</w:t>
      </w:r>
      <w:r w:rsidR="002C50C2" w:rsidRPr="00142D2C">
        <w:rPr>
          <w:b/>
          <w:bCs/>
        </w:rPr>
        <w:t>, 201</w:t>
      </w:r>
      <w:r w:rsidR="00177DA6" w:rsidRPr="00142D2C">
        <w:rPr>
          <w:b/>
          <w:bCs/>
        </w:rPr>
        <w:t>5</w:t>
      </w:r>
      <w:r w:rsidR="00E20C6C" w:rsidRPr="00142D2C">
        <w:rPr>
          <w:bCs/>
        </w:rPr>
        <w:t>.</w:t>
      </w:r>
      <w:r w:rsidRPr="00142D2C">
        <w:rPr>
          <w:bCs/>
        </w:rPr>
        <w:t xml:space="preserve"> </w:t>
      </w:r>
      <w:r w:rsidR="00E47331" w:rsidRPr="00142D2C">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1" w:history="1">
        <w:r w:rsidR="00E47331" w:rsidRPr="00142D2C">
          <w:rPr>
            <w:rStyle w:val="Hyperlink"/>
          </w:rPr>
          <w:t>www.utc.wa.gov/e-filing</w:t>
        </w:r>
      </w:hyperlink>
      <w:r w:rsidR="00E47331" w:rsidRPr="00142D2C">
        <w:t xml:space="preserve"> or by electronic mail to the Commission's Records Center at </w:t>
      </w:r>
      <w:hyperlink r:id="rId12" w:history="1">
        <w:r w:rsidR="00E47331" w:rsidRPr="00142D2C">
          <w:rPr>
            <w:rStyle w:val="Hyperlink"/>
          </w:rPr>
          <w:t>records@utc.wa.gov</w:t>
        </w:r>
      </w:hyperlink>
      <w:r w:rsidR="00E47331" w:rsidRPr="00142D2C">
        <w:t>. Please include:</w:t>
      </w:r>
    </w:p>
    <w:p w14:paraId="61CC9131" w14:textId="77777777" w:rsidR="00E47331" w:rsidRPr="00142D2C" w:rsidRDefault="00E47331" w:rsidP="0025000E">
      <w:pPr>
        <w:spacing w:line="264" w:lineRule="auto"/>
        <w:rPr>
          <w:color w:val="000000"/>
        </w:rPr>
      </w:pPr>
    </w:p>
    <w:p w14:paraId="7FEAF93C" w14:textId="65846C9A" w:rsidR="00E47331" w:rsidRPr="00142D2C" w:rsidRDefault="00E47331" w:rsidP="0025000E">
      <w:pPr>
        <w:numPr>
          <w:ilvl w:val="0"/>
          <w:numId w:val="1"/>
        </w:numPr>
        <w:tabs>
          <w:tab w:val="left" w:pos="-1440"/>
        </w:tabs>
        <w:spacing w:line="264" w:lineRule="auto"/>
        <w:ind w:hanging="720"/>
        <w:rPr>
          <w:color w:val="000000"/>
        </w:rPr>
      </w:pPr>
      <w:r w:rsidRPr="00142D2C">
        <w:rPr>
          <w:color w:val="000000"/>
        </w:rPr>
        <w:t>The docket number</w:t>
      </w:r>
      <w:r w:rsidR="00554557" w:rsidRPr="00142D2C">
        <w:rPr>
          <w:color w:val="000000"/>
        </w:rPr>
        <w:t>s</w:t>
      </w:r>
      <w:r w:rsidRPr="00142D2C">
        <w:rPr>
          <w:color w:val="000000"/>
        </w:rPr>
        <w:t xml:space="preserve"> of this proceeding (</w:t>
      </w:r>
      <w:r w:rsidR="00554557" w:rsidRPr="00142D2C">
        <w:t xml:space="preserve">Docket </w:t>
      </w:r>
      <w:r w:rsidR="00997346" w:rsidRPr="00142D2C">
        <w:t>U</w:t>
      </w:r>
      <w:r w:rsidR="002C50C2" w:rsidRPr="00142D2C">
        <w:t>-</w:t>
      </w:r>
      <w:r w:rsidR="00091701" w:rsidRPr="00142D2C">
        <w:t>144155</w:t>
      </w:r>
      <w:r w:rsidR="002376BC" w:rsidRPr="00142D2C">
        <w:rPr>
          <w:color w:val="000000"/>
        </w:rPr>
        <w:t>).</w:t>
      </w:r>
    </w:p>
    <w:p w14:paraId="74687D56" w14:textId="77777777" w:rsidR="00E47331" w:rsidRPr="00142D2C" w:rsidRDefault="00E47331" w:rsidP="0025000E">
      <w:pPr>
        <w:numPr>
          <w:ilvl w:val="0"/>
          <w:numId w:val="1"/>
        </w:numPr>
        <w:tabs>
          <w:tab w:val="left" w:pos="-1440"/>
        </w:tabs>
        <w:spacing w:line="264" w:lineRule="auto"/>
        <w:ind w:hanging="720"/>
        <w:rPr>
          <w:color w:val="000000"/>
        </w:rPr>
      </w:pPr>
      <w:r w:rsidRPr="00142D2C">
        <w:rPr>
          <w:color w:val="000000"/>
        </w:rPr>
        <w:t>The commenting party's name</w:t>
      </w:r>
      <w:r w:rsidR="00CC3890" w:rsidRPr="00142D2C">
        <w:rPr>
          <w:color w:val="000000"/>
        </w:rPr>
        <w:t>.</w:t>
      </w:r>
    </w:p>
    <w:p w14:paraId="679D46E6" w14:textId="77777777" w:rsidR="00E47331" w:rsidRPr="00142D2C" w:rsidRDefault="00E47331" w:rsidP="0025000E">
      <w:pPr>
        <w:numPr>
          <w:ilvl w:val="0"/>
          <w:numId w:val="1"/>
        </w:numPr>
        <w:tabs>
          <w:tab w:val="left" w:pos="-1440"/>
        </w:tabs>
        <w:spacing w:line="264" w:lineRule="auto"/>
        <w:ind w:hanging="720"/>
        <w:rPr>
          <w:color w:val="000000"/>
        </w:rPr>
      </w:pPr>
      <w:r w:rsidRPr="00142D2C">
        <w:rPr>
          <w:color w:val="000000"/>
        </w:rPr>
        <w:t>The title and date of the comment or comments</w:t>
      </w:r>
      <w:r w:rsidR="00CC3890" w:rsidRPr="00142D2C">
        <w:rPr>
          <w:color w:val="000000"/>
        </w:rPr>
        <w:t>.</w:t>
      </w:r>
    </w:p>
    <w:p w14:paraId="17B5CCBC" w14:textId="77777777" w:rsidR="00E47331" w:rsidRPr="00142D2C" w:rsidRDefault="00E47331" w:rsidP="0025000E">
      <w:pPr>
        <w:spacing w:line="264" w:lineRule="auto"/>
        <w:rPr>
          <w:color w:val="000000"/>
        </w:rPr>
      </w:pPr>
    </w:p>
    <w:p w14:paraId="347C0058" w14:textId="0AFC5559" w:rsidR="000237FC" w:rsidRPr="00142D2C" w:rsidRDefault="000237FC" w:rsidP="0025000E">
      <w:pPr>
        <w:spacing w:line="264" w:lineRule="auto"/>
        <w:rPr>
          <w:color w:val="000000"/>
        </w:rPr>
      </w:pPr>
      <w:r w:rsidRPr="00142D2C">
        <w:rPr>
          <w:color w:val="000000"/>
        </w:rPr>
        <w:t>An alternative method for submitting</w:t>
      </w:r>
      <w:r w:rsidR="00E47331" w:rsidRPr="00142D2C">
        <w:rPr>
          <w:color w:val="000000"/>
        </w:rPr>
        <w:t xml:space="preserve"> comments </w:t>
      </w:r>
      <w:r w:rsidRPr="00142D2C">
        <w:rPr>
          <w:color w:val="000000"/>
        </w:rPr>
        <w:t>is</w:t>
      </w:r>
      <w:r w:rsidR="00E73328" w:rsidRPr="00142D2C">
        <w:rPr>
          <w:color w:val="000000"/>
        </w:rPr>
        <w:t xml:space="preserve"> </w:t>
      </w:r>
      <w:r w:rsidR="009C5E2C" w:rsidRPr="00142D2C">
        <w:rPr>
          <w:color w:val="000000"/>
        </w:rPr>
        <w:t xml:space="preserve">mailing or delivering an electronic copy to the Commission’s Records Center on a </w:t>
      </w:r>
      <w:r w:rsidR="00997346" w:rsidRPr="00142D2C">
        <w:rPr>
          <w:color w:val="000000"/>
        </w:rPr>
        <w:t xml:space="preserve">flash drive, </w:t>
      </w:r>
      <w:r w:rsidR="007E0B9B" w:rsidRPr="00142D2C">
        <w:rPr>
          <w:color w:val="000000"/>
        </w:rPr>
        <w:t xml:space="preserve">DVD, or </w:t>
      </w:r>
      <w:r w:rsidR="00997346" w:rsidRPr="00142D2C">
        <w:rPr>
          <w:color w:val="000000"/>
        </w:rPr>
        <w:t xml:space="preserve">compact disk, </w:t>
      </w:r>
      <w:r w:rsidR="00E47331" w:rsidRPr="00142D2C">
        <w:rPr>
          <w:color w:val="000000"/>
        </w:rPr>
        <w:t>in .pdf Adobe Acrobat format or in Word 97 or later</w:t>
      </w:r>
      <w:r w:rsidR="004212BD" w:rsidRPr="00142D2C">
        <w:rPr>
          <w:color w:val="000000"/>
        </w:rPr>
        <w:t xml:space="preserve"> format</w:t>
      </w:r>
      <w:r w:rsidR="00E47331" w:rsidRPr="00142D2C">
        <w:rPr>
          <w:color w:val="000000"/>
        </w:rPr>
        <w:t xml:space="preserve">.  Include all of the information requested above. The Commission will post on </w:t>
      </w:r>
      <w:r w:rsidR="00803F42" w:rsidRPr="00142D2C">
        <w:rPr>
          <w:color w:val="000000"/>
        </w:rPr>
        <w:t>its</w:t>
      </w:r>
      <w:r w:rsidR="00E47331" w:rsidRPr="00142D2C">
        <w:rPr>
          <w:color w:val="000000"/>
        </w:rPr>
        <w:t xml:space="preserve"> web site all comments that are provided in electronic format. The web site is located </w:t>
      </w:r>
      <w:r w:rsidR="00884169" w:rsidRPr="00142D2C">
        <w:t>at</w:t>
      </w:r>
      <w:r w:rsidR="00E73328" w:rsidRPr="00142D2C">
        <w:t xml:space="preserve"> </w:t>
      </w:r>
      <w:hyperlink r:id="rId13" w:history="1">
        <w:r w:rsidR="00091701" w:rsidRPr="00142D2C">
          <w:rPr>
            <w:rStyle w:val="Hyperlink"/>
          </w:rPr>
          <w:t>http://www.utc.wa.gov/144155</w:t>
        </w:r>
      </w:hyperlink>
      <w:r w:rsidR="00114CB5" w:rsidRPr="00142D2C">
        <w:t>.</w:t>
      </w:r>
    </w:p>
    <w:p w14:paraId="142604B7" w14:textId="77777777" w:rsidR="000237FC" w:rsidRPr="00142D2C" w:rsidRDefault="000237FC" w:rsidP="0025000E">
      <w:pPr>
        <w:spacing w:line="264" w:lineRule="auto"/>
        <w:rPr>
          <w:color w:val="000000"/>
        </w:rPr>
      </w:pPr>
    </w:p>
    <w:p w14:paraId="118FA4AB" w14:textId="4171FBE0" w:rsidR="000237FC" w:rsidRPr="00142D2C" w:rsidRDefault="00E47331" w:rsidP="0025000E">
      <w:pPr>
        <w:spacing w:line="264" w:lineRule="auto"/>
      </w:pPr>
      <w:r w:rsidRPr="00142D2C">
        <w:rPr>
          <w:color w:val="000000"/>
        </w:rPr>
        <w:t>If you are unable to file your comments electronically the Commission will accept a paper document.</w:t>
      </w:r>
      <w:r w:rsidR="000237FC" w:rsidRPr="00142D2C">
        <w:rPr>
          <w:color w:val="000000"/>
        </w:rPr>
        <w:t xml:space="preserve"> </w:t>
      </w:r>
      <w:r w:rsidR="000237FC" w:rsidRPr="00142D2C">
        <w:t xml:space="preserve">If you have questions regarding this rulemaking, you may contact staff lead, </w:t>
      </w:r>
      <w:r w:rsidR="00177DA6" w:rsidRPr="00142D2C">
        <w:t>Roger Kouchi</w:t>
      </w:r>
      <w:r w:rsidR="000237FC" w:rsidRPr="00142D2C">
        <w:t>, at (360) 664-1</w:t>
      </w:r>
      <w:r w:rsidR="00177DA6" w:rsidRPr="00142D2C">
        <w:t>101</w:t>
      </w:r>
      <w:r w:rsidR="000237FC" w:rsidRPr="00142D2C">
        <w:t>, or by email at</w:t>
      </w:r>
      <w:r w:rsidR="00177DA6" w:rsidRPr="00142D2C">
        <w:t xml:space="preserve"> </w:t>
      </w:r>
      <w:hyperlink r:id="rId14" w:history="1">
        <w:r w:rsidR="00177DA6" w:rsidRPr="00142D2C">
          <w:rPr>
            <w:rStyle w:val="Hyperlink"/>
          </w:rPr>
          <w:t>rkouchi@utc.wa.gov</w:t>
        </w:r>
      </w:hyperlink>
      <w:r w:rsidR="00177DA6" w:rsidRPr="00142D2C">
        <w:t>.</w:t>
      </w:r>
      <w:r w:rsidR="000237FC" w:rsidRPr="00142D2C">
        <w:t xml:space="preserve"> </w:t>
      </w:r>
    </w:p>
    <w:p w14:paraId="4EACF2D6" w14:textId="77777777" w:rsidR="00CC3890" w:rsidRPr="00142D2C" w:rsidRDefault="00CC3890" w:rsidP="0025000E">
      <w:pPr>
        <w:spacing w:line="264" w:lineRule="auto"/>
        <w:rPr>
          <w:color w:val="000000"/>
        </w:rPr>
      </w:pPr>
    </w:p>
    <w:p w14:paraId="3E07E56A" w14:textId="77777777" w:rsidR="00E47331" w:rsidRPr="00142D2C" w:rsidRDefault="00E47331" w:rsidP="0025000E">
      <w:pPr>
        <w:spacing w:line="264" w:lineRule="auto"/>
      </w:pPr>
    </w:p>
    <w:p w14:paraId="4FF8EC4C" w14:textId="77777777" w:rsidR="00E47331" w:rsidRPr="00142D2C" w:rsidRDefault="00E47331" w:rsidP="0025000E">
      <w:pPr>
        <w:spacing w:line="264" w:lineRule="auto"/>
      </w:pPr>
    </w:p>
    <w:p w14:paraId="1B8E02D1" w14:textId="77777777" w:rsidR="002C50C2" w:rsidRPr="00142D2C" w:rsidRDefault="002C50C2" w:rsidP="0025000E">
      <w:pPr>
        <w:spacing w:line="264" w:lineRule="auto"/>
      </w:pPr>
      <w:r w:rsidRPr="00142D2C">
        <w:t>STEVEN V. KING</w:t>
      </w:r>
    </w:p>
    <w:p w14:paraId="320ED249" w14:textId="77777777" w:rsidR="00E47331" w:rsidRPr="00142D2C" w:rsidRDefault="00E47331" w:rsidP="0025000E">
      <w:pPr>
        <w:spacing w:line="264" w:lineRule="auto"/>
      </w:pPr>
      <w:r w:rsidRPr="00142D2C">
        <w:t>Executive Director and Secretary</w:t>
      </w:r>
    </w:p>
    <w:sectPr w:rsidR="00E47331" w:rsidRPr="00142D2C" w:rsidSect="001C4C4B">
      <w:headerReference w:type="default" r:id="rId15"/>
      <w:headerReference w:type="first" r:id="rId16"/>
      <w:footerReference w:type="first" r:id="rId17"/>
      <w:pgSz w:w="12240" w:h="15840" w:code="1"/>
      <w:pgMar w:top="720" w:right="1440" w:bottom="144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D3336" w14:textId="77777777" w:rsidR="0021567B" w:rsidRDefault="0021567B" w:rsidP="00E47331">
      <w:r>
        <w:separator/>
      </w:r>
    </w:p>
  </w:endnote>
  <w:endnote w:type="continuationSeparator" w:id="0">
    <w:p w14:paraId="68604F75" w14:textId="77777777" w:rsidR="0021567B" w:rsidRDefault="0021567B"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8F4CE" w14:textId="77777777" w:rsidR="00114CB5" w:rsidRDefault="00114CB5" w:rsidP="00114CB5">
    <w:pPr>
      <w:pStyle w:val="Footer"/>
      <w:jc w:val="center"/>
    </w:pPr>
    <w:r>
      <w:rPr>
        <w:rFonts w:ascii="Arial" w:hAnsi="Arial" w:cs="Arial"/>
        <w:color w:val="008000"/>
        <w:sz w:val="18"/>
      </w:rPr>
      <w:t>Respect. Professionalism. Integrity. Accountability</w:t>
    </w:r>
  </w:p>
  <w:p w14:paraId="4075DB9F" w14:textId="77777777" w:rsidR="00114CB5" w:rsidRDefault="00114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894CE" w14:textId="77777777" w:rsidR="0021567B" w:rsidRDefault="0021567B" w:rsidP="00E47331">
      <w:r>
        <w:separator/>
      </w:r>
    </w:p>
  </w:footnote>
  <w:footnote w:type="continuationSeparator" w:id="0">
    <w:p w14:paraId="33EB27F0" w14:textId="77777777" w:rsidR="0021567B" w:rsidRDefault="0021567B"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E19C" w14:textId="1D6B6FE3" w:rsidR="002F084A" w:rsidRPr="004400BA" w:rsidRDefault="002F084A">
    <w:pPr>
      <w:pStyle w:val="Header"/>
      <w:rPr>
        <w:b/>
        <w:sz w:val="20"/>
        <w:szCs w:val="20"/>
      </w:rPr>
    </w:pPr>
    <w:r w:rsidRPr="004400BA">
      <w:rPr>
        <w:b/>
        <w:sz w:val="20"/>
        <w:szCs w:val="20"/>
      </w:rPr>
      <w:t xml:space="preserve">DOCKET </w:t>
    </w:r>
    <w:r w:rsidR="00997346">
      <w:rPr>
        <w:b/>
        <w:sz w:val="20"/>
        <w:szCs w:val="20"/>
      </w:rPr>
      <w:t>U</w:t>
    </w:r>
    <w:r w:rsidR="005B4107">
      <w:rPr>
        <w:b/>
        <w:sz w:val="20"/>
        <w:szCs w:val="20"/>
      </w:rPr>
      <w:t>-</w:t>
    </w:r>
    <w:r w:rsidR="006D3233">
      <w:rPr>
        <w:b/>
        <w:sz w:val="20"/>
        <w:szCs w:val="20"/>
      </w:rPr>
      <w:t>14</w:t>
    </w:r>
    <w:r w:rsidR="001F7DF4">
      <w:rPr>
        <w:b/>
        <w:sz w:val="20"/>
        <w:szCs w:val="20"/>
      </w:rPr>
      <w:t>4155</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501256">
      <w:rPr>
        <w:b/>
        <w:noProof/>
        <w:sz w:val="20"/>
        <w:szCs w:val="20"/>
      </w:rPr>
      <w:t>4</w:t>
    </w:r>
    <w:r w:rsidRPr="004400BA">
      <w:rPr>
        <w:b/>
        <w:sz w:val="20"/>
        <w:szCs w:val="20"/>
      </w:rPr>
      <w:fldChar w:fldCharType="end"/>
    </w:r>
  </w:p>
  <w:p w14:paraId="7410D424" w14:textId="77777777" w:rsidR="002F084A" w:rsidRPr="00E47331" w:rsidRDefault="002F084A">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C82C2" w14:textId="00455CE6" w:rsidR="001C4C4B" w:rsidRPr="00CE68CF" w:rsidRDefault="001C4C4B" w:rsidP="003E3BFD">
    <w:pPr>
      <w:pStyle w:val="Header"/>
      <w:tabs>
        <w:tab w:val="clear" w:pos="4680"/>
        <w:tab w:val="clear" w:pos="9360"/>
        <w:tab w:val="left" w:pos="5940"/>
      </w:tabs>
      <w:rPr>
        <w:b/>
        <w:sz w:val="20"/>
        <w:szCs w:val="20"/>
      </w:rPr>
    </w:pPr>
    <w:r>
      <w:tab/>
    </w:r>
    <w:r w:rsidR="00CE68CF" w:rsidRPr="00CE68CF">
      <w:rPr>
        <w:b/>
        <w:sz w:val="20"/>
        <w:szCs w:val="20"/>
      </w:rPr>
      <w:t>[Service Date September 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5B0A6B"/>
    <w:multiLevelType w:val="hybridMultilevel"/>
    <w:tmpl w:val="E69C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82FEF"/>
    <w:multiLevelType w:val="hybridMultilevel"/>
    <w:tmpl w:val="551A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E53568"/>
    <w:multiLevelType w:val="hybridMultilevel"/>
    <w:tmpl w:val="8A402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A80026"/>
    <w:multiLevelType w:val="hybridMultilevel"/>
    <w:tmpl w:val="AF1EC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12"/>
  </w:num>
  <w:num w:numId="5">
    <w:abstractNumId w:val="4"/>
  </w:num>
  <w:num w:numId="6">
    <w:abstractNumId w:val="8"/>
  </w:num>
  <w:num w:numId="7">
    <w:abstractNumId w:val="5"/>
  </w:num>
  <w:num w:numId="8">
    <w:abstractNumId w:val="1"/>
  </w:num>
  <w:num w:numId="9">
    <w:abstractNumId w:val="6"/>
  </w:num>
  <w:num w:numId="10">
    <w:abstractNumId w:val="2"/>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156B1"/>
    <w:rsid w:val="000237FC"/>
    <w:rsid w:val="00036F02"/>
    <w:rsid w:val="00037182"/>
    <w:rsid w:val="00042E9C"/>
    <w:rsid w:val="00050E08"/>
    <w:rsid w:val="00070604"/>
    <w:rsid w:val="00076DD2"/>
    <w:rsid w:val="0007706B"/>
    <w:rsid w:val="00077E4D"/>
    <w:rsid w:val="0008035C"/>
    <w:rsid w:val="0008562F"/>
    <w:rsid w:val="00091701"/>
    <w:rsid w:val="000A5D28"/>
    <w:rsid w:val="000B17DA"/>
    <w:rsid w:val="000C6F04"/>
    <w:rsid w:val="000D0A79"/>
    <w:rsid w:val="000D42A6"/>
    <w:rsid w:val="000E1E1E"/>
    <w:rsid w:val="000E7F33"/>
    <w:rsid w:val="001067E4"/>
    <w:rsid w:val="0011238D"/>
    <w:rsid w:val="00114CB5"/>
    <w:rsid w:val="00142D2C"/>
    <w:rsid w:val="00151FD0"/>
    <w:rsid w:val="00177DA6"/>
    <w:rsid w:val="0019771A"/>
    <w:rsid w:val="001A1C13"/>
    <w:rsid w:val="001B15CD"/>
    <w:rsid w:val="001B22B6"/>
    <w:rsid w:val="001B2509"/>
    <w:rsid w:val="001C18B4"/>
    <w:rsid w:val="001C31F4"/>
    <w:rsid w:val="001C4C4B"/>
    <w:rsid w:val="001C5AB1"/>
    <w:rsid w:val="001F07CF"/>
    <w:rsid w:val="001F7DF4"/>
    <w:rsid w:val="002025C6"/>
    <w:rsid w:val="0021567B"/>
    <w:rsid w:val="00231DEF"/>
    <w:rsid w:val="00235A6A"/>
    <w:rsid w:val="002376BC"/>
    <w:rsid w:val="00241892"/>
    <w:rsid w:val="00244180"/>
    <w:rsid w:val="0025000E"/>
    <w:rsid w:val="00255A53"/>
    <w:rsid w:val="00263089"/>
    <w:rsid w:val="00264726"/>
    <w:rsid w:val="00277944"/>
    <w:rsid w:val="00284291"/>
    <w:rsid w:val="00291809"/>
    <w:rsid w:val="00292564"/>
    <w:rsid w:val="002A261E"/>
    <w:rsid w:val="002B0614"/>
    <w:rsid w:val="002B0B9A"/>
    <w:rsid w:val="002C039A"/>
    <w:rsid w:val="002C50C2"/>
    <w:rsid w:val="002F084A"/>
    <w:rsid w:val="00305A32"/>
    <w:rsid w:val="00313DAA"/>
    <w:rsid w:val="00320AA7"/>
    <w:rsid w:val="00340044"/>
    <w:rsid w:val="00342A7B"/>
    <w:rsid w:val="00353983"/>
    <w:rsid w:val="00361923"/>
    <w:rsid w:val="00361D5E"/>
    <w:rsid w:val="00373E4A"/>
    <w:rsid w:val="003C1EF5"/>
    <w:rsid w:val="003E3BFD"/>
    <w:rsid w:val="003E66F0"/>
    <w:rsid w:val="004212BD"/>
    <w:rsid w:val="00433AE3"/>
    <w:rsid w:val="004400BA"/>
    <w:rsid w:val="004400D1"/>
    <w:rsid w:val="00462FED"/>
    <w:rsid w:val="00463782"/>
    <w:rsid w:val="0048264B"/>
    <w:rsid w:val="004A1BD2"/>
    <w:rsid w:val="004B2725"/>
    <w:rsid w:val="004C0995"/>
    <w:rsid w:val="004C2E3B"/>
    <w:rsid w:val="004E068E"/>
    <w:rsid w:val="004F6AC0"/>
    <w:rsid w:val="00501256"/>
    <w:rsid w:val="00523DD9"/>
    <w:rsid w:val="00524BE7"/>
    <w:rsid w:val="00530AD0"/>
    <w:rsid w:val="00551184"/>
    <w:rsid w:val="0055422A"/>
    <w:rsid w:val="00554557"/>
    <w:rsid w:val="0055515C"/>
    <w:rsid w:val="00573B98"/>
    <w:rsid w:val="00584DD1"/>
    <w:rsid w:val="00590BF6"/>
    <w:rsid w:val="005963E9"/>
    <w:rsid w:val="005B4107"/>
    <w:rsid w:val="005B46D2"/>
    <w:rsid w:val="005C6712"/>
    <w:rsid w:val="005F6029"/>
    <w:rsid w:val="0060711C"/>
    <w:rsid w:val="006173E1"/>
    <w:rsid w:val="006227CC"/>
    <w:rsid w:val="00623A03"/>
    <w:rsid w:val="006269C8"/>
    <w:rsid w:val="0063664B"/>
    <w:rsid w:val="00641E5A"/>
    <w:rsid w:val="00690652"/>
    <w:rsid w:val="006938E9"/>
    <w:rsid w:val="006953E8"/>
    <w:rsid w:val="006C6174"/>
    <w:rsid w:val="006D3233"/>
    <w:rsid w:val="006E374B"/>
    <w:rsid w:val="006F21F3"/>
    <w:rsid w:val="006F7629"/>
    <w:rsid w:val="00702979"/>
    <w:rsid w:val="00706FAB"/>
    <w:rsid w:val="00715869"/>
    <w:rsid w:val="00717F76"/>
    <w:rsid w:val="007213F1"/>
    <w:rsid w:val="00723D13"/>
    <w:rsid w:val="0073434B"/>
    <w:rsid w:val="007446B0"/>
    <w:rsid w:val="0075071D"/>
    <w:rsid w:val="00753FE9"/>
    <w:rsid w:val="00771042"/>
    <w:rsid w:val="00780694"/>
    <w:rsid w:val="0078078C"/>
    <w:rsid w:val="007844B7"/>
    <w:rsid w:val="00794763"/>
    <w:rsid w:val="007A45D2"/>
    <w:rsid w:val="007B2530"/>
    <w:rsid w:val="007B4715"/>
    <w:rsid w:val="007E0B9B"/>
    <w:rsid w:val="007E1C8A"/>
    <w:rsid w:val="007E1E39"/>
    <w:rsid w:val="007F1BFD"/>
    <w:rsid w:val="007F40E7"/>
    <w:rsid w:val="00803F42"/>
    <w:rsid w:val="00805FAF"/>
    <w:rsid w:val="008214F5"/>
    <w:rsid w:val="00825E8E"/>
    <w:rsid w:val="008335F0"/>
    <w:rsid w:val="0083372C"/>
    <w:rsid w:val="00834926"/>
    <w:rsid w:val="0083772A"/>
    <w:rsid w:val="00850A87"/>
    <w:rsid w:val="00856F5C"/>
    <w:rsid w:val="008627EB"/>
    <w:rsid w:val="00866796"/>
    <w:rsid w:val="0087184A"/>
    <w:rsid w:val="00884169"/>
    <w:rsid w:val="008A2F56"/>
    <w:rsid w:val="008E2A57"/>
    <w:rsid w:val="008F1003"/>
    <w:rsid w:val="00906656"/>
    <w:rsid w:val="00922FBF"/>
    <w:rsid w:val="00923956"/>
    <w:rsid w:val="0092694A"/>
    <w:rsid w:val="00931DC3"/>
    <w:rsid w:val="00935AF3"/>
    <w:rsid w:val="00942899"/>
    <w:rsid w:val="0095291E"/>
    <w:rsid w:val="00954799"/>
    <w:rsid w:val="00954B21"/>
    <w:rsid w:val="00961B42"/>
    <w:rsid w:val="009742C8"/>
    <w:rsid w:val="00975D0D"/>
    <w:rsid w:val="00980C26"/>
    <w:rsid w:val="00990A7C"/>
    <w:rsid w:val="00995B1A"/>
    <w:rsid w:val="00997346"/>
    <w:rsid w:val="009A0C2B"/>
    <w:rsid w:val="009B2A16"/>
    <w:rsid w:val="009C5E2C"/>
    <w:rsid w:val="009E2A67"/>
    <w:rsid w:val="009E7811"/>
    <w:rsid w:val="009F70E1"/>
    <w:rsid w:val="00A00011"/>
    <w:rsid w:val="00A0205D"/>
    <w:rsid w:val="00A0233D"/>
    <w:rsid w:val="00A243BD"/>
    <w:rsid w:val="00A43EAC"/>
    <w:rsid w:val="00A46766"/>
    <w:rsid w:val="00A76188"/>
    <w:rsid w:val="00A84C2A"/>
    <w:rsid w:val="00A950E2"/>
    <w:rsid w:val="00A95706"/>
    <w:rsid w:val="00AB3F32"/>
    <w:rsid w:val="00AB46B6"/>
    <w:rsid w:val="00AD78DA"/>
    <w:rsid w:val="00AE6CB2"/>
    <w:rsid w:val="00AE78C9"/>
    <w:rsid w:val="00AF0870"/>
    <w:rsid w:val="00B11EBE"/>
    <w:rsid w:val="00B45F8A"/>
    <w:rsid w:val="00B52588"/>
    <w:rsid w:val="00B55292"/>
    <w:rsid w:val="00B56852"/>
    <w:rsid w:val="00B84D6F"/>
    <w:rsid w:val="00B8743F"/>
    <w:rsid w:val="00BB4866"/>
    <w:rsid w:val="00BD152B"/>
    <w:rsid w:val="00BF12CD"/>
    <w:rsid w:val="00BF497A"/>
    <w:rsid w:val="00C11E20"/>
    <w:rsid w:val="00C161A9"/>
    <w:rsid w:val="00C23E1C"/>
    <w:rsid w:val="00C2491F"/>
    <w:rsid w:val="00C35DB5"/>
    <w:rsid w:val="00C55E7C"/>
    <w:rsid w:val="00C67871"/>
    <w:rsid w:val="00C73062"/>
    <w:rsid w:val="00C73C5D"/>
    <w:rsid w:val="00CA5BDD"/>
    <w:rsid w:val="00CB0F96"/>
    <w:rsid w:val="00CC05C9"/>
    <w:rsid w:val="00CC3890"/>
    <w:rsid w:val="00CE5A4B"/>
    <w:rsid w:val="00CE68CF"/>
    <w:rsid w:val="00CF1D83"/>
    <w:rsid w:val="00D02F83"/>
    <w:rsid w:val="00D24C81"/>
    <w:rsid w:val="00D41499"/>
    <w:rsid w:val="00D87428"/>
    <w:rsid w:val="00D97450"/>
    <w:rsid w:val="00DB1C5C"/>
    <w:rsid w:val="00DB3A38"/>
    <w:rsid w:val="00DC32CB"/>
    <w:rsid w:val="00DC3502"/>
    <w:rsid w:val="00DD0E20"/>
    <w:rsid w:val="00DD122C"/>
    <w:rsid w:val="00DD2A47"/>
    <w:rsid w:val="00DD62A4"/>
    <w:rsid w:val="00DD62E4"/>
    <w:rsid w:val="00DD708B"/>
    <w:rsid w:val="00DE05CE"/>
    <w:rsid w:val="00DE0A03"/>
    <w:rsid w:val="00DF4BD0"/>
    <w:rsid w:val="00E1393B"/>
    <w:rsid w:val="00E14C78"/>
    <w:rsid w:val="00E20C6C"/>
    <w:rsid w:val="00E22542"/>
    <w:rsid w:val="00E47331"/>
    <w:rsid w:val="00E63911"/>
    <w:rsid w:val="00E64CA8"/>
    <w:rsid w:val="00E71F9D"/>
    <w:rsid w:val="00E73328"/>
    <w:rsid w:val="00E92FB9"/>
    <w:rsid w:val="00ED1E76"/>
    <w:rsid w:val="00ED45B0"/>
    <w:rsid w:val="00EE6167"/>
    <w:rsid w:val="00F41985"/>
    <w:rsid w:val="00F47FDD"/>
    <w:rsid w:val="00F6543D"/>
    <w:rsid w:val="00F66B66"/>
    <w:rsid w:val="00F77596"/>
    <w:rsid w:val="00FA55E2"/>
    <w:rsid w:val="00FA6F9B"/>
    <w:rsid w:val="00FB1935"/>
    <w:rsid w:val="00FB1D6F"/>
    <w:rsid w:val="00FB4A7D"/>
    <w:rsid w:val="00FC1615"/>
    <w:rsid w:val="00FC2110"/>
    <w:rsid w:val="00FC467A"/>
    <w:rsid w:val="00FC46AF"/>
    <w:rsid w:val="00FD3C05"/>
    <w:rsid w:val="00FE1E00"/>
    <w:rsid w:val="00FF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62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D02F83"/>
    <w:rPr>
      <w:rFonts w:ascii="Calibri" w:eastAsia="Calibri" w:hAnsi="Calibri"/>
      <w:sz w:val="20"/>
      <w:szCs w:val="20"/>
    </w:rPr>
  </w:style>
  <w:style w:type="character" w:customStyle="1" w:styleId="FootnoteTextChar">
    <w:name w:val="Footnote Text Char"/>
    <w:basedOn w:val="DefaultParagraphFont"/>
    <w:link w:val="FootnoteText"/>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AB46B6"/>
    <w:rPr>
      <w:color w:val="808080"/>
    </w:rPr>
  </w:style>
  <w:style w:type="paragraph" w:styleId="EndnoteText">
    <w:name w:val="endnote text"/>
    <w:basedOn w:val="Normal"/>
    <w:link w:val="EndnoteTextChar"/>
    <w:uiPriority w:val="99"/>
    <w:semiHidden/>
    <w:unhideWhenUsed/>
    <w:rsid w:val="00DB1C5C"/>
    <w:rPr>
      <w:sz w:val="20"/>
      <w:szCs w:val="20"/>
    </w:rPr>
  </w:style>
  <w:style w:type="character" w:customStyle="1" w:styleId="EndnoteTextChar">
    <w:name w:val="Endnote Text Char"/>
    <w:basedOn w:val="DefaultParagraphFont"/>
    <w:link w:val="EndnoteText"/>
    <w:uiPriority w:val="99"/>
    <w:semiHidden/>
    <w:rsid w:val="00DB1C5C"/>
    <w:rPr>
      <w:rFonts w:ascii="Times New Roman" w:eastAsia="Times New Roman" w:hAnsi="Times New Roman"/>
    </w:rPr>
  </w:style>
  <w:style w:type="character" w:styleId="EndnoteReference">
    <w:name w:val="endnote reference"/>
    <w:basedOn w:val="DefaultParagraphFont"/>
    <w:uiPriority w:val="99"/>
    <w:semiHidden/>
    <w:unhideWhenUsed/>
    <w:rsid w:val="00DB1C5C"/>
    <w:rPr>
      <w:vertAlign w:val="superscript"/>
    </w:rPr>
  </w:style>
  <w:style w:type="paragraph" w:styleId="Revision">
    <w:name w:val="Revision"/>
    <w:hidden/>
    <w:uiPriority w:val="99"/>
    <w:semiHidden/>
    <w:rsid w:val="001F7DF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utc.wa.gov/144155"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records@utc.w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e-filin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http://www.utc.wa.gov/1441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c.wa.gov/144155" TargetMode="External"/><Relationship Id="rId14" Type="http://schemas.openxmlformats.org/officeDocument/2006/relationships/hyperlink" Target="mailto:rkouchi@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dustryCode xmlns="dc463f71-b30c-4ab2-9473-d307f9d35888">501</IndustryCode>
    <DocketNumber xmlns="dc463f71-b30c-4ab2-9473-d307f9d35888">144155</DocketNumber>
    <Prefix xmlns="dc463f71-b30c-4ab2-9473-d307f9d35888">U</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2014-12-24T08:00:00+00:00</OpenedDate>
    <Date1 xmlns="dc463f71-b30c-4ab2-9473-d307f9d35888">2015-09-04T07:00:00+00:00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BC0BC-18CE-4399-909A-E9C3554961B6}"/>
</file>

<file path=customXml/itemProps2.xml><?xml version="1.0" encoding="utf-8"?>
<ds:datastoreItem xmlns:ds="http://schemas.openxmlformats.org/officeDocument/2006/customXml" ds:itemID="{F5DED8DC-67CB-4EC6-B743-8F0468FD1BBE}"/>
</file>

<file path=customXml/itemProps3.xml><?xml version="1.0" encoding="utf-8"?>
<ds:datastoreItem xmlns:ds="http://schemas.openxmlformats.org/officeDocument/2006/customXml" ds:itemID="{72666B35-B65D-4749-BBC8-4378F207AE93}"/>
</file>

<file path=customXml/itemProps4.xml><?xml version="1.0" encoding="utf-8"?>
<ds:datastoreItem xmlns:ds="http://schemas.openxmlformats.org/officeDocument/2006/customXml" ds:itemID="{8CE6EF08-252C-4043-8E26-D8B63198B8F4}"/>
</file>

<file path=customXml/itemProps5.xml><?xml version="1.0" encoding="utf-8"?>
<ds:datastoreItem xmlns:ds="http://schemas.openxmlformats.org/officeDocument/2006/customXml" ds:itemID="{55C4BB11-8D02-4A50-ABC5-A20AAEDB4A5D}"/>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6102</Characters>
  <Application>Microsoft Office Word</Application>
  <DocSecurity>0</DocSecurity>
  <Lines>50</Lines>
  <Paragraphs>14</Paragraphs>
  <ScaleCrop>false</ScaleCrop>
  <LinksUpToDate>false</LinksUpToDate>
  <CharactersWithSpaces>7158</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2015-09-03T14:54:00Z</dcterms:created>
  <dcterms:modified xsi:type="dcterms:W3CDTF">2015-09-03T14:54:00Z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