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3B" w:rsidRPr="001D3C3B" w:rsidRDefault="001D3C3B" w:rsidP="001D3C3B">
      <w:pPr>
        <w:jc w:val="center"/>
      </w:pPr>
      <w:bookmarkStart w:id="0" w:name="_GoBack"/>
      <w:bookmarkEnd w:id="0"/>
      <w:r>
        <w:t>UTC Water Rulemaking – HOA, etc. (</w:t>
      </w:r>
      <w:r w:rsidRPr="001D3C3B">
        <w:t>UW-131386)</w:t>
      </w:r>
    </w:p>
    <w:p w:rsidR="001D3C3B" w:rsidRPr="001D3C3B" w:rsidRDefault="001D3C3B" w:rsidP="001D3C3B">
      <w:pPr>
        <w:jc w:val="center"/>
      </w:pPr>
    </w:p>
    <w:p w:rsidR="001D3C3B" w:rsidRPr="001D3C3B" w:rsidRDefault="001D3C3B" w:rsidP="001D3C3B">
      <w:pPr>
        <w:jc w:val="center"/>
      </w:pPr>
      <w:r w:rsidRPr="001D3C3B">
        <w:t>Background Information</w:t>
      </w:r>
    </w:p>
    <w:p w:rsidR="001D3C3B" w:rsidRDefault="00156E80" w:rsidP="007E4C28">
      <w:pPr>
        <w:jc w:val="center"/>
      </w:pPr>
      <w:r>
        <w:t>(September 5</w:t>
      </w:r>
      <w:r w:rsidR="00A0457B">
        <w:t>, 2013)</w:t>
      </w:r>
    </w:p>
    <w:p w:rsidR="00A0457B" w:rsidRDefault="00A0457B" w:rsidP="007E4C28">
      <w:pPr>
        <w:jc w:val="center"/>
      </w:pPr>
    </w:p>
    <w:p w:rsidR="009C0B00" w:rsidRDefault="00930AB3">
      <w:r>
        <w:tab/>
      </w:r>
      <w:r w:rsidR="009C0B00">
        <w:t>Commission Staff believes it would be helpful to persons interested in this rulemaking to understand t</w:t>
      </w:r>
      <w:r>
        <w:t>he primary impetus behind the Staff proposal to repeal the exemption in WAC 480-110-255(2)(e) and (f) for “homeowner associations, cooperatives and mutual corporations”</w:t>
      </w:r>
      <w:r w:rsidR="00211D38">
        <w:t xml:space="preserve">, and to </w:t>
      </w:r>
      <w:r w:rsidR="00854F39">
        <w:t xml:space="preserve">instead </w:t>
      </w:r>
      <w:r w:rsidR="00211D38">
        <w:t>address the status of these entities in a policy statement</w:t>
      </w:r>
      <w:r w:rsidR="009C0B00">
        <w:t xml:space="preserve">.  </w:t>
      </w:r>
    </w:p>
    <w:p w:rsidR="009C0B00" w:rsidRDefault="009C0B00"/>
    <w:p w:rsidR="00211D38" w:rsidRDefault="009C0B00">
      <w:r>
        <w:tab/>
        <w:t xml:space="preserve">In short, the primary impetus </w:t>
      </w:r>
      <w:r w:rsidR="00930AB3">
        <w:t>is</w:t>
      </w:r>
      <w:r w:rsidR="00854F39">
        <w:t xml:space="preserve"> </w:t>
      </w:r>
      <w:r w:rsidR="00211D38">
        <w:t xml:space="preserve">the need </w:t>
      </w:r>
      <w:r w:rsidR="00930AB3">
        <w:t xml:space="preserve">to </w:t>
      </w:r>
      <w:r w:rsidR="00211D38">
        <w:t xml:space="preserve">assure the </w:t>
      </w:r>
      <w:r>
        <w:t xml:space="preserve">Commission’s </w:t>
      </w:r>
      <w:r w:rsidR="00930AB3">
        <w:t xml:space="preserve">rule </w:t>
      </w:r>
      <w:r w:rsidR="00211D38">
        <w:t xml:space="preserve">is </w:t>
      </w:r>
      <w:r>
        <w:t xml:space="preserve">consistent </w:t>
      </w:r>
      <w:r w:rsidR="00930AB3">
        <w:t>with the law</w:t>
      </w:r>
      <w:r w:rsidR="00854F39">
        <w:t xml:space="preserve">.  </w:t>
      </w:r>
      <w:r>
        <w:t xml:space="preserve">Because </w:t>
      </w:r>
      <w:r w:rsidR="00854F39">
        <w:t>a wide variety of factors can affect an entity’s jurisdictional status</w:t>
      </w:r>
      <w:r>
        <w:t xml:space="preserve"> (some of these factors are discussed below)</w:t>
      </w:r>
      <w:r w:rsidR="00854F39">
        <w:t xml:space="preserve">, and it is not </w:t>
      </w:r>
      <w:r w:rsidR="003C6B5C">
        <w:t xml:space="preserve">always </w:t>
      </w:r>
      <w:r w:rsidR="00854F39">
        <w:t>clear how every factor or combination of factors will be considered by a court</w:t>
      </w:r>
      <w:r>
        <w:t>, a</w:t>
      </w:r>
      <w:r w:rsidR="003C6B5C">
        <w:t xml:space="preserve"> policy statement is the preferable way to address these issues.</w:t>
      </w:r>
    </w:p>
    <w:p w:rsidR="00211D38" w:rsidRDefault="00211D38"/>
    <w:p w:rsidR="00930AB3" w:rsidRDefault="00211D38">
      <w:r>
        <w:tab/>
        <w:t xml:space="preserve">In </w:t>
      </w:r>
      <w:r w:rsidR="00854F39">
        <w:t xml:space="preserve">its </w:t>
      </w:r>
      <w:r>
        <w:t>current form</w:t>
      </w:r>
      <w:r w:rsidR="00930AB3">
        <w:t xml:space="preserve">, </w:t>
      </w:r>
      <w:r w:rsidR="00854F39">
        <w:t>WAC 480-110-255(2)(e) and (f)</w:t>
      </w:r>
      <w:r w:rsidR="00930AB3">
        <w:t xml:space="preserve"> could be (and have been) interpreted to create a blanket exemption for any homeowner association, cooperative </w:t>
      </w:r>
      <w:r>
        <w:t>or</w:t>
      </w:r>
      <w:r w:rsidR="00930AB3">
        <w:t xml:space="preserve"> mutual corporation</w:t>
      </w:r>
      <w:r w:rsidR="00854F39">
        <w:t xml:space="preserve">, no matter how it is </w:t>
      </w:r>
      <w:r w:rsidR="009C0B00">
        <w:t>operated</w:t>
      </w:r>
      <w:r w:rsidR="00930AB3">
        <w:t xml:space="preserve">.  </w:t>
      </w:r>
    </w:p>
    <w:p w:rsidR="00930AB3" w:rsidRDefault="00930AB3"/>
    <w:p w:rsidR="00B74343" w:rsidRDefault="00930AB3" w:rsidP="0049569A">
      <w:pPr>
        <w:rPr>
          <w:rFonts w:cs="Times New Roman"/>
          <w:szCs w:val="24"/>
        </w:rPr>
      </w:pPr>
      <w:r>
        <w:tab/>
      </w:r>
      <w:r w:rsidR="00446FE9">
        <w:t xml:space="preserve">The problem is that </w:t>
      </w:r>
      <w:r w:rsidR="003C6B5C">
        <w:t xml:space="preserve">under the applicable court decisions, </w:t>
      </w:r>
      <w:r w:rsidR="009C0B00">
        <w:t xml:space="preserve">what </w:t>
      </w:r>
      <w:r w:rsidR="003C6B5C">
        <w:t xml:space="preserve">an entity </w:t>
      </w:r>
      <w:r w:rsidR="009C0B00">
        <w:t>does</w:t>
      </w:r>
      <w:r w:rsidR="003C6B5C">
        <w:t xml:space="preserve"> is critical to whether it is exempt from Commission regulation.  The bottom line is that n</w:t>
      </w:r>
      <w:r>
        <w:t xml:space="preserve">ot all </w:t>
      </w:r>
      <w:r w:rsidR="005729AF">
        <w:t>homeowner</w:t>
      </w:r>
      <w:r w:rsidR="00446FE9">
        <w:t>s’</w:t>
      </w:r>
      <w:r w:rsidR="005729AF">
        <w:t xml:space="preserve"> association</w:t>
      </w:r>
      <w:r w:rsidR="003C6B5C">
        <w:t>s</w:t>
      </w:r>
      <w:r w:rsidR="005729AF">
        <w:t>, cooperative</w:t>
      </w:r>
      <w:r w:rsidR="003C6B5C">
        <w:t>s</w:t>
      </w:r>
      <w:r w:rsidR="005729AF">
        <w:t xml:space="preserve"> and mutual corporation</w:t>
      </w:r>
      <w:r w:rsidR="003C6B5C">
        <w:t>s</w:t>
      </w:r>
      <w:r w:rsidR="005729AF">
        <w:t xml:space="preserve"> </w:t>
      </w:r>
      <w:r w:rsidR="00211D38">
        <w:t xml:space="preserve">that provide water service </w:t>
      </w:r>
      <w:r w:rsidR="00446FE9">
        <w:t>are</w:t>
      </w:r>
      <w:r>
        <w:t xml:space="preserve"> exempt </w:t>
      </w:r>
      <w:r w:rsidR="003C6B5C">
        <w:t xml:space="preserve">from Commission regulation </w:t>
      </w:r>
      <w:r>
        <w:t>under the law</w:t>
      </w:r>
      <w:r w:rsidR="00211D38">
        <w:t xml:space="preserve">.  </w:t>
      </w:r>
    </w:p>
    <w:p w:rsidR="005729AF" w:rsidRDefault="005729AF" w:rsidP="0049569A">
      <w:pPr>
        <w:rPr>
          <w:rFonts w:cs="Times New Roman"/>
          <w:szCs w:val="24"/>
        </w:rPr>
      </w:pPr>
    </w:p>
    <w:p w:rsidR="005729AF" w:rsidRDefault="005729AF" w:rsidP="0049569A">
      <w:pPr>
        <w:rPr>
          <w:rFonts w:cs="Times New Roman"/>
          <w:szCs w:val="24"/>
        </w:rPr>
      </w:pPr>
      <w:r>
        <w:rPr>
          <w:rFonts w:cs="Times New Roman"/>
          <w:szCs w:val="24"/>
        </w:rPr>
        <w:tab/>
        <w:t>Note:  For any homeowner</w:t>
      </w:r>
      <w:r w:rsidR="00446FE9">
        <w:rPr>
          <w:rFonts w:cs="Times New Roman"/>
          <w:szCs w:val="24"/>
        </w:rPr>
        <w:t>s’</w:t>
      </w:r>
      <w:r>
        <w:rPr>
          <w:rFonts w:cs="Times New Roman"/>
          <w:szCs w:val="24"/>
        </w:rPr>
        <w:t xml:space="preserve"> association, cooperative or mutual corporation that </w:t>
      </w:r>
      <w:r w:rsidR="00446FE9">
        <w:rPr>
          <w:rFonts w:cs="Times New Roman"/>
          <w:szCs w:val="24"/>
        </w:rPr>
        <w:t xml:space="preserve">meets the definition of “water company” in RCW 80.04.010, but </w:t>
      </w:r>
      <w:r>
        <w:rPr>
          <w:rFonts w:cs="Times New Roman"/>
          <w:szCs w:val="24"/>
        </w:rPr>
        <w:t xml:space="preserve">satisfies the standards enunciated by the </w:t>
      </w:r>
      <w:r w:rsidR="00211D38">
        <w:rPr>
          <w:rFonts w:cs="Times New Roman"/>
          <w:szCs w:val="24"/>
        </w:rPr>
        <w:t xml:space="preserve">supreme </w:t>
      </w:r>
      <w:r>
        <w:rPr>
          <w:rFonts w:cs="Times New Roman"/>
          <w:szCs w:val="24"/>
        </w:rPr>
        <w:t xml:space="preserve">court in the cases discussed below, Commission Staff would </w:t>
      </w:r>
      <w:r w:rsidR="00446FE9">
        <w:rPr>
          <w:rFonts w:cs="Times New Roman"/>
          <w:szCs w:val="24"/>
        </w:rPr>
        <w:t xml:space="preserve">consider such company </w:t>
      </w:r>
      <w:r>
        <w:rPr>
          <w:rFonts w:cs="Times New Roman"/>
          <w:szCs w:val="24"/>
        </w:rPr>
        <w:t xml:space="preserve">not </w:t>
      </w:r>
      <w:r w:rsidR="00446FE9">
        <w:rPr>
          <w:rFonts w:cs="Times New Roman"/>
          <w:szCs w:val="24"/>
        </w:rPr>
        <w:t xml:space="preserve">subject to </w:t>
      </w:r>
      <w:r>
        <w:rPr>
          <w:rFonts w:cs="Times New Roman"/>
          <w:szCs w:val="24"/>
        </w:rPr>
        <w:t>Commission</w:t>
      </w:r>
      <w:r w:rsidR="00446FE9">
        <w:rPr>
          <w:rFonts w:cs="Times New Roman"/>
          <w:szCs w:val="24"/>
        </w:rPr>
        <w:t xml:space="preserve"> </w:t>
      </w:r>
      <w:r>
        <w:rPr>
          <w:rFonts w:cs="Times New Roman"/>
          <w:szCs w:val="24"/>
        </w:rPr>
        <w:t>regulat</w:t>
      </w:r>
      <w:r w:rsidR="00446FE9">
        <w:rPr>
          <w:rFonts w:cs="Times New Roman"/>
          <w:szCs w:val="24"/>
        </w:rPr>
        <w:t>ion</w:t>
      </w:r>
      <w:r>
        <w:rPr>
          <w:rFonts w:cs="Times New Roman"/>
          <w:szCs w:val="24"/>
        </w:rPr>
        <w:t xml:space="preserve">.  </w:t>
      </w:r>
    </w:p>
    <w:p w:rsidR="00446FE9" w:rsidRDefault="00446FE9" w:rsidP="0049569A">
      <w:pPr>
        <w:rPr>
          <w:rFonts w:cs="Times New Roman"/>
          <w:szCs w:val="24"/>
        </w:rPr>
      </w:pPr>
    </w:p>
    <w:p w:rsidR="00446FE9" w:rsidRDefault="00446FE9" w:rsidP="0049569A">
      <w:pPr>
        <w:rPr>
          <w:rFonts w:cs="Times New Roman"/>
          <w:szCs w:val="24"/>
        </w:rPr>
      </w:pPr>
      <w:r>
        <w:rPr>
          <w:rFonts w:cs="Times New Roman"/>
          <w:szCs w:val="24"/>
        </w:rPr>
        <w:tab/>
        <w:t xml:space="preserve">At the outset, </w:t>
      </w:r>
      <w:r w:rsidR="00211D38">
        <w:rPr>
          <w:rFonts w:cs="Times New Roman"/>
          <w:szCs w:val="24"/>
        </w:rPr>
        <w:t xml:space="preserve">we note that </w:t>
      </w:r>
      <w:r>
        <w:rPr>
          <w:rFonts w:cs="Times New Roman"/>
          <w:szCs w:val="24"/>
        </w:rPr>
        <w:t>the definition of “water company” includes “every corporation, company, association, joint stock association partnership and person”.  RCW 80.04.010(30(a).  There</w:t>
      </w:r>
      <w:r w:rsidR="00211D38">
        <w:rPr>
          <w:rFonts w:cs="Times New Roman"/>
          <w:szCs w:val="24"/>
        </w:rPr>
        <w:t xml:space="preserve">fore, for the Commission to exempt a </w:t>
      </w:r>
      <w:r w:rsidR="009C0B00">
        <w:rPr>
          <w:rFonts w:cs="Times New Roman"/>
          <w:szCs w:val="24"/>
        </w:rPr>
        <w:t xml:space="preserve">water company that is a </w:t>
      </w:r>
      <w:r w:rsidR="00211D38">
        <w:rPr>
          <w:rFonts w:cs="Times New Roman"/>
          <w:szCs w:val="24"/>
        </w:rPr>
        <w:t xml:space="preserve">“corporation” or an “association” from regulation, there needs to be a firm </w:t>
      </w:r>
      <w:r w:rsidR="00854F39">
        <w:rPr>
          <w:rFonts w:cs="Times New Roman"/>
          <w:szCs w:val="24"/>
        </w:rPr>
        <w:t xml:space="preserve">legal </w:t>
      </w:r>
      <w:r w:rsidR="00211D38">
        <w:rPr>
          <w:rFonts w:cs="Times New Roman"/>
          <w:szCs w:val="24"/>
        </w:rPr>
        <w:t>foundation for that exemption.</w:t>
      </w:r>
      <w:r>
        <w:rPr>
          <w:rFonts w:cs="Times New Roman"/>
          <w:szCs w:val="24"/>
        </w:rPr>
        <w:t xml:space="preserve"> </w:t>
      </w:r>
    </w:p>
    <w:p w:rsidR="00930AB3" w:rsidRDefault="00930AB3" w:rsidP="0049569A">
      <w:pPr>
        <w:rPr>
          <w:rFonts w:cs="Times New Roman"/>
          <w:szCs w:val="24"/>
        </w:rPr>
      </w:pPr>
    </w:p>
    <w:p w:rsidR="00854F39" w:rsidRDefault="00930AB3" w:rsidP="0049569A">
      <w:pPr>
        <w:pStyle w:val="ListParagraph"/>
        <w:widowControl w:val="0"/>
        <w:ind w:left="0"/>
        <w:rPr>
          <w:rFonts w:cs="Times New Roman"/>
          <w:szCs w:val="24"/>
        </w:rPr>
      </w:pPr>
      <w:r>
        <w:rPr>
          <w:rFonts w:cs="Times New Roman"/>
          <w:szCs w:val="24"/>
        </w:rPr>
        <w:tab/>
      </w:r>
      <w:r w:rsidR="003F23F1">
        <w:rPr>
          <w:rFonts w:cs="Times New Roman"/>
          <w:b/>
          <w:szCs w:val="24"/>
        </w:rPr>
        <w:t xml:space="preserve">Mutual corporations.  </w:t>
      </w:r>
      <w:r>
        <w:rPr>
          <w:rFonts w:cs="Times New Roman"/>
          <w:szCs w:val="24"/>
        </w:rPr>
        <w:t>In</w:t>
      </w:r>
      <w:r w:rsidR="00211D38">
        <w:rPr>
          <w:rFonts w:cs="Times New Roman"/>
          <w:szCs w:val="24"/>
        </w:rPr>
        <w:t xml:space="preserve"> </w:t>
      </w:r>
      <w:r w:rsidR="00211D38" w:rsidRPr="00535082">
        <w:rPr>
          <w:rFonts w:cs="Times New Roman"/>
          <w:i/>
          <w:szCs w:val="24"/>
        </w:rPr>
        <w:t xml:space="preserve">Inland Empire Rural Electrification, Inc. v. Department of Public Service, </w:t>
      </w:r>
      <w:r w:rsidR="00211D38" w:rsidRPr="00535082">
        <w:rPr>
          <w:rFonts w:cs="Times New Roman"/>
          <w:szCs w:val="24"/>
        </w:rPr>
        <w:t>199 Wash. 527, 92 P.2d 258 (1939) (</w:t>
      </w:r>
      <w:r w:rsidR="00211D38" w:rsidRPr="00535082">
        <w:rPr>
          <w:rFonts w:cs="Times New Roman"/>
          <w:i/>
          <w:szCs w:val="24"/>
        </w:rPr>
        <w:t>Inland Empire</w:t>
      </w:r>
      <w:r w:rsidR="00211D38" w:rsidRPr="00535082">
        <w:rPr>
          <w:rFonts w:cs="Times New Roman"/>
          <w:szCs w:val="24"/>
        </w:rPr>
        <w:t xml:space="preserve">), </w:t>
      </w:r>
      <w:r>
        <w:rPr>
          <w:rFonts w:cs="Times New Roman"/>
          <w:szCs w:val="24"/>
        </w:rPr>
        <w:t xml:space="preserve">the court ruled that while a mutual corporation providing </w:t>
      </w:r>
      <w:r w:rsidR="00854F39">
        <w:rPr>
          <w:rFonts w:cs="Times New Roman"/>
          <w:szCs w:val="24"/>
        </w:rPr>
        <w:t xml:space="preserve">electric </w:t>
      </w:r>
      <w:r>
        <w:rPr>
          <w:rFonts w:cs="Times New Roman"/>
          <w:szCs w:val="24"/>
        </w:rPr>
        <w:t>service met the literal definition of “</w:t>
      </w:r>
      <w:r w:rsidR="00854F39">
        <w:rPr>
          <w:rFonts w:cs="Times New Roman"/>
          <w:szCs w:val="24"/>
        </w:rPr>
        <w:t xml:space="preserve">electrical </w:t>
      </w:r>
      <w:r>
        <w:rPr>
          <w:rFonts w:cs="Times New Roman"/>
          <w:szCs w:val="24"/>
        </w:rPr>
        <w:t>company” in RCW 80.04.010 (199 Wash. at 534-35), the company nonetheless was exempt from Commission regulation.</w:t>
      </w:r>
      <w:r w:rsidR="0049569A">
        <w:rPr>
          <w:rFonts w:cs="Times New Roman"/>
          <w:szCs w:val="24"/>
        </w:rPr>
        <w:t xml:space="preserve">  </w:t>
      </w:r>
    </w:p>
    <w:p w:rsidR="00854F39" w:rsidRDefault="00854F39" w:rsidP="0049569A">
      <w:pPr>
        <w:pStyle w:val="ListParagraph"/>
        <w:widowControl w:val="0"/>
        <w:ind w:left="0"/>
        <w:rPr>
          <w:rFonts w:cs="Times New Roman"/>
          <w:szCs w:val="24"/>
        </w:rPr>
      </w:pPr>
    </w:p>
    <w:p w:rsidR="0049569A" w:rsidRDefault="00854F39" w:rsidP="0049569A">
      <w:pPr>
        <w:pStyle w:val="ListParagraph"/>
        <w:widowControl w:val="0"/>
        <w:ind w:left="0"/>
        <w:rPr>
          <w:rFonts w:cs="Times New Roman"/>
          <w:szCs w:val="24"/>
        </w:rPr>
      </w:pPr>
      <w:r>
        <w:rPr>
          <w:rFonts w:cs="Times New Roman"/>
          <w:szCs w:val="24"/>
        </w:rPr>
        <w:tab/>
      </w:r>
      <w:r w:rsidR="0049569A">
        <w:rPr>
          <w:rFonts w:cs="Times New Roman"/>
          <w:szCs w:val="24"/>
        </w:rPr>
        <w:t>The company was a mutual corporation that provided electric service to</w:t>
      </w:r>
      <w:r w:rsidR="0049569A" w:rsidRPr="00EC1E96">
        <w:rPr>
          <w:rFonts w:cs="Times New Roman"/>
          <w:szCs w:val="24"/>
        </w:rPr>
        <w:t xml:space="preserve"> its </w:t>
      </w:r>
      <w:r w:rsidR="0049569A">
        <w:rPr>
          <w:rFonts w:cs="Times New Roman"/>
          <w:szCs w:val="24"/>
        </w:rPr>
        <w:t xml:space="preserve">own </w:t>
      </w:r>
      <w:r>
        <w:rPr>
          <w:rFonts w:cs="Times New Roman"/>
          <w:szCs w:val="24"/>
        </w:rPr>
        <w:t>members/</w:t>
      </w:r>
      <w:r w:rsidR="0049569A" w:rsidRPr="00EC1E96">
        <w:rPr>
          <w:rFonts w:cs="Times New Roman"/>
          <w:szCs w:val="24"/>
        </w:rPr>
        <w:t>shareholders</w:t>
      </w:r>
      <w:r w:rsidR="0049569A">
        <w:rPr>
          <w:rFonts w:cs="Times New Roman"/>
          <w:szCs w:val="24"/>
        </w:rPr>
        <w:t xml:space="preserve"> exclusively</w:t>
      </w:r>
      <w:r w:rsidR="0049569A" w:rsidRPr="00EC1E96">
        <w:rPr>
          <w:rFonts w:cs="Times New Roman"/>
          <w:szCs w:val="24"/>
        </w:rPr>
        <w:t xml:space="preserve">.  </w:t>
      </w:r>
      <w:r w:rsidR="003F243A">
        <w:rPr>
          <w:rFonts w:cs="Times New Roman"/>
          <w:szCs w:val="24"/>
        </w:rPr>
        <w:t xml:space="preserve">After evaluating </w:t>
      </w:r>
      <w:r w:rsidR="0049569A" w:rsidRPr="00EC1E96">
        <w:rPr>
          <w:rFonts w:cs="Times New Roman"/>
          <w:szCs w:val="24"/>
        </w:rPr>
        <w:t>the way the corporation was structured</w:t>
      </w:r>
      <w:r w:rsidR="003F243A">
        <w:rPr>
          <w:rFonts w:cs="Times New Roman"/>
          <w:szCs w:val="24"/>
        </w:rPr>
        <w:t xml:space="preserve"> and operated</w:t>
      </w:r>
      <w:r w:rsidR="0049569A" w:rsidRPr="00EC1E96">
        <w:rPr>
          <w:rFonts w:cs="Times New Roman"/>
          <w:szCs w:val="24"/>
        </w:rPr>
        <w:t xml:space="preserve">, the court concluded </w:t>
      </w:r>
      <w:r w:rsidR="0049569A">
        <w:rPr>
          <w:rFonts w:cs="Times New Roman"/>
          <w:szCs w:val="24"/>
        </w:rPr>
        <w:t xml:space="preserve">the corporation </w:t>
      </w:r>
      <w:r w:rsidR="003F243A">
        <w:rPr>
          <w:rFonts w:cs="Times New Roman"/>
          <w:szCs w:val="24"/>
        </w:rPr>
        <w:t xml:space="preserve">did not offer service “to the public” because it </w:t>
      </w:r>
      <w:r w:rsidR="0049569A" w:rsidRPr="00EC1E96">
        <w:rPr>
          <w:rFonts w:cs="Times New Roman"/>
          <w:szCs w:val="24"/>
        </w:rPr>
        <w:t xml:space="preserve">was not “engaged in business for profit for itself at the expense of a consuming public that has no </w:t>
      </w:r>
      <w:r w:rsidR="0049569A" w:rsidRPr="00EC1E96">
        <w:rPr>
          <w:rFonts w:cs="Times New Roman"/>
          <w:szCs w:val="24"/>
        </w:rPr>
        <w:lastRenderedPageBreak/>
        <w:t>voice in the management of its affairs and no interest in the financial returns”</w:t>
      </w:r>
      <w:r w:rsidR="003F243A">
        <w:rPr>
          <w:rFonts w:cs="Times New Roman"/>
          <w:szCs w:val="24"/>
        </w:rPr>
        <w:t xml:space="preserve">.  199 Wash. at 539.  Therefore, </w:t>
      </w:r>
      <w:r w:rsidR="0049569A" w:rsidRPr="00EC1E96">
        <w:rPr>
          <w:rFonts w:cs="Times New Roman"/>
          <w:szCs w:val="24"/>
        </w:rPr>
        <w:t>customers did not require protection of the public ser</w:t>
      </w:r>
      <w:r w:rsidR="0049569A">
        <w:rPr>
          <w:rFonts w:cs="Times New Roman"/>
          <w:szCs w:val="24"/>
        </w:rPr>
        <w:t xml:space="preserve">vice laws.  </w:t>
      </w:r>
      <w:r w:rsidR="003F243A">
        <w:rPr>
          <w:rFonts w:cs="Times New Roman"/>
          <w:i/>
          <w:szCs w:val="24"/>
        </w:rPr>
        <w:t>Id.</w:t>
      </w:r>
    </w:p>
    <w:p w:rsidR="0049569A" w:rsidRDefault="0049569A" w:rsidP="0049569A">
      <w:pPr>
        <w:pStyle w:val="ListParagraph"/>
        <w:widowControl w:val="0"/>
        <w:ind w:left="0"/>
        <w:rPr>
          <w:rFonts w:cs="Times New Roman"/>
          <w:szCs w:val="24"/>
        </w:rPr>
      </w:pPr>
      <w:r>
        <w:rPr>
          <w:rFonts w:cs="Times New Roman"/>
          <w:szCs w:val="24"/>
        </w:rPr>
        <w:t xml:space="preserve">  </w:t>
      </w:r>
    </w:p>
    <w:p w:rsidR="00930AB3" w:rsidRDefault="0049569A" w:rsidP="0049569A">
      <w:pPr>
        <w:rPr>
          <w:rFonts w:cs="Times New Roman"/>
          <w:szCs w:val="24"/>
        </w:rPr>
      </w:pPr>
      <w:r>
        <w:rPr>
          <w:rFonts w:cs="Times New Roman"/>
          <w:szCs w:val="24"/>
        </w:rPr>
        <w:tab/>
      </w:r>
      <w:r w:rsidRPr="00EC1E96">
        <w:rPr>
          <w:rFonts w:cs="Times New Roman"/>
          <w:szCs w:val="24"/>
        </w:rPr>
        <w:t xml:space="preserve">The court emphasized that the corporation served only its members, at cost, and </w:t>
      </w:r>
      <w:r w:rsidR="00854F39">
        <w:rPr>
          <w:rFonts w:cs="Times New Roman"/>
          <w:szCs w:val="24"/>
        </w:rPr>
        <w:t xml:space="preserve">the corporation returned </w:t>
      </w:r>
      <w:r w:rsidRPr="00EC1E96">
        <w:rPr>
          <w:rFonts w:cs="Times New Roman"/>
          <w:szCs w:val="24"/>
        </w:rPr>
        <w:t xml:space="preserve">any surplus funds </w:t>
      </w:r>
      <w:r w:rsidR="00854F39">
        <w:rPr>
          <w:rFonts w:cs="Times New Roman"/>
          <w:szCs w:val="24"/>
        </w:rPr>
        <w:t>to its members</w:t>
      </w:r>
      <w:r w:rsidRPr="00EC1E96">
        <w:rPr>
          <w:rFonts w:cs="Times New Roman"/>
          <w:szCs w:val="24"/>
        </w:rPr>
        <w:t xml:space="preserve"> ratably each year.  199 Wash. at 540.  </w:t>
      </w:r>
      <w:r w:rsidR="00854F39">
        <w:rPr>
          <w:rFonts w:cs="Times New Roman"/>
          <w:szCs w:val="24"/>
        </w:rPr>
        <w:t xml:space="preserve">Each member had one vote.  199 Wash. at 529.  </w:t>
      </w:r>
      <w:r w:rsidRPr="00EC1E96">
        <w:rPr>
          <w:rFonts w:cs="Times New Roman"/>
          <w:szCs w:val="24"/>
        </w:rPr>
        <w:t xml:space="preserve">The court </w:t>
      </w:r>
      <w:r>
        <w:rPr>
          <w:rFonts w:cs="Times New Roman"/>
          <w:szCs w:val="24"/>
        </w:rPr>
        <w:t xml:space="preserve">was able to conclude </w:t>
      </w:r>
      <w:r w:rsidRPr="00EC1E96">
        <w:rPr>
          <w:rFonts w:cs="Times New Roman"/>
          <w:szCs w:val="24"/>
        </w:rPr>
        <w:t>there was a “</w:t>
      </w:r>
      <w:r w:rsidRPr="00EC1E96">
        <w:rPr>
          <w:rFonts w:cs="Times New Roman"/>
          <w:i/>
          <w:szCs w:val="24"/>
        </w:rPr>
        <w:t>complete identity of interest</w:t>
      </w:r>
      <w:r w:rsidRPr="00EC1E96">
        <w:rPr>
          <w:rFonts w:cs="Times New Roman"/>
          <w:szCs w:val="24"/>
        </w:rPr>
        <w:t xml:space="preserve"> between the corporate agency supplying the service and the persons who are being served.  It is a league of individuals associated together in corporate form for the sole purpose of producing and procuring for themselves a needed service at cost.”  </w:t>
      </w:r>
      <w:r w:rsidRPr="00361F87">
        <w:rPr>
          <w:rFonts w:cs="Times New Roman"/>
          <w:i/>
          <w:szCs w:val="24"/>
        </w:rPr>
        <w:t>Id.</w:t>
      </w:r>
      <w:r w:rsidRPr="00EC1E96">
        <w:rPr>
          <w:rFonts w:cs="Times New Roman"/>
          <w:szCs w:val="24"/>
        </w:rPr>
        <w:t xml:space="preserve"> (emphasis added).</w:t>
      </w:r>
      <w:r w:rsidR="00930AB3">
        <w:rPr>
          <w:rFonts w:cs="Times New Roman"/>
          <w:szCs w:val="24"/>
        </w:rPr>
        <w:t xml:space="preserve"> </w:t>
      </w:r>
    </w:p>
    <w:p w:rsidR="0049569A" w:rsidRDefault="0049569A" w:rsidP="0049569A">
      <w:pPr>
        <w:rPr>
          <w:rFonts w:cs="Times New Roman"/>
          <w:szCs w:val="24"/>
        </w:rPr>
      </w:pPr>
    </w:p>
    <w:p w:rsidR="0049569A" w:rsidRDefault="0049569A" w:rsidP="0049569A">
      <w:pPr>
        <w:rPr>
          <w:rFonts w:cs="Times New Roman"/>
          <w:i/>
          <w:szCs w:val="24"/>
        </w:rPr>
      </w:pPr>
      <w:r>
        <w:rPr>
          <w:rFonts w:cs="Times New Roman"/>
          <w:szCs w:val="24"/>
        </w:rPr>
        <w:tab/>
        <w:t xml:space="preserve">The problem is that the law does not require every mutual corporation to have the attributes </w:t>
      </w:r>
      <w:r w:rsidR="00211D38">
        <w:rPr>
          <w:rFonts w:cs="Times New Roman"/>
          <w:szCs w:val="24"/>
        </w:rPr>
        <w:t xml:space="preserve">the court </w:t>
      </w:r>
      <w:r>
        <w:rPr>
          <w:rFonts w:cs="Times New Roman"/>
          <w:szCs w:val="24"/>
        </w:rPr>
        <w:t xml:space="preserve">found to be critical in </w:t>
      </w:r>
      <w:r>
        <w:rPr>
          <w:rFonts w:cs="Times New Roman"/>
          <w:i/>
          <w:szCs w:val="24"/>
        </w:rPr>
        <w:t xml:space="preserve">Inland Empire.  </w:t>
      </w:r>
      <w:r>
        <w:rPr>
          <w:rFonts w:cs="Times New Roman"/>
          <w:szCs w:val="24"/>
        </w:rPr>
        <w:t xml:space="preserve">For example, </w:t>
      </w:r>
      <w:r w:rsidR="003F23F1">
        <w:rPr>
          <w:rFonts w:cs="Times New Roman"/>
          <w:szCs w:val="24"/>
        </w:rPr>
        <w:t xml:space="preserve">under </w:t>
      </w:r>
      <w:r>
        <w:rPr>
          <w:rFonts w:cs="Times New Roman"/>
          <w:szCs w:val="24"/>
        </w:rPr>
        <w:t>Washington</w:t>
      </w:r>
      <w:r w:rsidR="003F23F1">
        <w:rPr>
          <w:rFonts w:cs="Times New Roman"/>
          <w:szCs w:val="24"/>
        </w:rPr>
        <w:t xml:space="preserve"> statutes</w:t>
      </w:r>
      <w:r>
        <w:rPr>
          <w:rFonts w:cs="Times New Roman"/>
          <w:szCs w:val="24"/>
        </w:rPr>
        <w:t xml:space="preserve">, a mutual corporation may have several different classes of shareholders with different rights in the corporation.  RCW 24.06.025(5)(b).  A mutual corporation </w:t>
      </w:r>
      <w:r w:rsidR="003F23F1">
        <w:rPr>
          <w:rFonts w:cs="Times New Roman"/>
          <w:szCs w:val="24"/>
        </w:rPr>
        <w:t xml:space="preserve">is not required to </w:t>
      </w:r>
      <w:r>
        <w:rPr>
          <w:rFonts w:cs="Times New Roman"/>
          <w:szCs w:val="24"/>
        </w:rPr>
        <w:t xml:space="preserve">distribute </w:t>
      </w:r>
      <w:r w:rsidR="003C6B5C">
        <w:rPr>
          <w:rFonts w:cs="Times New Roman"/>
          <w:szCs w:val="24"/>
        </w:rPr>
        <w:t>any</w:t>
      </w:r>
      <w:r>
        <w:rPr>
          <w:rFonts w:cs="Times New Roman"/>
          <w:szCs w:val="24"/>
        </w:rPr>
        <w:t xml:space="preserve"> surplus</w:t>
      </w:r>
      <w:r w:rsidR="00DB7812">
        <w:rPr>
          <w:rFonts w:cs="Times New Roman"/>
          <w:szCs w:val="24"/>
        </w:rPr>
        <w:t xml:space="preserve"> on a ratable basis, or </w:t>
      </w:r>
      <w:r>
        <w:rPr>
          <w:rFonts w:cs="Times New Roman"/>
          <w:szCs w:val="24"/>
        </w:rPr>
        <w:t>only to shareholders</w:t>
      </w:r>
      <w:r w:rsidR="003F23F1">
        <w:rPr>
          <w:rFonts w:cs="Times New Roman"/>
          <w:szCs w:val="24"/>
        </w:rPr>
        <w:t xml:space="preserve">.  Rather, a mutual corporation may distribute its surplus in another manner or </w:t>
      </w:r>
      <w:r>
        <w:rPr>
          <w:rFonts w:cs="Times New Roman"/>
          <w:szCs w:val="24"/>
        </w:rPr>
        <w:t xml:space="preserve">to persons </w:t>
      </w:r>
      <w:r w:rsidR="003F23F1">
        <w:rPr>
          <w:rFonts w:cs="Times New Roman"/>
          <w:szCs w:val="24"/>
        </w:rPr>
        <w:t>other than shareholders</w:t>
      </w:r>
      <w:r>
        <w:rPr>
          <w:rFonts w:cs="Times New Roman"/>
          <w:szCs w:val="24"/>
        </w:rPr>
        <w:t xml:space="preserve">, as spelled out in the </w:t>
      </w:r>
      <w:r w:rsidR="003F23F1">
        <w:rPr>
          <w:rFonts w:cs="Times New Roman"/>
          <w:szCs w:val="24"/>
        </w:rPr>
        <w:t xml:space="preserve">corporation’s </w:t>
      </w:r>
      <w:r>
        <w:rPr>
          <w:rFonts w:cs="Times New Roman"/>
          <w:szCs w:val="24"/>
        </w:rPr>
        <w:t>articles of incorporation.  RCW 24.06.015(13) and RCW 24.06.035(1).</w:t>
      </w:r>
      <w:r>
        <w:rPr>
          <w:rFonts w:cs="Times New Roman"/>
          <w:i/>
          <w:szCs w:val="24"/>
        </w:rPr>
        <w:t xml:space="preserve">  </w:t>
      </w:r>
      <w:r w:rsidR="00DB7812">
        <w:rPr>
          <w:rFonts w:cs="Times New Roman"/>
          <w:szCs w:val="24"/>
        </w:rPr>
        <w:t xml:space="preserve">(Note that in the later decision in </w:t>
      </w:r>
      <w:r w:rsidR="00DB7812">
        <w:rPr>
          <w:rFonts w:cs="Times New Roman"/>
          <w:i/>
          <w:szCs w:val="24"/>
        </w:rPr>
        <w:t xml:space="preserve">Nob Hill, </w:t>
      </w:r>
      <w:r w:rsidR="00DB7812">
        <w:rPr>
          <w:rFonts w:cs="Times New Roman"/>
          <w:szCs w:val="24"/>
        </w:rPr>
        <w:t xml:space="preserve">the court indicated that it was acceptable for an exempt water company to retain earnings for use in the business).  </w:t>
      </w:r>
      <w:r w:rsidR="005729AF">
        <w:rPr>
          <w:rFonts w:cs="Times New Roman"/>
          <w:szCs w:val="24"/>
        </w:rPr>
        <w:t>Upon dissolution, a mutual corporation’s remaining assets (assets left after paying costs and any required return of assets) are not required to be distributed equally among the members/shareholders, but only in the manner stated in the articles of incorporation.  RCW 24.06.305.</w:t>
      </w:r>
    </w:p>
    <w:p w:rsidR="003F23F1" w:rsidRDefault="003F23F1" w:rsidP="0049569A">
      <w:pPr>
        <w:rPr>
          <w:rFonts w:cs="Times New Roman"/>
          <w:i/>
          <w:szCs w:val="24"/>
        </w:rPr>
      </w:pPr>
    </w:p>
    <w:p w:rsidR="003F23F1" w:rsidRDefault="003F23F1" w:rsidP="0049569A">
      <w:pPr>
        <w:rPr>
          <w:rFonts w:cs="Times New Roman"/>
          <w:szCs w:val="24"/>
        </w:rPr>
      </w:pPr>
      <w:r>
        <w:rPr>
          <w:rFonts w:cs="Times New Roman"/>
          <w:i/>
          <w:szCs w:val="24"/>
        </w:rPr>
        <w:tab/>
      </w:r>
      <w:r>
        <w:rPr>
          <w:rFonts w:cs="Times New Roman"/>
          <w:szCs w:val="24"/>
        </w:rPr>
        <w:t xml:space="preserve">Consequently, because all mutual corporations need not share the </w:t>
      </w:r>
      <w:r w:rsidR="002F7913">
        <w:rPr>
          <w:rFonts w:cs="Times New Roman"/>
          <w:szCs w:val="24"/>
        </w:rPr>
        <w:t xml:space="preserve">attributes </w:t>
      </w:r>
      <w:r>
        <w:rPr>
          <w:rFonts w:cs="Times New Roman"/>
          <w:szCs w:val="24"/>
        </w:rPr>
        <w:t xml:space="preserve">the court found determinative in </w:t>
      </w:r>
      <w:r>
        <w:rPr>
          <w:rFonts w:cs="Times New Roman"/>
          <w:i/>
          <w:szCs w:val="24"/>
        </w:rPr>
        <w:t>Inland Empire</w:t>
      </w:r>
      <w:r>
        <w:rPr>
          <w:rFonts w:cs="Times New Roman"/>
          <w:szCs w:val="24"/>
        </w:rPr>
        <w:t>, the Commission cannot exempt all mutual corporations/water companies from regulation.</w:t>
      </w:r>
    </w:p>
    <w:p w:rsidR="003F23F1" w:rsidRDefault="003F23F1" w:rsidP="0049569A">
      <w:pPr>
        <w:rPr>
          <w:rFonts w:cs="Times New Roman"/>
          <w:szCs w:val="24"/>
        </w:rPr>
      </w:pPr>
    </w:p>
    <w:p w:rsidR="003C6B5C" w:rsidRDefault="003F23F1" w:rsidP="003F23F1">
      <w:pPr>
        <w:pStyle w:val="ListParagraph"/>
        <w:ind w:left="0"/>
        <w:rPr>
          <w:rFonts w:cs="Times New Roman"/>
          <w:szCs w:val="24"/>
        </w:rPr>
      </w:pPr>
      <w:r>
        <w:rPr>
          <w:rFonts w:cs="Times New Roman"/>
          <w:szCs w:val="24"/>
        </w:rPr>
        <w:tab/>
      </w:r>
      <w:r>
        <w:rPr>
          <w:rFonts w:cs="Times New Roman"/>
          <w:b/>
          <w:szCs w:val="24"/>
        </w:rPr>
        <w:t xml:space="preserve">Cooperatives.  </w:t>
      </w:r>
      <w:r w:rsidRPr="003F23F1">
        <w:rPr>
          <w:rFonts w:cs="Times New Roman"/>
          <w:szCs w:val="24"/>
        </w:rPr>
        <w:t xml:space="preserve">In </w:t>
      </w:r>
      <w:r w:rsidR="00211D38" w:rsidRPr="00535082">
        <w:rPr>
          <w:rFonts w:cs="Times New Roman"/>
          <w:i/>
          <w:szCs w:val="24"/>
        </w:rPr>
        <w:t xml:space="preserve">West Valley Land Co., Inc. v. Nob Hill Water Association, </w:t>
      </w:r>
      <w:r w:rsidR="00211D38" w:rsidRPr="00535082">
        <w:rPr>
          <w:rFonts w:cs="Times New Roman"/>
          <w:szCs w:val="24"/>
        </w:rPr>
        <w:t>107 Wn.2d 359, 729 P.2d 42 (1986) (</w:t>
      </w:r>
      <w:r w:rsidR="00211D38">
        <w:rPr>
          <w:rFonts w:cs="Times New Roman"/>
          <w:i/>
          <w:szCs w:val="24"/>
        </w:rPr>
        <w:t>Nob Hill)</w:t>
      </w:r>
      <w:r w:rsidRPr="003F23F1">
        <w:rPr>
          <w:rFonts w:cs="Times New Roman"/>
          <w:i/>
          <w:szCs w:val="24"/>
        </w:rPr>
        <w:t>,</w:t>
      </w:r>
      <w:r>
        <w:rPr>
          <w:rFonts w:cs="Times New Roman"/>
          <w:i/>
          <w:szCs w:val="24"/>
        </w:rPr>
        <w:t xml:space="preserve"> </w:t>
      </w:r>
      <w:r>
        <w:rPr>
          <w:rFonts w:cs="Times New Roman"/>
          <w:szCs w:val="24"/>
        </w:rPr>
        <w:t xml:space="preserve">the court </w:t>
      </w:r>
      <w:r w:rsidR="00DB7812">
        <w:rPr>
          <w:rFonts w:cs="Times New Roman"/>
          <w:szCs w:val="24"/>
        </w:rPr>
        <w:t xml:space="preserve">applied </w:t>
      </w:r>
      <w:r>
        <w:rPr>
          <w:rFonts w:cs="Times New Roman"/>
          <w:szCs w:val="24"/>
        </w:rPr>
        <w:t xml:space="preserve">its analysis in </w:t>
      </w:r>
      <w:r w:rsidRPr="003F23F1">
        <w:rPr>
          <w:rFonts w:cs="Times New Roman"/>
          <w:i/>
          <w:szCs w:val="24"/>
        </w:rPr>
        <w:t>Inland Empire</w:t>
      </w:r>
      <w:r w:rsidR="00DB7812">
        <w:rPr>
          <w:rFonts w:cs="Times New Roman"/>
          <w:i/>
          <w:szCs w:val="24"/>
        </w:rPr>
        <w:t xml:space="preserve"> </w:t>
      </w:r>
      <w:r w:rsidR="00DB7812">
        <w:rPr>
          <w:rFonts w:cs="Times New Roman"/>
          <w:szCs w:val="24"/>
        </w:rPr>
        <w:t>to a cooperative</w:t>
      </w:r>
      <w:r w:rsidR="003C6B5C">
        <w:rPr>
          <w:rFonts w:cs="Times New Roman"/>
          <w:szCs w:val="24"/>
        </w:rPr>
        <w:t xml:space="preserve"> providing water service</w:t>
      </w:r>
      <w:r>
        <w:rPr>
          <w:rFonts w:cs="Times New Roman"/>
          <w:szCs w:val="24"/>
        </w:rPr>
        <w:t xml:space="preserve">.  </w:t>
      </w:r>
      <w:r w:rsidR="009C0B00">
        <w:rPr>
          <w:rFonts w:cs="Times New Roman"/>
          <w:szCs w:val="24"/>
        </w:rPr>
        <w:t xml:space="preserve">Similar to what </w:t>
      </w:r>
      <w:r w:rsidR="00DB7812">
        <w:rPr>
          <w:rFonts w:cs="Times New Roman"/>
          <w:szCs w:val="24"/>
        </w:rPr>
        <w:t xml:space="preserve">it did </w:t>
      </w:r>
      <w:r>
        <w:rPr>
          <w:rFonts w:cs="Times New Roman"/>
          <w:szCs w:val="24"/>
        </w:rPr>
        <w:t xml:space="preserve">for the mutual corporation in </w:t>
      </w:r>
      <w:r>
        <w:rPr>
          <w:rFonts w:cs="Times New Roman"/>
          <w:i/>
          <w:szCs w:val="24"/>
        </w:rPr>
        <w:t xml:space="preserve">Inland </w:t>
      </w:r>
      <w:r w:rsidR="002F7913">
        <w:rPr>
          <w:rFonts w:cs="Times New Roman"/>
          <w:i/>
          <w:szCs w:val="24"/>
        </w:rPr>
        <w:t>Empire</w:t>
      </w:r>
      <w:r>
        <w:rPr>
          <w:rFonts w:cs="Times New Roman"/>
          <w:i/>
          <w:szCs w:val="24"/>
        </w:rPr>
        <w:t>,</w:t>
      </w:r>
      <w:r>
        <w:rPr>
          <w:rFonts w:cs="Times New Roman"/>
          <w:szCs w:val="24"/>
        </w:rPr>
        <w:t xml:space="preserve"> the court indicated that the </w:t>
      </w:r>
      <w:r w:rsidR="00DB7812">
        <w:rPr>
          <w:rFonts w:cs="Times New Roman"/>
          <w:szCs w:val="24"/>
        </w:rPr>
        <w:t xml:space="preserve">cooperative, the </w:t>
      </w:r>
      <w:r>
        <w:rPr>
          <w:rFonts w:cs="Times New Roman"/>
          <w:szCs w:val="24"/>
        </w:rPr>
        <w:t>Nob Hill Water Association (Water Association)</w:t>
      </w:r>
      <w:r w:rsidR="00DB7812">
        <w:rPr>
          <w:rFonts w:cs="Times New Roman"/>
          <w:szCs w:val="24"/>
        </w:rPr>
        <w:t>,</w:t>
      </w:r>
      <w:r>
        <w:rPr>
          <w:rFonts w:cs="Times New Roman"/>
          <w:szCs w:val="24"/>
        </w:rPr>
        <w:t xml:space="preserve"> also met the literal definition of “water company” in RCW 80.04.010.  However, the court held the Water Association exempt from Commission regulation</w:t>
      </w:r>
      <w:r w:rsidR="003F243A">
        <w:rPr>
          <w:rFonts w:cs="Times New Roman"/>
          <w:szCs w:val="24"/>
        </w:rPr>
        <w:t xml:space="preserve">.  According to the court, the Water Association did not provide service “to the public” because it </w:t>
      </w:r>
      <w:r w:rsidRPr="00EC1E96">
        <w:rPr>
          <w:rFonts w:cs="Times New Roman"/>
          <w:szCs w:val="24"/>
        </w:rPr>
        <w:t xml:space="preserve">“did not conduct its operations for gain to itself, or for the profit of investing stockholders, but functions entirely on a cooperative basis.”  107 Wn.2d at 367.  </w:t>
      </w:r>
    </w:p>
    <w:p w:rsidR="003C6B5C" w:rsidRDefault="003C6B5C" w:rsidP="003F23F1">
      <w:pPr>
        <w:pStyle w:val="ListParagraph"/>
        <w:ind w:left="0"/>
        <w:rPr>
          <w:rFonts w:cs="Times New Roman"/>
          <w:szCs w:val="24"/>
        </w:rPr>
      </w:pPr>
    </w:p>
    <w:p w:rsidR="003F23F1" w:rsidRDefault="003C6B5C" w:rsidP="003F23F1">
      <w:pPr>
        <w:pStyle w:val="ListParagraph"/>
        <w:ind w:left="0"/>
        <w:rPr>
          <w:rFonts w:cs="Times New Roman"/>
          <w:szCs w:val="24"/>
        </w:rPr>
      </w:pPr>
      <w:r>
        <w:rPr>
          <w:rFonts w:cs="Times New Roman"/>
          <w:szCs w:val="24"/>
        </w:rPr>
        <w:tab/>
        <w:t>In particular, u</w:t>
      </w:r>
      <w:r w:rsidR="00854F39">
        <w:rPr>
          <w:rFonts w:cs="Times New Roman"/>
          <w:szCs w:val="24"/>
        </w:rPr>
        <w:t xml:space="preserve">nder the </w:t>
      </w:r>
      <w:r>
        <w:rPr>
          <w:rFonts w:cs="Times New Roman"/>
          <w:szCs w:val="24"/>
        </w:rPr>
        <w:t xml:space="preserve">Water Association’s </w:t>
      </w:r>
      <w:r w:rsidR="00854F39">
        <w:rPr>
          <w:rFonts w:cs="Times New Roman"/>
          <w:szCs w:val="24"/>
        </w:rPr>
        <w:t>articles of incorporation, the</w:t>
      </w:r>
      <w:r w:rsidR="009C0B00">
        <w:rPr>
          <w:rFonts w:cs="Times New Roman"/>
          <w:szCs w:val="24"/>
        </w:rPr>
        <w:t xml:space="preserve"> cooperative </w:t>
      </w:r>
      <w:r w:rsidR="00854F39">
        <w:rPr>
          <w:rFonts w:cs="Times New Roman"/>
          <w:szCs w:val="24"/>
        </w:rPr>
        <w:t xml:space="preserve">would </w:t>
      </w:r>
      <w:r w:rsidR="009C0B00">
        <w:rPr>
          <w:rFonts w:cs="Times New Roman"/>
          <w:szCs w:val="24"/>
        </w:rPr>
        <w:t xml:space="preserve">earn </w:t>
      </w:r>
      <w:r w:rsidR="00854F39">
        <w:rPr>
          <w:rFonts w:cs="Times New Roman"/>
          <w:szCs w:val="24"/>
        </w:rPr>
        <w:t xml:space="preserve">no profit  </w:t>
      </w:r>
      <w:r w:rsidR="009C0B00">
        <w:rPr>
          <w:rFonts w:cs="Times New Roman"/>
          <w:szCs w:val="24"/>
        </w:rPr>
        <w:t xml:space="preserve">and would not  </w:t>
      </w:r>
      <w:r w:rsidR="00854F39">
        <w:rPr>
          <w:rFonts w:cs="Times New Roman"/>
          <w:szCs w:val="24"/>
        </w:rPr>
        <w:t>declare any dividends.  Upon dissolution and liquidation, each stockholder would receive a pro rata share in the assets of the corporation.  107 Wn.2d at 361.</w:t>
      </w:r>
      <w:r>
        <w:rPr>
          <w:rFonts w:cs="Times New Roman"/>
          <w:szCs w:val="24"/>
        </w:rPr>
        <w:t xml:space="preserve">  The court also noted that</w:t>
      </w:r>
      <w:r w:rsidR="003F23F1">
        <w:rPr>
          <w:rFonts w:cs="Times New Roman"/>
          <w:szCs w:val="24"/>
        </w:rPr>
        <w:t xml:space="preserve"> the Water Association </w:t>
      </w:r>
      <w:r w:rsidR="003F23F1" w:rsidRPr="00EC1E96">
        <w:rPr>
          <w:rFonts w:cs="Times New Roman"/>
          <w:szCs w:val="24"/>
        </w:rPr>
        <w:t xml:space="preserve">served only its shareholder members, all of whom “have a ‘voice’ in the management of its affairs.”  107 Wn.2d at 368.  </w:t>
      </w:r>
    </w:p>
    <w:p w:rsidR="003F23F1" w:rsidRDefault="003F23F1" w:rsidP="003F23F1">
      <w:pPr>
        <w:pStyle w:val="ListParagraph"/>
        <w:ind w:left="0"/>
        <w:rPr>
          <w:rFonts w:cs="Times New Roman"/>
          <w:szCs w:val="24"/>
        </w:rPr>
      </w:pPr>
    </w:p>
    <w:p w:rsidR="003F23F1" w:rsidRDefault="003F23F1" w:rsidP="003F23F1">
      <w:pPr>
        <w:rPr>
          <w:rFonts w:cs="Times New Roman"/>
          <w:i/>
          <w:szCs w:val="24"/>
        </w:rPr>
      </w:pPr>
      <w:r>
        <w:rPr>
          <w:rFonts w:cs="Times New Roman"/>
          <w:szCs w:val="24"/>
        </w:rPr>
        <w:lastRenderedPageBreak/>
        <w:tab/>
      </w:r>
      <w:r w:rsidRPr="00EC1E96">
        <w:rPr>
          <w:rFonts w:cs="Times New Roman"/>
          <w:szCs w:val="24"/>
        </w:rPr>
        <w:t xml:space="preserve">The court concluded that </w:t>
      </w:r>
      <w:r>
        <w:rPr>
          <w:rFonts w:cs="Times New Roman"/>
          <w:szCs w:val="24"/>
        </w:rPr>
        <w:t xml:space="preserve">the Water </w:t>
      </w:r>
      <w:r w:rsidRPr="00EC1E96">
        <w:rPr>
          <w:rFonts w:cs="Times New Roman"/>
          <w:szCs w:val="24"/>
        </w:rPr>
        <w:t xml:space="preserve">Association was not </w:t>
      </w:r>
      <w:r>
        <w:rPr>
          <w:rFonts w:cs="Times New Roman"/>
          <w:szCs w:val="24"/>
        </w:rPr>
        <w:t xml:space="preserve">subject to Commission regulation because it was not </w:t>
      </w:r>
      <w:r w:rsidRPr="00EC1E96">
        <w:rPr>
          <w:rFonts w:cs="Times New Roman"/>
          <w:szCs w:val="24"/>
        </w:rPr>
        <w:t>a corporation “engaged in business for itself at the expense of a consuming public which has no voice in the management of its affairs and no interest in its financial returns.”  107 Wn.2d at</w:t>
      </w:r>
      <w:r>
        <w:rPr>
          <w:rFonts w:cs="Times New Roman"/>
          <w:szCs w:val="24"/>
        </w:rPr>
        <w:t xml:space="preserve"> 368. </w:t>
      </w:r>
      <w:r w:rsidRPr="003F23F1">
        <w:rPr>
          <w:rFonts w:cs="Times New Roman"/>
          <w:i/>
          <w:szCs w:val="24"/>
        </w:rPr>
        <w:t xml:space="preserve"> </w:t>
      </w:r>
    </w:p>
    <w:p w:rsidR="00B12433" w:rsidRDefault="00B12433" w:rsidP="003F23F1">
      <w:pPr>
        <w:rPr>
          <w:rFonts w:cs="Times New Roman"/>
          <w:i/>
          <w:szCs w:val="24"/>
        </w:rPr>
      </w:pPr>
    </w:p>
    <w:p w:rsidR="00B12433" w:rsidRDefault="00B12433" w:rsidP="00B12433">
      <w:pPr>
        <w:rPr>
          <w:rFonts w:cs="Times New Roman"/>
          <w:i/>
          <w:szCs w:val="24"/>
        </w:rPr>
      </w:pPr>
      <w:r>
        <w:rPr>
          <w:rFonts w:cs="Times New Roman"/>
          <w:i/>
          <w:szCs w:val="24"/>
        </w:rPr>
        <w:tab/>
      </w:r>
      <w:r>
        <w:rPr>
          <w:rFonts w:cs="Times New Roman"/>
          <w:szCs w:val="24"/>
        </w:rPr>
        <w:t xml:space="preserve">The problem is that the law does not require every cooperative to have the attributes </w:t>
      </w:r>
      <w:r w:rsidR="00211D38">
        <w:rPr>
          <w:rFonts w:cs="Times New Roman"/>
          <w:szCs w:val="24"/>
        </w:rPr>
        <w:t xml:space="preserve">the court found </w:t>
      </w:r>
      <w:r>
        <w:rPr>
          <w:rFonts w:cs="Times New Roman"/>
          <w:szCs w:val="24"/>
        </w:rPr>
        <w:t xml:space="preserve">to be critical in </w:t>
      </w:r>
      <w:r>
        <w:rPr>
          <w:rFonts w:cs="Times New Roman"/>
          <w:i/>
          <w:szCs w:val="24"/>
        </w:rPr>
        <w:t xml:space="preserve">Nob Hill.  </w:t>
      </w:r>
      <w:r>
        <w:rPr>
          <w:rFonts w:cs="Times New Roman"/>
          <w:szCs w:val="24"/>
        </w:rPr>
        <w:t>For example, under Washington statutes, a cooperative may have several different classes of shareholders with different rights in the corporation.  RCW 23.86.050(6)(a) - (c).  A cooperative may deny certain of its member/shareholders the right to vote</w:t>
      </w:r>
      <w:r w:rsidR="009C0B00">
        <w:rPr>
          <w:rFonts w:cs="Times New Roman"/>
          <w:szCs w:val="24"/>
        </w:rPr>
        <w:t xml:space="preserve"> (i.e., a “voice” in management of the cooperative’s affairs)</w:t>
      </w:r>
      <w:r>
        <w:rPr>
          <w:rFonts w:cs="Times New Roman"/>
          <w:szCs w:val="24"/>
        </w:rPr>
        <w:t>.  RCW 23.86.115(1).  A cooperative may pay dividends</w:t>
      </w:r>
      <w:r w:rsidR="00DB7812">
        <w:rPr>
          <w:rFonts w:cs="Times New Roman"/>
          <w:szCs w:val="24"/>
        </w:rPr>
        <w:t>, and</w:t>
      </w:r>
      <w:r>
        <w:rPr>
          <w:rFonts w:cs="Times New Roman"/>
          <w:szCs w:val="24"/>
        </w:rPr>
        <w:t xml:space="preserve"> at a different rate to different classes of members/shareholders.  RCW 23.86.160.  Upon dissolution, the cooperative’s </w:t>
      </w:r>
      <w:r w:rsidR="005729AF">
        <w:rPr>
          <w:rFonts w:cs="Times New Roman"/>
          <w:szCs w:val="24"/>
        </w:rPr>
        <w:t xml:space="preserve">remaining </w:t>
      </w:r>
      <w:r>
        <w:rPr>
          <w:rFonts w:cs="Times New Roman"/>
          <w:szCs w:val="24"/>
        </w:rPr>
        <w:t xml:space="preserve">assets </w:t>
      </w:r>
      <w:r w:rsidR="005729AF">
        <w:rPr>
          <w:rFonts w:cs="Times New Roman"/>
          <w:szCs w:val="24"/>
        </w:rPr>
        <w:t xml:space="preserve">(assets left </w:t>
      </w:r>
      <w:r>
        <w:rPr>
          <w:rFonts w:cs="Times New Roman"/>
          <w:szCs w:val="24"/>
        </w:rPr>
        <w:t xml:space="preserve">after paying costs and </w:t>
      </w:r>
      <w:r w:rsidR="005729AF">
        <w:rPr>
          <w:rFonts w:cs="Times New Roman"/>
          <w:szCs w:val="24"/>
        </w:rPr>
        <w:t xml:space="preserve">any required return of assets) need not be distributed </w:t>
      </w:r>
      <w:r w:rsidR="00DB7812">
        <w:rPr>
          <w:rFonts w:cs="Times New Roman"/>
          <w:szCs w:val="24"/>
        </w:rPr>
        <w:t>pro rata</w:t>
      </w:r>
      <w:r w:rsidR="005729AF">
        <w:rPr>
          <w:rFonts w:cs="Times New Roman"/>
          <w:szCs w:val="24"/>
        </w:rPr>
        <w:t xml:space="preserve"> among the members/shareholders, but </w:t>
      </w:r>
      <w:r w:rsidR="00DB7812">
        <w:rPr>
          <w:rFonts w:cs="Times New Roman"/>
          <w:szCs w:val="24"/>
        </w:rPr>
        <w:t xml:space="preserve">simply </w:t>
      </w:r>
      <w:r w:rsidR="005729AF">
        <w:rPr>
          <w:rFonts w:cs="Times New Roman"/>
          <w:szCs w:val="24"/>
        </w:rPr>
        <w:t>in the manner stated in the articles of incorporation.  RCW 24.06.305 (applies per RCW 23.86.250).</w:t>
      </w:r>
      <w:r>
        <w:rPr>
          <w:rFonts w:cs="Times New Roman"/>
          <w:i/>
          <w:szCs w:val="24"/>
        </w:rPr>
        <w:t xml:space="preserve">  </w:t>
      </w:r>
    </w:p>
    <w:p w:rsidR="00B12433" w:rsidRDefault="00B12433" w:rsidP="00B12433">
      <w:pPr>
        <w:rPr>
          <w:rFonts w:cs="Times New Roman"/>
          <w:i/>
          <w:szCs w:val="24"/>
        </w:rPr>
      </w:pPr>
    </w:p>
    <w:p w:rsidR="00B12433" w:rsidRDefault="00B12433" w:rsidP="00B12433">
      <w:pPr>
        <w:rPr>
          <w:rFonts w:cs="Times New Roman"/>
          <w:szCs w:val="24"/>
        </w:rPr>
      </w:pPr>
      <w:r>
        <w:rPr>
          <w:rFonts w:cs="Times New Roman"/>
          <w:i/>
          <w:szCs w:val="24"/>
        </w:rPr>
        <w:tab/>
      </w:r>
      <w:r>
        <w:rPr>
          <w:rFonts w:cs="Times New Roman"/>
          <w:szCs w:val="24"/>
        </w:rPr>
        <w:t xml:space="preserve">Consequently, because all </w:t>
      </w:r>
      <w:r w:rsidR="005729AF">
        <w:rPr>
          <w:rFonts w:cs="Times New Roman"/>
          <w:szCs w:val="24"/>
        </w:rPr>
        <w:t>cooperatives</w:t>
      </w:r>
      <w:r>
        <w:rPr>
          <w:rFonts w:cs="Times New Roman"/>
          <w:szCs w:val="24"/>
        </w:rPr>
        <w:t xml:space="preserve"> need not share the </w:t>
      </w:r>
      <w:r w:rsidR="002F7913">
        <w:rPr>
          <w:rFonts w:cs="Times New Roman"/>
          <w:szCs w:val="24"/>
        </w:rPr>
        <w:t xml:space="preserve">attributes </w:t>
      </w:r>
      <w:r>
        <w:rPr>
          <w:rFonts w:cs="Times New Roman"/>
          <w:szCs w:val="24"/>
        </w:rPr>
        <w:t xml:space="preserve">the court found determinative in </w:t>
      </w:r>
      <w:r>
        <w:rPr>
          <w:rFonts w:cs="Times New Roman"/>
          <w:i/>
          <w:szCs w:val="24"/>
        </w:rPr>
        <w:t>Inland Empire</w:t>
      </w:r>
      <w:r>
        <w:rPr>
          <w:rFonts w:cs="Times New Roman"/>
          <w:szCs w:val="24"/>
        </w:rPr>
        <w:t>, the Commission cannot exempt all mutual corporations/water companies from regulation.</w:t>
      </w:r>
    </w:p>
    <w:p w:rsidR="005729AF" w:rsidRDefault="005729AF" w:rsidP="00B12433">
      <w:pPr>
        <w:rPr>
          <w:rFonts w:cs="Times New Roman"/>
          <w:szCs w:val="24"/>
        </w:rPr>
      </w:pPr>
    </w:p>
    <w:p w:rsidR="005729AF" w:rsidRDefault="005729AF" w:rsidP="00B12433">
      <w:pPr>
        <w:rPr>
          <w:rFonts w:cs="Times New Roman"/>
          <w:szCs w:val="24"/>
        </w:rPr>
      </w:pPr>
      <w:r>
        <w:rPr>
          <w:rFonts w:cs="Times New Roman"/>
          <w:szCs w:val="24"/>
        </w:rPr>
        <w:tab/>
      </w:r>
      <w:r>
        <w:rPr>
          <w:rFonts w:cs="Times New Roman"/>
          <w:b/>
          <w:szCs w:val="24"/>
        </w:rPr>
        <w:t>Homeowner</w:t>
      </w:r>
      <w:r w:rsidR="00C6170F">
        <w:rPr>
          <w:rFonts w:cs="Times New Roman"/>
          <w:b/>
          <w:szCs w:val="24"/>
        </w:rPr>
        <w:t>s’</w:t>
      </w:r>
      <w:r>
        <w:rPr>
          <w:rFonts w:cs="Times New Roman"/>
          <w:b/>
          <w:szCs w:val="24"/>
        </w:rPr>
        <w:t xml:space="preserve"> Associations.</w:t>
      </w:r>
      <w:r w:rsidR="00C6170F">
        <w:rPr>
          <w:rFonts w:cs="Times New Roman"/>
          <w:b/>
          <w:szCs w:val="24"/>
        </w:rPr>
        <w:t xml:space="preserve">  </w:t>
      </w:r>
      <w:r w:rsidR="00C6170F">
        <w:rPr>
          <w:rFonts w:cs="Times New Roman"/>
          <w:szCs w:val="24"/>
        </w:rPr>
        <w:t xml:space="preserve">There are no Washington court cases addressing the jurisdictional status of homeowners’ associations that otherwise meet the definition of a “water company” in RCW 80.28.010.  However, the same </w:t>
      </w:r>
      <w:r w:rsidR="003C6B5C">
        <w:rPr>
          <w:rFonts w:cs="Times New Roman"/>
          <w:szCs w:val="24"/>
        </w:rPr>
        <w:t xml:space="preserve">problem </w:t>
      </w:r>
      <w:r w:rsidR="00C6170F">
        <w:rPr>
          <w:rFonts w:cs="Times New Roman"/>
          <w:szCs w:val="24"/>
        </w:rPr>
        <w:t>applies here that applies to mutual corporations and cooperatives.</w:t>
      </w:r>
    </w:p>
    <w:p w:rsidR="00C6170F" w:rsidRDefault="00C6170F" w:rsidP="00B12433">
      <w:pPr>
        <w:rPr>
          <w:rFonts w:cs="Times New Roman"/>
          <w:szCs w:val="24"/>
        </w:rPr>
      </w:pPr>
    </w:p>
    <w:p w:rsidR="00C6170F" w:rsidRDefault="00C6170F" w:rsidP="00B12433">
      <w:pPr>
        <w:rPr>
          <w:rFonts w:cs="Times New Roman"/>
          <w:szCs w:val="24"/>
        </w:rPr>
      </w:pPr>
      <w:r>
        <w:rPr>
          <w:rFonts w:cs="Times New Roman"/>
          <w:szCs w:val="24"/>
        </w:rPr>
        <w:tab/>
        <w:t xml:space="preserve">For example, in the chapter </w:t>
      </w:r>
      <w:r w:rsidR="002F7913">
        <w:rPr>
          <w:rFonts w:cs="Times New Roman"/>
          <w:szCs w:val="24"/>
        </w:rPr>
        <w:t xml:space="preserve">of </w:t>
      </w:r>
      <w:r>
        <w:rPr>
          <w:rFonts w:cs="Times New Roman"/>
          <w:szCs w:val="24"/>
        </w:rPr>
        <w:t>the Washington statutes devoted to homeowners’ associations (RCW 64.38), there are very few limitations on how a homeowner</w:t>
      </w:r>
      <w:r w:rsidR="002F7913">
        <w:rPr>
          <w:rFonts w:cs="Times New Roman"/>
          <w:szCs w:val="24"/>
        </w:rPr>
        <w:t>s’</w:t>
      </w:r>
      <w:r>
        <w:rPr>
          <w:rFonts w:cs="Times New Roman"/>
          <w:szCs w:val="24"/>
        </w:rPr>
        <w:t xml:space="preserve"> association may structure its business</w:t>
      </w:r>
      <w:r w:rsidR="009C0B00">
        <w:rPr>
          <w:rFonts w:cs="Times New Roman"/>
          <w:szCs w:val="24"/>
        </w:rPr>
        <w:t xml:space="preserve"> and operate</w:t>
      </w:r>
      <w:r>
        <w:rPr>
          <w:rFonts w:cs="Times New Roman"/>
          <w:szCs w:val="24"/>
        </w:rPr>
        <w:t>.  There is no requirement that each member/shareholder have a vote or a</w:t>
      </w:r>
      <w:r w:rsidR="002F7913">
        <w:rPr>
          <w:rFonts w:cs="Times New Roman"/>
          <w:szCs w:val="24"/>
        </w:rPr>
        <w:t>n</w:t>
      </w:r>
      <w:r>
        <w:rPr>
          <w:rFonts w:cs="Times New Roman"/>
          <w:szCs w:val="24"/>
        </w:rPr>
        <w:t xml:space="preserve"> interest in the financial returns of the association.  A homeowner</w:t>
      </w:r>
      <w:r w:rsidR="002F7913">
        <w:rPr>
          <w:rFonts w:cs="Times New Roman"/>
          <w:szCs w:val="24"/>
        </w:rPr>
        <w:t>s’</w:t>
      </w:r>
      <w:r>
        <w:rPr>
          <w:rFonts w:cs="Times New Roman"/>
          <w:szCs w:val="24"/>
        </w:rPr>
        <w:t xml:space="preserve"> association may be organized as a corporation, and, if so organized, may “exercise all other powers that may be exercised in this state by the same type of corporation as the association.”  RCW 64.38.020(12).  Accordingly, the same corporate power analysis that applies to mutual corporations and cooperatives, addressed in </w:t>
      </w:r>
      <w:r w:rsidR="003C6B5C">
        <w:rPr>
          <w:rFonts w:cs="Times New Roman"/>
          <w:szCs w:val="24"/>
        </w:rPr>
        <w:t xml:space="preserve">some </w:t>
      </w:r>
      <w:r>
        <w:rPr>
          <w:rFonts w:cs="Times New Roman"/>
          <w:szCs w:val="24"/>
        </w:rPr>
        <w:t>detail above, can apply to a homeowners’ association.</w:t>
      </w:r>
    </w:p>
    <w:p w:rsidR="00C6170F" w:rsidRDefault="00C6170F" w:rsidP="00B12433">
      <w:pPr>
        <w:rPr>
          <w:rFonts w:cs="Times New Roman"/>
          <w:szCs w:val="24"/>
        </w:rPr>
      </w:pPr>
    </w:p>
    <w:p w:rsidR="00C6170F" w:rsidRDefault="00C6170F" w:rsidP="00C6170F">
      <w:pPr>
        <w:rPr>
          <w:rFonts w:cs="Times New Roman"/>
          <w:szCs w:val="24"/>
        </w:rPr>
      </w:pPr>
      <w:r>
        <w:rPr>
          <w:rFonts w:cs="Times New Roman"/>
          <w:szCs w:val="24"/>
        </w:rPr>
        <w:tab/>
        <w:t xml:space="preserve">Consequently, because all homeowners’ associations need not share the </w:t>
      </w:r>
      <w:r w:rsidR="002F7913">
        <w:rPr>
          <w:rFonts w:cs="Times New Roman"/>
          <w:szCs w:val="24"/>
        </w:rPr>
        <w:t xml:space="preserve">attributes </w:t>
      </w:r>
      <w:r>
        <w:rPr>
          <w:rFonts w:cs="Times New Roman"/>
          <w:szCs w:val="24"/>
        </w:rPr>
        <w:t xml:space="preserve">the court found determinative in </w:t>
      </w:r>
      <w:r>
        <w:rPr>
          <w:rFonts w:cs="Times New Roman"/>
          <w:i/>
          <w:szCs w:val="24"/>
        </w:rPr>
        <w:t xml:space="preserve">Inland Empire </w:t>
      </w:r>
      <w:r>
        <w:rPr>
          <w:rFonts w:cs="Times New Roman"/>
          <w:szCs w:val="24"/>
        </w:rPr>
        <w:t xml:space="preserve">and </w:t>
      </w:r>
      <w:r w:rsidRPr="00C6170F">
        <w:rPr>
          <w:rFonts w:cs="Times New Roman"/>
          <w:i/>
          <w:szCs w:val="24"/>
        </w:rPr>
        <w:t>Nob Hill</w:t>
      </w:r>
      <w:r>
        <w:rPr>
          <w:rFonts w:cs="Times New Roman"/>
          <w:szCs w:val="24"/>
        </w:rPr>
        <w:t>, the Commission cannot exempt all homeowners’ associations/water companies from regulation.</w:t>
      </w:r>
    </w:p>
    <w:p w:rsidR="004B2E70" w:rsidRDefault="004B2E70" w:rsidP="00C6170F">
      <w:pPr>
        <w:rPr>
          <w:rFonts w:cs="Times New Roman"/>
          <w:szCs w:val="24"/>
        </w:rPr>
      </w:pPr>
    </w:p>
    <w:p w:rsidR="004B2E70" w:rsidRPr="004B2E70" w:rsidRDefault="004B2E70" w:rsidP="00C6170F">
      <w:pPr>
        <w:rPr>
          <w:rFonts w:cs="Times New Roman"/>
          <w:szCs w:val="24"/>
        </w:rPr>
      </w:pPr>
      <w:r>
        <w:rPr>
          <w:rFonts w:cs="Times New Roman"/>
          <w:szCs w:val="24"/>
        </w:rPr>
        <w:tab/>
        <w:t xml:space="preserve">The foregoing provides just some of the factors </w:t>
      </w:r>
      <w:r w:rsidR="00D8065B">
        <w:rPr>
          <w:rFonts w:cs="Times New Roman"/>
          <w:szCs w:val="24"/>
        </w:rPr>
        <w:t xml:space="preserve">and </w:t>
      </w:r>
      <w:r>
        <w:rPr>
          <w:rFonts w:cs="Times New Roman"/>
          <w:szCs w:val="24"/>
        </w:rPr>
        <w:t>issue</w:t>
      </w:r>
      <w:r w:rsidR="00D8065B">
        <w:rPr>
          <w:rFonts w:cs="Times New Roman"/>
          <w:szCs w:val="24"/>
        </w:rPr>
        <w:t>s that can apply</w:t>
      </w:r>
      <w:r>
        <w:rPr>
          <w:rFonts w:cs="Times New Roman"/>
          <w:szCs w:val="24"/>
        </w:rPr>
        <w:t xml:space="preserve"> in determining the jurisdictional status of a particular entity.  Nonetheless, Staff hopes this will aid</w:t>
      </w:r>
      <w:r w:rsidR="003F243A">
        <w:rPr>
          <w:rFonts w:cs="Times New Roman"/>
          <w:szCs w:val="24"/>
        </w:rPr>
        <w:t xml:space="preserve"> an</w:t>
      </w:r>
      <w:r>
        <w:rPr>
          <w:rFonts w:cs="Times New Roman"/>
          <w:szCs w:val="24"/>
        </w:rPr>
        <w:t xml:space="preserve"> understanding of the impetus beh</w:t>
      </w:r>
      <w:r w:rsidR="00D8065B">
        <w:rPr>
          <w:rFonts w:cs="Times New Roman"/>
          <w:szCs w:val="24"/>
        </w:rPr>
        <w:t xml:space="preserve">ind the proposal. </w:t>
      </w:r>
    </w:p>
    <w:p w:rsidR="00C6170F" w:rsidRPr="00C6170F" w:rsidRDefault="00C6170F" w:rsidP="00B12433"/>
    <w:sectPr w:rsidR="00C6170F" w:rsidRPr="00C6170F" w:rsidSect="007E4C28">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79C" w:rsidRDefault="0034279C" w:rsidP="007E4C28">
      <w:r>
        <w:separator/>
      </w:r>
    </w:p>
  </w:endnote>
  <w:endnote w:type="continuationSeparator" w:id="0">
    <w:p w:rsidR="0034279C" w:rsidRDefault="0034279C" w:rsidP="007E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28" w:rsidRDefault="007E4C28" w:rsidP="007E4C28">
    <w:pPr>
      <w:pStyle w:val="Footer"/>
      <w:jc w:val="center"/>
    </w:pPr>
    <w:r>
      <w:t xml:space="preserve">Page </w:t>
    </w:r>
    <w:r>
      <w:rPr>
        <w:b/>
      </w:rPr>
      <w:fldChar w:fldCharType="begin"/>
    </w:r>
    <w:r>
      <w:rPr>
        <w:b/>
      </w:rPr>
      <w:instrText xml:space="preserve"> PAGE  \* Arabic  \* MERGEFORMAT </w:instrText>
    </w:r>
    <w:r>
      <w:rPr>
        <w:b/>
      </w:rPr>
      <w:fldChar w:fldCharType="separate"/>
    </w:r>
    <w:r w:rsidR="00895D71">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895D71">
      <w:rPr>
        <w:b/>
        <w:noProof/>
      </w:rPr>
      <w:t>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79C" w:rsidRDefault="0034279C" w:rsidP="007E4C28">
      <w:r>
        <w:separator/>
      </w:r>
    </w:p>
  </w:footnote>
  <w:footnote w:type="continuationSeparator" w:id="0">
    <w:p w:rsidR="0034279C" w:rsidRDefault="0034279C" w:rsidP="007E4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28" w:rsidRPr="001D3C3B" w:rsidRDefault="007E4C28" w:rsidP="007E4C28">
    <w:r>
      <w:t>UTC Water Rulemaking – HOA, etc. (</w:t>
    </w:r>
    <w:r w:rsidRPr="001D3C3B">
      <w:t>UW-131386)</w:t>
    </w:r>
  </w:p>
  <w:p w:rsidR="007E4C28" w:rsidRPr="001D3C3B" w:rsidRDefault="007E4C28" w:rsidP="007E4C28">
    <w:r w:rsidRPr="001D3C3B">
      <w:t>Background Information</w:t>
    </w:r>
  </w:p>
  <w:p w:rsidR="007E4C28" w:rsidRDefault="00156E80" w:rsidP="007E4C28">
    <w:r>
      <w:t>September 5</w:t>
    </w:r>
    <w:r w:rsidR="007E4C28">
      <w:t>, 2013</w:t>
    </w:r>
  </w:p>
  <w:p w:rsidR="007E4C28" w:rsidRDefault="007E4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0250"/>
    <w:multiLevelType w:val="hybridMultilevel"/>
    <w:tmpl w:val="ADECA2E2"/>
    <w:lvl w:ilvl="0" w:tplc="1E981514">
      <w:start w:val="1"/>
      <w:numFmt w:val="decimal"/>
      <w:lvlText w:val="%1"/>
      <w:lvlJc w:val="left"/>
      <w:pPr>
        <w:ind w:left="36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4527FF"/>
    <w:multiLevelType w:val="hybridMultilevel"/>
    <w:tmpl w:val="524EE17E"/>
    <w:lvl w:ilvl="0" w:tplc="2FB82D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CF3E3E"/>
    <w:multiLevelType w:val="hybridMultilevel"/>
    <w:tmpl w:val="1E9ED676"/>
    <w:lvl w:ilvl="0" w:tplc="109EC6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B3"/>
    <w:rsid w:val="000322C1"/>
    <w:rsid w:val="000D2657"/>
    <w:rsid w:val="000D7ACC"/>
    <w:rsid w:val="00156E80"/>
    <w:rsid w:val="001D3C3B"/>
    <w:rsid w:val="001E3054"/>
    <w:rsid w:val="00211D38"/>
    <w:rsid w:val="00224F2F"/>
    <w:rsid w:val="002F7913"/>
    <w:rsid w:val="0034279C"/>
    <w:rsid w:val="003B0F42"/>
    <w:rsid w:val="003C6B5C"/>
    <w:rsid w:val="003F23F1"/>
    <w:rsid w:val="003F243A"/>
    <w:rsid w:val="00446FE9"/>
    <w:rsid w:val="0049569A"/>
    <w:rsid w:val="004B2E70"/>
    <w:rsid w:val="005729AF"/>
    <w:rsid w:val="0074410E"/>
    <w:rsid w:val="007E4C28"/>
    <w:rsid w:val="00854F39"/>
    <w:rsid w:val="00895D71"/>
    <w:rsid w:val="00930AB3"/>
    <w:rsid w:val="00996F42"/>
    <w:rsid w:val="009C0B00"/>
    <w:rsid w:val="00A0457B"/>
    <w:rsid w:val="00AD3B3E"/>
    <w:rsid w:val="00B12433"/>
    <w:rsid w:val="00B74343"/>
    <w:rsid w:val="00C6170F"/>
    <w:rsid w:val="00D20D02"/>
    <w:rsid w:val="00D8065B"/>
    <w:rsid w:val="00D808C5"/>
    <w:rsid w:val="00DB7812"/>
    <w:rsid w:val="00EA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69A"/>
    <w:pPr>
      <w:ind w:left="720"/>
      <w:contextualSpacing/>
    </w:pPr>
  </w:style>
  <w:style w:type="paragraph" w:styleId="BalloonText">
    <w:name w:val="Balloon Text"/>
    <w:basedOn w:val="Normal"/>
    <w:link w:val="BalloonTextChar"/>
    <w:uiPriority w:val="99"/>
    <w:semiHidden/>
    <w:unhideWhenUsed/>
    <w:rsid w:val="001D3C3B"/>
    <w:rPr>
      <w:rFonts w:ascii="Tahoma" w:hAnsi="Tahoma" w:cs="Tahoma"/>
      <w:sz w:val="16"/>
      <w:szCs w:val="16"/>
    </w:rPr>
  </w:style>
  <w:style w:type="character" w:customStyle="1" w:styleId="BalloonTextChar">
    <w:name w:val="Balloon Text Char"/>
    <w:basedOn w:val="DefaultParagraphFont"/>
    <w:link w:val="BalloonText"/>
    <w:uiPriority w:val="99"/>
    <w:semiHidden/>
    <w:rsid w:val="001D3C3B"/>
    <w:rPr>
      <w:rFonts w:ascii="Tahoma" w:hAnsi="Tahoma" w:cs="Tahoma"/>
      <w:sz w:val="16"/>
      <w:szCs w:val="16"/>
    </w:rPr>
  </w:style>
  <w:style w:type="paragraph" w:styleId="Header">
    <w:name w:val="header"/>
    <w:basedOn w:val="Normal"/>
    <w:link w:val="HeaderChar"/>
    <w:uiPriority w:val="99"/>
    <w:unhideWhenUsed/>
    <w:rsid w:val="007E4C28"/>
    <w:pPr>
      <w:tabs>
        <w:tab w:val="center" w:pos="4680"/>
        <w:tab w:val="right" w:pos="9360"/>
      </w:tabs>
    </w:pPr>
  </w:style>
  <w:style w:type="character" w:customStyle="1" w:styleId="HeaderChar">
    <w:name w:val="Header Char"/>
    <w:basedOn w:val="DefaultParagraphFont"/>
    <w:link w:val="Header"/>
    <w:uiPriority w:val="99"/>
    <w:rsid w:val="007E4C28"/>
  </w:style>
  <w:style w:type="paragraph" w:styleId="Footer">
    <w:name w:val="footer"/>
    <w:basedOn w:val="Normal"/>
    <w:link w:val="FooterChar"/>
    <w:uiPriority w:val="99"/>
    <w:unhideWhenUsed/>
    <w:rsid w:val="007E4C28"/>
    <w:pPr>
      <w:tabs>
        <w:tab w:val="center" w:pos="4680"/>
        <w:tab w:val="right" w:pos="9360"/>
      </w:tabs>
    </w:pPr>
  </w:style>
  <w:style w:type="character" w:customStyle="1" w:styleId="FooterChar">
    <w:name w:val="Footer Char"/>
    <w:basedOn w:val="DefaultParagraphFont"/>
    <w:link w:val="Footer"/>
    <w:uiPriority w:val="99"/>
    <w:rsid w:val="007E4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69A"/>
    <w:pPr>
      <w:ind w:left="720"/>
      <w:contextualSpacing/>
    </w:pPr>
  </w:style>
  <w:style w:type="paragraph" w:styleId="BalloonText">
    <w:name w:val="Balloon Text"/>
    <w:basedOn w:val="Normal"/>
    <w:link w:val="BalloonTextChar"/>
    <w:uiPriority w:val="99"/>
    <w:semiHidden/>
    <w:unhideWhenUsed/>
    <w:rsid w:val="001D3C3B"/>
    <w:rPr>
      <w:rFonts w:ascii="Tahoma" w:hAnsi="Tahoma" w:cs="Tahoma"/>
      <w:sz w:val="16"/>
      <w:szCs w:val="16"/>
    </w:rPr>
  </w:style>
  <w:style w:type="character" w:customStyle="1" w:styleId="BalloonTextChar">
    <w:name w:val="Balloon Text Char"/>
    <w:basedOn w:val="DefaultParagraphFont"/>
    <w:link w:val="BalloonText"/>
    <w:uiPriority w:val="99"/>
    <w:semiHidden/>
    <w:rsid w:val="001D3C3B"/>
    <w:rPr>
      <w:rFonts w:ascii="Tahoma" w:hAnsi="Tahoma" w:cs="Tahoma"/>
      <w:sz w:val="16"/>
      <w:szCs w:val="16"/>
    </w:rPr>
  </w:style>
  <w:style w:type="paragraph" w:styleId="Header">
    <w:name w:val="header"/>
    <w:basedOn w:val="Normal"/>
    <w:link w:val="HeaderChar"/>
    <w:uiPriority w:val="99"/>
    <w:unhideWhenUsed/>
    <w:rsid w:val="007E4C28"/>
    <w:pPr>
      <w:tabs>
        <w:tab w:val="center" w:pos="4680"/>
        <w:tab w:val="right" w:pos="9360"/>
      </w:tabs>
    </w:pPr>
  </w:style>
  <w:style w:type="character" w:customStyle="1" w:styleId="HeaderChar">
    <w:name w:val="Header Char"/>
    <w:basedOn w:val="DefaultParagraphFont"/>
    <w:link w:val="Header"/>
    <w:uiPriority w:val="99"/>
    <w:rsid w:val="007E4C28"/>
  </w:style>
  <w:style w:type="paragraph" w:styleId="Footer">
    <w:name w:val="footer"/>
    <w:basedOn w:val="Normal"/>
    <w:link w:val="FooterChar"/>
    <w:uiPriority w:val="99"/>
    <w:unhideWhenUsed/>
    <w:rsid w:val="007E4C28"/>
    <w:pPr>
      <w:tabs>
        <w:tab w:val="center" w:pos="4680"/>
        <w:tab w:val="right" w:pos="9360"/>
      </w:tabs>
    </w:pPr>
  </w:style>
  <w:style w:type="character" w:customStyle="1" w:styleId="FooterChar">
    <w:name w:val="Footer Char"/>
    <w:basedOn w:val="DefaultParagraphFont"/>
    <w:link w:val="Footer"/>
    <w:uiPriority w:val="99"/>
    <w:rsid w:val="007E4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0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IndustryCode xmlns="dc463f71-b30c-4ab2-9473-d307f9d35888">160</IndustryCode>
    <CaseStatus xmlns="dc463f71-b30c-4ab2-9473-d307f9d35888">Closed</CaseStatus>
    <OpenedDate xmlns="dc463f71-b30c-4ab2-9473-d307f9d35888">2013-07-30T07:00:00+00:00</OpenedDate>
    <Date1 xmlns="dc463f71-b30c-4ab2-9473-d307f9d35888">2013-10-03T07:00:00+00:00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131386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82CB772B9C8BA46B67DD561D909B868" ma:contentTypeVersion="127" ma:contentTypeDescription="" ma:contentTypeScope="" ma:versionID="bdad83c2d49e8d053268c0c8d8d6756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CA44E6-81D8-4311-8044-08F240C7E631}"/>
</file>

<file path=customXml/itemProps2.xml><?xml version="1.0" encoding="utf-8"?>
<ds:datastoreItem xmlns:ds="http://schemas.openxmlformats.org/officeDocument/2006/customXml" ds:itemID="{057A3388-EB6F-4B48-AC64-1962064753E9}"/>
</file>

<file path=customXml/itemProps3.xml><?xml version="1.0" encoding="utf-8"?>
<ds:datastoreItem xmlns:ds="http://schemas.openxmlformats.org/officeDocument/2006/customXml" ds:itemID="{BF19A8C2-9B7A-4AFA-A7E1-AAFCE8321B35}"/>
</file>

<file path=customXml/itemProps4.xml><?xml version="1.0" encoding="utf-8"?>
<ds:datastoreItem xmlns:ds="http://schemas.openxmlformats.org/officeDocument/2006/customXml" ds:itemID="{AF2628F9-DD05-428B-A980-DE917D2B4254}"/>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2013-10-02T21:35:00Z</dcterms:created>
  <dcterms:modified xsi:type="dcterms:W3CDTF">2013-10-03T16:37:00Z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0x0101006E56B4D1795A2E4DB2F0B01679ED314A00982CB772B9C8BA46B67DD561D909B868</vt:lpwstr>
  </property>
  <property fmtid="{D5CDD505-2E9C-101B-9397-08002B2CF9AE}" pid="3" name="_docset_NoMedatataSyncRequired">
    <vt:lpwstr>False</vt:lpwstr>
  </property>
</Properties>
</file>