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rPr>
          <w:sz w:val="28"/>
          <w:szCs w:val="28"/>
        </w:rPr>
      </w:pPr>
    </w:p>
    <w:p w:rsidR="009F0C75" w:rsidRDefault="009F0C75"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9F0C75" w:rsidRDefault="009F0C75" w:rsidP="009F0C75">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9F0C75" w:rsidRDefault="009F0C75" w:rsidP="009F0C75">
      <w:pPr>
        <w:tabs>
          <w:tab w:val="left" w:pos="1260"/>
        </w:tabs>
        <w:spacing w:line="480" w:lineRule="auto"/>
      </w:pPr>
    </w:p>
    <w:p w:rsidR="009F0C75" w:rsidRDefault="008E53B5" w:rsidP="009F0C75">
      <w:pPr>
        <w:tabs>
          <w:tab w:val="left" w:pos="1260"/>
        </w:tabs>
        <w:jc w:val="center"/>
      </w:pPr>
      <w:r>
        <w:t>DOCKET NO. UE-11</w:t>
      </w:r>
      <w:r w:rsidR="009F0C75">
        <w:t xml:space="preserve">_______  </w:t>
      </w:r>
    </w:p>
    <w:p w:rsidR="009F0C75" w:rsidRDefault="009F0C75" w:rsidP="009F0C75">
      <w:pPr>
        <w:tabs>
          <w:tab w:val="left" w:pos="1260"/>
        </w:tabs>
        <w:jc w:val="center"/>
      </w:pPr>
    </w:p>
    <w:p w:rsidR="009F0C75" w:rsidRDefault="008E53B5" w:rsidP="009F0C75">
      <w:pPr>
        <w:tabs>
          <w:tab w:val="left" w:pos="1260"/>
        </w:tabs>
        <w:jc w:val="center"/>
      </w:pPr>
      <w:r>
        <w:t>DOCKET NO. UG-11</w:t>
      </w:r>
      <w:r w:rsidR="009F0C75">
        <w:t>_______</w:t>
      </w:r>
    </w:p>
    <w:p w:rsidR="009F0C75" w:rsidRDefault="009F0C75" w:rsidP="009F0C75">
      <w:pPr>
        <w:tabs>
          <w:tab w:val="left" w:pos="1260"/>
        </w:tabs>
        <w:spacing w:line="480" w:lineRule="auto"/>
        <w:ind w:firstLine="720"/>
        <w:jc w:val="center"/>
      </w:pPr>
    </w:p>
    <w:p w:rsidR="009F0C75" w:rsidRDefault="009F0C75" w:rsidP="009F0C75">
      <w:pPr>
        <w:tabs>
          <w:tab w:val="left" w:pos="1260"/>
        </w:tabs>
        <w:spacing w:line="480" w:lineRule="auto"/>
        <w:jc w:val="center"/>
      </w:pPr>
      <w:r>
        <w:t xml:space="preserve">DIRECT TESTIMONY OF </w:t>
      </w:r>
    </w:p>
    <w:p w:rsidR="009F0C75" w:rsidRDefault="009F0C75" w:rsidP="009F0C75">
      <w:pPr>
        <w:tabs>
          <w:tab w:val="left" w:pos="1260"/>
        </w:tabs>
        <w:spacing w:line="480" w:lineRule="auto"/>
        <w:jc w:val="center"/>
      </w:pPr>
      <w:r>
        <w:t>BRUCE W. FOLSOM</w:t>
      </w:r>
    </w:p>
    <w:p w:rsidR="009F0C75" w:rsidRDefault="009F0C75" w:rsidP="009F0C75">
      <w:pPr>
        <w:tabs>
          <w:tab w:val="left" w:pos="1260"/>
        </w:tabs>
        <w:spacing w:line="480" w:lineRule="auto"/>
        <w:jc w:val="center"/>
      </w:pPr>
      <w:r>
        <w:t>REPRESENTING AVISTA CORPORATION</w:t>
      </w:r>
    </w:p>
    <w:p w:rsidR="009F0C75" w:rsidRDefault="009F0C75" w:rsidP="009F0C75">
      <w:pPr>
        <w:tabs>
          <w:tab w:val="left" w:pos="1260"/>
        </w:tabs>
      </w:pPr>
    </w:p>
    <w:p w:rsidR="009F0C75" w:rsidRDefault="009F0C75" w:rsidP="009F0C75">
      <w:pPr>
        <w:tabs>
          <w:tab w:val="left" w:pos="1260"/>
        </w:tabs>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both"/>
      </w:pPr>
    </w:p>
    <w:p w:rsidR="00182994" w:rsidRDefault="00182994">
      <w:pPr>
        <w:tabs>
          <w:tab w:val="left" w:pos="1260"/>
        </w:tabs>
        <w:spacing w:line="480" w:lineRule="auto"/>
        <w:ind w:firstLine="720"/>
        <w:jc w:val="both"/>
        <w:sectPr w:rsidR="00182994" w:rsidSect="00FE4718">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A001D" w:rsidRPr="00BA001D" w:rsidRDefault="00434C8F" w:rsidP="00BA001D">
      <w:pPr>
        <w:pStyle w:val="Heading5"/>
        <w:rPr>
          <w:rStyle w:val="PageNumber"/>
          <w:u w:val="single"/>
        </w:rPr>
      </w:pPr>
      <w:r>
        <w:rPr>
          <w:rStyle w:val="PageNumber"/>
          <w:u w:val="single"/>
        </w:rPr>
        <w:lastRenderedPageBreak/>
        <w:t xml:space="preserve">I.  </w:t>
      </w:r>
      <w:r w:rsidR="00BA001D" w:rsidRPr="00BA001D">
        <w:rPr>
          <w:rStyle w:val="PageNumber"/>
          <w:u w:val="single"/>
        </w:rPr>
        <w:t>INTRODUCTION</w:t>
      </w:r>
    </w:p>
    <w:p w:rsidR="00BA001D" w:rsidRPr="00BA001D" w:rsidRDefault="00BA001D" w:rsidP="00BA001D">
      <w:pPr>
        <w:tabs>
          <w:tab w:val="left" w:pos="1260"/>
        </w:tabs>
        <w:spacing w:line="480" w:lineRule="auto"/>
        <w:ind w:firstLine="720"/>
        <w:jc w:val="both"/>
        <w:rPr>
          <w:b/>
          <w:bCs/>
        </w:rPr>
      </w:pPr>
      <w:r w:rsidRPr="00BA001D">
        <w:rPr>
          <w:b/>
          <w:bCs/>
        </w:rPr>
        <w:t>Q.</w:t>
      </w:r>
      <w:r w:rsidRPr="00BA001D">
        <w:rPr>
          <w:b/>
          <w:bCs/>
        </w:rPr>
        <w:tab/>
      </w:r>
      <w:r w:rsidRPr="00BA001D">
        <w:rPr>
          <w:b/>
          <w:bCs/>
        </w:rPr>
        <w:tab/>
        <w:t>Please state your name, employer and business address.</w:t>
      </w:r>
    </w:p>
    <w:p w:rsidR="00BA001D" w:rsidRPr="00BA001D" w:rsidRDefault="00BA001D" w:rsidP="00BA001D">
      <w:pPr>
        <w:suppressAutoHyphens/>
        <w:spacing w:line="480" w:lineRule="auto"/>
        <w:ind w:firstLine="720"/>
        <w:jc w:val="both"/>
      </w:pPr>
      <w:r w:rsidRPr="00BA001D">
        <w:t>A.</w:t>
      </w:r>
      <w:r w:rsidRPr="00BA001D">
        <w:tab/>
        <w:t xml:space="preserve">My name is Bruce Folsom.  I am employed by Avista as the Senior Manager of Demand Side Management (DSM).  My business address is </w:t>
      </w:r>
      <w:smartTag w:uri="urn:schemas-microsoft-com:office:smarttags" w:element="address">
        <w:smartTag w:uri="urn:schemas-microsoft-com:office:smarttags" w:element="Street">
          <w:r w:rsidRPr="00BA001D">
            <w:t>East 1411 Mission Avenue</w:t>
          </w:r>
        </w:smartTag>
        <w:r w:rsidRPr="00BA001D">
          <w:t xml:space="preserve">, </w:t>
        </w:r>
        <w:smartTag w:uri="urn:schemas-microsoft-com:office:smarttags" w:element="City">
          <w:r w:rsidRPr="00BA001D">
            <w:t>Spokane</w:t>
          </w:r>
        </w:smartTag>
        <w:r w:rsidRPr="00BA001D">
          <w:t xml:space="preserve">, </w:t>
        </w:r>
        <w:smartTag w:uri="urn:schemas-microsoft-com:office:smarttags" w:element="State">
          <w:r w:rsidRPr="00BA001D">
            <w:t>Washington</w:t>
          </w:r>
        </w:smartTag>
      </w:smartTag>
      <w:r w:rsidRPr="00BA001D">
        <w:t xml:space="preserve">.  </w:t>
      </w:r>
    </w:p>
    <w:p w:rsidR="00BA001D" w:rsidRPr="00BA001D" w:rsidRDefault="00BA001D" w:rsidP="00BA001D">
      <w:pPr>
        <w:suppressAutoHyphens/>
        <w:spacing w:line="480" w:lineRule="auto"/>
        <w:jc w:val="both"/>
        <w:rPr>
          <w:b/>
          <w:bCs/>
        </w:rPr>
      </w:pPr>
      <w:r w:rsidRPr="00BA001D">
        <w:rPr>
          <w:b/>
          <w:bCs/>
        </w:rPr>
        <w:tab/>
        <w:t>Q.</w:t>
      </w:r>
      <w:r w:rsidRPr="00BA001D">
        <w:rPr>
          <w:b/>
          <w:bCs/>
        </w:rPr>
        <w:tab/>
        <w:t>Would you please describe your education and business experience?</w:t>
      </w:r>
    </w:p>
    <w:p w:rsidR="00BA001D" w:rsidRPr="00BA001D" w:rsidRDefault="00BA001D" w:rsidP="00BA001D">
      <w:pPr>
        <w:suppressAutoHyphens/>
        <w:spacing w:line="480" w:lineRule="auto"/>
        <w:jc w:val="both"/>
      </w:pPr>
      <w:r w:rsidRPr="00BA001D">
        <w:tab/>
        <w:t>A.</w:t>
      </w:r>
      <w:r w:rsidRPr="00BA001D">
        <w:tab/>
        <w:t xml:space="preserve">I graduated from the </w:t>
      </w:r>
      <w:smartTag w:uri="urn:schemas-microsoft-com:office:smarttags" w:element="place">
        <w:smartTag w:uri="urn:schemas-microsoft-com:office:smarttags" w:element="PlaceType">
          <w:r w:rsidRPr="00BA001D">
            <w:t>University</w:t>
          </w:r>
        </w:smartTag>
        <w:r w:rsidRPr="00BA001D">
          <w:t xml:space="preserve"> of </w:t>
        </w:r>
        <w:smartTag w:uri="urn:schemas-microsoft-com:office:smarttags" w:element="PlaceName">
          <w:r w:rsidRPr="00BA001D">
            <w:t>Washington</w:t>
          </w:r>
        </w:smartTag>
      </w:smartTag>
      <w:r w:rsidRPr="00BA001D">
        <w:t xml:space="preserve"> in 1979 with Bachelor of Arts and Bachelor of Science degrees.  I received a Masters in Business Administration degree from </w:t>
      </w:r>
      <w:smartTag w:uri="urn:schemas-microsoft-com:office:smarttags" w:element="place">
        <w:smartTag w:uri="urn:schemas-microsoft-com:office:smarttags" w:element="PlaceName">
          <w:r w:rsidRPr="00BA001D">
            <w:t>Seattle</w:t>
          </w:r>
        </w:smartTag>
        <w:r w:rsidRPr="00BA001D">
          <w:t xml:space="preserve"> </w:t>
        </w:r>
        <w:smartTag w:uri="urn:schemas-microsoft-com:office:smarttags" w:element="PlaceType">
          <w:r w:rsidRPr="00BA001D">
            <w:t>University</w:t>
          </w:r>
        </w:smartTag>
      </w:smartTag>
      <w:r w:rsidRPr="00BA001D">
        <w:t xml:space="preserve"> in 1984.</w:t>
      </w:r>
    </w:p>
    <w:p w:rsidR="00E919C2" w:rsidRDefault="00BA001D" w:rsidP="00E919C2">
      <w:pPr>
        <w:suppressAutoHyphens/>
        <w:spacing w:line="480" w:lineRule="auto"/>
        <w:ind w:firstLine="720"/>
        <w:jc w:val="both"/>
      </w:pPr>
      <w:r w:rsidRPr="00BA001D">
        <w:t xml:space="preserve">  I joined the Company in 1993 in the State and Federal Regulation Department.  My duties included work associated with tariff revisions and aspects of integrated resource planning, demand side management, competitive bidding, and emerging issues.  In 2002, I was named the Manager of Regulatory Compliance which added responsibilities such as implementing the Federal Energy Regulatory Commission’s changes to its Standards of Conduct rule</w:t>
      </w:r>
      <w:r w:rsidRPr="00B25236">
        <w:t xml:space="preserve">.  I </w:t>
      </w:r>
      <w:r w:rsidR="00B25236">
        <w:t xml:space="preserve">joined the demand side management (DSM) </w:t>
      </w:r>
      <w:r w:rsidR="00B25236" w:rsidRPr="00B25236">
        <w:t xml:space="preserve">team in September 2006 </w:t>
      </w:r>
      <w:r w:rsidR="00B25236">
        <w:t xml:space="preserve">to assist in the contemplated growth of energy efficiency services.  We restructured the energy efficiency </w:t>
      </w:r>
      <w:r w:rsidR="00C12BA8">
        <w:t>group</w:t>
      </w:r>
      <w:r w:rsidR="00B25236">
        <w:t xml:space="preserve"> in August 2010 and I am now leading the DSM Policy, Planning and Analysis Team. </w:t>
      </w:r>
      <w:r w:rsidRPr="00BA001D">
        <w:t>Prior to joining Avista, I was employed by the Washington Utilities and Transportation Commission beginning in 1984, and then served as the Electric Program Manager from 1990 to February, 1993.  From 1979 to 1983, I was the Pacific Northwest Regional Director of the Environmental Careers Organization, a national, private, not-for-profit organization.</w:t>
      </w:r>
      <w:r w:rsidR="00E919C2">
        <w:br w:type="page"/>
      </w:r>
    </w:p>
    <w:p w:rsidR="00BA001D" w:rsidRPr="00C12BA8" w:rsidRDefault="00BA001D" w:rsidP="00C12BA8">
      <w:pPr>
        <w:pStyle w:val="BodyText2"/>
        <w:ind w:firstLine="720"/>
        <w:rPr>
          <w:b/>
        </w:rPr>
      </w:pPr>
      <w:r w:rsidRPr="00C12BA8">
        <w:rPr>
          <w:b/>
        </w:rPr>
        <w:lastRenderedPageBreak/>
        <w:t>Q.</w:t>
      </w:r>
      <w:r w:rsidRPr="00C12BA8">
        <w:rPr>
          <w:b/>
        </w:rPr>
        <w:tab/>
        <w:t>What is the scope of your testimony in this proceeding?</w:t>
      </w:r>
    </w:p>
    <w:p w:rsidR="00BA001D" w:rsidRDefault="00BA001D" w:rsidP="00C12BA8">
      <w:pPr>
        <w:pStyle w:val="BodyText2"/>
        <w:ind w:firstLine="720"/>
      </w:pPr>
      <w:r w:rsidRPr="00BA001D">
        <w:t>A.</w:t>
      </w:r>
      <w:r w:rsidRPr="00BA001D">
        <w:tab/>
      </w:r>
      <w:r w:rsidR="00015017">
        <w:t xml:space="preserve">I report on the status of four </w:t>
      </w:r>
      <w:r w:rsidR="00FB5C5C">
        <w:t>reporting requirements</w:t>
      </w:r>
      <w:r w:rsidR="00015017">
        <w:t xml:space="preserve"> relative to energy efficiency, </w:t>
      </w:r>
      <w:r w:rsidR="00FB5C5C">
        <w:t xml:space="preserve">stemming </w:t>
      </w:r>
      <w:r w:rsidR="00015017">
        <w:t>from our two previous general rate cases.  This is preceded by a brief</w:t>
      </w:r>
      <w:r w:rsidRPr="00BA001D">
        <w:t xml:space="preserve"> overview of the Company’s </w:t>
      </w:r>
      <w:r w:rsidR="00015017">
        <w:t xml:space="preserve">DSM programs and recent results, including compliance with the conservation component of “I-937” (codified as RCW </w:t>
      </w:r>
      <w:r w:rsidR="000D2231">
        <w:t>Chap</w:t>
      </w:r>
      <w:r w:rsidR="00FB5C5C">
        <w:t xml:space="preserve">ter </w:t>
      </w:r>
      <w:r w:rsidR="00015017">
        <w:t xml:space="preserve">19.285 and WAC </w:t>
      </w:r>
      <w:r w:rsidR="00FB5C5C">
        <w:t xml:space="preserve">Chapter </w:t>
      </w:r>
      <w:r w:rsidR="00015017">
        <w:t>480-109)</w:t>
      </w:r>
      <w:r w:rsidR="00402E71">
        <w:t>.</w:t>
      </w:r>
      <w:r w:rsidR="0080613E">
        <w:t xml:space="preserve">  </w:t>
      </w:r>
    </w:p>
    <w:p w:rsidR="000B407D" w:rsidRDefault="000B407D" w:rsidP="000B407D">
      <w:pPr>
        <w:pStyle w:val="P106"/>
        <w:jc w:val="both"/>
        <w:rPr>
          <w:rFonts w:ascii="Times New Roman" w:hAnsi="Times New Roman" w:cs="Times New Roman"/>
        </w:rPr>
      </w:pPr>
      <w:r>
        <w:rPr>
          <w:rStyle w:val="T11"/>
          <w:rFonts w:ascii="Times New Roman" w:hAnsi="Times New Roman" w:cs="Times New Roman"/>
        </w:rPr>
        <w:t>Q.</w:t>
      </w:r>
      <w:r>
        <w:rPr>
          <w:rStyle w:val="T11"/>
          <w:rFonts w:ascii="Times New Roman" w:hAnsi="Times New Roman" w:cs="Times New Roman"/>
        </w:rPr>
        <w:tab/>
        <w:t>Are you sponsoring any Exhibits that accompany your testimony?</w:t>
      </w:r>
    </w:p>
    <w:p w:rsidR="000B407D" w:rsidRDefault="000B407D" w:rsidP="000B407D">
      <w:pPr>
        <w:pStyle w:val="BodyText2"/>
        <w:ind w:firstLine="720"/>
      </w:pPr>
      <w:r>
        <w:t>A.</w:t>
      </w:r>
      <w:r>
        <w:tab/>
        <w:t>Yes.  I am sponsoring Exhibit Nos.___(BWF-2), ___(BWF-3), and ___</w:t>
      </w:r>
      <w:r>
        <w:rPr>
          <w:iCs/>
        </w:rPr>
        <w:t>(</w:t>
      </w:r>
      <w:r>
        <w:t>BWF</w:t>
      </w:r>
      <w:r>
        <w:rPr>
          <w:iCs/>
        </w:rPr>
        <w:t>-4), all of which are reports required in the Settlement Stipulation approved by the Commission in Docket No</w:t>
      </w:r>
      <w:r w:rsidR="000D2231">
        <w:rPr>
          <w:iCs/>
        </w:rPr>
        <w:t>s</w:t>
      </w:r>
      <w:r>
        <w:rPr>
          <w:iCs/>
        </w:rPr>
        <w:t xml:space="preserve">. UE-100467 and UG-100468.  </w:t>
      </w:r>
    </w:p>
    <w:p w:rsidR="003F5E86" w:rsidRPr="00BA001D" w:rsidRDefault="00434C8F" w:rsidP="003F5E86">
      <w:pPr>
        <w:pStyle w:val="Heading5"/>
        <w:rPr>
          <w:rStyle w:val="PageNumber"/>
          <w:u w:val="single"/>
        </w:rPr>
      </w:pPr>
      <w:r>
        <w:rPr>
          <w:rStyle w:val="PageNumber"/>
          <w:u w:val="single"/>
        </w:rPr>
        <w:t xml:space="preserve">II.  </w:t>
      </w:r>
      <w:r w:rsidR="003F5E86">
        <w:rPr>
          <w:rStyle w:val="PageNumber"/>
          <w:u w:val="single"/>
        </w:rPr>
        <w:t>OVERVIEW OF DSM PROGRAMS AND CURRENT ISSUES</w:t>
      </w:r>
    </w:p>
    <w:p w:rsidR="003F5E86" w:rsidRPr="00DD1D21" w:rsidRDefault="00DD1D21" w:rsidP="00D14AA6">
      <w:pPr>
        <w:pStyle w:val="BodyText2"/>
        <w:rPr>
          <w:b/>
        </w:rPr>
      </w:pPr>
      <w:r w:rsidRPr="00DD1D21">
        <w:rPr>
          <w:b/>
        </w:rPr>
        <w:tab/>
        <w:t>Q.</w:t>
      </w:r>
      <w:r w:rsidRPr="00DD1D21">
        <w:rPr>
          <w:b/>
        </w:rPr>
        <w:tab/>
      </w:r>
      <w:r w:rsidR="00434C8F">
        <w:rPr>
          <w:b/>
        </w:rPr>
        <w:t xml:space="preserve">Please provide a brief overview of Avista’s approach to DSM and current results. </w:t>
      </w:r>
    </w:p>
    <w:p w:rsidR="004419A0" w:rsidRPr="00BA001D" w:rsidRDefault="00424342" w:rsidP="004419A0">
      <w:pPr>
        <w:spacing w:line="480" w:lineRule="auto"/>
        <w:ind w:firstLine="720"/>
        <w:jc w:val="both"/>
      </w:pPr>
      <w:r>
        <w:t>A.</w:t>
      </w:r>
      <w:r>
        <w:tab/>
      </w:r>
      <w:r w:rsidR="004419A0" w:rsidRPr="00BA001D">
        <w:t xml:space="preserve">Avista </w:t>
      </w:r>
      <w:r w:rsidR="004419A0">
        <w:t>is in its 34</w:t>
      </w:r>
      <w:r w:rsidR="004419A0" w:rsidRPr="004E4687">
        <w:rPr>
          <w:vertAlign w:val="superscript"/>
        </w:rPr>
        <w:t>th</w:t>
      </w:r>
      <w:r w:rsidR="004419A0">
        <w:t xml:space="preserve"> year of providing </w:t>
      </w:r>
      <w:r w:rsidR="004419A0" w:rsidRPr="00BA001D">
        <w:t>energy efficiency</w:t>
      </w:r>
      <w:r w:rsidR="001B2833">
        <w:t xml:space="preserve"> services</w:t>
      </w:r>
      <w:r w:rsidR="004419A0">
        <w:t xml:space="preserve">.  </w:t>
      </w:r>
      <w:r w:rsidR="004419A0" w:rsidRPr="00BA001D">
        <w:t>The Company’s approach to energy efficiency is based on two key principles.  The first is to pur</w:t>
      </w:r>
      <w:r w:rsidR="000D2231">
        <w:t>sue all cost-effective kilowatt-</w:t>
      </w:r>
      <w:r w:rsidR="004419A0" w:rsidRPr="00BA001D">
        <w:t xml:space="preserve">hours and therms by offering financial incentives for </w:t>
      </w:r>
      <w:r w:rsidR="004419A0">
        <w:t xml:space="preserve">most </w:t>
      </w:r>
      <w:r w:rsidR="004419A0" w:rsidRPr="00BA001D">
        <w:t>energy saving measures with a simple financial payback of over one year</w:t>
      </w:r>
      <w:r w:rsidR="004419A0">
        <w:t xml:space="preserve"> and up to </w:t>
      </w:r>
      <w:r w:rsidR="001B2833">
        <w:t>thirteen</w:t>
      </w:r>
      <w:r w:rsidR="004419A0">
        <w:t xml:space="preserve"> years</w:t>
      </w:r>
      <w:r w:rsidR="004419A0" w:rsidRPr="00BA001D">
        <w:t>.  The second key principle is to use the most effective “mechanism” to deliver energy efficiency services to customers.  These mechanisms are varied and include 1) prescriptive programs (or “standard offers” such as high efficiency appliance rebates), 2) site-specific or “customized” analyses at customer premise</w:t>
      </w:r>
      <w:r w:rsidR="004419A0">
        <w:t>s, 3) “market transformational,”</w:t>
      </w:r>
      <w:r w:rsidR="000D2231">
        <w:t xml:space="preserve"> or regional</w:t>
      </w:r>
      <w:r w:rsidR="004419A0" w:rsidRPr="00BA001D">
        <w:t xml:space="preserve"> efforts with other utilities</w:t>
      </w:r>
      <w:r w:rsidR="001B2833">
        <w:t xml:space="preserve"> through the Northwest Energy Efficiency Alliance (NEEA)</w:t>
      </w:r>
      <w:r w:rsidR="004419A0" w:rsidRPr="00BA001D">
        <w:t xml:space="preserve">, 4) low-income weatherization services </w:t>
      </w:r>
      <w:r w:rsidR="004419A0" w:rsidRPr="00BA001D">
        <w:lastRenderedPageBreak/>
        <w:t>through local Community Action Agencies, 5) low-cost/no-cost advice through a multi-channel communication effort</w:t>
      </w:r>
      <w:r w:rsidR="004419A0">
        <w:t>, and 6) support for cost-effective appliance standards and building codes</w:t>
      </w:r>
      <w:r w:rsidR="004419A0" w:rsidRPr="00BA001D">
        <w:t xml:space="preserve">.  </w:t>
      </w:r>
    </w:p>
    <w:p w:rsidR="004419A0" w:rsidRPr="00BA001D" w:rsidRDefault="004419A0" w:rsidP="004419A0">
      <w:pPr>
        <w:suppressAutoHyphens/>
        <w:spacing w:line="480" w:lineRule="auto"/>
        <w:ind w:firstLine="720"/>
        <w:jc w:val="both"/>
      </w:pPr>
      <w:r w:rsidRPr="00BA001D">
        <w:t xml:space="preserve">The Company’s offerings include </w:t>
      </w:r>
      <w:r>
        <w:t>over 300</w:t>
      </w:r>
      <w:r w:rsidRPr="00BA001D">
        <w:t xml:space="preserve"> measures that are packaged into over </w:t>
      </w:r>
      <w:r>
        <w:t>30</w:t>
      </w:r>
      <w:r w:rsidRPr="00BA001D">
        <w:t xml:space="preserve"> programs for customer convenience. As part of Avista’s </w:t>
      </w:r>
      <w:r>
        <w:t>Integrated Resource P</w:t>
      </w:r>
      <w:r w:rsidRPr="00BA001D">
        <w:t xml:space="preserve">lanning </w:t>
      </w:r>
      <w:r w:rsidR="00754974">
        <w:t xml:space="preserve">(IRP) </w:t>
      </w:r>
      <w:r w:rsidRPr="00BA001D">
        <w:t xml:space="preserve">efforts, over </w:t>
      </w:r>
      <w:r>
        <w:t>3,</w:t>
      </w:r>
      <w:r w:rsidRPr="00BA001D">
        <w:t xml:space="preserve">000 measures are considered and then examined for cost-effectiveness. </w:t>
      </w:r>
      <w:r w:rsidRPr="00BA001D">
        <w:rPr>
          <w:bCs/>
        </w:rPr>
        <w:t>The Company’s comprehensive energy efficiency outreach, the “Every Little Bit” c</w:t>
      </w:r>
      <w:r>
        <w:rPr>
          <w:bCs/>
        </w:rPr>
        <w:t>ommunications campaign, continues to inform customers of the availability of these services</w:t>
      </w:r>
      <w:r w:rsidRPr="00BA001D">
        <w:rPr>
          <w:bCs/>
        </w:rPr>
        <w:t xml:space="preserve">.  </w:t>
      </w:r>
    </w:p>
    <w:p w:rsidR="004419A0" w:rsidRPr="004419A0" w:rsidRDefault="004419A0" w:rsidP="004419A0">
      <w:pPr>
        <w:suppressAutoHyphens/>
        <w:spacing w:line="480" w:lineRule="auto"/>
        <w:ind w:firstLine="720"/>
        <w:jc w:val="both"/>
        <w:rPr>
          <w:b/>
        </w:rPr>
      </w:pPr>
      <w:r w:rsidRPr="004419A0">
        <w:rPr>
          <w:b/>
        </w:rPr>
        <w:t>Q.</w:t>
      </w:r>
      <w:r w:rsidRPr="004419A0">
        <w:rPr>
          <w:b/>
        </w:rPr>
        <w:tab/>
        <w:t xml:space="preserve">What </w:t>
      </w:r>
      <w:r w:rsidR="006D5303">
        <w:rPr>
          <w:b/>
        </w:rPr>
        <w:t>are</w:t>
      </w:r>
      <w:r w:rsidRPr="004419A0">
        <w:rPr>
          <w:b/>
        </w:rPr>
        <w:t xml:space="preserve"> the recent results of Avista’s energy efficiency programs?</w:t>
      </w:r>
    </w:p>
    <w:p w:rsidR="00D14AA6" w:rsidRDefault="004419A0" w:rsidP="003F5E86">
      <w:pPr>
        <w:pStyle w:val="BodyText2"/>
        <w:ind w:firstLine="720"/>
      </w:pPr>
      <w:r>
        <w:t>A.</w:t>
      </w:r>
      <w:r>
        <w:tab/>
      </w:r>
      <w:r w:rsidR="00D14AA6">
        <w:t>In 2010, a</w:t>
      </w:r>
      <w:r w:rsidR="00410B7D">
        <w:t xml:space="preserve">pproximately 34 people spread over 23 Full Time Equivalents (FTE) delivered </w:t>
      </w:r>
      <w:r w:rsidR="001B2833">
        <w:t xml:space="preserve">energy efficiency </w:t>
      </w:r>
      <w:r w:rsidR="00410B7D">
        <w:t xml:space="preserve">programs and measures (through Schedules 90 and 190) resulting in electric savings of  </w:t>
      </w:r>
      <w:r w:rsidR="001B2833">
        <w:t xml:space="preserve">68,911 </w:t>
      </w:r>
      <w:r w:rsidR="006C4E76">
        <w:t>M</w:t>
      </w:r>
      <w:r w:rsidR="001B2833">
        <w:t>Wh (or 105</w:t>
      </w:r>
      <w:r w:rsidR="00410B7D">
        <w:t>% of the IRP goal) and natural</w:t>
      </w:r>
      <w:r w:rsidR="001B2833">
        <w:t xml:space="preserve"> gas savings of 1.9 million therms (or 85</w:t>
      </w:r>
      <w:r w:rsidR="00410B7D">
        <w:t xml:space="preserve">% of </w:t>
      </w:r>
      <w:r w:rsidR="001B2833">
        <w:t xml:space="preserve">the IRP goal).  Approximately 77% of the </w:t>
      </w:r>
      <w:r w:rsidR="00410B7D">
        <w:t>energy efficiency budget was provided to participating customers as rebates (residential) and financial incentives (commercial and industrial).</w:t>
      </w:r>
      <w:r w:rsidR="001B2833">
        <w:t xml:space="preserve">  </w:t>
      </w:r>
      <w:r w:rsidR="001B2833" w:rsidRPr="00BA001D">
        <w:t xml:space="preserve">This does not include additional benefits such as </w:t>
      </w:r>
      <w:r w:rsidR="001B2833">
        <w:t xml:space="preserve">site audits and </w:t>
      </w:r>
      <w:r w:rsidR="001B2833" w:rsidRPr="00BA001D">
        <w:t>technical analyses provided to customers by the Company’s DSM engineering staff.</w:t>
      </w:r>
    </w:p>
    <w:p w:rsidR="00592088" w:rsidRDefault="00592088" w:rsidP="002414C0">
      <w:pPr>
        <w:spacing w:line="480" w:lineRule="auto"/>
        <w:ind w:firstLine="720"/>
        <w:contextualSpacing/>
        <w:jc w:val="both"/>
      </w:pPr>
      <w:r>
        <w:t>The aggregated Tariff Riders (Washington and Idaho, electric and natural gas</w:t>
      </w:r>
      <w:r w:rsidR="00410B7D">
        <w:t xml:space="preserve"> Schedules 91 and 191</w:t>
      </w:r>
      <w:r>
        <w:t xml:space="preserve">) </w:t>
      </w:r>
      <w:r w:rsidR="00EA5FD0">
        <w:t>have been returned to a “zero balance”.  Because customer demand for our energy efficiency services has outstripped our tariff rider funding</w:t>
      </w:r>
      <w:r w:rsidR="002414C0">
        <w:t>,</w:t>
      </w:r>
      <w:r w:rsidR="00EA5FD0">
        <w:t xml:space="preserve"> </w:t>
      </w:r>
      <w:r w:rsidR="002414C0">
        <w:t>a</w:t>
      </w:r>
      <w:r w:rsidR="00EA5FD0">
        <w:t xml:space="preserve">t the beginning of 2010 </w:t>
      </w:r>
      <w:r w:rsidR="002414C0">
        <w:t>the tariff riders were underfunded by</w:t>
      </w:r>
      <w:r w:rsidR="00EA5FD0">
        <w:t xml:space="preserve"> $11.9 million</w:t>
      </w:r>
      <w:r w:rsidR="002414C0">
        <w:t xml:space="preserve"> (i.e., the Company had “pre-funded” energy efficiency services in advance of receiving tariff rider funding).  </w:t>
      </w:r>
      <w:r w:rsidR="00BB257C">
        <w:t xml:space="preserve">In the past year, increases to the tariff riders have allowed for adequate revenue to both fund current energy efficiency operations and to reduce the underfunded balance.  (For example, $33.3 million was collected through the tariff </w:t>
      </w:r>
      <w:r w:rsidR="00BB257C">
        <w:lastRenderedPageBreak/>
        <w:t>riders to fund energy efficiency programs and reduce the un</w:t>
      </w:r>
      <w:r w:rsidR="00E919C2">
        <w:t xml:space="preserve">derfunded balances in 2010 and </w:t>
      </w:r>
      <w:r w:rsidR="00BB257C">
        <w:t>of this, $24.8 million was expended for the operation of energy efficiency programs with the remainder used to work down the negative tariff rider balances.)</w:t>
      </w:r>
    </w:p>
    <w:p w:rsidR="007B5DDA" w:rsidRDefault="00BD540B" w:rsidP="00BD540B">
      <w:pPr>
        <w:pStyle w:val="BodyText2"/>
        <w:ind w:firstLine="720"/>
      </w:pPr>
      <w:r>
        <w:t>The past year included several other energy efficiency activities that bear on policy and operational impacts going into the future.  These include:</w:t>
      </w:r>
    </w:p>
    <w:p w:rsidR="007B5DDA" w:rsidRDefault="00BD540B" w:rsidP="007B5DDA">
      <w:pPr>
        <w:pStyle w:val="BodyText2"/>
        <w:numPr>
          <w:ilvl w:val="0"/>
          <w:numId w:val="19"/>
        </w:numPr>
        <w:spacing w:line="240" w:lineRule="auto"/>
      </w:pPr>
      <w:r>
        <w:t>The Company launched t</w:t>
      </w:r>
      <w:r w:rsidR="007B5DDA">
        <w:t xml:space="preserve">wo “economic stimulus” (or American Recovery and Reinvestment Act, or ARRA) projects—home energy audits and a </w:t>
      </w:r>
      <w:r>
        <w:t xml:space="preserve">supporting </w:t>
      </w:r>
      <w:r w:rsidR="007B5DDA">
        <w:t>$900,000 revolving loan fund—in partnership with three Spokane area jurisdictions</w:t>
      </w:r>
      <w:r w:rsidR="002B5E8B">
        <w:t xml:space="preserve"> (City of Spokane, Spokane County, the City of Spokane Valley)</w:t>
      </w:r>
      <w:r w:rsidR="007B5DDA">
        <w:t>, a community</w:t>
      </w:r>
      <w:r w:rsidR="00E919C2">
        <w:t>-</w:t>
      </w:r>
      <w:r w:rsidR="007B5DDA">
        <w:t>based organization, an independent contractors network, educational institutions</w:t>
      </w:r>
      <w:r w:rsidR="000D2231">
        <w:t>,</w:t>
      </w:r>
      <w:r w:rsidR="007B5DDA">
        <w:t xml:space="preserve"> and eastern Washington banks and credit unions.</w:t>
      </w:r>
    </w:p>
    <w:p w:rsidR="007B5DDA" w:rsidRDefault="007B5DDA" w:rsidP="007B5DDA">
      <w:pPr>
        <w:pStyle w:val="BodyText2"/>
        <w:numPr>
          <w:ilvl w:val="0"/>
          <w:numId w:val="19"/>
        </w:numPr>
        <w:spacing w:line="240" w:lineRule="auto"/>
      </w:pPr>
      <w:r>
        <w:t xml:space="preserve">Avista introduced a new, or reconfigured, approach in January 2011 for stakeholder input to obtain input from three groups of stakeholders: customers, technical experts, and regulatory and policy experts.  </w:t>
      </w:r>
    </w:p>
    <w:p w:rsidR="007B5DDA" w:rsidRPr="00E35005" w:rsidRDefault="007B5DDA" w:rsidP="007B5DDA">
      <w:pPr>
        <w:pStyle w:val="BodyText2"/>
        <w:numPr>
          <w:ilvl w:val="0"/>
          <w:numId w:val="19"/>
        </w:numPr>
        <w:spacing w:line="240" w:lineRule="auto"/>
      </w:pPr>
      <w:r>
        <w:t>The Company restructured Avista’s energy efficiency program delivery into two separate teams, Implementation and Policy.</w:t>
      </w:r>
      <w:r w:rsidRPr="007B5DDA">
        <w:t xml:space="preserve"> </w:t>
      </w:r>
      <w:r w:rsidRPr="00E35005">
        <w:t xml:space="preserve">Under the new structure, a Policy, Planning, and Analysis (PPA) group was created.  This restructuring houses all customer-serving DSM operations together and separates out the analysis and reporting functions to an independent group.  The operations team includes the program managers, engineers and the Account Executives who promote our DSM programs to commercial and industrial customers.   The PPA Team is comprised of analysts and has the responsibility and accountability for third-party evaluation. </w:t>
      </w:r>
      <w:r>
        <w:t xml:space="preserve">This </w:t>
      </w:r>
      <w:r w:rsidRPr="00E35005">
        <w:t>better reflect</w:t>
      </w:r>
      <w:r w:rsidR="00D87C3D">
        <w:t>s</w:t>
      </w:r>
      <w:r w:rsidRPr="00E35005">
        <w:t xml:space="preserve"> the need for independent evaluation, measurement and verification (EM&amp;V). </w:t>
      </w:r>
    </w:p>
    <w:p w:rsidR="00BD540B" w:rsidRDefault="00BD540B" w:rsidP="00BD540B">
      <w:pPr>
        <w:spacing w:line="480" w:lineRule="auto"/>
        <w:jc w:val="both"/>
      </w:pPr>
    </w:p>
    <w:p w:rsidR="00F522DF" w:rsidRPr="00F522DF" w:rsidRDefault="00F522DF" w:rsidP="00F522DF">
      <w:pPr>
        <w:spacing w:line="480" w:lineRule="auto"/>
        <w:jc w:val="center"/>
        <w:rPr>
          <w:b/>
          <w:u w:val="single"/>
        </w:rPr>
      </w:pPr>
      <w:r w:rsidRPr="00F522DF">
        <w:rPr>
          <w:b/>
          <w:u w:val="single"/>
        </w:rPr>
        <w:t>III.  COMPLIANCE WITH RECENT ORDERS</w:t>
      </w:r>
    </w:p>
    <w:p w:rsidR="00905F96" w:rsidRPr="00B35A29" w:rsidRDefault="00905F96" w:rsidP="004B465D">
      <w:pPr>
        <w:spacing w:line="480" w:lineRule="auto"/>
        <w:ind w:firstLine="720"/>
        <w:contextualSpacing/>
        <w:jc w:val="both"/>
        <w:rPr>
          <w:b/>
        </w:rPr>
      </w:pPr>
      <w:r w:rsidRPr="00916C0B">
        <w:rPr>
          <w:b/>
        </w:rPr>
        <w:t>Q.</w:t>
      </w:r>
      <w:r w:rsidRPr="00916C0B">
        <w:rPr>
          <w:b/>
        </w:rPr>
        <w:tab/>
        <w:t xml:space="preserve">Please describe Avista’s efforts to implement “I-937”, also known as WAC </w:t>
      </w:r>
      <w:r w:rsidR="00FB5C5C">
        <w:rPr>
          <w:b/>
        </w:rPr>
        <w:t xml:space="preserve">Chapter </w:t>
      </w:r>
      <w:r w:rsidRPr="00916C0B">
        <w:rPr>
          <w:b/>
        </w:rPr>
        <w:t>480-109, “Acquisition of minimum quantities of conservation and renewable energy as required by the Energy Independence Act”.</w:t>
      </w:r>
    </w:p>
    <w:p w:rsidR="00905F96" w:rsidRDefault="00905F96" w:rsidP="004B465D">
      <w:pPr>
        <w:spacing w:line="480" w:lineRule="auto"/>
        <w:ind w:firstLine="720"/>
        <w:jc w:val="both"/>
      </w:pPr>
      <w:r>
        <w:t>A.</w:t>
      </w:r>
      <w:r>
        <w:tab/>
      </w:r>
      <w:r w:rsidRPr="00E5223B">
        <w:t xml:space="preserve"> </w:t>
      </w:r>
      <w:r w:rsidR="00201375">
        <w:t>In Docket No. UE-100176</w:t>
      </w:r>
      <w:r>
        <w:t>, the Commission approved A</w:t>
      </w:r>
      <w:r w:rsidRPr="00E5223B">
        <w:t>vista</w:t>
      </w:r>
      <w:r>
        <w:t>’s</w:t>
      </w:r>
      <w:r w:rsidRPr="00E5223B">
        <w:t xml:space="preserve"> Ten-year Achievable Conservation Potential and Biennial Conservation Target </w:t>
      </w:r>
      <w:r>
        <w:t>Report (“</w:t>
      </w:r>
      <w:r w:rsidRPr="00E5223B">
        <w:t>Conservation Resource Report</w:t>
      </w:r>
      <w:r>
        <w:t>”)</w:t>
      </w:r>
      <w:r w:rsidRPr="00E5223B">
        <w:t xml:space="preserve">.  </w:t>
      </w:r>
      <w:r w:rsidRPr="00EB69E2">
        <w:t xml:space="preserve">Avista </w:t>
      </w:r>
      <w:r>
        <w:t>elected to use the Northwest Power Planning Council’s O</w:t>
      </w:r>
      <w:r w:rsidRPr="00455A8F">
        <w:t xml:space="preserve">ption #1 </w:t>
      </w:r>
      <w:r>
        <w:t xml:space="preserve">of </w:t>
      </w:r>
      <w:r>
        <w:lastRenderedPageBreak/>
        <w:t xml:space="preserve">the </w:t>
      </w:r>
      <w:r w:rsidRPr="0027401B">
        <w:rPr>
          <w:u w:val="single"/>
        </w:rPr>
        <w:t>6</w:t>
      </w:r>
      <w:r w:rsidRPr="0027401B">
        <w:rPr>
          <w:u w:val="single"/>
          <w:vertAlign w:val="superscript"/>
        </w:rPr>
        <w:t>th</w:t>
      </w:r>
      <w:r w:rsidRPr="0027401B">
        <w:rPr>
          <w:u w:val="single"/>
        </w:rPr>
        <w:t xml:space="preserve"> Power Plan</w:t>
      </w:r>
      <w:r>
        <w:t xml:space="preserve"> to establish</w:t>
      </w:r>
      <w:r w:rsidRPr="00EB69E2">
        <w:t xml:space="preserve"> the </w:t>
      </w:r>
      <w:r>
        <w:t xml:space="preserve">Company’s </w:t>
      </w:r>
      <w:r w:rsidRPr="00EB69E2">
        <w:t>acquisition target</w:t>
      </w:r>
      <w:r>
        <w:t>, adjusted to include electric-to-natural-gas fuel conversions</w:t>
      </w:r>
      <w:r w:rsidRPr="00EB69E2">
        <w:t>.</w:t>
      </w:r>
      <w:r>
        <w:t xml:space="preserve">  The acquisition target is 11.6% </w:t>
      </w:r>
      <w:r w:rsidRPr="004E5CD7">
        <w:t>greater than</w:t>
      </w:r>
      <w:r>
        <w:t xml:space="preserve"> the Company’s Integrated Resource Plan’s energy efficiency targets for the same period. Avista intends</w:t>
      </w:r>
      <w:r w:rsidRPr="00EB69E2">
        <w:t xml:space="preserve"> to </w:t>
      </w:r>
      <w:r>
        <w:t xml:space="preserve">acquire </w:t>
      </w:r>
      <w:r w:rsidR="006C4E76">
        <w:t>128,603 M</w:t>
      </w:r>
      <w:r w:rsidR="00C2351E">
        <w:t>Wh</w:t>
      </w:r>
      <w:r w:rsidRPr="00EB69E2">
        <w:t xml:space="preserve"> of </w:t>
      </w:r>
      <w:r>
        <w:t xml:space="preserve">energy </w:t>
      </w:r>
      <w:r w:rsidRPr="00EB69E2">
        <w:t xml:space="preserve">efficiency </w:t>
      </w:r>
      <w:r>
        <w:t xml:space="preserve">as described in its approved Conservation Report in 2010 and </w:t>
      </w:r>
      <w:r w:rsidRPr="00EB69E2">
        <w:t>2011</w:t>
      </w:r>
      <w:r>
        <w:t>, the first</w:t>
      </w:r>
      <w:r w:rsidRPr="00EB69E2">
        <w:t xml:space="preserve"> I-937 </w:t>
      </w:r>
      <w:r>
        <w:t xml:space="preserve">two-year </w:t>
      </w:r>
      <w:r w:rsidRPr="00EB69E2">
        <w:t>compliance period</w:t>
      </w:r>
      <w:r>
        <w:t>, incl</w:t>
      </w:r>
      <w:r w:rsidR="006C4E76">
        <w:t>uding a minimum of 125,982 M</w:t>
      </w:r>
      <w:r w:rsidR="00C2351E">
        <w:t>Wh</w:t>
      </w:r>
      <w:r>
        <w:t xml:space="preserve"> from non-conversion resources identified in the 6</w:t>
      </w:r>
      <w:r w:rsidRPr="00C65B6B">
        <w:rPr>
          <w:vertAlign w:val="superscript"/>
        </w:rPr>
        <w:t>th</w:t>
      </w:r>
      <w:r>
        <w:t xml:space="preserve"> Plan</w:t>
      </w:r>
      <w:r w:rsidRPr="00EB69E2">
        <w:t>.</w:t>
      </w:r>
      <w:r>
        <w:t xml:space="preserve"> </w:t>
      </w:r>
      <w:r w:rsidRPr="00EB69E2">
        <w:t>Avista’s projection of the acquisition over a ten-year period, assuming that this same option is selected in future complia</w:t>
      </w:r>
      <w:r w:rsidR="006C4E76">
        <w:t>nce periods, is 873,302 M</w:t>
      </w:r>
      <w:r w:rsidR="00C2351E">
        <w:t>Wh</w:t>
      </w:r>
      <w:r>
        <w:t>.</w:t>
      </w:r>
    </w:p>
    <w:p w:rsidR="00201375" w:rsidRPr="00CE0F6F" w:rsidRDefault="00201375" w:rsidP="004B465D">
      <w:pPr>
        <w:spacing w:line="480" w:lineRule="auto"/>
        <w:ind w:firstLine="720"/>
        <w:jc w:val="both"/>
      </w:pPr>
      <w:r>
        <w:t xml:space="preserve">Avista is on target to achieve these savings, partly through ongoing modifications to our energy efficiency programs to assure some “cushion” in the event </w:t>
      </w:r>
      <w:r w:rsidRPr="00CE0F6F">
        <w:t>that third party evaluations show that “realization rates” (that is, actual savings compared to expected savings) are less than expected.</w:t>
      </w:r>
    </w:p>
    <w:p w:rsidR="00CE0F6F" w:rsidRPr="00CE0F6F" w:rsidRDefault="00557055" w:rsidP="00CE0F6F">
      <w:pPr>
        <w:pStyle w:val="NoSpacing"/>
        <w:spacing w:line="480" w:lineRule="auto"/>
        <w:ind w:firstLine="720"/>
        <w:jc w:val="both"/>
        <w:rPr>
          <w:rFonts w:ascii="Times New Roman" w:hAnsi="Times New Roman"/>
          <w:sz w:val="24"/>
          <w:szCs w:val="24"/>
        </w:rPr>
      </w:pPr>
      <w:r w:rsidRPr="00CE0F6F">
        <w:rPr>
          <w:rFonts w:ascii="Times New Roman" w:hAnsi="Times New Roman"/>
          <w:sz w:val="24"/>
          <w:szCs w:val="24"/>
        </w:rPr>
        <w:t>Avista will be filing its 2012-2013 Conservation Resource Report on or before November 1</w:t>
      </w:r>
      <w:r w:rsidRPr="00CE0F6F">
        <w:rPr>
          <w:rFonts w:ascii="Times New Roman" w:hAnsi="Times New Roman"/>
          <w:sz w:val="24"/>
          <w:szCs w:val="24"/>
          <w:vertAlign w:val="superscript"/>
        </w:rPr>
        <w:t>st</w:t>
      </w:r>
      <w:r w:rsidRPr="00CE0F6F">
        <w:rPr>
          <w:rFonts w:ascii="Times New Roman" w:hAnsi="Times New Roman"/>
          <w:sz w:val="24"/>
          <w:szCs w:val="24"/>
        </w:rPr>
        <w:t>, 2011 after a stakeholder involvement process.</w:t>
      </w:r>
      <w:r w:rsidR="00CE0F6F" w:rsidRPr="00CE0F6F">
        <w:rPr>
          <w:rFonts w:ascii="Times New Roman" w:hAnsi="Times New Roman"/>
          <w:sz w:val="24"/>
          <w:szCs w:val="24"/>
        </w:rPr>
        <w:t xml:space="preserve">  Managing towards current targets and planning for future energy efficiency operations is hastened by the Company’s DSM business planning process. </w:t>
      </w:r>
      <w:r w:rsidR="00CE0F6F">
        <w:rPr>
          <w:rFonts w:ascii="Times New Roman" w:hAnsi="Times New Roman"/>
          <w:sz w:val="24"/>
          <w:szCs w:val="24"/>
        </w:rPr>
        <w:t xml:space="preserve">For example, </w:t>
      </w:r>
      <w:r w:rsidR="00CE0F6F" w:rsidRPr="00CE0F6F">
        <w:rPr>
          <w:rFonts w:ascii="Times New Roman" w:hAnsi="Times New Roman"/>
          <w:sz w:val="24"/>
          <w:szCs w:val="24"/>
        </w:rPr>
        <w:t xml:space="preserve">Avista’s </w:t>
      </w:r>
      <w:r w:rsidR="00CE0F6F">
        <w:rPr>
          <w:rFonts w:ascii="Times New Roman" w:hAnsi="Times New Roman"/>
          <w:sz w:val="24"/>
          <w:szCs w:val="24"/>
        </w:rPr>
        <w:t>2011 DSM Business Plan, filed with the Commissi</w:t>
      </w:r>
      <w:r w:rsidR="00CE0F6F" w:rsidRPr="00CE0F6F">
        <w:rPr>
          <w:rFonts w:ascii="Times New Roman" w:hAnsi="Times New Roman"/>
          <w:sz w:val="24"/>
          <w:szCs w:val="24"/>
        </w:rPr>
        <w:t xml:space="preserve">on </w:t>
      </w:r>
      <w:r w:rsidR="00CE0F6F">
        <w:rPr>
          <w:rFonts w:ascii="Times New Roman" w:hAnsi="Times New Roman"/>
          <w:sz w:val="24"/>
          <w:szCs w:val="24"/>
        </w:rPr>
        <w:t xml:space="preserve">on </w:t>
      </w:r>
      <w:r w:rsidR="00CE0F6F" w:rsidRPr="00CE0F6F">
        <w:rPr>
          <w:rFonts w:ascii="Times New Roman" w:hAnsi="Times New Roman"/>
          <w:sz w:val="24"/>
          <w:szCs w:val="24"/>
        </w:rPr>
        <w:t>November 1</w:t>
      </w:r>
      <w:r w:rsidR="00CE0F6F" w:rsidRPr="00CE0F6F">
        <w:rPr>
          <w:rFonts w:ascii="Times New Roman" w:hAnsi="Times New Roman"/>
          <w:sz w:val="24"/>
          <w:szCs w:val="24"/>
          <w:vertAlign w:val="superscript"/>
        </w:rPr>
        <w:t>st</w:t>
      </w:r>
      <w:r w:rsidR="00CE0F6F" w:rsidRPr="00CE0F6F">
        <w:rPr>
          <w:rFonts w:ascii="Times New Roman" w:hAnsi="Times New Roman"/>
          <w:sz w:val="24"/>
          <w:szCs w:val="24"/>
        </w:rPr>
        <w:t xml:space="preserve">, 2010, </w:t>
      </w:r>
      <w:r w:rsidR="00CE0F6F">
        <w:rPr>
          <w:rFonts w:ascii="Times New Roman" w:hAnsi="Times New Roman"/>
          <w:sz w:val="24"/>
          <w:szCs w:val="24"/>
        </w:rPr>
        <w:t xml:space="preserve">anticipated </w:t>
      </w:r>
      <w:r w:rsidR="00CE0F6F" w:rsidRPr="00CE0F6F">
        <w:rPr>
          <w:rFonts w:ascii="Times New Roman" w:hAnsi="Times New Roman"/>
          <w:sz w:val="24"/>
          <w:szCs w:val="24"/>
        </w:rPr>
        <w:t>that the key challenges to be addressed in 2011 involve:</w:t>
      </w:r>
    </w:p>
    <w:p w:rsidR="00CE0F6F" w:rsidRPr="001E474C" w:rsidRDefault="00CE0F6F" w:rsidP="00CE0F6F">
      <w:pPr>
        <w:pStyle w:val="ListParagraph"/>
        <w:numPr>
          <w:ilvl w:val="0"/>
          <w:numId w:val="16"/>
        </w:numPr>
        <w:spacing w:line="276" w:lineRule="auto"/>
        <w:jc w:val="both"/>
      </w:pPr>
      <w:r w:rsidRPr="001E474C">
        <w:t>Managing for the uncertainties created by the timing of the completion and delivery of several key determinants to Avista’s energy acquisition claim.  These uncertainties relate to the realization rates resulting from external independent electric and natural gas impact and process analyses and the completion of energy savings attributed to Avista based upon our participation in the Northwest Energy Efficiency Alliance.  Those uncertainties create challenges in Avista’s ability to plan for meeting electric acquisition targets established under Washington’s I-937 and Washington natural gas decoupling requirements.</w:t>
      </w:r>
    </w:p>
    <w:p w:rsidR="00CE0F6F" w:rsidRPr="001E474C" w:rsidRDefault="00CE0F6F" w:rsidP="00CE0F6F">
      <w:pPr>
        <w:pStyle w:val="ListParagraph"/>
        <w:numPr>
          <w:ilvl w:val="0"/>
          <w:numId w:val="16"/>
        </w:numPr>
        <w:spacing w:line="276" w:lineRule="auto"/>
        <w:jc w:val="both"/>
      </w:pPr>
      <w:r w:rsidRPr="001E474C">
        <w:lastRenderedPageBreak/>
        <w:t>Meeting natural gas acquisition targets established within the most recent Integrated Resource Plan.</w:t>
      </w:r>
    </w:p>
    <w:p w:rsidR="00CE0F6F" w:rsidRPr="001E474C" w:rsidRDefault="00CE0F6F" w:rsidP="00CE0F6F">
      <w:pPr>
        <w:pStyle w:val="ListParagraph"/>
        <w:numPr>
          <w:ilvl w:val="0"/>
          <w:numId w:val="16"/>
        </w:numPr>
        <w:spacing w:line="276" w:lineRule="auto"/>
        <w:jc w:val="both"/>
      </w:pPr>
      <w:r w:rsidRPr="001E474C">
        <w:t>Maintaining the cost-effectiveness of the natural gas DSM portfolio.</w:t>
      </w:r>
    </w:p>
    <w:p w:rsidR="00CE0F6F" w:rsidRDefault="00CE0F6F" w:rsidP="00CE0F6F">
      <w:pPr>
        <w:pStyle w:val="ListParagraph"/>
        <w:numPr>
          <w:ilvl w:val="0"/>
          <w:numId w:val="16"/>
        </w:numPr>
        <w:spacing w:line="276" w:lineRule="auto"/>
        <w:jc w:val="both"/>
      </w:pPr>
      <w:r w:rsidRPr="001E474C">
        <w:t>Fully meeting the evaluation, measurement and verification (EM&amp;V) expectations established as a result of the Idaho Memorandum of Understanding, the Washington “Initiative 937 conditions” established by the Washington Utilities and Transportation Commission and the results of Avista’s 2010 EM&amp;V Collaborative.</w:t>
      </w:r>
    </w:p>
    <w:p w:rsidR="00557055" w:rsidRDefault="00557055" w:rsidP="004B465D">
      <w:pPr>
        <w:spacing w:line="480" w:lineRule="auto"/>
        <w:ind w:firstLine="720"/>
        <w:jc w:val="both"/>
      </w:pPr>
    </w:p>
    <w:p w:rsidR="00905F96" w:rsidRPr="00E35005" w:rsidRDefault="00905F96" w:rsidP="004B465D">
      <w:pPr>
        <w:spacing w:line="480" w:lineRule="auto"/>
        <w:contextualSpacing/>
        <w:jc w:val="both"/>
        <w:rPr>
          <w:b/>
        </w:rPr>
      </w:pPr>
      <w:r w:rsidRPr="00E35005">
        <w:rPr>
          <w:b/>
        </w:rPr>
        <w:tab/>
        <w:t>Q.</w:t>
      </w:r>
      <w:r w:rsidRPr="00E35005">
        <w:rPr>
          <w:b/>
        </w:rPr>
        <w:tab/>
        <w:t>In Docket No. UG-090135, the Commission ordered Avista to convene a collaborative on evaluation, measurement and evaluation issues.  What is the status of this?</w:t>
      </w:r>
    </w:p>
    <w:p w:rsidR="00905F96" w:rsidRPr="00950C53" w:rsidRDefault="00905F96" w:rsidP="004B465D">
      <w:pPr>
        <w:spacing w:line="480" w:lineRule="auto"/>
        <w:contextualSpacing/>
        <w:jc w:val="both"/>
        <w:rPr>
          <w:b/>
        </w:rPr>
      </w:pPr>
      <w:r>
        <w:tab/>
        <w:t>A.</w:t>
      </w:r>
      <w:r>
        <w:tab/>
        <w:t>The Commission ordered the Company and interested parties to participate in a collaborative to examine specified evaluation, measurement and verification (EM&amp;V) and low-income issues.  The Collaborative addressed the</w:t>
      </w:r>
      <w:r w:rsidR="00E90748">
        <w:t xml:space="preserve"> following issues</w:t>
      </w:r>
      <w:r>
        <w:t>:</w:t>
      </w:r>
    </w:p>
    <w:p w:rsidR="00905F96" w:rsidRPr="00950C53" w:rsidRDefault="00905F96" w:rsidP="004B465D">
      <w:pPr>
        <w:pStyle w:val="NoSpacing"/>
        <w:jc w:val="both"/>
        <w:rPr>
          <w:rFonts w:ascii="Times New Roman" w:hAnsi="Times New Roman"/>
          <w:sz w:val="24"/>
          <w:szCs w:val="24"/>
        </w:rPr>
      </w:pPr>
      <w:r w:rsidRPr="00950C53">
        <w:rPr>
          <w:rFonts w:ascii="Times New Roman" w:hAnsi="Times New Roman"/>
          <w:sz w:val="24"/>
          <w:szCs w:val="24"/>
        </w:rPr>
        <w:t xml:space="preserve">1)   Develop best practices on </w:t>
      </w:r>
      <w:r>
        <w:rPr>
          <w:rFonts w:ascii="Times New Roman" w:hAnsi="Times New Roman"/>
          <w:sz w:val="24"/>
          <w:szCs w:val="24"/>
        </w:rPr>
        <w:t>DSM</w:t>
      </w:r>
      <w:r w:rsidRPr="00950C53">
        <w:rPr>
          <w:rFonts w:ascii="Times New Roman" w:hAnsi="Times New Roman"/>
          <w:sz w:val="24"/>
          <w:szCs w:val="24"/>
        </w:rPr>
        <w:t xml:space="preserve"> EM&amp;V by September 1, 2010 to include:</w:t>
      </w:r>
    </w:p>
    <w:p w:rsidR="00905F96" w:rsidRPr="00950C53" w:rsidRDefault="00905F96" w:rsidP="004B465D">
      <w:pPr>
        <w:pStyle w:val="NoSpacing"/>
        <w:numPr>
          <w:ilvl w:val="0"/>
          <w:numId w:val="13"/>
        </w:numPr>
        <w:jc w:val="both"/>
        <w:rPr>
          <w:rFonts w:ascii="Times New Roman" w:hAnsi="Times New Roman"/>
          <w:sz w:val="24"/>
          <w:szCs w:val="24"/>
        </w:rPr>
      </w:pPr>
      <w:r w:rsidRPr="00950C53">
        <w:rPr>
          <w:rFonts w:ascii="Times New Roman" w:hAnsi="Times New Roman"/>
          <w:sz w:val="24"/>
          <w:szCs w:val="24"/>
        </w:rPr>
        <w:t>Response to Order No. 10, paragraph 305, in Docket No. UG-090135 for Washington natural gas decoupling</w:t>
      </w:r>
      <w:r w:rsidR="00E919C2">
        <w:rPr>
          <w:rFonts w:ascii="Times New Roman" w:hAnsi="Times New Roman"/>
          <w:sz w:val="24"/>
          <w:szCs w:val="24"/>
        </w:rPr>
        <w:t xml:space="preserve"> - </w:t>
      </w:r>
    </w:p>
    <w:p w:rsidR="00905F96" w:rsidRPr="00950C53" w:rsidRDefault="00905F96" w:rsidP="004B465D">
      <w:pPr>
        <w:pStyle w:val="NoSpacing"/>
        <w:numPr>
          <w:ilvl w:val="1"/>
          <w:numId w:val="13"/>
        </w:numPr>
        <w:jc w:val="both"/>
        <w:rPr>
          <w:rFonts w:ascii="Times New Roman" w:hAnsi="Times New Roman"/>
          <w:sz w:val="24"/>
          <w:szCs w:val="24"/>
        </w:rPr>
      </w:pPr>
      <w:r w:rsidRPr="00950C53">
        <w:rPr>
          <w:rFonts w:ascii="Times New Roman" w:hAnsi="Times New Roman"/>
          <w:sz w:val="24"/>
          <w:szCs w:val="24"/>
        </w:rPr>
        <w:t>To develop “consistent and accurate methods to judge the effectiveness of all energy efficiency programs and measures” and</w:t>
      </w:r>
    </w:p>
    <w:p w:rsidR="00905F96" w:rsidRPr="00950C53" w:rsidRDefault="00905F96" w:rsidP="004B465D">
      <w:pPr>
        <w:pStyle w:val="NoSpacing"/>
        <w:numPr>
          <w:ilvl w:val="1"/>
          <w:numId w:val="13"/>
        </w:numPr>
        <w:jc w:val="both"/>
        <w:rPr>
          <w:rFonts w:ascii="Times New Roman" w:hAnsi="Times New Roman"/>
          <w:sz w:val="24"/>
          <w:szCs w:val="24"/>
        </w:rPr>
      </w:pPr>
      <w:r w:rsidRPr="00950C53">
        <w:rPr>
          <w:rFonts w:ascii="Times New Roman" w:hAnsi="Times New Roman"/>
          <w:sz w:val="24"/>
          <w:szCs w:val="24"/>
        </w:rPr>
        <w:t>To “file an EM&amp;V plan for its DSM programs by September 1, 2010. The plan should include a bill verification analysis that examines changes in customer usage as a result of DSM programs.”</w:t>
      </w:r>
    </w:p>
    <w:p w:rsidR="00905F96" w:rsidRPr="00950C53" w:rsidRDefault="00905F96" w:rsidP="004B465D">
      <w:pPr>
        <w:pStyle w:val="NoSpacing"/>
        <w:jc w:val="both"/>
        <w:rPr>
          <w:rFonts w:ascii="Times New Roman" w:hAnsi="Times New Roman"/>
          <w:sz w:val="24"/>
          <w:szCs w:val="24"/>
        </w:rPr>
      </w:pPr>
    </w:p>
    <w:p w:rsidR="00905F96" w:rsidRPr="00950C53" w:rsidRDefault="00905F96" w:rsidP="004B465D">
      <w:pPr>
        <w:pStyle w:val="NoSpacing"/>
        <w:jc w:val="both"/>
        <w:rPr>
          <w:rFonts w:ascii="Times New Roman" w:hAnsi="Times New Roman"/>
          <w:sz w:val="24"/>
          <w:szCs w:val="24"/>
        </w:rPr>
      </w:pPr>
      <w:r w:rsidRPr="00950C53">
        <w:rPr>
          <w:rFonts w:ascii="Times New Roman" w:hAnsi="Times New Roman"/>
          <w:sz w:val="24"/>
          <w:szCs w:val="24"/>
        </w:rPr>
        <w:t xml:space="preserve"> 2)   Review of electric and natural gas low-income issues to include:</w:t>
      </w:r>
    </w:p>
    <w:p w:rsidR="00905F96" w:rsidRPr="00950C53" w:rsidRDefault="00905F96" w:rsidP="004B465D">
      <w:pPr>
        <w:pStyle w:val="NoSpacing"/>
        <w:numPr>
          <w:ilvl w:val="0"/>
          <w:numId w:val="13"/>
        </w:numPr>
        <w:jc w:val="both"/>
        <w:rPr>
          <w:rFonts w:ascii="Times New Roman" w:hAnsi="Times New Roman"/>
          <w:sz w:val="24"/>
          <w:szCs w:val="24"/>
        </w:rPr>
      </w:pPr>
      <w:r w:rsidRPr="00950C53">
        <w:rPr>
          <w:rFonts w:ascii="Times New Roman" w:hAnsi="Times New Roman"/>
          <w:sz w:val="24"/>
          <w:szCs w:val="24"/>
        </w:rPr>
        <w:t>Response to Order No. 10, paragraph 306, in Docket No. UG-090135 for Washington natural gas decoupling</w:t>
      </w:r>
      <w:r w:rsidR="00E919C2">
        <w:rPr>
          <w:rFonts w:ascii="Times New Roman" w:hAnsi="Times New Roman"/>
          <w:sz w:val="24"/>
          <w:szCs w:val="24"/>
        </w:rPr>
        <w:t xml:space="preserve"> - </w:t>
      </w:r>
    </w:p>
    <w:p w:rsidR="00905F96" w:rsidRPr="00950C53" w:rsidRDefault="00905F96" w:rsidP="004B465D">
      <w:pPr>
        <w:pStyle w:val="NoSpacing"/>
        <w:numPr>
          <w:ilvl w:val="1"/>
          <w:numId w:val="13"/>
        </w:numPr>
        <w:jc w:val="both"/>
        <w:rPr>
          <w:rFonts w:ascii="Times New Roman" w:hAnsi="Times New Roman"/>
          <w:sz w:val="24"/>
          <w:szCs w:val="24"/>
        </w:rPr>
      </w:pPr>
      <w:r w:rsidRPr="00950C53">
        <w:rPr>
          <w:rFonts w:ascii="Times New Roman" w:hAnsi="Times New Roman"/>
          <w:sz w:val="24"/>
          <w:szCs w:val="24"/>
        </w:rPr>
        <w:t>“In a collaborative with the Parties, Avista is to ‘explore’ new approaches to low-income conservation, identify barriers to its development, and address the Energy Project’s concerns.”</w:t>
      </w:r>
    </w:p>
    <w:p w:rsidR="00905F96" w:rsidRPr="00950C53" w:rsidRDefault="00905F96" w:rsidP="004B465D">
      <w:pPr>
        <w:pStyle w:val="NoSpacing"/>
        <w:numPr>
          <w:ilvl w:val="1"/>
          <w:numId w:val="13"/>
        </w:numPr>
        <w:jc w:val="both"/>
        <w:rPr>
          <w:rFonts w:ascii="Times New Roman" w:hAnsi="Times New Roman"/>
          <w:sz w:val="24"/>
          <w:szCs w:val="24"/>
        </w:rPr>
      </w:pPr>
      <w:r w:rsidRPr="00950C53">
        <w:rPr>
          <w:rFonts w:ascii="Times New Roman" w:hAnsi="Times New Roman"/>
          <w:sz w:val="24"/>
          <w:szCs w:val="24"/>
        </w:rPr>
        <w:t>The conclusions must be filed by September 1, 2010,</w:t>
      </w:r>
    </w:p>
    <w:p w:rsidR="00905F96" w:rsidRDefault="00905F96" w:rsidP="004B465D">
      <w:pPr>
        <w:pStyle w:val="NoSpacing"/>
        <w:spacing w:line="480" w:lineRule="auto"/>
        <w:jc w:val="both"/>
      </w:pPr>
    </w:p>
    <w:p w:rsidR="00905F96" w:rsidRPr="005F23C0" w:rsidRDefault="00905F96" w:rsidP="004B465D">
      <w:pPr>
        <w:pStyle w:val="NoSpacing"/>
        <w:spacing w:line="480" w:lineRule="auto"/>
        <w:ind w:firstLine="720"/>
        <w:jc w:val="both"/>
        <w:rPr>
          <w:rFonts w:ascii="Times New Roman" w:hAnsi="Times New Roman"/>
          <w:sz w:val="24"/>
          <w:szCs w:val="24"/>
        </w:rPr>
      </w:pPr>
      <w:r w:rsidRPr="005F23C0">
        <w:rPr>
          <w:rFonts w:ascii="Times New Roman" w:hAnsi="Times New Roman"/>
          <w:sz w:val="24"/>
          <w:szCs w:val="24"/>
        </w:rPr>
        <w:t>Ten organizations and Avista actively participated in eight meetings on the west side of the state plus several conference calls.  Halfway through the process, the Collaborative retained an independent facilitator, Dr. Dune Ives, and engage</w:t>
      </w:r>
      <w:r>
        <w:rPr>
          <w:rFonts w:ascii="Times New Roman" w:hAnsi="Times New Roman"/>
          <w:sz w:val="24"/>
          <w:szCs w:val="24"/>
        </w:rPr>
        <w:t>d</w:t>
      </w:r>
      <w:r w:rsidRPr="005F23C0">
        <w:rPr>
          <w:rFonts w:ascii="Times New Roman" w:hAnsi="Times New Roman"/>
          <w:sz w:val="24"/>
          <w:szCs w:val="24"/>
        </w:rPr>
        <w:t xml:space="preserve"> two </w:t>
      </w:r>
      <w:r w:rsidR="00796254">
        <w:rPr>
          <w:rFonts w:ascii="Times New Roman" w:hAnsi="Times New Roman"/>
          <w:sz w:val="24"/>
          <w:szCs w:val="24"/>
        </w:rPr>
        <w:t>nationally-</w:t>
      </w:r>
      <w:r w:rsidRPr="005F23C0">
        <w:rPr>
          <w:rFonts w:ascii="Times New Roman" w:hAnsi="Times New Roman"/>
          <w:sz w:val="24"/>
          <w:szCs w:val="24"/>
        </w:rPr>
        <w:t xml:space="preserve">recognized EM&amp;V </w:t>
      </w:r>
      <w:r w:rsidRPr="005F23C0">
        <w:rPr>
          <w:rFonts w:ascii="Times New Roman" w:hAnsi="Times New Roman"/>
          <w:sz w:val="24"/>
          <w:szCs w:val="24"/>
        </w:rPr>
        <w:lastRenderedPageBreak/>
        <w:t>experts, Steve Schiller and Dr. Chris Ann Dickerson</w:t>
      </w:r>
      <w:r w:rsidR="00E06CF2">
        <w:rPr>
          <w:rFonts w:ascii="Times New Roman" w:hAnsi="Times New Roman"/>
          <w:sz w:val="24"/>
          <w:szCs w:val="24"/>
        </w:rPr>
        <w:t>, to assist with this project</w:t>
      </w:r>
      <w:r w:rsidRPr="005F23C0">
        <w:rPr>
          <w:rFonts w:ascii="Times New Roman" w:hAnsi="Times New Roman"/>
          <w:sz w:val="24"/>
          <w:szCs w:val="24"/>
        </w:rPr>
        <w:t xml:space="preserve">.  </w:t>
      </w:r>
      <w:r w:rsidR="00E06CF2">
        <w:rPr>
          <w:rFonts w:ascii="Times New Roman" w:hAnsi="Times New Roman"/>
          <w:sz w:val="24"/>
          <w:szCs w:val="24"/>
        </w:rPr>
        <w:t xml:space="preserve">On September 1, 2010, </w:t>
      </w:r>
      <w:r w:rsidRPr="005F23C0">
        <w:rPr>
          <w:rFonts w:ascii="Times New Roman" w:hAnsi="Times New Roman"/>
          <w:sz w:val="24"/>
          <w:szCs w:val="24"/>
        </w:rPr>
        <w:t>Avista filed with the Commission an “Evaluation, Measurement and Verification Framework” and “Low Income Energy Efficiency Report”.  The Framework is an overarching 40 page (plus appendices) document that defines the methods that Avista will use to perform EM&amp;V act</w:t>
      </w:r>
      <w:r w:rsidR="00E06CF2">
        <w:rPr>
          <w:rFonts w:ascii="Times New Roman" w:hAnsi="Times New Roman"/>
          <w:sz w:val="24"/>
          <w:szCs w:val="24"/>
        </w:rPr>
        <w:t xml:space="preserve">ivities for its DSM programs.  Also, on September 1, 2010, Avista filed a </w:t>
      </w:r>
      <w:r w:rsidRPr="005F23C0">
        <w:rPr>
          <w:rFonts w:ascii="Times New Roman" w:hAnsi="Times New Roman"/>
          <w:sz w:val="24"/>
          <w:szCs w:val="24"/>
        </w:rPr>
        <w:t xml:space="preserve">Low Income Report </w:t>
      </w:r>
      <w:r w:rsidR="00E06CF2">
        <w:rPr>
          <w:rFonts w:ascii="Times New Roman" w:hAnsi="Times New Roman"/>
          <w:sz w:val="24"/>
          <w:szCs w:val="24"/>
        </w:rPr>
        <w:t>that addressed</w:t>
      </w:r>
      <w:r w:rsidRPr="005F23C0">
        <w:rPr>
          <w:rFonts w:ascii="Times New Roman" w:hAnsi="Times New Roman"/>
          <w:sz w:val="24"/>
          <w:szCs w:val="24"/>
        </w:rPr>
        <w:t>:  1) Avista’s Current Low-Income Energy Efficiency Portfolio, 2) Defining the Low-Income Residential Customer Segment, 3) Proportionality of Low-Income Program Funding, 4) Barriers to Delivering Energy Efficiency Services to Low-Income Customers, 5) Concepts for Low-Income Energy Efficiency Delivery Mechanisms, and 6) Evaluating the Low-Incom</w:t>
      </w:r>
      <w:r w:rsidR="00075241">
        <w:rPr>
          <w:rFonts w:ascii="Times New Roman" w:hAnsi="Times New Roman"/>
          <w:sz w:val="24"/>
          <w:szCs w:val="24"/>
        </w:rPr>
        <w:t>e Energy Efficiency Programs</w:t>
      </w:r>
      <w:r w:rsidRPr="005F23C0">
        <w:rPr>
          <w:rFonts w:ascii="Times New Roman" w:hAnsi="Times New Roman"/>
          <w:sz w:val="24"/>
          <w:szCs w:val="24"/>
        </w:rPr>
        <w:t xml:space="preserve">. </w:t>
      </w:r>
    </w:p>
    <w:p w:rsidR="00905F96" w:rsidRDefault="00905F96" w:rsidP="004B465D">
      <w:pPr>
        <w:pStyle w:val="NoSpacing"/>
        <w:spacing w:line="480" w:lineRule="auto"/>
        <w:jc w:val="both"/>
        <w:rPr>
          <w:rFonts w:ascii="Times New Roman" w:hAnsi="Times New Roman"/>
          <w:sz w:val="24"/>
          <w:szCs w:val="24"/>
        </w:rPr>
      </w:pPr>
      <w:r w:rsidRPr="005F23C0">
        <w:rPr>
          <w:rFonts w:ascii="Times New Roman" w:hAnsi="Times New Roman"/>
          <w:sz w:val="24"/>
          <w:szCs w:val="24"/>
        </w:rPr>
        <w:tab/>
        <w:t xml:space="preserve">Following upon the </w:t>
      </w:r>
      <w:proofErr w:type="spellStart"/>
      <w:r w:rsidRPr="005F23C0">
        <w:rPr>
          <w:rFonts w:ascii="Times New Roman" w:hAnsi="Times New Roman"/>
          <w:sz w:val="24"/>
          <w:szCs w:val="24"/>
        </w:rPr>
        <w:t>Collaborative’s</w:t>
      </w:r>
      <w:proofErr w:type="spellEnd"/>
      <w:r w:rsidRPr="005F23C0">
        <w:rPr>
          <w:rFonts w:ascii="Times New Roman" w:hAnsi="Times New Roman"/>
          <w:sz w:val="24"/>
          <w:szCs w:val="24"/>
        </w:rPr>
        <w:t xml:space="preserve"> </w:t>
      </w:r>
      <w:r w:rsidR="00E06CF2">
        <w:rPr>
          <w:rFonts w:ascii="Times New Roman" w:hAnsi="Times New Roman"/>
          <w:sz w:val="24"/>
          <w:szCs w:val="24"/>
        </w:rPr>
        <w:t xml:space="preserve">EM&amp;V </w:t>
      </w:r>
      <w:r w:rsidRPr="005F23C0">
        <w:rPr>
          <w:rFonts w:ascii="Times New Roman" w:hAnsi="Times New Roman"/>
          <w:sz w:val="24"/>
          <w:szCs w:val="24"/>
        </w:rPr>
        <w:t>Framework document, Avista file</w:t>
      </w:r>
      <w:r>
        <w:rPr>
          <w:rFonts w:ascii="Times New Roman" w:hAnsi="Times New Roman"/>
          <w:sz w:val="24"/>
          <w:szCs w:val="24"/>
        </w:rPr>
        <w:t>d</w:t>
      </w:r>
      <w:r w:rsidRPr="005F23C0">
        <w:rPr>
          <w:rFonts w:ascii="Times New Roman" w:hAnsi="Times New Roman"/>
          <w:sz w:val="24"/>
          <w:szCs w:val="24"/>
        </w:rPr>
        <w:t xml:space="preserve"> its 2011 EM&amp;V Plan with the Commission on November 1</w:t>
      </w:r>
      <w:r w:rsidRPr="005F23C0">
        <w:rPr>
          <w:rFonts w:ascii="Times New Roman" w:hAnsi="Times New Roman"/>
          <w:sz w:val="24"/>
          <w:szCs w:val="24"/>
          <w:vertAlign w:val="superscript"/>
        </w:rPr>
        <w:t>st</w:t>
      </w:r>
      <w:r w:rsidRPr="005F23C0">
        <w:rPr>
          <w:rFonts w:ascii="Times New Roman" w:hAnsi="Times New Roman"/>
          <w:sz w:val="24"/>
          <w:szCs w:val="24"/>
        </w:rPr>
        <w:t xml:space="preserve">, 2010.  Thereafter, the Company released a “macro RFP”—to signify that all DSM programs will have third-party external review—and selected The Cadmus Group in January, 2011 to perform this work.  The Company’s DSM Advisory Group continues to be updated and involved on these activities.  </w:t>
      </w:r>
    </w:p>
    <w:p w:rsidR="000B407D" w:rsidRDefault="000B407D" w:rsidP="000B407D">
      <w:pPr>
        <w:pStyle w:val="BodyText2"/>
        <w:ind w:firstLine="720"/>
        <w:rPr>
          <w:b/>
        </w:rPr>
      </w:pPr>
      <w:r w:rsidRPr="000B407D">
        <w:rPr>
          <w:b/>
        </w:rPr>
        <w:t>Q.</w:t>
      </w:r>
      <w:r w:rsidRPr="000B407D">
        <w:rPr>
          <w:b/>
        </w:rPr>
        <w:tab/>
      </w:r>
      <w:r>
        <w:rPr>
          <w:b/>
        </w:rPr>
        <w:t>In Docket Nos. UE-100467 and UG-1004687, the Company agreed to provide certain reports related to DSM to the Parties in those dockets.  What is the status of the three reports?</w:t>
      </w:r>
    </w:p>
    <w:p w:rsidR="000B407D" w:rsidRDefault="000B407D" w:rsidP="000B407D">
      <w:pPr>
        <w:pStyle w:val="BodyText2"/>
        <w:ind w:firstLine="720"/>
      </w:pPr>
      <w:r w:rsidRPr="000B407D">
        <w:t>A.</w:t>
      </w:r>
      <w:r w:rsidRPr="000B407D">
        <w:tab/>
      </w:r>
      <w:r>
        <w:t xml:space="preserve">The Company has provided all three reports to the </w:t>
      </w:r>
      <w:r w:rsidR="00E919C2">
        <w:t>p</w:t>
      </w:r>
      <w:r>
        <w:t xml:space="preserve">arties in the above referenced Dockets.  The </w:t>
      </w:r>
      <w:r w:rsidRPr="00FB5C5C">
        <w:rPr>
          <w:u w:val="single"/>
        </w:rPr>
        <w:t>first</w:t>
      </w:r>
      <w:r>
        <w:t xml:space="preserve"> report that was provided complies with Paragraph 16 of the Settlement Stipulation, which states:</w:t>
      </w:r>
    </w:p>
    <w:p w:rsidR="000B407D" w:rsidRPr="002B5E8B" w:rsidRDefault="000B407D" w:rsidP="00FB5C5C">
      <w:pPr>
        <w:ind w:left="720" w:right="720"/>
        <w:jc w:val="both"/>
      </w:pPr>
      <w:r w:rsidRPr="002B5E8B">
        <w:t xml:space="preserve">In addition, the Company agrees that an independent, third-party will conduct Evaluation, Measurement, and Verification (“EM&amp;V”) of Avista’s Limited </w:t>
      </w:r>
      <w:r w:rsidRPr="002B5E8B">
        <w:lastRenderedPageBreak/>
        <w:t>Income Weatherization program as part of the conditions approved by the Commission in Docket UE-100176.  The Company also agrees that an independent, third-party will conduct an impact evaluation and cost-effectiveness analysis of Avista’s residential windows program (natural gas and electric), using program participant data from 2008 and/or 2009, with a final report completed no later than May 30, 2011.  Avista and the selected evaluator will work in good faith to ensure all program participant data is as accurate as possible.  If necessary, the selected evaluator may conduct an audit of all participant data for this program. (footnote omitted)</w:t>
      </w:r>
    </w:p>
    <w:p w:rsidR="00FB5C5C" w:rsidRPr="00FB5C5C" w:rsidRDefault="00FB5C5C" w:rsidP="00FB5C5C">
      <w:pPr>
        <w:spacing w:line="480" w:lineRule="auto"/>
        <w:ind w:left="720" w:right="720"/>
        <w:jc w:val="both"/>
        <w:rPr>
          <w:sz w:val="22"/>
          <w:szCs w:val="22"/>
        </w:rPr>
      </w:pPr>
    </w:p>
    <w:p w:rsidR="000B407D" w:rsidRPr="000D2231" w:rsidRDefault="000B407D" w:rsidP="000D2231">
      <w:pPr>
        <w:pStyle w:val="BodyText2"/>
        <w:ind w:firstLine="720"/>
      </w:pPr>
      <w:r w:rsidRPr="000D2231">
        <w:t>On March 4, 2011, the Company provided a copy of the third-party report entitled “Energy Impacts Evaluation of Select 2008 Avista Residential and Low Income Demand-Side Management Programs”, as prepared by Ecotope, Inc.  It has been provided in this case as Exhibit No.___(BWF-2).</w:t>
      </w:r>
    </w:p>
    <w:p w:rsidR="00FB5C5C" w:rsidRPr="00D72ADF" w:rsidRDefault="000B407D" w:rsidP="00FB5C5C">
      <w:pPr>
        <w:pStyle w:val="BodyText2"/>
        <w:ind w:firstLine="720"/>
      </w:pPr>
      <w:r w:rsidRPr="00D72ADF">
        <w:t xml:space="preserve">The </w:t>
      </w:r>
      <w:r w:rsidRPr="00D72ADF">
        <w:rPr>
          <w:u w:val="single"/>
        </w:rPr>
        <w:t>second</w:t>
      </w:r>
      <w:r w:rsidRPr="00D72ADF">
        <w:t xml:space="preserve"> report that was </w:t>
      </w:r>
      <w:r w:rsidR="00FB5C5C" w:rsidRPr="00D72ADF">
        <w:t>provided to the parties complies with Paragraph 15 of the Settlement Stipulation, which states:</w:t>
      </w:r>
    </w:p>
    <w:p w:rsidR="00FB5C5C" w:rsidRPr="00F9708C" w:rsidRDefault="00FB5C5C" w:rsidP="00FB5C5C">
      <w:pPr>
        <w:ind w:left="720" w:right="990"/>
        <w:jc w:val="both"/>
      </w:pPr>
      <w:r w:rsidRPr="00F9708C">
        <w:rPr>
          <w:u w:val="single"/>
        </w:rPr>
        <w:t>Rebate Processing Procedures for DSM Programs</w:t>
      </w:r>
      <w:r w:rsidRPr="00F9708C">
        <w:t>.  Avista will conduct, either internally or by an independent, third-party, a comprehensive review of its customer rebate processing system for all rebate programs, including process analysis/best practices review of rebate processing to ensure accuracy.  As part of this review there will be a thorough examination of the Company’s procedures for prescriptive rebate programs where the amount of the rebate varies and is calculated individually for each customer (e.g., residential insulation and window replacement).  The review is expected to culminate in a final report with recommendations regarding any new systems and/or controls the Company should implement to improve and enhance its rebate processing, including but not limited to controls to ensure that rebates do not exceed the program maximum, currently set at fifty percent of project cost for most programs.  Avista shall furnish the final report resulting from this review in a report to be provided to all parties, and the Triple E Board, upon completion and prior to the Company’s next general rate case.</w:t>
      </w:r>
    </w:p>
    <w:p w:rsidR="000B407D" w:rsidRPr="000B407D" w:rsidRDefault="000B407D" w:rsidP="000B407D">
      <w:pPr>
        <w:pStyle w:val="BodyText2"/>
        <w:rPr>
          <w:highlight w:val="yellow"/>
        </w:rPr>
      </w:pPr>
    </w:p>
    <w:p w:rsidR="00FB5C5C" w:rsidRPr="000D2231" w:rsidRDefault="00FB5C5C" w:rsidP="00E919C2">
      <w:pPr>
        <w:pStyle w:val="BodyText2"/>
      </w:pPr>
      <w:r w:rsidRPr="000D2231">
        <w:lastRenderedPageBreak/>
        <w:t>On May 3, 2011, the Company provided a copy of the internal review titled “Rebate Processing Procedures for Demand Side Management Programs” as prepared by the Company.  It has been provided in this case as Exhibit No.___(BWF-3).</w:t>
      </w:r>
    </w:p>
    <w:p w:rsidR="00FB5C5C" w:rsidRPr="00D72ADF" w:rsidRDefault="00FB5C5C" w:rsidP="00FB5C5C">
      <w:pPr>
        <w:pStyle w:val="BodyText2"/>
        <w:ind w:firstLine="720"/>
      </w:pPr>
      <w:r w:rsidRPr="00D72ADF">
        <w:t xml:space="preserve">Finally, the </w:t>
      </w:r>
      <w:r w:rsidRPr="00D72ADF">
        <w:rPr>
          <w:u w:val="single"/>
        </w:rPr>
        <w:t>third</w:t>
      </w:r>
      <w:r w:rsidRPr="00D72ADF">
        <w:t xml:space="preserve"> report that was provided to the parties complies with Paragraph 17 of the Settlement Stipulation, which states:</w:t>
      </w:r>
    </w:p>
    <w:p w:rsidR="00FB5C5C" w:rsidRPr="00F9708C" w:rsidRDefault="00FB5C5C" w:rsidP="00FB5C5C">
      <w:pPr>
        <w:ind w:left="720" w:right="990"/>
        <w:jc w:val="both"/>
      </w:pPr>
      <w:r w:rsidRPr="00F9708C">
        <w:rPr>
          <w:u w:val="single"/>
        </w:rPr>
        <w:t>Independent, External Review of Data Management Strategy.</w:t>
      </w:r>
      <w:r w:rsidRPr="00F9708C">
        <w:t xml:space="preserve">  Avista agrees that an independent, third-party will conduct an evaluation of Avista’s data tracking systems and data strategy for its DSM programs.  The review will examine Avista’s internal operations for data entry, tracking, and reporting, and its systems for ongoing review, oversight and controls to ensure data accuracy.  As part of this review, the selected external evaluator will share industry best practices regarding data management strategies.  The review will also examine whether the documentation required from participating customers is appropriate.  The review is expected to culminate in a final report with findings, as well as recommendations regarding any new systems and/or controls the company should implement to improve and enhance its DSM data management.  In addition, the final report will include recommendations regarding effective and accurate procedures that should be followed to correct DSM data, when errors are discovered particularly in filings with the Commission.  Avista shall furnish the final report resulting from this review in a report to be provided to all Parties, and the Triple E Board, upon completion and prior to Avista’s next general rate case.</w:t>
      </w:r>
    </w:p>
    <w:p w:rsidR="000B407D" w:rsidRPr="00FB5C5C" w:rsidRDefault="000B407D" w:rsidP="00FB5C5C">
      <w:pPr>
        <w:pStyle w:val="BodyText2"/>
      </w:pPr>
    </w:p>
    <w:p w:rsidR="00BB257C" w:rsidRDefault="00FB5C5C" w:rsidP="00E919C2">
      <w:pPr>
        <w:pStyle w:val="BodyText2"/>
      </w:pPr>
      <w:r w:rsidRPr="000D2231">
        <w:t>On May 3, 2011, the Company provided a report titled “Data Management Review for Demand Side Management Programs” which contains the Company’s responses to the independent review as prepared by Moss Adams LLP.  The report prepared by Moss Adams, “Avista Corporation Demand Side Management Programs Observations and Recommendations”</w:t>
      </w:r>
      <w:r w:rsidR="00E919C2">
        <w:t>,</w:t>
      </w:r>
      <w:r w:rsidRPr="000D2231">
        <w:t xml:space="preserve"> is included as an attachment to Avista’s Report.  These reports have been provided in this case as Exhibit No.___(BWF-4).</w:t>
      </w:r>
    </w:p>
    <w:p w:rsidR="000D2231" w:rsidRPr="006530FE" w:rsidRDefault="000D2231" w:rsidP="000D2231">
      <w:pPr>
        <w:pStyle w:val="BodyText2"/>
        <w:ind w:firstLine="720"/>
        <w:rPr>
          <w:b/>
        </w:rPr>
      </w:pPr>
      <w:r w:rsidRPr="006530FE">
        <w:rPr>
          <w:b/>
        </w:rPr>
        <w:t>Q.</w:t>
      </w:r>
      <w:r w:rsidRPr="006530FE">
        <w:rPr>
          <w:b/>
        </w:rPr>
        <w:tab/>
        <w:t>Has the Company requested the review of energy efficiency costs in this filing?</w:t>
      </w:r>
    </w:p>
    <w:p w:rsidR="000D2231" w:rsidRDefault="000D2231" w:rsidP="00F92928">
      <w:pPr>
        <w:pStyle w:val="BodyText2"/>
        <w:ind w:firstLine="720"/>
      </w:pPr>
      <w:r>
        <w:lastRenderedPageBreak/>
        <w:t>A.</w:t>
      </w:r>
      <w:r>
        <w:tab/>
        <w:t>No. The Company, a</w:t>
      </w:r>
      <w:r w:rsidRPr="004C3677">
        <w:t>s part of the conditions approved by the Commission in Docket No. UE-100176,</w:t>
      </w:r>
      <w:r w:rsidR="002B5E8B">
        <w:t xml:space="preserve"> Order 01 at </w:t>
      </w:r>
      <w:r w:rsidR="00E919C2">
        <w:t>p</w:t>
      </w:r>
      <w:r w:rsidR="002B5E8B">
        <w:t xml:space="preserve">aragraph 67, </w:t>
      </w:r>
      <w:r>
        <w:t>must</w:t>
      </w:r>
      <w:r w:rsidRPr="00F52D82">
        <w:t xml:space="preserve"> file </w:t>
      </w:r>
      <w:r w:rsidR="00E919C2">
        <w:t xml:space="preserve">tariff revisions </w:t>
      </w:r>
      <w:r w:rsidRPr="00F52D82">
        <w:t xml:space="preserve">with the Commission on or before </w:t>
      </w:r>
      <w:r>
        <w:t>May 1</w:t>
      </w:r>
      <w:r w:rsidRPr="009D79A8">
        <w:rPr>
          <w:vertAlign w:val="superscript"/>
        </w:rPr>
        <w:t>st</w:t>
      </w:r>
      <w:r w:rsidRPr="00F52D82">
        <w:t xml:space="preserve"> of ea</w:t>
      </w:r>
      <w:r>
        <w:t>ch year, beginning</w:t>
      </w:r>
      <w:r w:rsidR="00E919C2">
        <w:t xml:space="preserve"> in</w:t>
      </w:r>
      <w:r>
        <w:t xml:space="preserve"> 2011, </w:t>
      </w:r>
      <w:r w:rsidR="00E919C2">
        <w:t xml:space="preserve">(and </w:t>
      </w:r>
      <w:r>
        <w:t>with an effective date of July 1</w:t>
      </w:r>
      <w:r w:rsidRPr="00452092">
        <w:rPr>
          <w:vertAlign w:val="superscript"/>
        </w:rPr>
        <w:t>st</w:t>
      </w:r>
      <w:r w:rsidR="00E919C2">
        <w:t>),</w:t>
      </w:r>
      <w:r w:rsidR="00F92928">
        <w:t xml:space="preserve"> to revise the </w:t>
      </w:r>
      <w:r w:rsidR="006B4EA9" w:rsidRPr="00F52D82">
        <w:t>DSM</w:t>
      </w:r>
      <w:r w:rsidR="006B4EA9">
        <w:t xml:space="preserve"> </w:t>
      </w:r>
      <w:r w:rsidR="006B4EA9" w:rsidRPr="00F52D82">
        <w:t>portions</w:t>
      </w:r>
      <w:r w:rsidRPr="00F52D82">
        <w:t xml:space="preserve"> of Schedule</w:t>
      </w:r>
      <w:r>
        <w:t>s</w:t>
      </w:r>
      <w:r w:rsidRPr="00F52D82">
        <w:t xml:space="preserve"> 91 and 191</w:t>
      </w:r>
      <w:r w:rsidR="00F92928">
        <w:t xml:space="preserve"> to recover future year’s </w:t>
      </w:r>
      <w:r w:rsidR="00D72ADF">
        <w:t>planned</w:t>
      </w:r>
      <w:r w:rsidR="00F92928">
        <w:t xml:space="preserve"> expenses and any significant variances between </w:t>
      </w:r>
      <w:r w:rsidR="00D72ADF">
        <w:t>planned</w:t>
      </w:r>
      <w:r w:rsidR="00F92928">
        <w:t xml:space="preserve"> and actual </w:t>
      </w:r>
      <w:r w:rsidR="00D72ADF">
        <w:t>revenue</w:t>
      </w:r>
      <w:r w:rsidR="00F92928">
        <w:t xml:space="preserve"> and expenditures during the previous year.</w:t>
      </w:r>
      <w:r>
        <w:t xml:space="preserve">  T</w:t>
      </w:r>
      <w:r w:rsidR="00F92928">
        <w:t>he purpose of this condition was</w:t>
      </w:r>
      <w:r w:rsidRPr="00F52D82">
        <w:t xml:space="preserve"> to establish tariff riders that are sufficient to fund the following twelve months of DSM as well as amortize any tariff rider imbalance</w:t>
      </w:r>
      <w:r>
        <w:t>, thus minimizing the</w:t>
      </w:r>
      <w:r w:rsidRPr="00F52D82">
        <w:t xml:space="preserve"> potential </w:t>
      </w:r>
      <w:r>
        <w:t xml:space="preserve">for </w:t>
      </w:r>
      <w:r w:rsidRPr="00F52D82">
        <w:t>under</w:t>
      </w:r>
      <w:r>
        <w:t>- or over-</w:t>
      </w:r>
      <w:r w:rsidRPr="00F52D82">
        <w:t>collections.</w:t>
      </w:r>
      <w:r>
        <w:t xml:space="preserve"> </w:t>
      </w:r>
    </w:p>
    <w:p w:rsidR="000D2231" w:rsidRPr="00C7389F" w:rsidRDefault="00E919C2" w:rsidP="000D2231">
      <w:pPr>
        <w:pStyle w:val="BodyText2"/>
        <w:ind w:firstLine="720"/>
      </w:pPr>
      <w:r>
        <w:t xml:space="preserve">Accordingly, review of the prudence and cost-effectiveness of expenditures </w:t>
      </w:r>
      <w:r w:rsidR="00F61456">
        <w:t>will</w:t>
      </w:r>
      <w:r>
        <w:t xml:space="preserve"> take place </w:t>
      </w:r>
      <w:r w:rsidR="00F61456">
        <w:t>with</w:t>
      </w:r>
      <w:r>
        <w:t xml:space="preserve">in </w:t>
      </w:r>
      <w:r w:rsidR="00F61456">
        <w:t>D</w:t>
      </w:r>
      <w:r>
        <w:t>ocket No. U</w:t>
      </w:r>
      <w:r w:rsidR="00F61456">
        <w:t>E</w:t>
      </w:r>
      <w:r>
        <w:t>-</w:t>
      </w:r>
      <w:r w:rsidR="00F61456">
        <w:t>100176</w:t>
      </w:r>
      <w:r>
        <w:t>, and not in this general rate case.</w:t>
      </w:r>
    </w:p>
    <w:p w:rsidR="00BA001D" w:rsidRPr="00C408E4" w:rsidRDefault="00C408E4" w:rsidP="004B465D">
      <w:pPr>
        <w:pStyle w:val="BodyText2"/>
        <w:ind w:firstLine="720"/>
        <w:rPr>
          <w:b/>
        </w:rPr>
      </w:pPr>
      <w:r w:rsidRPr="00C408E4">
        <w:rPr>
          <w:b/>
        </w:rPr>
        <w:t>Q.</w:t>
      </w:r>
      <w:r w:rsidRPr="00C408E4">
        <w:rPr>
          <w:b/>
        </w:rPr>
        <w:tab/>
      </w:r>
      <w:r w:rsidR="00BA001D" w:rsidRPr="00C408E4">
        <w:rPr>
          <w:b/>
        </w:rPr>
        <w:t>Does that complete your pre-filed direct testimony?</w:t>
      </w:r>
    </w:p>
    <w:p w:rsidR="002B2924" w:rsidRPr="002B2924" w:rsidRDefault="00C408E4" w:rsidP="004B465D">
      <w:pPr>
        <w:pStyle w:val="BodyText2"/>
        <w:ind w:firstLine="720"/>
      </w:pPr>
      <w:r>
        <w:t>A.</w:t>
      </w:r>
      <w:r>
        <w:tab/>
      </w:r>
      <w:r w:rsidR="00BA001D" w:rsidRPr="009C464E">
        <w:t>Yes, it does.</w:t>
      </w:r>
      <w:r w:rsidR="00BA001D" w:rsidRPr="009C464E">
        <w:rPr>
          <w:b/>
        </w:rPr>
        <w:tab/>
      </w:r>
    </w:p>
    <w:sectPr w:rsidR="002B2924" w:rsidRPr="002B2924" w:rsidSect="00E919C2">
      <w:pgSz w:w="12240" w:h="15840" w:code="1"/>
      <w:pgMar w:top="1440" w:right="1008" w:bottom="2160"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456" w:rsidRDefault="00F61456">
      <w:r>
        <w:separator/>
      </w:r>
    </w:p>
  </w:endnote>
  <w:endnote w:type="continuationSeparator" w:id="0">
    <w:p w:rsidR="00F61456" w:rsidRDefault="00F614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456" w:rsidRPr="00E919C2" w:rsidRDefault="00F61456" w:rsidP="00875820">
    <w:pPr>
      <w:pStyle w:val="Footer"/>
      <w:tabs>
        <w:tab w:val="clear" w:pos="4320"/>
        <w:tab w:val="clear" w:pos="8640"/>
        <w:tab w:val="left" w:pos="180"/>
        <w:tab w:val="right" w:pos="8460"/>
      </w:tabs>
    </w:pPr>
    <w:r w:rsidRPr="00E919C2">
      <w:t>Direct Testimony of Bruce W. Folsom</w:t>
    </w:r>
    <w:r w:rsidRPr="00E919C2">
      <w:tab/>
    </w:r>
  </w:p>
  <w:p w:rsidR="00F61456" w:rsidRPr="00E919C2" w:rsidRDefault="00F61456">
    <w:pPr>
      <w:pStyle w:val="Footer"/>
      <w:tabs>
        <w:tab w:val="clear" w:pos="4320"/>
        <w:tab w:val="clear" w:pos="8640"/>
        <w:tab w:val="left" w:pos="180"/>
        <w:tab w:val="right" w:pos="9360"/>
      </w:tabs>
      <w:rPr>
        <w:lang w:val="fr-FR"/>
      </w:rPr>
    </w:pPr>
    <w:r w:rsidRPr="00E919C2">
      <w:rPr>
        <w:lang w:val="fr-FR"/>
      </w:rPr>
      <w:t>Avista Corporation</w:t>
    </w:r>
  </w:p>
  <w:p w:rsidR="00F61456" w:rsidRPr="00E919C2" w:rsidRDefault="00F61456" w:rsidP="00875820">
    <w:pPr>
      <w:pStyle w:val="Footer"/>
      <w:tabs>
        <w:tab w:val="clear" w:pos="4320"/>
        <w:tab w:val="clear" w:pos="8640"/>
        <w:tab w:val="left" w:pos="180"/>
        <w:tab w:val="right" w:pos="8280"/>
      </w:tabs>
      <w:rPr>
        <w:rStyle w:val="PageNumber"/>
        <w:lang w:val="fr-FR"/>
      </w:rPr>
    </w:pPr>
    <w:r w:rsidRPr="00E919C2">
      <w:rPr>
        <w:lang w:val="fr-FR"/>
      </w:rPr>
      <w:t>Docket Nos. UE-11_____ &amp; UG-11_______</w:t>
    </w:r>
    <w:r w:rsidRPr="00E919C2">
      <w:rPr>
        <w:lang w:val="fr-FR"/>
      </w:rPr>
      <w:tab/>
      <w:t xml:space="preserve">Page </w:t>
    </w:r>
    <w:r w:rsidRPr="00E919C2">
      <w:rPr>
        <w:rStyle w:val="PageNumber"/>
      </w:rPr>
      <w:fldChar w:fldCharType="begin"/>
    </w:r>
    <w:r w:rsidRPr="00E919C2">
      <w:rPr>
        <w:rStyle w:val="PageNumber"/>
        <w:lang w:val="fr-FR"/>
      </w:rPr>
      <w:instrText xml:space="preserve"> PAGE </w:instrText>
    </w:r>
    <w:r w:rsidRPr="00E919C2">
      <w:rPr>
        <w:rStyle w:val="PageNumber"/>
      </w:rPr>
      <w:fldChar w:fldCharType="separate"/>
    </w:r>
    <w:r w:rsidR="002D3BE0">
      <w:rPr>
        <w:rStyle w:val="PageNumber"/>
        <w:noProof/>
        <w:lang w:val="fr-FR"/>
      </w:rPr>
      <w:t>10</w:t>
    </w:r>
    <w:r w:rsidRPr="00E919C2">
      <w:rPr>
        <w:rStyle w:val="PageNumber"/>
      </w:rPr>
      <w:fldChar w:fldCharType="end"/>
    </w:r>
  </w:p>
  <w:p w:rsidR="00F61456" w:rsidRPr="00E919C2" w:rsidRDefault="00F61456">
    <w:pPr>
      <w:pStyle w:val="Footer"/>
      <w:tabs>
        <w:tab w:val="clear" w:pos="4320"/>
        <w:tab w:val="clear" w:pos="8640"/>
        <w:tab w:val="left" w:pos="180"/>
        <w:tab w:val="right" w:pos="9360"/>
      </w:tabs>
      <w:rPr>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456" w:rsidRDefault="00F61456">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456" w:rsidRDefault="00F61456">
      <w:r>
        <w:separator/>
      </w:r>
    </w:p>
  </w:footnote>
  <w:footnote w:type="continuationSeparator" w:id="0">
    <w:p w:rsidR="00F61456" w:rsidRDefault="00F614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456" w:rsidRDefault="00F61456">
    <w:pPr>
      <w:pStyle w:val="Header"/>
      <w:jc w:val="right"/>
    </w:pPr>
    <w:r>
      <w:t>Exhibit No. ___(BWF-1T)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456" w:rsidRDefault="00F61456">
    <w:pPr>
      <w:pStyle w:val="Header"/>
    </w:pPr>
    <w:r>
      <w:tab/>
    </w:r>
    <w:r>
      <w:tab/>
      <w:t>Exhibit No. ___(BWF-1T)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637A5"/>
    <w:multiLevelType w:val="hybridMultilevel"/>
    <w:tmpl w:val="38E628D2"/>
    <w:lvl w:ilvl="0" w:tplc="26B8D822">
      <w:start w:val="1"/>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533893"/>
    <w:multiLevelType w:val="hybridMultilevel"/>
    <w:tmpl w:val="FEAA7012"/>
    <w:lvl w:ilvl="0" w:tplc="83AE36A6">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160A2013"/>
    <w:multiLevelType w:val="hybridMultilevel"/>
    <w:tmpl w:val="A4E42B34"/>
    <w:lvl w:ilvl="0" w:tplc="B6BE1442">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A31C34"/>
    <w:multiLevelType w:val="hybridMultilevel"/>
    <w:tmpl w:val="4AE6D866"/>
    <w:lvl w:ilvl="0" w:tplc="2BBC3B2C">
      <w:numFmt w:val="bullet"/>
      <w:lvlText w:val=""/>
      <w:lvlJc w:val="left"/>
      <w:pPr>
        <w:tabs>
          <w:tab w:val="num" w:pos="1260"/>
        </w:tabs>
        <w:ind w:left="1260" w:hanging="720"/>
      </w:pPr>
      <w:rPr>
        <w:rFonts w:ascii="Symbol" w:eastAsia="Times New Roman" w:hAnsi="Symbol" w:hint="default"/>
      </w:rPr>
    </w:lvl>
    <w:lvl w:ilvl="1" w:tplc="3626A462">
      <w:start w:val="1"/>
      <w:numFmt w:val="bullet"/>
      <w:lvlText w:val="–"/>
      <w:lvlJc w:val="left"/>
      <w:pPr>
        <w:tabs>
          <w:tab w:val="num" w:pos="1440"/>
        </w:tabs>
        <w:ind w:left="1440" w:hanging="360"/>
      </w:pPr>
      <w:rPr>
        <w:rFonts w:ascii="Times New Roman" w:hAnsi="Times New Roman"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8BF3A8D"/>
    <w:multiLevelType w:val="hybridMultilevel"/>
    <w:tmpl w:val="7C344E4E"/>
    <w:lvl w:ilvl="0" w:tplc="7A905844">
      <w:start w:val="1"/>
      <w:numFmt w:val="bullet"/>
      <w:lvlText w:val=""/>
      <w:lvlJc w:val="left"/>
      <w:pPr>
        <w:tabs>
          <w:tab w:val="num" w:pos="1080"/>
        </w:tabs>
        <w:ind w:left="108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251C72"/>
    <w:multiLevelType w:val="hybridMultilevel"/>
    <w:tmpl w:val="012C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7">
    <w:nsid w:val="414C3263"/>
    <w:multiLevelType w:val="hybridMultilevel"/>
    <w:tmpl w:val="9F0E4710"/>
    <w:lvl w:ilvl="0" w:tplc="E38E7660">
      <w:start w:val="17"/>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nsid w:val="43862B6F"/>
    <w:multiLevelType w:val="hybridMultilevel"/>
    <w:tmpl w:val="671E83CC"/>
    <w:lvl w:ilvl="0" w:tplc="FE326DE4">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44426492"/>
    <w:multiLevelType w:val="hybridMultilevel"/>
    <w:tmpl w:val="51CC9734"/>
    <w:lvl w:ilvl="0" w:tplc="2BBC3B2C">
      <w:numFmt w:val="bullet"/>
      <w:lvlText w:val=""/>
      <w:lvlJc w:val="left"/>
      <w:pPr>
        <w:tabs>
          <w:tab w:val="num" w:pos="1260"/>
        </w:tabs>
        <w:ind w:left="126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7A12957"/>
    <w:multiLevelType w:val="hybridMultilevel"/>
    <w:tmpl w:val="6DA24ACA"/>
    <w:lvl w:ilvl="0" w:tplc="4744732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7DF706A"/>
    <w:multiLevelType w:val="hybridMultilevel"/>
    <w:tmpl w:val="269484F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7B6CED"/>
    <w:multiLevelType w:val="hybridMultilevel"/>
    <w:tmpl w:val="37204C70"/>
    <w:lvl w:ilvl="0" w:tplc="60BEC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BF5BD5"/>
    <w:multiLevelType w:val="hybridMultilevel"/>
    <w:tmpl w:val="E166C8F0"/>
    <w:lvl w:ilvl="0" w:tplc="B59CC28A">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4BCE6162"/>
    <w:multiLevelType w:val="hybridMultilevel"/>
    <w:tmpl w:val="8A2C28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FE7ACC"/>
    <w:multiLevelType w:val="hybridMultilevel"/>
    <w:tmpl w:val="0448B9AC"/>
    <w:lvl w:ilvl="0" w:tplc="705614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9E1631F"/>
    <w:multiLevelType w:val="hybridMultilevel"/>
    <w:tmpl w:val="A096393E"/>
    <w:lvl w:ilvl="0" w:tplc="E91086D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nsid w:val="60091763"/>
    <w:multiLevelType w:val="hybridMultilevel"/>
    <w:tmpl w:val="B4EEAC0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F925FB"/>
    <w:multiLevelType w:val="hybridMultilevel"/>
    <w:tmpl w:val="007CD8A0"/>
    <w:lvl w:ilvl="0" w:tplc="C854E2EC">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9"/>
  </w:num>
  <w:num w:numId="4">
    <w:abstractNumId w:val="3"/>
  </w:num>
  <w:num w:numId="5">
    <w:abstractNumId w:val="16"/>
  </w:num>
  <w:num w:numId="6">
    <w:abstractNumId w:val="7"/>
  </w:num>
  <w:num w:numId="7">
    <w:abstractNumId w:val="18"/>
  </w:num>
  <w:num w:numId="8">
    <w:abstractNumId w:val="10"/>
  </w:num>
  <w:num w:numId="9">
    <w:abstractNumId w:val="8"/>
  </w:num>
  <w:num w:numId="10">
    <w:abstractNumId w:val="1"/>
  </w:num>
  <w:num w:numId="11">
    <w:abstractNumId w:val="4"/>
  </w:num>
  <w:num w:numId="12">
    <w:abstractNumId w:val="19"/>
  </w:num>
  <w:num w:numId="13">
    <w:abstractNumId w:val="2"/>
  </w:num>
  <w:num w:numId="14">
    <w:abstractNumId w:val="14"/>
  </w:num>
  <w:num w:numId="15">
    <w:abstractNumId w:val="11"/>
  </w:num>
  <w:num w:numId="16">
    <w:abstractNumId w:val="5"/>
  </w:num>
  <w:num w:numId="17">
    <w:abstractNumId w:val="17"/>
  </w:num>
  <w:num w:numId="18">
    <w:abstractNumId w:val="15"/>
  </w:num>
  <w:num w:numId="19">
    <w:abstractNumId w:val="0"/>
  </w:num>
  <w:num w:numId="20">
    <w:abstractNumId w:val="1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182994"/>
    <w:rsid w:val="000136E3"/>
    <w:rsid w:val="00015017"/>
    <w:rsid w:val="00027F3D"/>
    <w:rsid w:val="0003076B"/>
    <w:rsid w:val="00030C4B"/>
    <w:rsid w:val="0003377A"/>
    <w:rsid w:val="00057524"/>
    <w:rsid w:val="000624F2"/>
    <w:rsid w:val="00064A2D"/>
    <w:rsid w:val="00071FF7"/>
    <w:rsid w:val="00075241"/>
    <w:rsid w:val="000758F4"/>
    <w:rsid w:val="00094FF4"/>
    <w:rsid w:val="000A732D"/>
    <w:rsid w:val="000B12A4"/>
    <w:rsid w:val="000B407D"/>
    <w:rsid w:val="000D2231"/>
    <w:rsid w:val="000F1660"/>
    <w:rsid w:val="000F19B0"/>
    <w:rsid w:val="000F2EF9"/>
    <w:rsid w:val="00104FDA"/>
    <w:rsid w:val="00112B0B"/>
    <w:rsid w:val="001207AD"/>
    <w:rsid w:val="00133B1B"/>
    <w:rsid w:val="001417CA"/>
    <w:rsid w:val="00143110"/>
    <w:rsid w:val="00153BDC"/>
    <w:rsid w:val="00155AE7"/>
    <w:rsid w:val="00155DDE"/>
    <w:rsid w:val="001659B7"/>
    <w:rsid w:val="00173891"/>
    <w:rsid w:val="00182994"/>
    <w:rsid w:val="001831B7"/>
    <w:rsid w:val="00184FB2"/>
    <w:rsid w:val="0018648B"/>
    <w:rsid w:val="00186A22"/>
    <w:rsid w:val="001901E6"/>
    <w:rsid w:val="001B2789"/>
    <w:rsid w:val="001B2833"/>
    <w:rsid w:val="001B4D7A"/>
    <w:rsid w:val="001C5741"/>
    <w:rsid w:val="001C5FFA"/>
    <w:rsid w:val="001E474C"/>
    <w:rsid w:val="00200A34"/>
    <w:rsid w:val="00201375"/>
    <w:rsid w:val="00213128"/>
    <w:rsid w:val="00215701"/>
    <w:rsid w:val="00222835"/>
    <w:rsid w:val="00227A41"/>
    <w:rsid w:val="00232B29"/>
    <w:rsid w:val="002414C0"/>
    <w:rsid w:val="002415AD"/>
    <w:rsid w:val="002416B7"/>
    <w:rsid w:val="00251CCB"/>
    <w:rsid w:val="00256EC0"/>
    <w:rsid w:val="0026382F"/>
    <w:rsid w:val="00272190"/>
    <w:rsid w:val="00294D01"/>
    <w:rsid w:val="00296B19"/>
    <w:rsid w:val="002A6D68"/>
    <w:rsid w:val="002B1BB9"/>
    <w:rsid w:val="002B2924"/>
    <w:rsid w:val="002B5E8B"/>
    <w:rsid w:val="002B66A8"/>
    <w:rsid w:val="002C3713"/>
    <w:rsid w:val="002D16DA"/>
    <w:rsid w:val="002D3BE0"/>
    <w:rsid w:val="002F6A07"/>
    <w:rsid w:val="003072ED"/>
    <w:rsid w:val="0031046F"/>
    <w:rsid w:val="003108D8"/>
    <w:rsid w:val="00310E07"/>
    <w:rsid w:val="00314F29"/>
    <w:rsid w:val="00331C80"/>
    <w:rsid w:val="003328FC"/>
    <w:rsid w:val="0033304C"/>
    <w:rsid w:val="00336966"/>
    <w:rsid w:val="0034108B"/>
    <w:rsid w:val="00343C9F"/>
    <w:rsid w:val="00346941"/>
    <w:rsid w:val="00350D7F"/>
    <w:rsid w:val="00352CED"/>
    <w:rsid w:val="00365FC4"/>
    <w:rsid w:val="0037345B"/>
    <w:rsid w:val="003741AC"/>
    <w:rsid w:val="00376CC7"/>
    <w:rsid w:val="003804F6"/>
    <w:rsid w:val="00384C87"/>
    <w:rsid w:val="00385A87"/>
    <w:rsid w:val="00391AC7"/>
    <w:rsid w:val="00394838"/>
    <w:rsid w:val="00397DD2"/>
    <w:rsid w:val="003A0C49"/>
    <w:rsid w:val="003B02D3"/>
    <w:rsid w:val="003B0386"/>
    <w:rsid w:val="003D214C"/>
    <w:rsid w:val="003E419E"/>
    <w:rsid w:val="003E4646"/>
    <w:rsid w:val="003F5E86"/>
    <w:rsid w:val="003F643E"/>
    <w:rsid w:val="00402E71"/>
    <w:rsid w:val="00403F4F"/>
    <w:rsid w:val="00410B7D"/>
    <w:rsid w:val="0041552B"/>
    <w:rsid w:val="00415C63"/>
    <w:rsid w:val="0042262B"/>
    <w:rsid w:val="00424342"/>
    <w:rsid w:val="00434C8F"/>
    <w:rsid w:val="004419A0"/>
    <w:rsid w:val="00443257"/>
    <w:rsid w:val="0044788C"/>
    <w:rsid w:val="00447DB0"/>
    <w:rsid w:val="0046306C"/>
    <w:rsid w:val="004861C9"/>
    <w:rsid w:val="004A28B9"/>
    <w:rsid w:val="004A7110"/>
    <w:rsid w:val="004B465D"/>
    <w:rsid w:val="004B7258"/>
    <w:rsid w:val="004C2C07"/>
    <w:rsid w:val="004D39EE"/>
    <w:rsid w:val="004E4687"/>
    <w:rsid w:val="004E5CD7"/>
    <w:rsid w:val="004F05DE"/>
    <w:rsid w:val="005000B4"/>
    <w:rsid w:val="00504AF3"/>
    <w:rsid w:val="00553109"/>
    <w:rsid w:val="00557055"/>
    <w:rsid w:val="00562A7E"/>
    <w:rsid w:val="00563272"/>
    <w:rsid w:val="00572CD4"/>
    <w:rsid w:val="00581E91"/>
    <w:rsid w:val="00592088"/>
    <w:rsid w:val="005B0823"/>
    <w:rsid w:val="005B2908"/>
    <w:rsid w:val="005B3556"/>
    <w:rsid w:val="005C466E"/>
    <w:rsid w:val="005F23C0"/>
    <w:rsid w:val="00602DED"/>
    <w:rsid w:val="0060447E"/>
    <w:rsid w:val="006115D7"/>
    <w:rsid w:val="006123A9"/>
    <w:rsid w:val="006136E9"/>
    <w:rsid w:val="00614745"/>
    <w:rsid w:val="00620C9A"/>
    <w:rsid w:val="00621866"/>
    <w:rsid w:val="00623EB0"/>
    <w:rsid w:val="00626E61"/>
    <w:rsid w:val="00630ECD"/>
    <w:rsid w:val="00640659"/>
    <w:rsid w:val="00640CC7"/>
    <w:rsid w:val="00642AE3"/>
    <w:rsid w:val="0064682D"/>
    <w:rsid w:val="006530FE"/>
    <w:rsid w:val="006543BF"/>
    <w:rsid w:val="00655D65"/>
    <w:rsid w:val="00662B8A"/>
    <w:rsid w:val="00666B23"/>
    <w:rsid w:val="006741FE"/>
    <w:rsid w:val="006758B6"/>
    <w:rsid w:val="00675DD5"/>
    <w:rsid w:val="0067612D"/>
    <w:rsid w:val="00684F1B"/>
    <w:rsid w:val="006B475D"/>
    <w:rsid w:val="006B4C03"/>
    <w:rsid w:val="006B4EA9"/>
    <w:rsid w:val="006C2B3A"/>
    <w:rsid w:val="006C4E76"/>
    <w:rsid w:val="006D00EF"/>
    <w:rsid w:val="006D5303"/>
    <w:rsid w:val="006D5526"/>
    <w:rsid w:val="00710740"/>
    <w:rsid w:val="00710BC8"/>
    <w:rsid w:val="00716DF2"/>
    <w:rsid w:val="00722D42"/>
    <w:rsid w:val="00727B0B"/>
    <w:rsid w:val="00727B71"/>
    <w:rsid w:val="00730353"/>
    <w:rsid w:val="00732695"/>
    <w:rsid w:val="00741D17"/>
    <w:rsid w:val="007429F0"/>
    <w:rsid w:val="007542BC"/>
    <w:rsid w:val="00754974"/>
    <w:rsid w:val="00755BDF"/>
    <w:rsid w:val="00757121"/>
    <w:rsid w:val="00757C14"/>
    <w:rsid w:val="00772FF5"/>
    <w:rsid w:val="007748D5"/>
    <w:rsid w:val="00776434"/>
    <w:rsid w:val="00783403"/>
    <w:rsid w:val="00790F3A"/>
    <w:rsid w:val="00791F3C"/>
    <w:rsid w:val="007952AD"/>
    <w:rsid w:val="0079603F"/>
    <w:rsid w:val="00796254"/>
    <w:rsid w:val="00797096"/>
    <w:rsid w:val="007B5DDA"/>
    <w:rsid w:val="007D220F"/>
    <w:rsid w:val="007D6C6B"/>
    <w:rsid w:val="007E6CC3"/>
    <w:rsid w:val="007E773D"/>
    <w:rsid w:val="007F2DD8"/>
    <w:rsid w:val="0080613E"/>
    <w:rsid w:val="00822ED5"/>
    <w:rsid w:val="00865A53"/>
    <w:rsid w:val="008677B5"/>
    <w:rsid w:val="0087578E"/>
    <w:rsid w:val="00875820"/>
    <w:rsid w:val="008861AE"/>
    <w:rsid w:val="00887B21"/>
    <w:rsid w:val="00887EA5"/>
    <w:rsid w:val="008B0818"/>
    <w:rsid w:val="008D2CA6"/>
    <w:rsid w:val="008E1970"/>
    <w:rsid w:val="008E2CE0"/>
    <w:rsid w:val="008E53B5"/>
    <w:rsid w:val="008F1CA2"/>
    <w:rsid w:val="00905F96"/>
    <w:rsid w:val="0090617A"/>
    <w:rsid w:val="0091139D"/>
    <w:rsid w:val="009143AB"/>
    <w:rsid w:val="00916C0B"/>
    <w:rsid w:val="00917BCD"/>
    <w:rsid w:val="0092254D"/>
    <w:rsid w:val="009236A1"/>
    <w:rsid w:val="00924428"/>
    <w:rsid w:val="00937812"/>
    <w:rsid w:val="00946F70"/>
    <w:rsid w:val="00950C53"/>
    <w:rsid w:val="00953395"/>
    <w:rsid w:val="009535F5"/>
    <w:rsid w:val="0095714C"/>
    <w:rsid w:val="009621B2"/>
    <w:rsid w:val="00962AB9"/>
    <w:rsid w:val="00963172"/>
    <w:rsid w:val="00975B1C"/>
    <w:rsid w:val="00987291"/>
    <w:rsid w:val="00991BBA"/>
    <w:rsid w:val="00992182"/>
    <w:rsid w:val="0099790C"/>
    <w:rsid w:val="009B576A"/>
    <w:rsid w:val="009B6893"/>
    <w:rsid w:val="009C3E84"/>
    <w:rsid w:val="009C464E"/>
    <w:rsid w:val="009C5DDF"/>
    <w:rsid w:val="009D6768"/>
    <w:rsid w:val="009E3323"/>
    <w:rsid w:val="009E675A"/>
    <w:rsid w:val="009F0C75"/>
    <w:rsid w:val="00A00338"/>
    <w:rsid w:val="00A02FA3"/>
    <w:rsid w:val="00A136B9"/>
    <w:rsid w:val="00A22D1B"/>
    <w:rsid w:val="00A279E4"/>
    <w:rsid w:val="00A66EA8"/>
    <w:rsid w:val="00A844DE"/>
    <w:rsid w:val="00A84E8B"/>
    <w:rsid w:val="00A863EA"/>
    <w:rsid w:val="00A91670"/>
    <w:rsid w:val="00A97000"/>
    <w:rsid w:val="00A97D0C"/>
    <w:rsid w:val="00AB500D"/>
    <w:rsid w:val="00AC21B3"/>
    <w:rsid w:val="00AC3937"/>
    <w:rsid w:val="00AC5055"/>
    <w:rsid w:val="00AC7D32"/>
    <w:rsid w:val="00AD4904"/>
    <w:rsid w:val="00AD62B3"/>
    <w:rsid w:val="00AD7CDD"/>
    <w:rsid w:val="00B023FA"/>
    <w:rsid w:val="00B02FAC"/>
    <w:rsid w:val="00B11627"/>
    <w:rsid w:val="00B1295E"/>
    <w:rsid w:val="00B25236"/>
    <w:rsid w:val="00B3129B"/>
    <w:rsid w:val="00B31FF1"/>
    <w:rsid w:val="00B355DA"/>
    <w:rsid w:val="00B35A29"/>
    <w:rsid w:val="00B362FF"/>
    <w:rsid w:val="00B61B1F"/>
    <w:rsid w:val="00B66CC9"/>
    <w:rsid w:val="00B72749"/>
    <w:rsid w:val="00B8384D"/>
    <w:rsid w:val="00B957CA"/>
    <w:rsid w:val="00B96E76"/>
    <w:rsid w:val="00B97F32"/>
    <w:rsid w:val="00BA001D"/>
    <w:rsid w:val="00BA1D51"/>
    <w:rsid w:val="00BB257C"/>
    <w:rsid w:val="00BB340E"/>
    <w:rsid w:val="00BC2A11"/>
    <w:rsid w:val="00BC387D"/>
    <w:rsid w:val="00BD02BB"/>
    <w:rsid w:val="00BD30B0"/>
    <w:rsid w:val="00BD3937"/>
    <w:rsid w:val="00BD540B"/>
    <w:rsid w:val="00BE2D81"/>
    <w:rsid w:val="00C01FCF"/>
    <w:rsid w:val="00C12BA8"/>
    <w:rsid w:val="00C133EB"/>
    <w:rsid w:val="00C136BA"/>
    <w:rsid w:val="00C15A48"/>
    <w:rsid w:val="00C164EE"/>
    <w:rsid w:val="00C16512"/>
    <w:rsid w:val="00C22CDF"/>
    <w:rsid w:val="00C2351E"/>
    <w:rsid w:val="00C240B4"/>
    <w:rsid w:val="00C25B19"/>
    <w:rsid w:val="00C30C85"/>
    <w:rsid w:val="00C3125B"/>
    <w:rsid w:val="00C37A73"/>
    <w:rsid w:val="00C408E4"/>
    <w:rsid w:val="00C41640"/>
    <w:rsid w:val="00C7389F"/>
    <w:rsid w:val="00C76057"/>
    <w:rsid w:val="00C77DED"/>
    <w:rsid w:val="00C90B02"/>
    <w:rsid w:val="00C90C39"/>
    <w:rsid w:val="00C969D5"/>
    <w:rsid w:val="00C97E75"/>
    <w:rsid w:val="00CA17F8"/>
    <w:rsid w:val="00CB02CA"/>
    <w:rsid w:val="00CB18D8"/>
    <w:rsid w:val="00CB57A1"/>
    <w:rsid w:val="00CC1591"/>
    <w:rsid w:val="00CC3151"/>
    <w:rsid w:val="00CC5F9E"/>
    <w:rsid w:val="00CC7863"/>
    <w:rsid w:val="00CE0F6F"/>
    <w:rsid w:val="00CE495E"/>
    <w:rsid w:val="00CE4E05"/>
    <w:rsid w:val="00CE6446"/>
    <w:rsid w:val="00CF0619"/>
    <w:rsid w:val="00CF10D8"/>
    <w:rsid w:val="00D00BCD"/>
    <w:rsid w:val="00D0462E"/>
    <w:rsid w:val="00D11509"/>
    <w:rsid w:val="00D14AA6"/>
    <w:rsid w:val="00D201A3"/>
    <w:rsid w:val="00D4013E"/>
    <w:rsid w:val="00D52617"/>
    <w:rsid w:val="00D62131"/>
    <w:rsid w:val="00D62575"/>
    <w:rsid w:val="00D676EF"/>
    <w:rsid w:val="00D72ADF"/>
    <w:rsid w:val="00D73928"/>
    <w:rsid w:val="00D87C3D"/>
    <w:rsid w:val="00D900BF"/>
    <w:rsid w:val="00D904D6"/>
    <w:rsid w:val="00D91BFA"/>
    <w:rsid w:val="00DA5DCD"/>
    <w:rsid w:val="00DA5F6F"/>
    <w:rsid w:val="00DB1BB6"/>
    <w:rsid w:val="00DC43B6"/>
    <w:rsid w:val="00DD02C6"/>
    <w:rsid w:val="00DD1D21"/>
    <w:rsid w:val="00DD5286"/>
    <w:rsid w:val="00DE0124"/>
    <w:rsid w:val="00DE2186"/>
    <w:rsid w:val="00DF1341"/>
    <w:rsid w:val="00DF326D"/>
    <w:rsid w:val="00E00E8E"/>
    <w:rsid w:val="00E01F09"/>
    <w:rsid w:val="00E06CF2"/>
    <w:rsid w:val="00E0716E"/>
    <w:rsid w:val="00E15856"/>
    <w:rsid w:val="00E20A8C"/>
    <w:rsid w:val="00E2188D"/>
    <w:rsid w:val="00E35005"/>
    <w:rsid w:val="00E35A65"/>
    <w:rsid w:val="00E4353A"/>
    <w:rsid w:val="00E46281"/>
    <w:rsid w:val="00E46752"/>
    <w:rsid w:val="00E531F6"/>
    <w:rsid w:val="00E538DB"/>
    <w:rsid w:val="00E61F48"/>
    <w:rsid w:val="00E66E1F"/>
    <w:rsid w:val="00E7293D"/>
    <w:rsid w:val="00E74B15"/>
    <w:rsid w:val="00E83176"/>
    <w:rsid w:val="00E843F3"/>
    <w:rsid w:val="00E8471B"/>
    <w:rsid w:val="00E90748"/>
    <w:rsid w:val="00E919C2"/>
    <w:rsid w:val="00EA266C"/>
    <w:rsid w:val="00EA2DA0"/>
    <w:rsid w:val="00EA579E"/>
    <w:rsid w:val="00EA5FD0"/>
    <w:rsid w:val="00EB5F37"/>
    <w:rsid w:val="00EB605D"/>
    <w:rsid w:val="00EB6804"/>
    <w:rsid w:val="00EB7272"/>
    <w:rsid w:val="00EC4A8A"/>
    <w:rsid w:val="00ED55A7"/>
    <w:rsid w:val="00EF097A"/>
    <w:rsid w:val="00EF610B"/>
    <w:rsid w:val="00F000FC"/>
    <w:rsid w:val="00F01F0F"/>
    <w:rsid w:val="00F03BEA"/>
    <w:rsid w:val="00F16CF0"/>
    <w:rsid w:val="00F17870"/>
    <w:rsid w:val="00F431BD"/>
    <w:rsid w:val="00F46CB2"/>
    <w:rsid w:val="00F522DF"/>
    <w:rsid w:val="00F548EC"/>
    <w:rsid w:val="00F61456"/>
    <w:rsid w:val="00F62511"/>
    <w:rsid w:val="00F62DF2"/>
    <w:rsid w:val="00F6346E"/>
    <w:rsid w:val="00F92928"/>
    <w:rsid w:val="00F93DDE"/>
    <w:rsid w:val="00FA232D"/>
    <w:rsid w:val="00FA4288"/>
    <w:rsid w:val="00FA4E6C"/>
    <w:rsid w:val="00FB13FA"/>
    <w:rsid w:val="00FB5C5C"/>
    <w:rsid w:val="00FB5EDC"/>
    <w:rsid w:val="00FC56E3"/>
    <w:rsid w:val="00FC5F75"/>
    <w:rsid w:val="00FE4718"/>
    <w:rsid w:val="00FF7217"/>
    <w:rsid w:val="00FF7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904"/>
    <w:pPr>
      <w:autoSpaceDE w:val="0"/>
      <w:autoSpaceDN w:val="0"/>
    </w:pPr>
    <w:rPr>
      <w:sz w:val="24"/>
      <w:szCs w:val="24"/>
    </w:rPr>
  </w:style>
  <w:style w:type="paragraph" w:styleId="Heading1">
    <w:name w:val="heading 1"/>
    <w:basedOn w:val="Normal"/>
    <w:next w:val="Normal"/>
    <w:qFormat/>
    <w:rsid w:val="00AD490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AD490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AD490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AD490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AD4904"/>
    <w:pPr>
      <w:keepNext/>
      <w:spacing w:line="480" w:lineRule="auto"/>
      <w:jc w:val="center"/>
      <w:outlineLvl w:val="4"/>
    </w:pPr>
    <w:rPr>
      <w:b/>
      <w:bCs/>
    </w:rPr>
  </w:style>
  <w:style w:type="paragraph" w:styleId="Heading6">
    <w:name w:val="heading 6"/>
    <w:basedOn w:val="Normal"/>
    <w:next w:val="Normal"/>
    <w:qFormat/>
    <w:rsid w:val="00AD490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AD4904"/>
    <w:pPr>
      <w:keepNext/>
      <w:tabs>
        <w:tab w:val="left" w:pos="1260"/>
      </w:tabs>
      <w:jc w:val="right"/>
      <w:outlineLvl w:val="6"/>
    </w:pPr>
    <w:rPr>
      <w:sz w:val="20"/>
      <w:szCs w:val="20"/>
    </w:rPr>
  </w:style>
  <w:style w:type="paragraph" w:styleId="Heading8">
    <w:name w:val="heading 8"/>
    <w:basedOn w:val="Normal"/>
    <w:next w:val="Normal"/>
    <w:qFormat/>
    <w:rsid w:val="00AD490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AD490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4904"/>
    <w:pPr>
      <w:tabs>
        <w:tab w:val="center" w:pos="4320"/>
        <w:tab w:val="right" w:pos="8640"/>
      </w:tabs>
    </w:pPr>
  </w:style>
  <w:style w:type="paragraph" w:styleId="Footer">
    <w:name w:val="footer"/>
    <w:basedOn w:val="Normal"/>
    <w:link w:val="FooterChar"/>
    <w:uiPriority w:val="99"/>
    <w:rsid w:val="00AD4904"/>
    <w:pPr>
      <w:tabs>
        <w:tab w:val="center" w:pos="4320"/>
        <w:tab w:val="right" w:pos="8640"/>
      </w:tabs>
    </w:pPr>
  </w:style>
  <w:style w:type="character" w:styleId="PageNumber">
    <w:name w:val="page number"/>
    <w:basedOn w:val="DefaultParagraphFont"/>
    <w:rsid w:val="00AD4904"/>
    <w:rPr>
      <w:rFonts w:ascii="Times New Roman" w:hAnsi="Times New Roman" w:cs="Times New Roman"/>
      <w:sz w:val="24"/>
      <w:szCs w:val="24"/>
    </w:rPr>
  </w:style>
  <w:style w:type="character" w:styleId="LineNumber">
    <w:name w:val="line number"/>
    <w:basedOn w:val="DefaultParagraphFont"/>
    <w:rsid w:val="00AD4904"/>
    <w:rPr>
      <w:rFonts w:ascii="Times New Roman" w:hAnsi="Times New Roman" w:cs="Times New Roman"/>
      <w:sz w:val="24"/>
      <w:szCs w:val="24"/>
    </w:rPr>
  </w:style>
  <w:style w:type="paragraph" w:styleId="BodyText2">
    <w:name w:val="Body Text 2"/>
    <w:basedOn w:val="Normal"/>
    <w:link w:val="BodyText2Char"/>
    <w:rsid w:val="0018648B"/>
    <w:pPr>
      <w:spacing w:line="480" w:lineRule="auto"/>
      <w:jc w:val="both"/>
    </w:pPr>
  </w:style>
  <w:style w:type="paragraph" w:styleId="BodyTextIndent2">
    <w:name w:val="Body Text Indent 2"/>
    <w:basedOn w:val="Normal"/>
    <w:rsid w:val="00AD4904"/>
    <w:pPr>
      <w:tabs>
        <w:tab w:val="left" w:pos="1260"/>
      </w:tabs>
      <w:spacing w:line="480" w:lineRule="auto"/>
      <w:ind w:left="540" w:hanging="540"/>
      <w:jc w:val="both"/>
    </w:pPr>
  </w:style>
  <w:style w:type="paragraph" w:styleId="BodyTextIndent3">
    <w:name w:val="Body Text Indent 3"/>
    <w:basedOn w:val="Normal"/>
    <w:rsid w:val="00AD4904"/>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AD4904"/>
    <w:rPr>
      <w:sz w:val="20"/>
      <w:szCs w:val="20"/>
    </w:rPr>
  </w:style>
  <w:style w:type="character" w:styleId="FootnoteReference">
    <w:name w:val="footnote reference"/>
    <w:basedOn w:val="DefaultParagraphFont"/>
    <w:uiPriority w:val="99"/>
    <w:rsid w:val="00AD4904"/>
    <w:rPr>
      <w:rFonts w:cs="Times New Roman"/>
      <w:vertAlign w:val="superscript"/>
    </w:rPr>
  </w:style>
  <w:style w:type="paragraph" w:styleId="BodyText">
    <w:name w:val="Body Text"/>
    <w:basedOn w:val="Normal"/>
    <w:rsid w:val="00AD4904"/>
    <w:pPr>
      <w:spacing w:line="360" w:lineRule="auto"/>
      <w:jc w:val="center"/>
    </w:pPr>
    <w:rPr>
      <w:b/>
      <w:bCs/>
    </w:rPr>
  </w:style>
  <w:style w:type="paragraph" w:styleId="DocumentMap">
    <w:name w:val="Document Map"/>
    <w:basedOn w:val="Normal"/>
    <w:rsid w:val="00AD4904"/>
    <w:pPr>
      <w:shd w:val="clear" w:color="auto" w:fill="000080"/>
    </w:pPr>
    <w:rPr>
      <w:rFonts w:ascii="Tahoma" w:hAnsi="Tahoma" w:cs="Tahoma"/>
    </w:rPr>
  </w:style>
  <w:style w:type="paragraph" w:customStyle="1" w:styleId="TestBody">
    <w:name w:val="Test Body"/>
    <w:rsid w:val="00AD4904"/>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AD4904"/>
    <w:pPr>
      <w:numPr>
        <w:numId w:val="1"/>
      </w:numPr>
    </w:pPr>
  </w:style>
  <w:style w:type="paragraph" w:styleId="BodyText3">
    <w:name w:val="Body Text 3"/>
    <w:basedOn w:val="Normal"/>
    <w:rsid w:val="009F0C75"/>
    <w:pPr>
      <w:spacing w:after="120"/>
    </w:pPr>
    <w:rPr>
      <w:sz w:val="16"/>
      <w:szCs w:val="16"/>
    </w:rPr>
  </w:style>
  <w:style w:type="paragraph" w:customStyle="1" w:styleId="TableBodyText">
    <w:name w:val="Table Body Text"/>
    <w:basedOn w:val="BodyText"/>
    <w:rsid w:val="009F0C75"/>
    <w:pPr>
      <w:autoSpaceDE/>
      <w:autoSpaceDN/>
      <w:spacing w:before="60" w:after="20" w:line="240" w:lineRule="auto"/>
      <w:jc w:val="left"/>
    </w:pPr>
    <w:rPr>
      <w:rFonts w:ascii="Trebuchet MS" w:hAnsi="Trebuchet MS" w:cs="Trebuchet MS"/>
      <w:b w:val="0"/>
      <w:bCs w:val="0"/>
      <w:sz w:val="18"/>
      <w:szCs w:val="18"/>
    </w:rPr>
  </w:style>
  <w:style w:type="paragraph" w:customStyle="1" w:styleId="Tablesubtitle">
    <w:name w:val="Table subtitle"/>
    <w:basedOn w:val="Heading6"/>
    <w:rsid w:val="009F0C75"/>
    <w:pPr>
      <w:tabs>
        <w:tab w:val="clear" w:pos="1260"/>
      </w:tabs>
      <w:autoSpaceDE/>
      <w:autoSpaceDN/>
      <w:spacing w:before="60" w:after="20" w:line="240" w:lineRule="auto"/>
      <w:jc w:val="left"/>
    </w:pPr>
    <w:rPr>
      <w:rFonts w:ascii="Trebuchet MS" w:hAnsi="Trebuchet MS" w:cs="Trebuchet MS"/>
      <w:spacing w:val="10"/>
      <w:sz w:val="16"/>
      <w:szCs w:val="16"/>
    </w:rPr>
  </w:style>
  <w:style w:type="table" w:styleId="TableGrid">
    <w:name w:val="Table Grid"/>
    <w:basedOn w:val="TableNormal"/>
    <w:rsid w:val="009F0C75"/>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2B66A8"/>
    <w:pPr>
      <w:autoSpaceDE/>
      <w:autoSpaceDN/>
    </w:pPr>
    <w:rPr>
      <w:rFonts w:ascii="Courier New" w:hAnsi="Courier New" w:cs="Courier New"/>
      <w:sz w:val="20"/>
      <w:szCs w:val="20"/>
    </w:rPr>
  </w:style>
  <w:style w:type="paragraph" w:styleId="NormalWeb">
    <w:name w:val="Normal (Web)"/>
    <w:basedOn w:val="Normal"/>
    <w:uiPriority w:val="99"/>
    <w:rsid w:val="0091139D"/>
    <w:pPr>
      <w:autoSpaceDE/>
      <w:autoSpaceDN/>
      <w:spacing w:before="100" w:beforeAutospacing="1" w:after="100" w:afterAutospacing="1"/>
    </w:pPr>
  </w:style>
  <w:style w:type="character" w:styleId="Hyperlink">
    <w:name w:val="Hyperlink"/>
    <w:basedOn w:val="DefaultParagraphFont"/>
    <w:rsid w:val="00BA001D"/>
    <w:rPr>
      <w:rFonts w:cs="Times New Roman"/>
      <w:color w:val="0000FF"/>
      <w:u w:val="single"/>
    </w:rPr>
  </w:style>
  <w:style w:type="paragraph" w:styleId="NoSpacing">
    <w:name w:val="No Spacing"/>
    <w:uiPriority w:val="1"/>
    <w:qFormat/>
    <w:rsid w:val="00C16512"/>
    <w:rPr>
      <w:rFonts w:ascii="Calibri" w:eastAsia="Calibri" w:hAnsi="Calibri"/>
      <w:sz w:val="22"/>
      <w:szCs w:val="22"/>
    </w:rPr>
  </w:style>
  <w:style w:type="paragraph" w:styleId="ListParagraph">
    <w:name w:val="List Paragraph"/>
    <w:basedOn w:val="Normal"/>
    <w:uiPriority w:val="34"/>
    <w:qFormat/>
    <w:rsid w:val="0037345B"/>
    <w:pPr>
      <w:autoSpaceDE/>
      <w:autoSpaceDN/>
      <w:ind w:left="720"/>
      <w:contextualSpacing/>
    </w:pPr>
  </w:style>
  <w:style w:type="paragraph" w:styleId="BalloonText">
    <w:name w:val="Balloon Text"/>
    <w:basedOn w:val="Normal"/>
    <w:link w:val="BalloonTextChar"/>
    <w:rsid w:val="00D62575"/>
    <w:rPr>
      <w:rFonts w:ascii="Tahoma" w:hAnsi="Tahoma" w:cs="Tahoma"/>
      <w:sz w:val="16"/>
      <w:szCs w:val="16"/>
    </w:rPr>
  </w:style>
  <w:style w:type="character" w:customStyle="1" w:styleId="BalloonTextChar">
    <w:name w:val="Balloon Text Char"/>
    <w:basedOn w:val="DefaultParagraphFont"/>
    <w:link w:val="BalloonText"/>
    <w:rsid w:val="00D62575"/>
    <w:rPr>
      <w:rFonts w:ascii="Tahoma" w:hAnsi="Tahoma" w:cs="Tahoma"/>
      <w:sz w:val="16"/>
      <w:szCs w:val="16"/>
    </w:rPr>
  </w:style>
  <w:style w:type="character" w:customStyle="1" w:styleId="FooterChar">
    <w:name w:val="Footer Char"/>
    <w:basedOn w:val="DefaultParagraphFont"/>
    <w:link w:val="Footer"/>
    <w:uiPriority w:val="99"/>
    <w:rsid w:val="00572CD4"/>
    <w:rPr>
      <w:sz w:val="24"/>
      <w:szCs w:val="24"/>
    </w:rPr>
  </w:style>
  <w:style w:type="character" w:customStyle="1" w:styleId="FootnoteTextChar">
    <w:name w:val="Footnote Text Char"/>
    <w:basedOn w:val="DefaultParagraphFont"/>
    <w:link w:val="FootnoteText"/>
    <w:uiPriority w:val="99"/>
    <w:rsid w:val="00975B1C"/>
  </w:style>
  <w:style w:type="character" w:customStyle="1" w:styleId="BodyText2Char">
    <w:name w:val="Body Text 2 Char"/>
    <w:basedOn w:val="DefaultParagraphFont"/>
    <w:link w:val="BodyText2"/>
    <w:rsid w:val="00BD540B"/>
    <w:rPr>
      <w:sz w:val="24"/>
      <w:szCs w:val="24"/>
    </w:rPr>
  </w:style>
  <w:style w:type="paragraph" w:customStyle="1" w:styleId="P106">
    <w:name w:val="P106"/>
    <w:basedOn w:val="Normal"/>
    <w:rsid w:val="000B407D"/>
    <w:pPr>
      <w:widowControl w:val="0"/>
      <w:tabs>
        <w:tab w:val="left" w:pos="810"/>
        <w:tab w:val="left" w:pos="1440"/>
      </w:tabs>
      <w:adjustRightInd w:val="0"/>
      <w:spacing w:line="480" w:lineRule="auto"/>
      <w:ind w:firstLine="720"/>
    </w:pPr>
    <w:rPr>
      <w:rFonts w:ascii="Courier" w:hAnsi="Courier" w:cs="Courier"/>
      <w:szCs w:val="20"/>
    </w:rPr>
  </w:style>
  <w:style w:type="character" w:customStyle="1" w:styleId="T11">
    <w:name w:val="T11"/>
    <w:rsid w:val="000B407D"/>
    <w:rPr>
      <w:b/>
      <w:bCs w:val="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58801900">
      <w:bodyDiv w:val="1"/>
      <w:marLeft w:val="0"/>
      <w:marRight w:val="0"/>
      <w:marTop w:val="0"/>
      <w:marBottom w:val="0"/>
      <w:divBdr>
        <w:top w:val="none" w:sz="0" w:space="0" w:color="auto"/>
        <w:left w:val="none" w:sz="0" w:space="0" w:color="auto"/>
        <w:bottom w:val="none" w:sz="0" w:space="0" w:color="auto"/>
        <w:right w:val="none" w:sz="0" w:space="0" w:color="auto"/>
      </w:divBdr>
    </w:div>
    <w:div w:id="722948458">
      <w:bodyDiv w:val="1"/>
      <w:marLeft w:val="0"/>
      <w:marRight w:val="0"/>
      <w:marTop w:val="0"/>
      <w:marBottom w:val="0"/>
      <w:divBdr>
        <w:top w:val="none" w:sz="0" w:space="0" w:color="auto"/>
        <w:left w:val="none" w:sz="0" w:space="0" w:color="auto"/>
        <w:bottom w:val="none" w:sz="0" w:space="0" w:color="auto"/>
        <w:right w:val="none" w:sz="0" w:space="0" w:color="auto"/>
      </w:divBdr>
    </w:div>
    <w:div w:id="13931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F5022C8CA9C74EAC24E02BF6DDE455" ma:contentTypeVersion="143" ma:contentTypeDescription="" ma:contentTypeScope="" ma:versionID="e2ba8f076305413dc1d294c92ceeae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E9BB3B2-166B-4CF2-AC12-AF30A9A0F202}"/>
</file>

<file path=customXml/itemProps2.xml><?xml version="1.0" encoding="utf-8"?>
<ds:datastoreItem xmlns:ds="http://schemas.openxmlformats.org/officeDocument/2006/customXml" ds:itemID="{5D6496F0-594C-4380-B876-C0DD255B9983}"/>
</file>

<file path=customXml/itemProps3.xml><?xml version="1.0" encoding="utf-8"?>
<ds:datastoreItem xmlns:ds="http://schemas.openxmlformats.org/officeDocument/2006/customXml" ds:itemID="{C0C8FA79-BA4B-471E-969D-8D9DE85A7EF5}"/>
</file>

<file path=customXml/itemProps4.xml><?xml version="1.0" encoding="utf-8"?>
<ds:datastoreItem xmlns:ds="http://schemas.openxmlformats.org/officeDocument/2006/customXml" ds:itemID="{50BEFB53-A226-42BB-BACB-2551AA627C5B}"/>
</file>

<file path=customXml/itemProps5.xml><?xml version="1.0" encoding="utf-8"?>
<ds:datastoreItem xmlns:ds="http://schemas.openxmlformats.org/officeDocument/2006/customXml" ds:itemID="{5D319AC7-B07A-436A-9C06-D98363529BD0}"/>
</file>

<file path=docProps/app.xml><?xml version="1.0" encoding="utf-8"?>
<Properties xmlns="http://schemas.openxmlformats.org/officeDocument/2006/extended-properties" xmlns:vt="http://schemas.openxmlformats.org/officeDocument/2006/docPropsVTypes">
  <Template>Normal.dotm</Template>
  <TotalTime>100</TotalTime>
  <Pages>11</Pages>
  <Words>2784</Words>
  <Characters>16072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18819</CharactersWithSpaces>
  <SharedDoc>false</SharedDoc>
  <HLinks>
    <vt:vector size="6" baseType="variant">
      <vt:variant>
        <vt:i4>5701633</vt:i4>
      </vt:variant>
      <vt:variant>
        <vt:i4>0</vt:i4>
      </vt:variant>
      <vt:variant>
        <vt:i4>0</vt:i4>
      </vt:variant>
      <vt:variant>
        <vt:i4>5</vt:i4>
      </vt:variant>
      <vt:variant>
        <vt:lpwstr>http://www.everylittebit.com/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cp:lastModifiedBy>Patrick Ehrbar</cp:lastModifiedBy>
  <cp:revision>13</cp:revision>
  <cp:lastPrinted>2011-05-11T21:03:00Z</cp:lastPrinted>
  <dcterms:created xsi:type="dcterms:W3CDTF">2011-05-06T21:25:00Z</dcterms:created>
  <dcterms:modified xsi:type="dcterms:W3CDTF">2011-05-11T21:11:00Z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0x0101006E56B4D1795A2E4DB2F0B01679ED314A001DF5022C8CA9C74EAC24E02BF6DDE455</vt:lpwstr>
  </property>
  <property fmtid="{D5CDD505-2E9C-101B-9397-08002B2CF9AE}" pid="3" name="_docset_NoMedatataSyncRequired">
    <vt:lpwstr>False</vt:lpwstr>
  </property>
</Properties>
</file>