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ingle"/>
        <w:widowControl w:val="0"/>
        <w:ind w:left="2610" w:firstLine="0"/>
        <w:jc w:val="right"/>
        <w:rPr>
          <w:rStyle w:val="Strong"/>
        </w:rPr>
      </w:pPr>
      <w:bookmarkStart w:id="0" w:name="_GoBack"/>
      <w:bookmarkEnd w:id="0"/>
      <w:r>
        <w:rPr>
          <w:rStyle w:val="Strong"/>
        </w:rPr>
        <w:t>EXHIBIT NO. ___(EAF-3T)</w:t>
      </w:r>
      <w:r>
        <w:rPr>
          <w:rStyle w:val="Strong"/>
        </w:rPr>
        <w:br/>
      </w:r>
      <w:r>
        <w:rPr>
          <w:b/>
          <w:szCs w:val="24"/>
        </w:rPr>
        <w:t xml:space="preserve">Docket Nos. </w:t>
      </w:r>
      <w:r>
        <w:rPr>
          <w:b/>
          <w:smallCaps/>
        </w:rPr>
        <w:t xml:space="preserve">UE-121697/UG-121705 </w:t>
      </w:r>
      <w:r>
        <w:rPr>
          <w:rStyle w:val="Strong"/>
        </w:rPr>
        <w:br/>
        <w:t>WITNESS:  Edward A. Finklea</w:t>
      </w:r>
    </w:p>
    <w:p>
      <w:pPr>
        <w:pStyle w:val="Title-PUC"/>
        <w:rPr>
          <w:sz w:val="32"/>
          <w:szCs w:val="32"/>
        </w:rPr>
      </w:pPr>
    </w:p>
    <w:p>
      <w:pPr>
        <w:suppressLineNumbers/>
        <w:jc w:val="center"/>
        <w:rPr>
          <w:b/>
          <w:szCs w:val="24"/>
        </w:rPr>
      </w:pPr>
      <w:r>
        <w:rPr>
          <w:b/>
          <w:szCs w:val="24"/>
        </w:rPr>
        <w:t xml:space="preserve">BEFORE THE </w:t>
      </w:r>
    </w:p>
    <w:p>
      <w:pPr>
        <w:suppressLineNumbers/>
        <w:jc w:val="center"/>
        <w:rPr>
          <w:b/>
          <w:szCs w:val="24"/>
        </w:rPr>
      </w:pPr>
      <w:r>
        <w:rPr>
          <w:b/>
          <w:szCs w:val="24"/>
        </w:rPr>
        <w:t>WASHINGTON UTILITIES AND TRANSPORTATION COMMISSION</w:t>
      </w:r>
    </w:p>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tc>
          <w:tcPr>
            <w:tcW w:w="4328" w:type="dxa"/>
            <w:tcBorders>
              <w:bottom w:val="single" w:sz="4" w:space="0" w:color="auto"/>
              <w:right w:val="single" w:sz="4" w:space="0" w:color="auto"/>
            </w:tcBorders>
          </w:tcPr>
          <w:p>
            <w:pPr>
              <w:pStyle w:val="BodyText2"/>
              <w:spacing w:line="240" w:lineRule="auto"/>
            </w:pPr>
            <w:bookmarkStart w:id="1" w:name="OLE_LINK1"/>
            <w:r>
              <w:t>In the Matter of the Petition of</w:t>
            </w:r>
            <w:r>
              <w:br/>
            </w:r>
            <w:r>
              <w:br/>
              <w:t xml:space="preserve">PUGET SOUND ENERGY, INC. </w:t>
            </w:r>
            <w:r>
              <w:br/>
              <w:t>and NW ENERGY COALITION</w:t>
            </w:r>
            <w:r>
              <w:br/>
            </w:r>
            <w:r>
              <w:br/>
            </w:r>
            <w:r>
              <w:br/>
              <w:t>For an Order Authorizing PSE To Implement Electric and Natural Gas Decoupling Mechanisms and To Record Accounting Entries Associated With the Mechanisms</w:t>
            </w:r>
            <w:r>
              <w:br/>
            </w:r>
            <w:bookmarkEnd w:id="1"/>
          </w:p>
        </w:tc>
        <w:tc>
          <w:tcPr>
            <w:tcW w:w="276" w:type="dxa"/>
            <w:tcBorders>
              <w:left w:val="single" w:sz="4" w:space="0" w:color="auto"/>
            </w:tcBorders>
          </w:tcPr>
          <w:p>
            <w:pPr>
              <w:pStyle w:val="BodyText2"/>
              <w:spacing w:after="0" w:line="240" w:lineRule="auto"/>
            </w:pPr>
          </w:p>
          <w:p>
            <w:pPr>
              <w:pStyle w:val="BodyText2"/>
              <w:spacing w:after="0" w:line="240" w:lineRule="auto"/>
            </w:pPr>
          </w:p>
        </w:tc>
        <w:tc>
          <w:tcPr>
            <w:tcW w:w="4044" w:type="dxa"/>
          </w:tcPr>
          <w:p>
            <w:pPr>
              <w:keepNext/>
              <w:spacing w:before="240" w:after="60" w:line="240" w:lineRule="auto"/>
              <w:ind w:left="166"/>
              <w:outlineLvl w:val="2"/>
              <w:rPr>
                <w:rFonts w:cs="Arial"/>
                <w:bCs/>
                <w:szCs w:val="26"/>
              </w:rPr>
            </w:pPr>
            <w:bookmarkStart w:id="2" w:name="CaseNumber"/>
            <w:bookmarkEnd w:id="2"/>
            <w:r>
              <w:rPr>
                <w:rFonts w:cs="Arial"/>
                <w:bCs/>
                <w:szCs w:val="26"/>
              </w:rPr>
              <w:t xml:space="preserve">Dockets UE-121697 and UG-121705 </w:t>
            </w:r>
            <w:r>
              <w:rPr>
                <w:rFonts w:cs="Arial"/>
                <w:bCs/>
                <w:i/>
                <w:szCs w:val="26"/>
              </w:rPr>
              <w:t>(Consolidated)</w:t>
            </w:r>
          </w:p>
          <w:p>
            <w:pPr>
              <w:keepNext/>
              <w:spacing w:before="240" w:after="60" w:line="240" w:lineRule="auto"/>
              <w:ind w:left="166"/>
              <w:outlineLvl w:val="2"/>
              <w:rPr>
                <w:rFonts w:ascii="Arial" w:hAnsi="Arial" w:cs="Arial"/>
                <w:bCs/>
                <w:sz w:val="26"/>
                <w:szCs w:val="26"/>
              </w:rPr>
            </w:pPr>
          </w:p>
          <w:p>
            <w:pPr>
              <w:pStyle w:val="BodyText2"/>
              <w:spacing w:line="240" w:lineRule="auto"/>
            </w:pPr>
          </w:p>
        </w:tc>
      </w:tr>
    </w:tbl>
    <w:p>
      <w:pPr>
        <w:suppressLineNumbers/>
        <w:rPr>
          <w:szCs w:val="24"/>
        </w:rPr>
      </w:pPr>
    </w:p>
    <w:p>
      <w:pPr>
        <w:pStyle w:val="center"/>
        <w:keepLines w:val="0"/>
        <w:widowControl w:val="0"/>
        <w:spacing w:before="0" w:line="240" w:lineRule="auto"/>
        <w:rPr>
          <w:b/>
        </w:rPr>
      </w:pPr>
    </w:p>
    <w:p>
      <w:pPr>
        <w:pStyle w:val="center"/>
        <w:suppressLineNumbers/>
        <w:spacing w:before="0" w:line="240" w:lineRule="auto"/>
        <w:rPr>
          <w:b/>
        </w:rPr>
      </w:pPr>
      <w:r>
        <w:rPr>
          <w:b/>
        </w:rPr>
        <w:t>SUPPLEMENTAL TESTIMONY OF EDWARD A. FINKLEA</w:t>
      </w:r>
    </w:p>
    <w:p>
      <w:pPr>
        <w:pStyle w:val="center"/>
        <w:spacing w:before="0" w:line="240" w:lineRule="auto"/>
        <w:rPr>
          <w:b/>
        </w:rPr>
      </w:pPr>
    </w:p>
    <w:p>
      <w:pPr>
        <w:pStyle w:val="center"/>
        <w:spacing w:before="0" w:line="240" w:lineRule="auto"/>
        <w:rPr>
          <w:b/>
        </w:rPr>
      </w:pPr>
      <w:r>
        <w:rPr>
          <w:b/>
        </w:rPr>
        <w:t xml:space="preserve">ON BEHALF OF </w:t>
      </w:r>
    </w:p>
    <w:p>
      <w:pPr>
        <w:pStyle w:val="center"/>
        <w:spacing w:before="0" w:line="240" w:lineRule="auto"/>
        <w:rPr>
          <w:b/>
        </w:rPr>
      </w:pPr>
    </w:p>
    <w:p>
      <w:pPr>
        <w:pStyle w:val="center"/>
        <w:spacing w:before="0" w:line="240" w:lineRule="auto"/>
        <w:rPr>
          <w:b/>
        </w:rPr>
      </w:pPr>
      <w:r>
        <w:rPr>
          <w:b/>
        </w:rPr>
        <w:t xml:space="preserve">THE NORTHWEST INDUSTRIAL GAS USERS </w:t>
      </w: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r>
        <w:rPr>
          <w:b/>
        </w:rPr>
        <w:t>May 13, 2013</w:t>
      </w: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sectPr>
          <w:footerReference w:type="default" r:id="rId9"/>
          <w:pgSz w:w="12240" w:h="15840"/>
          <w:pgMar w:top="1440" w:right="1440" w:bottom="1440" w:left="1440" w:header="720" w:footer="720" w:gutter="0"/>
          <w:pgNumType w:start="1"/>
          <w:cols w:space="720"/>
          <w:titlePg/>
          <w:docGrid w:linePitch="360"/>
        </w:sectPr>
      </w:pPr>
    </w:p>
    <w:p>
      <w:pPr>
        <w:spacing w:line="480" w:lineRule="auto"/>
        <w:jc w:val="center"/>
        <w:rPr>
          <w:b/>
        </w:rPr>
      </w:pPr>
      <w:r>
        <w:rPr>
          <w:b/>
        </w:rPr>
        <w:lastRenderedPageBreak/>
        <w:t>SUPPLEMENTAL TESTIMONY OF EDWARD A. FINKLEA</w:t>
      </w:r>
    </w:p>
    <w:p>
      <w:pPr>
        <w:pStyle w:val="question"/>
        <w:keepNext w:val="0"/>
        <w:widowControl w:val="0"/>
        <w:rPr>
          <w:szCs w:val="24"/>
        </w:rPr>
      </w:pPr>
      <w:r>
        <w:rPr>
          <w:szCs w:val="24"/>
        </w:rPr>
        <w:t>Q.</w:t>
      </w:r>
      <w:r>
        <w:rPr>
          <w:szCs w:val="24"/>
        </w:rPr>
        <w:tab/>
        <w:t>PLEASE STATE YOUR NAME AND BUSINESS ADDRESS.</w:t>
      </w:r>
    </w:p>
    <w:p>
      <w:pPr>
        <w:pStyle w:val="answer"/>
        <w:widowControl w:val="0"/>
        <w:rPr>
          <w:szCs w:val="24"/>
        </w:rPr>
      </w:pPr>
      <w:r>
        <w:rPr>
          <w:b/>
          <w:szCs w:val="24"/>
        </w:rPr>
        <w:t>A.</w:t>
      </w:r>
      <w:r>
        <w:rPr>
          <w:szCs w:val="24"/>
        </w:rPr>
        <w:tab/>
        <w:t>My name is Edward A. Finklea.  I am the Executive Director of the Northwest Industrial Gas Users (“NWIGU”).  My business address is 326 Fifth Street, Lake Oswego, OR 97034.</w:t>
      </w:r>
    </w:p>
    <w:p>
      <w:pPr>
        <w:pStyle w:val="question"/>
      </w:pPr>
      <w:r>
        <w:t>Q.</w:t>
      </w:r>
      <w:r>
        <w:tab/>
        <w:t>ON WHOSE BEHALF ARE YOU APPEARING IN THIS PROCEEDING?</w:t>
      </w:r>
    </w:p>
    <w:p>
      <w:pPr>
        <w:pStyle w:val="answer"/>
      </w:pPr>
      <w:r>
        <w:rPr>
          <w:b/>
          <w:bCs/>
        </w:rPr>
        <w:t>A.</w:t>
      </w:r>
      <w:r>
        <w:rPr>
          <w:b/>
          <w:bCs/>
        </w:rPr>
        <w:tab/>
      </w:r>
      <w:r>
        <w:t>I am testifying on behalf of NWIGU.  NWIGU is a non-profit trade association whose members are large volume industrial customers served by local distribution utilities throughout the Pacific Northwest, including Puget Sound Energy (“PSE” or “Company”).</w:t>
      </w:r>
    </w:p>
    <w:p>
      <w:pPr>
        <w:keepNext/>
        <w:keepLines/>
        <w:spacing w:line="480" w:lineRule="auto"/>
        <w:rPr>
          <w:b/>
        </w:rPr>
      </w:pPr>
      <w:r>
        <w:rPr>
          <w:b/>
        </w:rPr>
        <w:t>Q.</w:t>
      </w:r>
      <w:r>
        <w:rPr>
          <w:b/>
        </w:rPr>
        <w:tab/>
        <w:t>HAVE YOU ALREADY SUBMITTED TESTIMONY IN THIS PROCEEDING?</w:t>
      </w:r>
    </w:p>
    <w:p>
      <w:pPr>
        <w:keepNext/>
        <w:keepLines/>
        <w:spacing w:line="480" w:lineRule="auto"/>
      </w:pPr>
      <w:r>
        <w:rPr>
          <w:b/>
        </w:rPr>
        <w:t>A.</w:t>
      </w:r>
      <w:r>
        <w:rPr>
          <w:b/>
        </w:rPr>
        <w:tab/>
      </w:r>
      <w:r>
        <w:t>Yes.  My earlier testimony was submitted as Exhibit No. __(EAF-1T).</w:t>
      </w:r>
    </w:p>
    <w:p>
      <w:pPr>
        <w:keepNext/>
        <w:keepLines/>
        <w:spacing w:line="480" w:lineRule="auto"/>
        <w:rPr>
          <w:b/>
        </w:rPr>
      </w:pPr>
      <w:r>
        <w:rPr>
          <w:b/>
        </w:rPr>
        <w:t>Q.</w:t>
      </w:r>
      <w:r>
        <w:rPr>
          <w:b/>
        </w:rPr>
        <w:tab/>
        <w:t>WHAT IS THE PURPOSE OF YOUR SUPPLEMENTAL TESTIMONY?</w:t>
      </w:r>
    </w:p>
    <w:p>
      <w:pPr>
        <w:spacing w:line="480" w:lineRule="auto"/>
        <w:ind w:left="720" w:hanging="720"/>
      </w:pPr>
      <w:r>
        <w:rPr>
          <w:b/>
        </w:rPr>
        <w:t>A.</w:t>
      </w:r>
      <w:r>
        <w:rPr>
          <w:b/>
        </w:rPr>
        <w:tab/>
      </w:r>
      <w:r>
        <w:t xml:space="preserve">After the submittal of my earlier testimony, NWIGU continued to engage in settlement discussions with the other parties, including PSE, Staff and the Northwest Energy Coalition (“NWEC”).  During those discussions, PSE, Staff and NWEC demonstrated their willingness to revise the Decoupling Mechanism to address many of the concerns I identified in my initial testimony, as well to as adjust the K-factor so it does not apply to the demand charge on industrial sales and transportation schedules 85, 85T, 87 and 87T.  As a result, NWIGU is now able to support the proposed multiparty settlement of issues related to Dockets UE-121697 and UG-121705 (the “Decoupling Docket”), Docket UE-121373 (relating to the acquisition of Coal Transition Power), and PSE’s Expedited Rate Filing (“ERF”) in Dockets UE-130137 and UG-130138.  This settlement proposal is also </w:t>
      </w:r>
      <w:r>
        <w:lastRenderedPageBreak/>
        <w:t xml:space="preserve">referred to as the “Global Settlement.”  The purpose of this supplemental testimony is to address NWIGU’s support for the Global Settlement.    </w:t>
      </w:r>
    </w:p>
    <w:p>
      <w:pPr>
        <w:spacing w:line="480" w:lineRule="auto"/>
        <w:ind w:left="720" w:hanging="720"/>
        <w:rPr>
          <w:b/>
        </w:rPr>
      </w:pPr>
      <w:r>
        <w:rPr>
          <w:b/>
        </w:rPr>
        <w:t>Q.</w:t>
      </w:r>
      <w:r>
        <w:rPr>
          <w:b/>
        </w:rPr>
        <w:tab/>
        <w:t>PLEASE DESCRIBE IN SUMMARY TERMS WHAT YOUR INITIAL CONCERNS WERE WITH THE DECOUPLING MECHANISM.</w:t>
      </w:r>
      <w:r>
        <w:rPr>
          <w:b/>
        </w:rPr>
        <w:tab/>
      </w:r>
      <w:r>
        <w:rPr>
          <w:b/>
        </w:rPr>
        <w:tab/>
      </w:r>
    </w:p>
    <w:p>
      <w:pPr>
        <w:spacing w:line="480" w:lineRule="auto"/>
        <w:ind w:left="720"/>
      </w:pPr>
      <w:r>
        <w:t xml:space="preserve">In my earlier testimony, I addressed my opinion that the Decoupling Mechanism as proposed did not provide any gas conservation benefits for industrial customers, and, therefore, should not apply to gas industrial sales and transportation customers.  I noted that the record lacked any legitimate basis for applying the Decoupling Mechanism to PSE’s industrial customers – especially those industrial customers on a transportation schedule.  </w:t>
      </w:r>
    </w:p>
    <w:p>
      <w:pPr>
        <w:spacing w:line="480" w:lineRule="auto"/>
        <w:ind w:left="720" w:hanging="720"/>
        <w:rPr>
          <w:b/>
        </w:rPr>
      </w:pPr>
      <w:r>
        <w:rPr>
          <w:b/>
        </w:rPr>
        <w:t>Q.</w:t>
      </w:r>
      <w:r>
        <w:rPr>
          <w:b/>
        </w:rPr>
        <w:tab/>
        <w:t>YOU INDICATED NWIGU NOW SUPPORTS THE GLOBAL SETTLEMENT.  HOW DOES THE SETTLEMENT ADDRESS THE CONCERNS YOU IDENTIFIED IN YOUR INITIAL TESTIMONY?</w:t>
      </w:r>
    </w:p>
    <w:p>
      <w:pPr>
        <w:spacing w:line="480" w:lineRule="auto"/>
        <w:ind w:left="720" w:hanging="720"/>
      </w:pPr>
      <w:r>
        <w:rPr>
          <w:b/>
        </w:rPr>
        <w:t>A.</w:t>
      </w:r>
      <w:r>
        <w:tab/>
        <w:t xml:space="preserve">Staff, PSE and NWEC have agreed that the Decoupling Mechanism will not apply to industrial customers on Schedules 85, 85T, 87 and 87T, and that those customers will instead be treated consistent with “rate plan customers.”  The Northwest Industrial Gas Users’ Joinder in the Multiparty Settlement, filed on May 8, 2013, describes in more detail how the treatment of those industrial customers consistent with “rate plan customers” will occur.  First, the basic charge, all blocks of the delivery charge, and the gas procurement charge under Schedules 85, 85T, 87, and 87T will increase over the levels proposed in PSE’s ERF at the K-factor for gas service.  Additionally, the K-Factor will not apply to the demand charges under those schedules..  The amount PSE does not collect from the demand charge component will not be reallocated to the volumetric charge or any other customer charge.   </w:t>
      </w:r>
    </w:p>
    <w:p>
      <w:pPr>
        <w:spacing w:line="480" w:lineRule="auto"/>
        <w:ind w:left="720" w:hanging="720"/>
        <w:rPr>
          <w:b/>
          <w:caps/>
        </w:rPr>
      </w:pPr>
      <w:r>
        <w:rPr>
          <w:b/>
          <w:caps/>
        </w:rPr>
        <w:t>Q.</w:t>
      </w:r>
      <w:r>
        <w:rPr>
          <w:b/>
          <w:caps/>
        </w:rPr>
        <w:tab/>
        <w:t>DOES the GLOBAL SETTLEMENT ADDRESS ALL OF THE CONCERNS NwIGU IDENTIFIED IN ITS EARLIER TESTIMONY?</w:t>
      </w:r>
    </w:p>
    <w:p>
      <w:pPr>
        <w:spacing w:line="480" w:lineRule="auto"/>
        <w:ind w:left="720" w:hanging="720"/>
        <w:rPr>
          <w:szCs w:val="24"/>
        </w:rPr>
      </w:pPr>
      <w:r>
        <w:rPr>
          <w:b/>
        </w:rPr>
        <w:t>A.</w:t>
      </w:r>
      <w:r>
        <w:rPr>
          <w:b/>
        </w:rPr>
        <w:tab/>
      </w:r>
      <w:r>
        <w:t xml:space="preserve">No.  </w:t>
      </w:r>
    </w:p>
    <w:p>
      <w:pPr>
        <w:spacing w:line="480" w:lineRule="auto"/>
        <w:ind w:left="720" w:hanging="720"/>
        <w:rPr>
          <w:b/>
        </w:rPr>
      </w:pPr>
      <w:r>
        <w:rPr>
          <w:b/>
        </w:rPr>
        <w:t>Q.</w:t>
      </w:r>
      <w:r>
        <w:rPr>
          <w:b/>
        </w:rPr>
        <w:tab/>
        <w:t>WHY IS NWIGU WILLING TO JOIN THE GLOBAL SETTLMENT WITHOUT ADDRESSING ALL OF ITS CONCERNS?</w:t>
      </w:r>
    </w:p>
    <w:p>
      <w:pPr>
        <w:spacing w:line="480" w:lineRule="auto"/>
        <w:ind w:left="720" w:hanging="720"/>
        <w:rPr>
          <w:snapToGrid w:val="0"/>
          <w:szCs w:val="24"/>
        </w:rPr>
      </w:pPr>
      <w:r>
        <w:rPr>
          <w:b/>
        </w:rPr>
        <w:t>A.</w:t>
      </w:r>
      <w:r>
        <w:rPr>
          <w:b/>
        </w:rPr>
        <w:tab/>
      </w:r>
      <w:r>
        <w:rPr>
          <w:snapToGrid w:val="0"/>
          <w:szCs w:val="24"/>
        </w:rPr>
        <w:t xml:space="preserve">NWIGU supports the Global Settlement because the overall result is a fair compromise of the issues, and is in the public interest.  While the signing parties may each hold different positions on the individual components of the Global Settlement, NWIGU supports the settlement because: (a) the K-Factor has been adjusted appropriately and will not apply to the demand charge portion of industrial customers’ bills on Schedules 85, 85T, 87, and 87T; and (b) the Decoupling Mechanism will not apply to industrial sales or transportation customers on those schedules.  It is important from NWIGU’s perspective that the Commission stick with its principled long-standing policy of not applying decoupling to large industrial gas customers, especially large gas transportation customers.  The throughput incentive that drives much of the decoupling conversation simply does not exist for gas transportation customers, because those customers purchase their own gas.  Additionally, company-sponsored conservation programs for non-transportation gas customers are unique and cannot be evaluated in the same way that conservation programs for other customer classes can be evaluated.  Industrial customers’ demands for gas, for example, are more closely tied to swings in the economy than they are to conservation programs.  In addition, NWIGU believes excluding the demand portion of industrial customers’ bills from the application of the K-Factor is a fair compromise of the issues in dispute. The revenue PSE does not collect from these customers will not be collected or reallocated to other customers or charges.   For the reasons set forth above, NWIGU believes the Global Settlement is in the public interest and should be approved by the Commission.  </w:t>
      </w:r>
    </w:p>
    <w:p>
      <w:pPr>
        <w:spacing w:line="480" w:lineRule="auto"/>
        <w:ind w:left="720" w:hanging="720"/>
        <w:rPr>
          <w:b/>
        </w:rPr>
      </w:pPr>
      <w:r>
        <w:rPr>
          <w:b/>
          <w:caps/>
        </w:rPr>
        <w:t>Q.</w:t>
      </w:r>
      <w:r>
        <w:rPr>
          <w:b/>
          <w:caps/>
        </w:rPr>
        <w:tab/>
      </w:r>
      <w:r>
        <w:rPr>
          <w:b/>
        </w:rPr>
        <w:t>DOES NWIGU SUPPORT THE ELEMENTS OF THE GLOBAL SETTELEMENT RELATING TO THE COAL TRANSITION POWER DOCKET?</w:t>
      </w:r>
    </w:p>
    <w:p>
      <w:pPr>
        <w:spacing w:line="480" w:lineRule="auto"/>
        <w:ind w:left="720"/>
        <w:rPr>
          <w:b/>
        </w:rPr>
      </w:pPr>
      <w:r>
        <w:t>As I noted in my initial testimony, and as stated in Michael Deen’s Response Testimony on behalf of NWIGU, issues related to PSE’s proposed acquisition of Coal Transition Power are strictly related to electricity service and have no significance or value for natural gas customers.  NWIGU did not intervene or participate in that docket.  NWIGU therefore has no position on those elements of the Global Settlement, or any other element that applies to electric service.</w:t>
      </w:r>
    </w:p>
    <w:p>
      <w:pPr>
        <w:spacing w:line="480" w:lineRule="auto"/>
        <w:ind w:left="720" w:hanging="720"/>
        <w:rPr>
          <w:b/>
        </w:rPr>
      </w:pPr>
      <w:r>
        <w:rPr>
          <w:b/>
        </w:rPr>
        <w:t>Q.</w:t>
      </w:r>
      <w:r>
        <w:rPr>
          <w:b/>
        </w:rPr>
        <w:tab/>
        <w:t>DOES THIS CONCLUDE YOUR TESTIMONY?</w:t>
      </w:r>
    </w:p>
    <w:p>
      <w:pPr>
        <w:spacing w:line="480" w:lineRule="auto"/>
        <w:ind w:left="720" w:hanging="720"/>
      </w:pPr>
      <w:r>
        <w:rPr>
          <w:b/>
        </w:rPr>
        <w:t>A.</w:t>
      </w:r>
      <w:r>
        <w:rPr>
          <w:b/>
        </w:rPr>
        <w:tab/>
      </w:r>
      <w:r>
        <w:t>Yes.</w:t>
      </w:r>
    </w:p>
    <w:sectPr>
      <w:pgSz w:w="12240" w:h="15840"/>
      <w:pgMar w:top="1440" w:right="1440" w:bottom="1440" w:left="1440" w:header="720" w:footer="720" w:gutter="0"/>
      <w:lnNumType w:countBy="1"/>
      <w:pgNumType w:start="1"/>
      <w:cols w:space="720"/>
      <w:docGrid w:linePitch="36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8730"/>
      </w:tabs>
      <w:ind w:right="-90"/>
      <w:rPr>
        <w:b/>
        <w:sz w:val="20"/>
        <w:u w:val="single"/>
      </w:rPr>
    </w:pPr>
    <w:r>
      <w:rPr>
        <w:b/>
        <w:sz w:val="20"/>
        <w:u w:val="single"/>
      </w:rPr>
      <w:t>______________________________________________________________________________________</w:t>
    </w:r>
  </w:p>
  <w:p>
    <w:pPr>
      <w:pStyle w:val="Footer"/>
      <w:ind w:hanging="4"/>
    </w:pPr>
    <w:r>
      <w:t>Supplemental Testimony</w:t>
    </w:r>
    <w:r>
      <w:tab/>
    </w:r>
    <w:r>
      <w:tab/>
      <w:t>Exhibit No. ___(EAF-3T)</w:t>
    </w:r>
    <w:r>
      <w:br/>
      <w:t>of Edward A. Finklea</w:t>
    </w:r>
    <w:r>
      <w:tab/>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4</w:t>
    </w: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5541A"/>
    <w:multiLevelType w:val="multilevel"/>
    <w:tmpl w:val="7298B4C6"/>
    <w:lvl w:ilvl="0">
      <w:start w:val="1"/>
      <w:numFmt w:val="decimal"/>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1">
    <w:nsid w:val="5F2C7104"/>
    <w:multiLevelType w:val="hybridMultilevel"/>
    <w:tmpl w:val="E7F2AB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480" w:lineRule="exact"/>
    </w:pPr>
    <w:rPr>
      <w:rFonts w:ascii="Times New Roman" w:eastAsia="Times New Roman" w:hAnsi="Times New Roman" w:cs="Times New Roman"/>
      <w:sz w:val="24"/>
      <w:szCs w:val="20"/>
    </w:rPr>
  </w:style>
  <w:style w:type="paragraph" w:styleId="Heading1">
    <w:name w:val="heading 1"/>
    <w:basedOn w:val="question"/>
    <w:next w:val="BodyText"/>
    <w:link w:val="Heading1Char"/>
    <w:qFormat/>
    <w:pPr>
      <w:keepNext w:val="0"/>
      <w:widowControl w:val="0"/>
      <w:spacing w:after="240" w:line="480" w:lineRule="exact"/>
      <w:jc w:val="center"/>
      <w:outlineLvl w:val="0"/>
    </w:pPr>
    <w:rPr>
      <w:szCs w:val="24"/>
      <w:u w:val="single"/>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4"/>
      <w:u w:val="single"/>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BodyText">
    <w:name w:val="Body Text"/>
    <w:basedOn w:val="Normal"/>
    <w:link w:val="BodyTextChar"/>
    <w:pPr>
      <w:widowControl w:val="0"/>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line="480" w:lineRule="auto"/>
      <w:ind w:left="720" w:hanging="720"/>
    </w:pPr>
    <w:rPr>
      <w:b/>
      <w:lang w:eastAsia="zh-CN"/>
    </w:rPr>
  </w:style>
  <w:style w:type="paragraph" w:customStyle="1" w:styleId="answer">
    <w:name w:val="answer"/>
    <w:basedOn w:val="Normal"/>
    <w:link w:val="answerChar"/>
    <w:pPr>
      <w:spacing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semiHidden/>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ingle">
    <w:name w:val="single"/>
    <w:basedOn w:val="Normal"/>
    <w:pPr>
      <w:spacing w:before="240" w:line="240" w:lineRule="atLeast"/>
      <w:ind w:firstLine="720"/>
    </w:pPr>
    <w:rPr>
      <w:lang w:eastAsia="zh-CN"/>
    </w:rPr>
  </w:style>
  <w:style w:type="character" w:styleId="Strong">
    <w:name w:val="Strong"/>
    <w:basedOn w:val="DefaultParagraphFont"/>
    <w:qFormat/>
    <w:rPr>
      <w:b/>
    </w:rPr>
  </w:style>
  <w:style w:type="paragraph" w:styleId="TOC1">
    <w:name w:val="toc 1"/>
    <w:basedOn w:val="Normal"/>
    <w:uiPriority w:val="39"/>
    <w:pPr>
      <w:keepLines/>
      <w:tabs>
        <w:tab w:val="left" w:leader="dot" w:pos="8640"/>
        <w:tab w:val="right" w:pos="9000"/>
      </w:tabs>
      <w:spacing w:before="240" w:line="240" w:lineRule="atLeast"/>
      <w:ind w:left="720" w:right="720" w:hanging="720"/>
    </w:pPr>
    <w:rPr>
      <w:rFonts w:eastAsia="SimSun"/>
      <w:noProof/>
      <w:szCs w:val="24"/>
      <w:lang w:eastAsia="zh-CN"/>
    </w:rPr>
  </w:style>
  <w:style w:type="paragraph" w:customStyle="1" w:styleId="Title1">
    <w:name w:val="Title1"/>
    <w:basedOn w:val="center"/>
    <w:pPr>
      <w:keepNext/>
      <w:ind w:left="720" w:right="720"/>
    </w:pPr>
    <w:rPr>
      <w: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character" w:styleId="FootnoteReference">
    <w:name w:val="footnote reference"/>
    <w:basedOn w:val="DefaultParagraphFont"/>
    <w:semiHidden/>
    <w:rPr>
      <w:rFonts w:ascii="Times New Roman" w:hAnsi="Times New Roman"/>
      <w:u w:val="single"/>
      <w:vertAlign w:val="superscript"/>
    </w:rPr>
  </w:style>
  <w:style w:type="paragraph" w:styleId="FootnoteText">
    <w:name w:val="footnote text"/>
    <w:basedOn w:val="Normal"/>
    <w:link w:val="FootnoteTextChar"/>
    <w:pPr>
      <w:spacing w:line="240" w:lineRule="auto"/>
    </w:pPr>
    <w:rPr>
      <w:sz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480" w:lineRule="exact"/>
    </w:pPr>
    <w:rPr>
      <w:rFonts w:ascii="Times New Roman" w:eastAsia="Times New Roman" w:hAnsi="Times New Roman" w:cs="Times New Roman"/>
      <w:sz w:val="24"/>
      <w:szCs w:val="20"/>
    </w:rPr>
  </w:style>
  <w:style w:type="paragraph" w:styleId="Heading1">
    <w:name w:val="heading 1"/>
    <w:basedOn w:val="question"/>
    <w:next w:val="BodyText"/>
    <w:link w:val="Heading1Char"/>
    <w:qFormat/>
    <w:pPr>
      <w:keepNext w:val="0"/>
      <w:widowControl w:val="0"/>
      <w:spacing w:after="240" w:line="480" w:lineRule="exact"/>
      <w:jc w:val="center"/>
      <w:outlineLvl w:val="0"/>
    </w:pPr>
    <w:rPr>
      <w:szCs w:val="24"/>
      <w:u w:val="single"/>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4"/>
      <w:u w:val="single"/>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BodyText">
    <w:name w:val="Body Text"/>
    <w:basedOn w:val="Normal"/>
    <w:link w:val="BodyTextChar"/>
    <w:pPr>
      <w:widowControl w:val="0"/>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line="480" w:lineRule="auto"/>
      <w:ind w:left="720" w:hanging="720"/>
    </w:pPr>
    <w:rPr>
      <w:b/>
      <w:lang w:eastAsia="zh-CN"/>
    </w:rPr>
  </w:style>
  <w:style w:type="paragraph" w:customStyle="1" w:styleId="answer">
    <w:name w:val="answer"/>
    <w:basedOn w:val="Normal"/>
    <w:link w:val="answerChar"/>
    <w:pPr>
      <w:spacing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semiHidden/>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ingle">
    <w:name w:val="single"/>
    <w:basedOn w:val="Normal"/>
    <w:pPr>
      <w:spacing w:before="240" w:line="240" w:lineRule="atLeast"/>
      <w:ind w:firstLine="720"/>
    </w:pPr>
    <w:rPr>
      <w:lang w:eastAsia="zh-CN"/>
    </w:rPr>
  </w:style>
  <w:style w:type="character" w:styleId="Strong">
    <w:name w:val="Strong"/>
    <w:basedOn w:val="DefaultParagraphFont"/>
    <w:qFormat/>
    <w:rPr>
      <w:b/>
    </w:rPr>
  </w:style>
  <w:style w:type="paragraph" w:styleId="TOC1">
    <w:name w:val="toc 1"/>
    <w:basedOn w:val="Normal"/>
    <w:uiPriority w:val="39"/>
    <w:pPr>
      <w:keepLines/>
      <w:tabs>
        <w:tab w:val="left" w:leader="dot" w:pos="8640"/>
        <w:tab w:val="right" w:pos="9000"/>
      </w:tabs>
      <w:spacing w:before="240" w:line="240" w:lineRule="atLeast"/>
      <w:ind w:left="720" w:right="720" w:hanging="720"/>
    </w:pPr>
    <w:rPr>
      <w:rFonts w:eastAsia="SimSun"/>
      <w:noProof/>
      <w:szCs w:val="24"/>
      <w:lang w:eastAsia="zh-CN"/>
    </w:rPr>
  </w:style>
  <w:style w:type="paragraph" w:customStyle="1" w:styleId="Title1">
    <w:name w:val="Title1"/>
    <w:basedOn w:val="center"/>
    <w:pPr>
      <w:keepNext/>
      <w:ind w:left="720" w:right="720"/>
    </w:pPr>
    <w:rPr>
      <w: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character" w:styleId="FootnoteReference">
    <w:name w:val="footnote reference"/>
    <w:basedOn w:val="DefaultParagraphFont"/>
    <w:semiHidden/>
    <w:rPr>
      <w:rFonts w:ascii="Times New Roman" w:hAnsi="Times New Roman"/>
      <w:u w:val="single"/>
      <w:vertAlign w:val="superscript"/>
    </w:rPr>
  </w:style>
  <w:style w:type="paragraph" w:styleId="FootnoteText">
    <w:name w:val="footnote text"/>
    <w:basedOn w:val="Normal"/>
    <w:link w:val="FootnoteTextChar"/>
    <w:pPr>
      <w:spacing w:line="240" w:lineRule="auto"/>
    </w:pPr>
    <w:rPr>
      <w:sz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6F58C-31DB-4BB7-8426-CFCBFA6143FC}"/>
</file>

<file path=customXml/itemProps2.xml><?xml version="1.0" encoding="utf-8"?>
<ds:datastoreItem xmlns:ds="http://schemas.openxmlformats.org/officeDocument/2006/customXml" ds:itemID="{596C673F-FC44-40D7-B708-4B51175ED2F5}"/>
</file>

<file path=customXml/itemProps3.xml><?xml version="1.0" encoding="utf-8"?>
<ds:datastoreItem xmlns:ds="http://schemas.openxmlformats.org/officeDocument/2006/customXml" ds:itemID="{69C265C6-FD25-44B7-B690-8F31C2BFCFF0}"/>
</file>

<file path=customXml/itemProps4.xml><?xml version="1.0" encoding="utf-8"?>
<ds:datastoreItem xmlns:ds="http://schemas.openxmlformats.org/officeDocument/2006/customXml" ds:itemID="{773CDFF2-5C8F-4ECD-ADCD-07746A9D7445}"/>
</file>

<file path=customXml/itemProps5.xml><?xml version="1.0" encoding="utf-8"?>
<ds:datastoreItem xmlns:ds="http://schemas.openxmlformats.org/officeDocument/2006/customXml" ds:itemID="{B1E62234-1BFA-4854-9CCA-A852E242586C}"/>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5444</Characters>
  <Application>Microsoft Office Word</Application>
  <DocSecurity>0</DocSecurity>
  <Lines>125</Lines>
  <Paragraphs>30</Paragraphs>
  <ScaleCrop>false</ScaleCrop>
  <Company>Microsoft</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Richard Lorenz</cp:lastModifiedBy>
  <cp:revision>3</cp:revision>
  <cp:lastPrinted>2013-05-13T22:47:00Z</cp:lastPrinted>
  <dcterms:created xsi:type="dcterms:W3CDTF">2013-05-13T22:48:00Z</dcterms:created>
  <dcterms:modified xsi:type="dcterms:W3CDTF">2013-05-13T23:15:00Z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0x0101006E56B4D1795A2E4DB2F0B01679ED314A009E1959E9861BB94585639886A6437CE8</vt:lpwstr>
  </property>
  <property fmtid="{D5CDD505-2E9C-101B-9397-08002B2CF9AE}" pid="4" name="_docset_NoMedatataSyncRequired">
    <vt:lpwstr>False</vt:lpwstr>
  </property>
</Properties>
</file>