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766F7" w14:textId="77777777" w:rsidR="0067046F" w:rsidRPr="0067046F" w:rsidRDefault="0067046F" w:rsidP="0067046F">
      <w:pPr>
        <w:spacing w:after="0" w:line="240" w:lineRule="auto"/>
        <w:rPr>
          <w:rFonts w:ascii="Times New Roman" w:hAnsi="Times New Roman" w:cs="Times New Roman"/>
          <w:sz w:val="24"/>
          <w:szCs w:val="24"/>
        </w:rPr>
      </w:pPr>
      <w:bookmarkStart w:id="0" w:name="_GoBack"/>
      <w:bookmarkEnd w:id="0"/>
      <w:r w:rsidRPr="0067046F">
        <w:rPr>
          <w:rFonts w:ascii="Times New Roman" w:hAnsi="Times New Roman" w:cs="Times New Roman"/>
          <w:sz w:val="24"/>
          <w:szCs w:val="24"/>
        </w:rPr>
        <w:t>Agenda Date:</w:t>
      </w:r>
      <w:r w:rsidRPr="0067046F">
        <w:rPr>
          <w:rFonts w:ascii="Times New Roman" w:hAnsi="Times New Roman" w:cs="Times New Roman"/>
          <w:sz w:val="24"/>
          <w:szCs w:val="24"/>
        </w:rPr>
        <w:tab/>
      </w:r>
      <w:r w:rsidRPr="0067046F">
        <w:rPr>
          <w:rFonts w:ascii="Times New Roman" w:hAnsi="Times New Roman" w:cs="Times New Roman"/>
          <w:sz w:val="24"/>
          <w:szCs w:val="24"/>
        </w:rPr>
        <w:tab/>
      </w:r>
      <w:r w:rsidR="00D27D60">
        <w:rPr>
          <w:rFonts w:ascii="Times New Roman" w:hAnsi="Times New Roman" w:cs="Times New Roman"/>
          <w:sz w:val="24"/>
          <w:szCs w:val="24"/>
        </w:rPr>
        <w:t>July 27</w:t>
      </w:r>
      <w:r w:rsidRPr="0067046F">
        <w:rPr>
          <w:rFonts w:ascii="Times New Roman" w:hAnsi="Times New Roman" w:cs="Times New Roman"/>
          <w:sz w:val="24"/>
          <w:szCs w:val="24"/>
        </w:rPr>
        <w:t>, 2017</w:t>
      </w:r>
    </w:p>
    <w:p w14:paraId="28D766F8" w14:textId="5F4392EA" w:rsidR="0067046F" w:rsidRPr="0067046F" w:rsidRDefault="003902F1" w:rsidP="0067046F">
      <w:pPr>
        <w:spacing w:after="0" w:line="240" w:lineRule="auto"/>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t>A1</w:t>
      </w:r>
    </w:p>
    <w:p w14:paraId="28D766F9" w14:textId="77777777" w:rsidR="0067046F" w:rsidRPr="0067046F" w:rsidRDefault="0067046F" w:rsidP="0067046F">
      <w:pPr>
        <w:spacing w:after="0" w:line="240" w:lineRule="auto"/>
        <w:rPr>
          <w:rFonts w:ascii="Times New Roman" w:hAnsi="Times New Roman" w:cs="Times New Roman"/>
          <w:sz w:val="24"/>
          <w:szCs w:val="24"/>
        </w:rPr>
      </w:pPr>
    </w:p>
    <w:p w14:paraId="28D766FB" w14:textId="69C8FE7C" w:rsidR="00002119" w:rsidRPr="00DC7DF0" w:rsidRDefault="00F835CF" w:rsidP="0067046F">
      <w:pPr>
        <w:spacing w:after="0" w:line="240" w:lineRule="auto"/>
        <w:rPr>
          <w:rFonts w:ascii="Times New Roman" w:hAnsi="Times New Roman" w:cs="Times New Roman"/>
          <w:b/>
          <w:sz w:val="24"/>
          <w:szCs w:val="24"/>
        </w:rPr>
      </w:pPr>
      <w:r>
        <w:rPr>
          <w:rFonts w:ascii="Times New Roman" w:hAnsi="Times New Roman" w:cs="Times New Roman"/>
          <w:b/>
          <w:sz w:val="24"/>
          <w:szCs w:val="24"/>
        </w:rPr>
        <w:t>Docket</w:t>
      </w:r>
      <w:r w:rsidR="00002119">
        <w:rPr>
          <w:rFonts w:ascii="Times New Roman" w:hAnsi="Times New Roman" w:cs="Times New Roman"/>
          <w:b/>
          <w:sz w:val="24"/>
          <w:szCs w:val="24"/>
        </w:rPr>
        <w:t>:</w:t>
      </w:r>
      <w:r w:rsidR="00002119">
        <w:rPr>
          <w:rFonts w:ascii="Times New Roman" w:hAnsi="Times New Roman" w:cs="Times New Roman"/>
          <w:b/>
          <w:sz w:val="24"/>
          <w:szCs w:val="24"/>
        </w:rPr>
        <w:tab/>
      </w:r>
      <w:r w:rsidR="00002119">
        <w:rPr>
          <w:rFonts w:ascii="Times New Roman" w:hAnsi="Times New Roman" w:cs="Times New Roman"/>
          <w:b/>
          <w:sz w:val="24"/>
          <w:szCs w:val="24"/>
        </w:rPr>
        <w:tab/>
        <w:t>UE-170174</w:t>
      </w:r>
    </w:p>
    <w:p w14:paraId="28D766FC" w14:textId="77777777" w:rsidR="0067046F" w:rsidRPr="0067046F" w:rsidRDefault="0067046F" w:rsidP="0067046F">
      <w:pPr>
        <w:spacing w:after="0" w:line="240" w:lineRule="auto"/>
        <w:rPr>
          <w:rFonts w:ascii="Times New Roman" w:hAnsi="Times New Roman" w:cs="Times New Roman"/>
          <w:sz w:val="24"/>
          <w:szCs w:val="24"/>
        </w:rPr>
      </w:pPr>
      <w:r w:rsidRPr="0067046F">
        <w:rPr>
          <w:rFonts w:ascii="Times New Roman" w:hAnsi="Times New Roman" w:cs="Times New Roman"/>
          <w:sz w:val="24"/>
          <w:szCs w:val="24"/>
        </w:rPr>
        <w:t>Company:</w:t>
      </w:r>
      <w:r w:rsidRPr="0067046F">
        <w:rPr>
          <w:rFonts w:ascii="Times New Roman" w:hAnsi="Times New Roman" w:cs="Times New Roman"/>
          <w:sz w:val="24"/>
          <w:szCs w:val="24"/>
        </w:rPr>
        <w:tab/>
      </w:r>
      <w:r w:rsidRPr="0067046F">
        <w:rPr>
          <w:rFonts w:ascii="Times New Roman" w:hAnsi="Times New Roman" w:cs="Times New Roman"/>
          <w:sz w:val="24"/>
          <w:szCs w:val="24"/>
        </w:rPr>
        <w:tab/>
        <w:t>Avista Corporation</w:t>
      </w:r>
    </w:p>
    <w:p w14:paraId="28D766FD" w14:textId="77777777" w:rsidR="0067046F" w:rsidRPr="0067046F" w:rsidRDefault="0067046F" w:rsidP="0067046F">
      <w:pPr>
        <w:spacing w:after="0" w:line="240" w:lineRule="auto"/>
        <w:rPr>
          <w:rFonts w:ascii="Times New Roman" w:hAnsi="Times New Roman" w:cs="Times New Roman"/>
          <w:sz w:val="24"/>
          <w:szCs w:val="24"/>
        </w:rPr>
      </w:pPr>
    </w:p>
    <w:p w14:paraId="28D766FE" w14:textId="77777777" w:rsidR="0067046F" w:rsidRPr="0067046F" w:rsidRDefault="0067046F" w:rsidP="0067046F">
      <w:pPr>
        <w:spacing w:after="0" w:line="240" w:lineRule="auto"/>
        <w:rPr>
          <w:rFonts w:ascii="Times New Roman" w:hAnsi="Times New Roman" w:cs="Times New Roman"/>
          <w:sz w:val="24"/>
          <w:szCs w:val="24"/>
        </w:rPr>
      </w:pPr>
      <w:r w:rsidRPr="0067046F">
        <w:rPr>
          <w:rFonts w:ascii="Times New Roman" w:hAnsi="Times New Roman" w:cs="Times New Roman"/>
          <w:sz w:val="24"/>
          <w:szCs w:val="24"/>
        </w:rPr>
        <w:t>Staff:</w:t>
      </w:r>
      <w:r w:rsidRPr="0067046F">
        <w:rPr>
          <w:rFonts w:ascii="Times New Roman" w:hAnsi="Times New Roman" w:cs="Times New Roman"/>
          <w:sz w:val="24"/>
          <w:szCs w:val="24"/>
        </w:rPr>
        <w:tab/>
      </w:r>
      <w:r w:rsidRPr="0067046F">
        <w:rPr>
          <w:rFonts w:ascii="Times New Roman" w:hAnsi="Times New Roman" w:cs="Times New Roman"/>
          <w:sz w:val="24"/>
          <w:szCs w:val="24"/>
        </w:rPr>
        <w:tab/>
      </w:r>
      <w:r w:rsidRPr="0067046F">
        <w:rPr>
          <w:rFonts w:ascii="Times New Roman" w:hAnsi="Times New Roman" w:cs="Times New Roman"/>
          <w:sz w:val="24"/>
          <w:szCs w:val="24"/>
        </w:rPr>
        <w:tab/>
        <w:t>Kathi Scanlan, Regulatory Analyst</w:t>
      </w:r>
    </w:p>
    <w:p w14:paraId="28D766FF" w14:textId="77777777" w:rsidR="0067046F" w:rsidRPr="0067046F" w:rsidRDefault="0067046F" w:rsidP="0067046F">
      <w:pPr>
        <w:spacing w:after="0" w:line="240" w:lineRule="auto"/>
        <w:rPr>
          <w:rFonts w:ascii="Times New Roman" w:hAnsi="Times New Roman" w:cs="Times New Roman"/>
          <w:sz w:val="24"/>
          <w:szCs w:val="24"/>
        </w:rPr>
      </w:pPr>
      <w:r w:rsidRPr="0067046F">
        <w:rPr>
          <w:rFonts w:ascii="Times New Roman" w:hAnsi="Times New Roman" w:cs="Times New Roman"/>
          <w:sz w:val="24"/>
          <w:szCs w:val="24"/>
        </w:rPr>
        <w:tab/>
      </w:r>
      <w:r w:rsidRPr="0067046F">
        <w:rPr>
          <w:rFonts w:ascii="Times New Roman" w:hAnsi="Times New Roman" w:cs="Times New Roman"/>
          <w:sz w:val="24"/>
          <w:szCs w:val="24"/>
        </w:rPr>
        <w:tab/>
      </w:r>
      <w:r w:rsidRPr="0067046F">
        <w:rPr>
          <w:rFonts w:ascii="Times New Roman" w:hAnsi="Times New Roman" w:cs="Times New Roman"/>
          <w:sz w:val="24"/>
          <w:szCs w:val="24"/>
        </w:rPr>
        <w:tab/>
      </w:r>
    </w:p>
    <w:p w14:paraId="28D76700" w14:textId="77777777" w:rsidR="0067046F" w:rsidRPr="0067046F" w:rsidRDefault="0067046F" w:rsidP="0067046F">
      <w:pPr>
        <w:spacing w:after="0" w:line="240" w:lineRule="auto"/>
        <w:rPr>
          <w:rFonts w:ascii="Times New Roman" w:hAnsi="Times New Roman" w:cs="Times New Roman"/>
          <w:b/>
          <w:sz w:val="24"/>
          <w:szCs w:val="24"/>
          <w:u w:val="single"/>
        </w:rPr>
      </w:pPr>
      <w:r w:rsidRPr="0067046F">
        <w:rPr>
          <w:rFonts w:ascii="Times New Roman" w:hAnsi="Times New Roman" w:cs="Times New Roman"/>
          <w:b/>
          <w:sz w:val="24"/>
          <w:szCs w:val="24"/>
          <w:u w:val="single"/>
        </w:rPr>
        <w:t>Recommendations</w:t>
      </w:r>
    </w:p>
    <w:p w14:paraId="28D76701" w14:textId="77777777" w:rsidR="0067046F" w:rsidRPr="0067046F" w:rsidRDefault="0067046F" w:rsidP="0067046F">
      <w:pPr>
        <w:spacing w:after="0" w:line="240" w:lineRule="auto"/>
        <w:rPr>
          <w:rFonts w:ascii="Times New Roman" w:hAnsi="Times New Roman" w:cs="Times New Roman"/>
          <w:sz w:val="24"/>
          <w:szCs w:val="24"/>
        </w:rPr>
      </w:pPr>
    </w:p>
    <w:p w14:paraId="28D76702" w14:textId="5BF88651" w:rsidR="0067046F" w:rsidRPr="0067046F" w:rsidRDefault="00FA34A3" w:rsidP="006704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Take no action, thereby allowing the tariff filing made by Avista Corporation in Docket UE-170174 to become effective on </w:t>
      </w:r>
      <w:r w:rsidR="003D2170">
        <w:rPr>
          <w:rFonts w:ascii="Times New Roman" w:hAnsi="Times New Roman" w:cs="Times New Roman"/>
          <w:sz w:val="24"/>
          <w:szCs w:val="24"/>
        </w:rPr>
        <w:t>August 1, 2017</w:t>
      </w:r>
      <w:r>
        <w:rPr>
          <w:rFonts w:ascii="Times New Roman" w:hAnsi="Times New Roman" w:cs="Times New Roman"/>
          <w:sz w:val="24"/>
          <w:szCs w:val="24"/>
        </w:rPr>
        <w:t>, by operation of law.</w:t>
      </w:r>
    </w:p>
    <w:p w14:paraId="28D76703" w14:textId="77777777" w:rsidR="0067046F" w:rsidRPr="0067046F" w:rsidRDefault="0067046F" w:rsidP="0067046F">
      <w:pPr>
        <w:spacing w:after="0" w:line="240" w:lineRule="auto"/>
        <w:rPr>
          <w:rFonts w:ascii="Times New Roman" w:hAnsi="Times New Roman" w:cs="Times New Roman"/>
          <w:sz w:val="24"/>
          <w:szCs w:val="24"/>
        </w:rPr>
      </w:pPr>
    </w:p>
    <w:p w14:paraId="28D76704" w14:textId="77777777" w:rsidR="0067046F" w:rsidRPr="0067046F" w:rsidRDefault="0067046F" w:rsidP="0067046F">
      <w:pPr>
        <w:spacing w:after="0" w:line="240" w:lineRule="auto"/>
        <w:rPr>
          <w:rFonts w:ascii="Times New Roman" w:hAnsi="Times New Roman" w:cs="Times New Roman"/>
          <w:sz w:val="24"/>
          <w:szCs w:val="24"/>
        </w:rPr>
      </w:pPr>
      <w:r w:rsidRPr="0067046F">
        <w:rPr>
          <w:rFonts w:ascii="Times New Roman" w:hAnsi="Times New Roman" w:cs="Times New Roman"/>
          <w:b/>
          <w:sz w:val="24"/>
          <w:szCs w:val="24"/>
          <w:u w:val="single"/>
        </w:rPr>
        <w:t>Background</w:t>
      </w:r>
    </w:p>
    <w:p w14:paraId="28D76705" w14:textId="77777777" w:rsidR="0067046F" w:rsidRPr="0067046F" w:rsidRDefault="0067046F" w:rsidP="0067046F">
      <w:pPr>
        <w:spacing w:after="0" w:line="240" w:lineRule="auto"/>
        <w:rPr>
          <w:rFonts w:ascii="Times New Roman" w:hAnsi="Times New Roman" w:cs="Times New Roman"/>
          <w:sz w:val="24"/>
          <w:szCs w:val="24"/>
        </w:rPr>
      </w:pPr>
    </w:p>
    <w:p w14:paraId="28D76706" w14:textId="646B5673" w:rsidR="007B14CA" w:rsidRDefault="0067046F" w:rsidP="0067046F">
      <w:pPr>
        <w:spacing w:after="0" w:line="240" w:lineRule="auto"/>
        <w:rPr>
          <w:rFonts w:ascii="Times New Roman" w:hAnsi="Times New Roman" w:cs="Times New Roman"/>
          <w:sz w:val="24"/>
          <w:szCs w:val="24"/>
        </w:rPr>
      </w:pPr>
      <w:r w:rsidRPr="0067046F">
        <w:rPr>
          <w:rFonts w:ascii="Times New Roman" w:hAnsi="Times New Roman" w:cs="Times New Roman"/>
          <w:sz w:val="24"/>
          <w:szCs w:val="24"/>
        </w:rPr>
        <w:t xml:space="preserve">On March 14, 2017, Avista Corporation d/b/a Avista Utilities (Avista or company) filed revisions to its electric demand side management (DSM or conservation) tariff, Schedule 91. </w:t>
      </w:r>
      <w:r w:rsidR="00AD0E47">
        <w:rPr>
          <w:rFonts w:ascii="Times New Roman" w:hAnsi="Times New Roman" w:cs="Times New Roman"/>
          <w:sz w:val="24"/>
          <w:szCs w:val="24"/>
        </w:rPr>
        <w:t>The purpose of this tariff filing is to establish rates for conservation programs, reflecting changes documented in Avista’s 2016 Annual Report and expected 2017 expenditures</w:t>
      </w:r>
      <w:r w:rsidR="00D27D60">
        <w:rPr>
          <w:rFonts w:ascii="Times New Roman" w:hAnsi="Times New Roman" w:cs="Times New Roman"/>
          <w:sz w:val="24"/>
          <w:szCs w:val="24"/>
        </w:rPr>
        <w:t>.</w:t>
      </w:r>
      <w:r w:rsidR="003F6675">
        <w:rPr>
          <w:rStyle w:val="FootnoteReference"/>
          <w:rFonts w:ascii="Times New Roman" w:hAnsi="Times New Roman" w:cs="Times New Roman"/>
          <w:sz w:val="24"/>
          <w:szCs w:val="24"/>
        </w:rPr>
        <w:footnoteReference w:id="1"/>
      </w:r>
      <w:r w:rsidR="00D27D60">
        <w:rPr>
          <w:rFonts w:ascii="Times New Roman" w:hAnsi="Times New Roman" w:cs="Times New Roman"/>
          <w:sz w:val="24"/>
          <w:szCs w:val="24"/>
        </w:rPr>
        <w:t xml:space="preserve"> </w:t>
      </w:r>
      <w:r w:rsidR="00AD0E47">
        <w:rPr>
          <w:rFonts w:ascii="Times New Roman" w:hAnsi="Times New Roman" w:cs="Times New Roman"/>
          <w:sz w:val="24"/>
          <w:szCs w:val="24"/>
        </w:rPr>
        <w:t xml:space="preserve">The 2017 conservation budget and target were reviewed by the Advisory Group and placed on the </w:t>
      </w:r>
      <w:r w:rsidR="00F21C98">
        <w:rPr>
          <w:rFonts w:ascii="Times New Roman" w:hAnsi="Times New Roman" w:cs="Times New Roman"/>
          <w:sz w:val="24"/>
          <w:szCs w:val="24"/>
        </w:rPr>
        <w:t>no action agenda</w:t>
      </w:r>
      <w:r w:rsidR="00AD0E47">
        <w:rPr>
          <w:rFonts w:ascii="Times New Roman" w:hAnsi="Times New Roman" w:cs="Times New Roman"/>
          <w:sz w:val="24"/>
          <w:szCs w:val="24"/>
        </w:rPr>
        <w:t xml:space="preserve"> of the May 31, 2017, open meeting</w:t>
      </w:r>
      <w:r w:rsidR="00AD0E47" w:rsidRPr="0067046F">
        <w:rPr>
          <w:rFonts w:ascii="Times New Roman" w:hAnsi="Times New Roman" w:cs="Times New Roman"/>
          <w:sz w:val="24"/>
          <w:szCs w:val="24"/>
        </w:rPr>
        <w:t>.</w:t>
      </w:r>
      <w:r w:rsidR="00AD0E47" w:rsidRPr="0067046F">
        <w:rPr>
          <w:rFonts w:ascii="Times New Roman" w:hAnsi="Times New Roman" w:cs="Times New Roman"/>
          <w:sz w:val="24"/>
          <w:szCs w:val="24"/>
          <w:vertAlign w:val="superscript"/>
        </w:rPr>
        <w:footnoteReference w:id="2"/>
      </w:r>
      <w:r w:rsidR="009D5E9C">
        <w:rPr>
          <w:rFonts w:ascii="Times New Roman" w:hAnsi="Times New Roman" w:cs="Times New Roman"/>
          <w:sz w:val="24"/>
          <w:szCs w:val="24"/>
        </w:rPr>
        <w:t xml:space="preserve"> </w:t>
      </w:r>
      <w:r w:rsidR="009D5E9C" w:rsidRPr="0067046F">
        <w:rPr>
          <w:rFonts w:ascii="Times New Roman" w:hAnsi="Times New Roman" w:cs="Times New Roman"/>
          <w:sz w:val="24"/>
          <w:szCs w:val="24"/>
        </w:rPr>
        <w:t>On March 27, 2017, staff performed an on-site audit of Avista’s conservation incentive and non-incentive expenditures that occurred betwee</w:t>
      </w:r>
      <w:r w:rsidR="009D5E9C">
        <w:rPr>
          <w:rFonts w:ascii="Times New Roman" w:hAnsi="Times New Roman" w:cs="Times New Roman"/>
          <w:sz w:val="24"/>
          <w:szCs w:val="24"/>
        </w:rPr>
        <w:t>n April 2016 and February 2017.</w:t>
      </w:r>
    </w:p>
    <w:p w14:paraId="28D76707" w14:textId="77777777" w:rsidR="007B14CA" w:rsidRDefault="007B14CA" w:rsidP="0067046F">
      <w:pPr>
        <w:spacing w:after="0" w:line="240" w:lineRule="auto"/>
        <w:rPr>
          <w:rFonts w:ascii="Times New Roman" w:hAnsi="Times New Roman" w:cs="Times New Roman"/>
          <w:sz w:val="24"/>
          <w:szCs w:val="24"/>
        </w:rPr>
      </w:pPr>
    </w:p>
    <w:p w14:paraId="28D76708" w14:textId="21D87DFF" w:rsidR="00844779" w:rsidRDefault="009D5E9C" w:rsidP="006704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April 2017, staff requested more information about the company’s nonresidential </w:t>
      </w:r>
      <w:r w:rsidR="0060308B">
        <w:rPr>
          <w:rFonts w:ascii="Times New Roman" w:hAnsi="Times New Roman" w:cs="Times New Roman"/>
          <w:sz w:val="24"/>
          <w:szCs w:val="24"/>
        </w:rPr>
        <w:t xml:space="preserve">interior lighting </w:t>
      </w:r>
      <w:r>
        <w:rPr>
          <w:rFonts w:ascii="Times New Roman" w:hAnsi="Times New Roman" w:cs="Times New Roman"/>
          <w:sz w:val="24"/>
          <w:szCs w:val="24"/>
        </w:rPr>
        <w:t>program rebates</w:t>
      </w:r>
      <w:r w:rsidR="005949A9">
        <w:rPr>
          <w:rFonts w:ascii="Times New Roman" w:hAnsi="Times New Roman" w:cs="Times New Roman"/>
          <w:sz w:val="24"/>
          <w:szCs w:val="24"/>
        </w:rPr>
        <w:t>, in particular Tubular LED (TLED) projects</w:t>
      </w:r>
      <w:r>
        <w:rPr>
          <w:rFonts w:ascii="Times New Roman" w:hAnsi="Times New Roman" w:cs="Times New Roman"/>
          <w:sz w:val="24"/>
          <w:szCs w:val="24"/>
        </w:rPr>
        <w:t xml:space="preserve">. The company indicated that the information could not be </w:t>
      </w:r>
      <w:r w:rsidR="00E10DA5">
        <w:rPr>
          <w:rFonts w:ascii="Times New Roman" w:hAnsi="Times New Roman" w:cs="Times New Roman"/>
          <w:sz w:val="24"/>
          <w:szCs w:val="24"/>
        </w:rPr>
        <w:t>gathered</w:t>
      </w:r>
      <w:r>
        <w:rPr>
          <w:rFonts w:ascii="Times New Roman" w:hAnsi="Times New Roman" w:cs="Times New Roman"/>
          <w:sz w:val="24"/>
          <w:szCs w:val="24"/>
        </w:rPr>
        <w:t xml:space="preserve"> until June 201</w:t>
      </w:r>
      <w:r w:rsidR="00E10DA5">
        <w:rPr>
          <w:rFonts w:ascii="Times New Roman" w:hAnsi="Times New Roman" w:cs="Times New Roman"/>
          <w:sz w:val="24"/>
          <w:szCs w:val="24"/>
        </w:rPr>
        <w:t>7—</w:t>
      </w:r>
      <w:r w:rsidR="006D3840">
        <w:rPr>
          <w:rFonts w:ascii="Times New Roman" w:hAnsi="Times New Roman" w:cs="Times New Roman"/>
          <w:sz w:val="24"/>
          <w:szCs w:val="24"/>
        </w:rPr>
        <w:t>the data</w:t>
      </w:r>
      <w:r>
        <w:rPr>
          <w:rFonts w:ascii="Times New Roman" w:hAnsi="Times New Roman" w:cs="Times New Roman"/>
          <w:sz w:val="24"/>
          <w:szCs w:val="24"/>
        </w:rPr>
        <w:t xml:space="preserve"> had</w:t>
      </w:r>
      <w:r w:rsidRPr="00676B80">
        <w:rPr>
          <w:rFonts w:ascii="Times New Roman" w:hAnsi="Times New Roman" w:cs="Times New Roman"/>
          <w:sz w:val="24"/>
          <w:szCs w:val="24"/>
        </w:rPr>
        <w:t xml:space="preserve"> to be</w:t>
      </w:r>
      <w:r w:rsidR="0060308B">
        <w:rPr>
          <w:rFonts w:ascii="Times New Roman" w:hAnsi="Times New Roman" w:cs="Times New Roman"/>
          <w:sz w:val="24"/>
          <w:szCs w:val="24"/>
        </w:rPr>
        <w:t xml:space="preserve"> </w:t>
      </w:r>
      <w:r w:rsidR="00F21C98">
        <w:rPr>
          <w:rFonts w:ascii="Times New Roman" w:hAnsi="Times New Roman" w:cs="Times New Roman"/>
          <w:sz w:val="24"/>
          <w:szCs w:val="24"/>
        </w:rPr>
        <w:t xml:space="preserve">recreated </w:t>
      </w:r>
      <w:r w:rsidR="0060308B">
        <w:rPr>
          <w:rFonts w:ascii="Times New Roman" w:hAnsi="Times New Roman" w:cs="Times New Roman"/>
          <w:sz w:val="24"/>
          <w:szCs w:val="24"/>
        </w:rPr>
        <w:t>by hand</w:t>
      </w:r>
      <w:r>
        <w:rPr>
          <w:rFonts w:ascii="Times New Roman" w:hAnsi="Times New Roman" w:cs="Times New Roman"/>
          <w:sz w:val="24"/>
          <w:szCs w:val="24"/>
        </w:rPr>
        <w:t xml:space="preserve"> to determine the</w:t>
      </w:r>
      <w:r w:rsidRPr="00C55D91">
        <w:rPr>
          <w:rFonts w:ascii="Times New Roman" w:hAnsi="Times New Roman" w:cs="Times New Roman"/>
          <w:sz w:val="24"/>
          <w:szCs w:val="24"/>
        </w:rPr>
        <w:t xml:space="preserve"> quantity of rebates paid</w:t>
      </w:r>
      <w:r w:rsidR="00A367F2">
        <w:rPr>
          <w:rFonts w:ascii="Times New Roman" w:hAnsi="Times New Roman" w:cs="Times New Roman"/>
          <w:sz w:val="24"/>
          <w:szCs w:val="24"/>
        </w:rPr>
        <w:t>.</w:t>
      </w:r>
      <w:r w:rsidR="00844779">
        <w:rPr>
          <w:rFonts w:ascii="Times New Roman" w:hAnsi="Times New Roman" w:cs="Times New Roman"/>
          <w:sz w:val="24"/>
          <w:szCs w:val="24"/>
        </w:rPr>
        <w:t xml:space="preserve"> </w:t>
      </w:r>
    </w:p>
    <w:p w14:paraId="28D76709" w14:textId="77777777" w:rsidR="00844779" w:rsidRDefault="00844779" w:rsidP="0067046F">
      <w:pPr>
        <w:spacing w:after="0" w:line="240" w:lineRule="auto"/>
        <w:rPr>
          <w:rFonts w:ascii="Times New Roman" w:hAnsi="Times New Roman" w:cs="Times New Roman"/>
          <w:sz w:val="24"/>
          <w:szCs w:val="24"/>
        </w:rPr>
      </w:pPr>
    </w:p>
    <w:p w14:paraId="360DA09F" w14:textId="71BE016A" w:rsidR="00572BD9" w:rsidRDefault="00D27D60" w:rsidP="00572B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May 26, 2017, the company filed replacement pages </w:t>
      </w:r>
      <w:r w:rsidR="008368CA">
        <w:rPr>
          <w:rFonts w:ascii="Times New Roman" w:hAnsi="Times New Roman" w:cs="Times New Roman"/>
          <w:sz w:val="24"/>
          <w:szCs w:val="24"/>
        </w:rPr>
        <w:t>to change</w:t>
      </w:r>
      <w:r>
        <w:rPr>
          <w:rFonts w:ascii="Times New Roman" w:hAnsi="Times New Roman" w:cs="Times New Roman"/>
          <w:sz w:val="24"/>
          <w:szCs w:val="24"/>
        </w:rPr>
        <w:t xml:space="preserve"> the effective date of the tariff </w:t>
      </w:r>
      <w:r w:rsidR="004534A4">
        <w:rPr>
          <w:rFonts w:ascii="Times New Roman" w:hAnsi="Times New Roman" w:cs="Times New Roman"/>
          <w:sz w:val="24"/>
          <w:szCs w:val="24"/>
        </w:rPr>
        <w:t xml:space="preserve">revision </w:t>
      </w:r>
      <w:r>
        <w:rPr>
          <w:rFonts w:ascii="Times New Roman" w:hAnsi="Times New Roman" w:cs="Times New Roman"/>
          <w:sz w:val="24"/>
          <w:szCs w:val="24"/>
        </w:rPr>
        <w:t>from June 1, 2017</w:t>
      </w:r>
      <w:r w:rsidR="00C47A36">
        <w:rPr>
          <w:rFonts w:ascii="Times New Roman" w:hAnsi="Times New Roman" w:cs="Times New Roman"/>
          <w:sz w:val="24"/>
          <w:szCs w:val="24"/>
        </w:rPr>
        <w:t>,</w:t>
      </w:r>
      <w:r>
        <w:rPr>
          <w:rFonts w:ascii="Times New Roman" w:hAnsi="Times New Roman" w:cs="Times New Roman"/>
          <w:sz w:val="24"/>
          <w:szCs w:val="24"/>
        </w:rPr>
        <w:t xml:space="preserve"> to Augus</w:t>
      </w:r>
      <w:r w:rsidR="00475DC8">
        <w:rPr>
          <w:rFonts w:ascii="Times New Roman" w:hAnsi="Times New Roman" w:cs="Times New Roman"/>
          <w:sz w:val="24"/>
          <w:szCs w:val="24"/>
        </w:rPr>
        <w:t>t 1, 2017, and t</w:t>
      </w:r>
      <w:r w:rsidR="00361C4D">
        <w:rPr>
          <w:rFonts w:ascii="Times New Roman" w:hAnsi="Times New Roman" w:cs="Times New Roman"/>
          <w:sz w:val="24"/>
          <w:szCs w:val="24"/>
        </w:rPr>
        <w:t>he tariff</w:t>
      </w:r>
      <w:r w:rsidR="00361C4D" w:rsidRPr="00D27D60">
        <w:rPr>
          <w:rFonts w:ascii="Times New Roman" w:hAnsi="Times New Roman" w:cs="Times New Roman"/>
          <w:sz w:val="24"/>
          <w:szCs w:val="24"/>
        </w:rPr>
        <w:t xml:space="preserve"> was removed from the open meeting agenda on </w:t>
      </w:r>
      <w:r w:rsidR="00361C4D">
        <w:rPr>
          <w:rFonts w:ascii="Times New Roman" w:hAnsi="Times New Roman" w:cs="Times New Roman"/>
          <w:sz w:val="24"/>
          <w:szCs w:val="24"/>
        </w:rPr>
        <w:t xml:space="preserve">May 31, 2017. </w:t>
      </w:r>
      <w:r w:rsidR="008368CA">
        <w:rPr>
          <w:rFonts w:ascii="Times New Roman" w:hAnsi="Times New Roman" w:cs="Times New Roman"/>
          <w:sz w:val="24"/>
          <w:szCs w:val="24"/>
        </w:rPr>
        <w:t>At the request of staff, the company filed a revision to correct the esti</w:t>
      </w:r>
      <w:r w:rsidR="00361C4D">
        <w:rPr>
          <w:rFonts w:ascii="Times New Roman" w:hAnsi="Times New Roman" w:cs="Times New Roman"/>
          <w:sz w:val="24"/>
          <w:szCs w:val="24"/>
        </w:rPr>
        <w:t>mated annual revenue change</w:t>
      </w:r>
      <w:r w:rsidR="00475DC8">
        <w:rPr>
          <w:rFonts w:ascii="Times New Roman" w:hAnsi="Times New Roman" w:cs="Times New Roman"/>
          <w:sz w:val="24"/>
          <w:szCs w:val="24"/>
        </w:rPr>
        <w:t xml:space="preserve"> </w:t>
      </w:r>
      <w:r w:rsidR="00C078CA">
        <w:rPr>
          <w:rFonts w:ascii="Times New Roman" w:hAnsi="Times New Roman" w:cs="Times New Roman"/>
          <w:sz w:val="24"/>
          <w:szCs w:val="24"/>
        </w:rPr>
        <w:t xml:space="preserve">on June 5, 2017. </w:t>
      </w:r>
      <w:r w:rsidR="009D5E9C">
        <w:rPr>
          <w:rFonts w:ascii="Times New Roman" w:hAnsi="Times New Roman" w:cs="Times New Roman"/>
          <w:sz w:val="24"/>
          <w:szCs w:val="24"/>
        </w:rPr>
        <w:t xml:space="preserve">On June 29, 2017, the company </w:t>
      </w:r>
      <w:r w:rsidR="00F21C98">
        <w:rPr>
          <w:rFonts w:ascii="Times New Roman" w:hAnsi="Times New Roman" w:cs="Times New Roman"/>
          <w:sz w:val="24"/>
          <w:szCs w:val="24"/>
        </w:rPr>
        <w:t xml:space="preserve">presented to staff </w:t>
      </w:r>
      <w:r w:rsidR="006D3840">
        <w:rPr>
          <w:rFonts w:ascii="Times New Roman" w:hAnsi="Times New Roman" w:cs="Times New Roman"/>
          <w:sz w:val="24"/>
          <w:szCs w:val="24"/>
        </w:rPr>
        <w:t>the information requested about its</w:t>
      </w:r>
      <w:r>
        <w:rPr>
          <w:rFonts w:ascii="Times New Roman" w:hAnsi="Times New Roman" w:cs="Times New Roman"/>
          <w:sz w:val="24"/>
          <w:szCs w:val="24"/>
        </w:rPr>
        <w:t xml:space="preserve"> </w:t>
      </w:r>
      <w:r w:rsidR="005949A9">
        <w:rPr>
          <w:rFonts w:ascii="Times New Roman" w:hAnsi="Times New Roman" w:cs="Times New Roman"/>
          <w:sz w:val="24"/>
          <w:szCs w:val="24"/>
        </w:rPr>
        <w:t>TLED rebates</w:t>
      </w:r>
      <w:r w:rsidR="00475DC8">
        <w:rPr>
          <w:rFonts w:ascii="Times New Roman" w:hAnsi="Times New Roman" w:cs="Times New Roman"/>
          <w:sz w:val="24"/>
          <w:szCs w:val="24"/>
        </w:rPr>
        <w:t>.</w:t>
      </w:r>
      <w:r w:rsidR="00572BD9">
        <w:rPr>
          <w:rFonts w:ascii="Times New Roman" w:hAnsi="Times New Roman" w:cs="Times New Roman"/>
          <w:sz w:val="24"/>
          <w:szCs w:val="24"/>
        </w:rPr>
        <w:t xml:space="preserve"> </w:t>
      </w:r>
    </w:p>
    <w:p w14:paraId="47F78A21" w14:textId="77777777" w:rsidR="00572BD9" w:rsidRDefault="00572BD9" w:rsidP="00572BD9">
      <w:pPr>
        <w:spacing w:after="0" w:line="240" w:lineRule="auto"/>
        <w:rPr>
          <w:rFonts w:ascii="Times New Roman" w:hAnsi="Times New Roman" w:cs="Times New Roman"/>
          <w:sz w:val="24"/>
          <w:szCs w:val="24"/>
        </w:rPr>
      </w:pPr>
    </w:p>
    <w:p w14:paraId="28D7670E" w14:textId="28AF7E84" w:rsidR="0067046F" w:rsidRDefault="0067046F" w:rsidP="00572BD9">
      <w:pPr>
        <w:spacing w:after="0" w:line="240" w:lineRule="auto"/>
        <w:rPr>
          <w:rFonts w:ascii="Times New Roman" w:hAnsi="Times New Roman" w:cs="Times New Roman"/>
          <w:sz w:val="24"/>
          <w:szCs w:val="24"/>
        </w:rPr>
      </w:pPr>
      <w:r w:rsidRPr="0067046F">
        <w:rPr>
          <w:rFonts w:ascii="Times New Roman" w:hAnsi="Times New Roman" w:cs="Times New Roman"/>
          <w:sz w:val="24"/>
          <w:szCs w:val="24"/>
        </w:rPr>
        <w:t>Avista requests a total of $19.9 million for electric conservation programs, which is a 33 percent increase from 2016.</w:t>
      </w:r>
      <w:r w:rsidRPr="0067046F">
        <w:rPr>
          <w:rFonts w:ascii="Times New Roman" w:hAnsi="Times New Roman" w:cs="Times New Roman"/>
          <w:sz w:val="24"/>
          <w:szCs w:val="24"/>
          <w:vertAlign w:val="superscript"/>
        </w:rPr>
        <w:footnoteReference w:id="3"/>
      </w:r>
      <w:r w:rsidRPr="0067046F">
        <w:rPr>
          <w:rFonts w:ascii="Times New Roman" w:hAnsi="Times New Roman" w:cs="Times New Roman"/>
          <w:sz w:val="24"/>
          <w:szCs w:val="24"/>
        </w:rPr>
        <w:t xml:space="preserve"> </w:t>
      </w:r>
      <w:r w:rsidR="0025739C">
        <w:rPr>
          <w:rFonts w:ascii="Times New Roman" w:hAnsi="Times New Roman" w:cs="Times New Roman"/>
          <w:sz w:val="24"/>
          <w:szCs w:val="24"/>
        </w:rPr>
        <w:t xml:space="preserve">At </w:t>
      </w:r>
      <w:r w:rsidR="00314073">
        <w:rPr>
          <w:rFonts w:ascii="Times New Roman" w:hAnsi="Times New Roman" w:cs="Times New Roman"/>
          <w:sz w:val="24"/>
          <w:szCs w:val="24"/>
        </w:rPr>
        <w:t xml:space="preserve">the time of </w:t>
      </w:r>
      <w:r w:rsidR="00113E34">
        <w:rPr>
          <w:rFonts w:ascii="Times New Roman" w:hAnsi="Times New Roman" w:cs="Times New Roman"/>
          <w:sz w:val="24"/>
          <w:szCs w:val="24"/>
        </w:rPr>
        <w:t xml:space="preserve">the initial </w:t>
      </w:r>
      <w:r w:rsidR="00314073">
        <w:rPr>
          <w:rFonts w:ascii="Times New Roman" w:hAnsi="Times New Roman" w:cs="Times New Roman"/>
          <w:sz w:val="24"/>
          <w:szCs w:val="24"/>
        </w:rPr>
        <w:t xml:space="preserve">filing, </w:t>
      </w:r>
      <w:r w:rsidRPr="0067046F">
        <w:rPr>
          <w:rFonts w:ascii="Times New Roman" w:hAnsi="Times New Roman" w:cs="Times New Roman"/>
          <w:sz w:val="24"/>
          <w:szCs w:val="24"/>
        </w:rPr>
        <w:t xml:space="preserve">the </w:t>
      </w:r>
      <w:r w:rsidR="0025739C">
        <w:rPr>
          <w:rFonts w:ascii="Times New Roman" w:hAnsi="Times New Roman" w:cs="Times New Roman"/>
          <w:sz w:val="24"/>
          <w:szCs w:val="24"/>
        </w:rPr>
        <w:t xml:space="preserve">underfunded </w:t>
      </w:r>
      <w:r w:rsidR="00437951">
        <w:rPr>
          <w:rFonts w:ascii="Times New Roman" w:hAnsi="Times New Roman" w:cs="Times New Roman"/>
          <w:sz w:val="24"/>
          <w:szCs w:val="24"/>
        </w:rPr>
        <w:t xml:space="preserve">tariff rider </w:t>
      </w:r>
      <w:r w:rsidR="004438DE">
        <w:rPr>
          <w:rFonts w:ascii="Times New Roman" w:hAnsi="Times New Roman" w:cs="Times New Roman"/>
          <w:sz w:val="24"/>
          <w:szCs w:val="24"/>
        </w:rPr>
        <w:t xml:space="preserve">balance for this filing </w:t>
      </w:r>
      <w:r w:rsidR="00314073">
        <w:rPr>
          <w:rFonts w:ascii="Times New Roman" w:hAnsi="Times New Roman" w:cs="Times New Roman"/>
          <w:sz w:val="24"/>
          <w:szCs w:val="24"/>
        </w:rPr>
        <w:t xml:space="preserve">was </w:t>
      </w:r>
      <w:r w:rsidR="0025739C">
        <w:rPr>
          <w:rFonts w:ascii="Times New Roman" w:hAnsi="Times New Roman" w:cs="Times New Roman"/>
          <w:sz w:val="24"/>
          <w:szCs w:val="24"/>
        </w:rPr>
        <w:t>approximately</w:t>
      </w:r>
      <w:r w:rsidRPr="0067046F">
        <w:rPr>
          <w:rFonts w:ascii="Times New Roman" w:hAnsi="Times New Roman" w:cs="Times New Roman"/>
          <w:sz w:val="24"/>
          <w:szCs w:val="24"/>
        </w:rPr>
        <w:t xml:space="preserve"> $11.9 million</w:t>
      </w:r>
      <w:r w:rsidR="00314073">
        <w:rPr>
          <w:rFonts w:ascii="Times New Roman" w:hAnsi="Times New Roman" w:cs="Times New Roman"/>
          <w:sz w:val="24"/>
          <w:szCs w:val="24"/>
        </w:rPr>
        <w:t xml:space="preserve">. </w:t>
      </w:r>
      <w:r w:rsidR="00E47577">
        <w:rPr>
          <w:rFonts w:ascii="Times New Roman" w:hAnsi="Times New Roman" w:cs="Times New Roman"/>
          <w:sz w:val="24"/>
          <w:szCs w:val="24"/>
        </w:rPr>
        <w:t xml:space="preserve">In order to </w:t>
      </w:r>
      <w:r w:rsidR="0025739C">
        <w:rPr>
          <w:rFonts w:ascii="Times New Roman" w:hAnsi="Times New Roman" w:cs="Times New Roman"/>
          <w:sz w:val="24"/>
          <w:szCs w:val="24"/>
        </w:rPr>
        <w:t xml:space="preserve">provide an appropriate level of funding for ongoing conservation efforts, </w:t>
      </w:r>
      <w:r w:rsidR="00E47577">
        <w:rPr>
          <w:rFonts w:ascii="Times New Roman" w:hAnsi="Times New Roman" w:cs="Times New Roman"/>
          <w:sz w:val="24"/>
          <w:szCs w:val="24"/>
        </w:rPr>
        <w:t xml:space="preserve">the company projects </w:t>
      </w:r>
      <w:r w:rsidR="00B10691">
        <w:rPr>
          <w:rFonts w:ascii="Times New Roman" w:hAnsi="Times New Roman" w:cs="Times New Roman"/>
          <w:sz w:val="24"/>
          <w:szCs w:val="24"/>
        </w:rPr>
        <w:t>approximately</w:t>
      </w:r>
      <w:r w:rsidR="00E47577">
        <w:rPr>
          <w:rFonts w:ascii="Times New Roman" w:hAnsi="Times New Roman" w:cs="Times New Roman"/>
          <w:sz w:val="24"/>
          <w:szCs w:val="24"/>
        </w:rPr>
        <w:t xml:space="preserve"> </w:t>
      </w:r>
      <w:r w:rsidR="0025739C">
        <w:rPr>
          <w:rFonts w:ascii="Times New Roman" w:hAnsi="Times New Roman" w:cs="Times New Roman"/>
          <w:sz w:val="24"/>
          <w:szCs w:val="24"/>
        </w:rPr>
        <w:t>$</w:t>
      </w:r>
      <w:r w:rsidR="00361C4D">
        <w:rPr>
          <w:rFonts w:ascii="Times New Roman" w:hAnsi="Times New Roman" w:cs="Times New Roman"/>
          <w:sz w:val="24"/>
          <w:szCs w:val="24"/>
        </w:rPr>
        <w:t>8.0 million</w:t>
      </w:r>
      <w:r w:rsidR="00E47577">
        <w:rPr>
          <w:rFonts w:ascii="Times New Roman" w:hAnsi="Times New Roman" w:cs="Times New Roman"/>
          <w:sz w:val="24"/>
          <w:szCs w:val="24"/>
        </w:rPr>
        <w:t xml:space="preserve"> in </w:t>
      </w:r>
      <w:r w:rsidR="00B10691">
        <w:rPr>
          <w:rFonts w:ascii="Times New Roman" w:hAnsi="Times New Roman" w:cs="Times New Roman"/>
          <w:sz w:val="24"/>
          <w:szCs w:val="24"/>
        </w:rPr>
        <w:t xml:space="preserve">additional </w:t>
      </w:r>
      <w:r w:rsidR="00E47577">
        <w:rPr>
          <w:rFonts w:ascii="Times New Roman" w:hAnsi="Times New Roman" w:cs="Times New Roman"/>
          <w:sz w:val="24"/>
          <w:szCs w:val="24"/>
        </w:rPr>
        <w:lastRenderedPageBreak/>
        <w:t xml:space="preserve">funding </w:t>
      </w:r>
      <w:r w:rsidR="005C4C83">
        <w:rPr>
          <w:rFonts w:ascii="Times New Roman" w:hAnsi="Times New Roman" w:cs="Times New Roman"/>
          <w:sz w:val="24"/>
          <w:szCs w:val="24"/>
        </w:rPr>
        <w:t xml:space="preserve">needed </w:t>
      </w:r>
      <w:r w:rsidR="009D5E9C">
        <w:rPr>
          <w:rFonts w:ascii="Times New Roman" w:hAnsi="Times New Roman" w:cs="Times New Roman"/>
          <w:sz w:val="24"/>
          <w:szCs w:val="24"/>
        </w:rPr>
        <w:t xml:space="preserve">over the next two years </w:t>
      </w:r>
      <w:r w:rsidR="0025739C">
        <w:rPr>
          <w:rFonts w:ascii="Times New Roman" w:hAnsi="Times New Roman" w:cs="Times New Roman"/>
          <w:sz w:val="24"/>
          <w:szCs w:val="24"/>
        </w:rPr>
        <w:t xml:space="preserve">to bring </w:t>
      </w:r>
      <w:r w:rsidR="007B14CA">
        <w:rPr>
          <w:rFonts w:ascii="Times New Roman" w:hAnsi="Times New Roman" w:cs="Times New Roman"/>
          <w:sz w:val="24"/>
          <w:szCs w:val="24"/>
        </w:rPr>
        <w:t>the conser</w:t>
      </w:r>
      <w:r w:rsidR="0025739C">
        <w:rPr>
          <w:rFonts w:ascii="Times New Roman" w:hAnsi="Times New Roman" w:cs="Times New Roman"/>
          <w:sz w:val="24"/>
          <w:szCs w:val="24"/>
        </w:rPr>
        <w:t>vation rider balance to zero</w:t>
      </w:r>
      <w:r w:rsidR="007B14CA">
        <w:rPr>
          <w:rFonts w:ascii="Times New Roman" w:hAnsi="Times New Roman" w:cs="Times New Roman"/>
          <w:sz w:val="24"/>
          <w:szCs w:val="24"/>
        </w:rPr>
        <w:t xml:space="preserve"> by </w:t>
      </w:r>
      <w:r w:rsidR="006A735F">
        <w:rPr>
          <w:rFonts w:ascii="Times New Roman" w:hAnsi="Times New Roman" w:cs="Times New Roman"/>
          <w:sz w:val="24"/>
          <w:szCs w:val="24"/>
        </w:rPr>
        <w:t xml:space="preserve">      </w:t>
      </w:r>
      <w:r w:rsidRPr="0067046F">
        <w:rPr>
          <w:rFonts w:ascii="Times New Roman" w:hAnsi="Times New Roman" w:cs="Times New Roman"/>
          <w:sz w:val="24"/>
          <w:szCs w:val="24"/>
        </w:rPr>
        <w:t>July 31, 2019.</w:t>
      </w:r>
      <w:r w:rsidRPr="0067046F">
        <w:rPr>
          <w:rFonts w:ascii="Times New Roman" w:hAnsi="Times New Roman" w:cs="Times New Roman"/>
          <w:sz w:val="24"/>
          <w:szCs w:val="24"/>
          <w:vertAlign w:val="superscript"/>
        </w:rPr>
        <w:footnoteReference w:id="4"/>
      </w:r>
      <w:r w:rsidRPr="0067046F">
        <w:rPr>
          <w:rFonts w:ascii="Times New Roman" w:hAnsi="Times New Roman" w:cs="Times New Roman"/>
          <w:sz w:val="24"/>
          <w:szCs w:val="24"/>
        </w:rPr>
        <w:t xml:space="preserve"> </w:t>
      </w:r>
    </w:p>
    <w:p w14:paraId="28D7670F" w14:textId="77777777" w:rsidR="007D25B5" w:rsidRPr="0067046F" w:rsidRDefault="007D25B5" w:rsidP="0067046F">
      <w:pPr>
        <w:spacing w:after="0" w:line="240" w:lineRule="auto"/>
        <w:rPr>
          <w:rFonts w:ascii="Times New Roman" w:hAnsi="Times New Roman" w:cs="Times New Roman"/>
          <w:sz w:val="24"/>
          <w:szCs w:val="24"/>
        </w:rPr>
      </w:pPr>
    </w:p>
    <w:p w14:paraId="28D76710" w14:textId="77777777" w:rsidR="00616201" w:rsidRDefault="00616201" w:rsidP="00616201">
      <w:pPr>
        <w:spacing w:after="0" w:line="240" w:lineRule="auto"/>
        <w:rPr>
          <w:rFonts w:ascii="Times New Roman" w:hAnsi="Times New Roman" w:cs="Times New Roman"/>
          <w:b/>
          <w:sz w:val="24"/>
          <w:szCs w:val="24"/>
          <w:u w:val="single"/>
        </w:rPr>
      </w:pPr>
      <w:r w:rsidRPr="0067046F">
        <w:rPr>
          <w:rFonts w:ascii="Times New Roman" w:hAnsi="Times New Roman" w:cs="Times New Roman"/>
          <w:b/>
          <w:sz w:val="24"/>
          <w:szCs w:val="24"/>
          <w:u w:val="single"/>
        </w:rPr>
        <w:t>Discussion</w:t>
      </w:r>
    </w:p>
    <w:p w14:paraId="400AC7CB" w14:textId="77777777" w:rsidR="007A3E5D" w:rsidRDefault="007A3E5D" w:rsidP="00616201">
      <w:pPr>
        <w:spacing w:after="0" w:line="240" w:lineRule="auto"/>
        <w:rPr>
          <w:rFonts w:ascii="Times New Roman" w:hAnsi="Times New Roman" w:cs="Times New Roman"/>
          <w:b/>
          <w:sz w:val="24"/>
          <w:szCs w:val="24"/>
          <w:u w:val="single"/>
        </w:rPr>
      </w:pPr>
    </w:p>
    <w:p w14:paraId="107BD490" w14:textId="181A78AA" w:rsidR="00364CF7" w:rsidRDefault="00364CF7" w:rsidP="007A3E5D">
      <w:pPr>
        <w:spacing w:after="0" w:line="240" w:lineRule="auto"/>
        <w:rPr>
          <w:rFonts w:ascii="Times New Roman" w:hAnsi="Times New Roman" w:cs="Times New Roman"/>
          <w:sz w:val="24"/>
          <w:szCs w:val="24"/>
        </w:rPr>
      </w:pPr>
      <w:r w:rsidRPr="00364CF7">
        <w:rPr>
          <w:rFonts w:ascii="Times New Roman" w:hAnsi="Times New Roman" w:cs="Times New Roman"/>
          <w:sz w:val="24"/>
          <w:szCs w:val="24"/>
        </w:rPr>
        <w:t xml:space="preserve">Avista spent over $19.6 million on its electric conservation programs in 2016, a 52 percent increase from the $12.9 million budget that the commission approved for the 2016 program year. This increase is largely due to the rapid increase in nonresidential program customer adoption of Tubular LEDs (TLEDs), which totaled more than $6.1 million in incentive payments to customers and program implementation costs. </w:t>
      </w:r>
      <w:r w:rsidR="00F1525A">
        <w:rPr>
          <w:rFonts w:ascii="Times New Roman" w:hAnsi="Times New Roman" w:cs="Times New Roman"/>
          <w:sz w:val="24"/>
          <w:szCs w:val="24"/>
        </w:rPr>
        <w:t>The</w:t>
      </w:r>
      <w:r w:rsidRPr="00364CF7">
        <w:rPr>
          <w:rFonts w:ascii="Times New Roman" w:hAnsi="Times New Roman" w:cs="Times New Roman"/>
          <w:sz w:val="24"/>
          <w:szCs w:val="24"/>
        </w:rPr>
        <w:t xml:space="preserve"> 2016 prescriptive interior lighting program </w:t>
      </w:r>
      <w:r w:rsidR="00F1525A">
        <w:rPr>
          <w:rFonts w:ascii="Times New Roman" w:hAnsi="Times New Roman" w:cs="Times New Roman"/>
          <w:sz w:val="24"/>
          <w:szCs w:val="24"/>
        </w:rPr>
        <w:t>delivered</w:t>
      </w:r>
      <w:r w:rsidRPr="00364CF7">
        <w:rPr>
          <w:rFonts w:ascii="Times New Roman" w:hAnsi="Times New Roman" w:cs="Times New Roman"/>
          <w:sz w:val="24"/>
          <w:szCs w:val="24"/>
        </w:rPr>
        <w:t xml:space="preserve"> ten times </w:t>
      </w:r>
      <w:r w:rsidR="00F1525A">
        <w:rPr>
          <w:rFonts w:ascii="Times New Roman" w:hAnsi="Times New Roman" w:cs="Times New Roman"/>
          <w:sz w:val="24"/>
          <w:szCs w:val="24"/>
        </w:rPr>
        <w:t>more</w:t>
      </w:r>
      <w:r w:rsidRPr="00364CF7">
        <w:rPr>
          <w:rFonts w:ascii="Times New Roman" w:hAnsi="Times New Roman" w:cs="Times New Roman"/>
          <w:sz w:val="24"/>
          <w:szCs w:val="24"/>
        </w:rPr>
        <w:t xml:space="preserve"> savings than the prior two years</w:t>
      </w:r>
      <w:r w:rsidR="00F1525A">
        <w:rPr>
          <w:rFonts w:ascii="Times New Roman" w:hAnsi="Times New Roman" w:cs="Times New Roman"/>
          <w:sz w:val="24"/>
          <w:szCs w:val="24"/>
        </w:rPr>
        <w:t xml:space="preserve"> of the program</w:t>
      </w:r>
      <w:r w:rsidRPr="00364CF7">
        <w:rPr>
          <w:rFonts w:ascii="Times New Roman" w:hAnsi="Times New Roman" w:cs="Times New Roman"/>
          <w:sz w:val="24"/>
          <w:szCs w:val="24"/>
        </w:rPr>
        <w:t xml:space="preserve">.  </w:t>
      </w:r>
    </w:p>
    <w:p w14:paraId="16818F13" w14:textId="77777777" w:rsidR="00364CF7" w:rsidRDefault="00364CF7" w:rsidP="007A3E5D">
      <w:pPr>
        <w:spacing w:after="0" w:line="240" w:lineRule="auto"/>
        <w:rPr>
          <w:rFonts w:ascii="Times New Roman" w:hAnsi="Times New Roman" w:cs="Times New Roman"/>
          <w:sz w:val="24"/>
          <w:szCs w:val="24"/>
        </w:rPr>
      </w:pPr>
    </w:p>
    <w:p w14:paraId="5E346F32" w14:textId="11E8228B" w:rsidR="00357470" w:rsidRDefault="0016714E" w:rsidP="007A3E5D">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As compared with the </w:t>
      </w:r>
      <w:r w:rsidR="003F6675">
        <w:rPr>
          <w:rFonts w:ascii="Times New Roman" w:hAnsi="Times New Roman" w:cs="Times New Roman"/>
          <w:sz w:val="24"/>
          <w:szCs w:val="24"/>
        </w:rPr>
        <w:t>2016 Plan</w:t>
      </w:r>
      <w:r>
        <w:rPr>
          <w:rFonts w:ascii="Times New Roman" w:hAnsi="Times New Roman" w:cs="Times New Roman"/>
          <w:sz w:val="24"/>
          <w:szCs w:val="24"/>
        </w:rPr>
        <w:t xml:space="preserve">, the </w:t>
      </w:r>
      <w:r w:rsidR="00572BD9" w:rsidRPr="007A3E5D">
        <w:rPr>
          <w:rFonts w:ascii="Times New Roman" w:hAnsi="Times New Roman" w:cs="Times New Roman"/>
          <w:sz w:val="24"/>
          <w:szCs w:val="24"/>
        </w:rPr>
        <w:t xml:space="preserve">company achieved </w:t>
      </w:r>
      <w:r w:rsidR="00D40128">
        <w:rPr>
          <w:rFonts w:ascii="Times New Roman" w:hAnsi="Times New Roman" w:cs="Times New Roman"/>
          <w:sz w:val="24"/>
          <w:szCs w:val="24"/>
        </w:rPr>
        <w:t>savings of 71,572</w:t>
      </w:r>
      <w:r w:rsidR="00572BD9" w:rsidRPr="007A3E5D">
        <w:rPr>
          <w:rFonts w:ascii="Times New Roman" w:hAnsi="Times New Roman" w:cs="Times New Roman"/>
          <w:sz w:val="24"/>
          <w:szCs w:val="24"/>
        </w:rPr>
        <w:t xml:space="preserve"> MWh</w:t>
      </w:r>
      <w:r w:rsidR="005C2968">
        <w:rPr>
          <w:rFonts w:ascii="Times New Roman" w:hAnsi="Times New Roman" w:cs="Times New Roman"/>
          <w:sz w:val="24"/>
          <w:szCs w:val="24"/>
        </w:rPr>
        <w:t>,</w:t>
      </w:r>
      <w:r w:rsidR="00D40128">
        <w:rPr>
          <w:rStyle w:val="FootnoteReference"/>
          <w:rFonts w:ascii="Times New Roman" w:hAnsi="Times New Roman" w:cs="Times New Roman"/>
          <w:sz w:val="24"/>
          <w:szCs w:val="24"/>
        </w:rPr>
        <w:footnoteReference w:id="5"/>
      </w:r>
      <w:r w:rsidR="00572BD9" w:rsidRPr="007A3E5D">
        <w:rPr>
          <w:rFonts w:ascii="Times New Roman" w:hAnsi="Times New Roman" w:cs="Times New Roman"/>
          <w:sz w:val="24"/>
          <w:szCs w:val="24"/>
        </w:rPr>
        <w:t xml:space="preserve"> exceeding its 2016 annual conservation program goal</w:t>
      </w:r>
      <w:r w:rsidR="00572BD9">
        <w:rPr>
          <w:rFonts w:ascii="Times New Roman" w:hAnsi="Times New Roman" w:cs="Times New Roman"/>
          <w:sz w:val="24"/>
          <w:szCs w:val="24"/>
        </w:rPr>
        <w:t xml:space="preserve"> by approximately 50 percent</w:t>
      </w:r>
      <w:r w:rsidR="000533A5">
        <w:rPr>
          <w:rFonts w:ascii="Times New Roman" w:hAnsi="Times New Roman" w:cs="Times New Roman"/>
          <w:sz w:val="24"/>
          <w:szCs w:val="24"/>
        </w:rPr>
        <w:t xml:space="preserve">. Avista is on </w:t>
      </w:r>
      <w:r w:rsidR="000533A5">
        <w:rPr>
          <w:rFonts w:ascii="Times New Roman" w:eastAsia="Calibri" w:hAnsi="Times New Roman" w:cs="Times New Roman"/>
          <w:sz w:val="24"/>
          <w:szCs w:val="24"/>
        </w:rPr>
        <w:t xml:space="preserve">track to </w:t>
      </w:r>
      <w:r w:rsidR="000533A5" w:rsidRPr="00EF08A5">
        <w:rPr>
          <w:rFonts w:ascii="Times New Roman" w:eastAsia="Calibri" w:hAnsi="Times New Roman" w:cs="Times New Roman"/>
          <w:sz w:val="24"/>
          <w:szCs w:val="24"/>
        </w:rPr>
        <w:t xml:space="preserve">exceed its total </w:t>
      </w:r>
      <w:r w:rsidR="000533A5">
        <w:rPr>
          <w:rFonts w:ascii="Times New Roman" w:eastAsia="Calibri" w:hAnsi="Times New Roman" w:cs="Times New Roman"/>
          <w:sz w:val="24"/>
          <w:szCs w:val="24"/>
        </w:rPr>
        <w:t xml:space="preserve">electric </w:t>
      </w:r>
      <w:r w:rsidR="000533A5" w:rsidRPr="00EF08A5">
        <w:rPr>
          <w:rFonts w:ascii="Times New Roman" w:eastAsia="Calibri" w:hAnsi="Times New Roman" w:cs="Times New Roman"/>
          <w:sz w:val="24"/>
          <w:szCs w:val="24"/>
        </w:rPr>
        <w:t>biennial conservation commitment of 82,477 MWh.</w:t>
      </w:r>
      <w:r w:rsidR="000533A5" w:rsidRPr="00EF08A5">
        <w:rPr>
          <w:rFonts w:ascii="Times New Roman" w:eastAsia="Calibri" w:hAnsi="Times New Roman" w:cs="Times New Roman"/>
          <w:sz w:val="24"/>
          <w:szCs w:val="24"/>
          <w:vertAlign w:val="superscript"/>
        </w:rPr>
        <w:footnoteReference w:id="6"/>
      </w:r>
      <w:r w:rsidR="000533A5">
        <w:rPr>
          <w:rFonts w:ascii="Times New Roman" w:eastAsia="Calibri" w:hAnsi="Times New Roman" w:cs="Times New Roman"/>
          <w:sz w:val="24"/>
          <w:szCs w:val="24"/>
        </w:rPr>
        <w:t xml:space="preserve"> </w:t>
      </w:r>
      <w:r w:rsidR="000533A5">
        <w:rPr>
          <w:rFonts w:ascii="Times New Roman" w:hAnsi="Times New Roman" w:cs="Times New Roman"/>
          <w:sz w:val="24"/>
          <w:szCs w:val="24"/>
        </w:rPr>
        <w:t>For 2016, t</w:t>
      </w:r>
      <w:r w:rsidR="007A3E5D" w:rsidRPr="007A3E5D">
        <w:rPr>
          <w:rFonts w:ascii="Times New Roman" w:hAnsi="Times New Roman" w:cs="Times New Roman"/>
          <w:sz w:val="24"/>
          <w:szCs w:val="24"/>
        </w:rPr>
        <w:t xml:space="preserve">he electric program achieved </w:t>
      </w:r>
      <w:r w:rsidR="007A3E5D" w:rsidRPr="007A3E5D">
        <w:rPr>
          <w:rFonts w:ascii="Times New Roman" w:hAnsi="Times New Roman"/>
          <w:sz w:val="24"/>
          <w:szCs w:val="24"/>
        </w:rPr>
        <w:t>a Utility Cost Test (UCT) of 2.79 and a Total Resource Cost (TRC) ratio of 1.76 in 2016</w:t>
      </w:r>
      <w:r w:rsidR="007A3E5D" w:rsidRPr="007A3E5D">
        <w:rPr>
          <w:rFonts w:ascii="Times New Roman" w:hAnsi="Times New Roman" w:cs="Times New Roman"/>
          <w:sz w:val="24"/>
          <w:szCs w:val="24"/>
        </w:rPr>
        <w:t xml:space="preserve">. </w:t>
      </w:r>
    </w:p>
    <w:p w14:paraId="0DDDCAA1" w14:textId="77777777" w:rsidR="00572BD9" w:rsidRDefault="00572BD9" w:rsidP="007A3E5D">
      <w:pPr>
        <w:spacing w:after="0" w:line="240" w:lineRule="auto"/>
        <w:rPr>
          <w:rFonts w:ascii="Times New Roman" w:eastAsia="Calibri" w:hAnsi="Times New Roman" w:cs="Times New Roman"/>
          <w:sz w:val="24"/>
          <w:szCs w:val="24"/>
        </w:rPr>
      </w:pPr>
    </w:p>
    <w:p w14:paraId="64EFF9A3" w14:textId="59CD1EDF" w:rsidR="0016714E" w:rsidRDefault="0016714E" w:rsidP="00167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filing proposes changes to the electric rider rates, reflecting the actual costs and collections in 2016, </w:t>
      </w:r>
      <w:r w:rsidR="00D40128">
        <w:rPr>
          <w:rFonts w:ascii="Times New Roman" w:hAnsi="Times New Roman" w:cs="Times New Roman"/>
          <w:sz w:val="24"/>
          <w:szCs w:val="24"/>
        </w:rPr>
        <w:t>a</w:t>
      </w:r>
      <w:r>
        <w:rPr>
          <w:rFonts w:ascii="Times New Roman" w:hAnsi="Times New Roman" w:cs="Times New Roman"/>
          <w:sz w:val="24"/>
          <w:szCs w:val="24"/>
        </w:rPr>
        <w:t>nd covering the amount budgeted for energy efficiency for the next two yea</w:t>
      </w:r>
      <w:r w:rsidR="00D40128">
        <w:rPr>
          <w:rFonts w:ascii="Times New Roman" w:hAnsi="Times New Roman" w:cs="Times New Roman"/>
          <w:sz w:val="24"/>
          <w:szCs w:val="24"/>
        </w:rPr>
        <w:t xml:space="preserve">rs. The proposed rates, as shown below, </w:t>
      </w:r>
      <w:r>
        <w:rPr>
          <w:rFonts w:ascii="Times New Roman" w:hAnsi="Times New Roman" w:cs="Times New Roman"/>
          <w:sz w:val="24"/>
          <w:szCs w:val="24"/>
        </w:rPr>
        <w:t xml:space="preserve">will </w:t>
      </w:r>
      <w:r w:rsidR="005C2968">
        <w:rPr>
          <w:rFonts w:ascii="Times New Roman" w:hAnsi="Times New Roman" w:cs="Times New Roman"/>
          <w:sz w:val="24"/>
          <w:szCs w:val="24"/>
        </w:rPr>
        <w:t>increase the</w:t>
      </w:r>
      <w:r>
        <w:rPr>
          <w:rFonts w:ascii="Times New Roman" w:hAnsi="Times New Roman" w:cs="Times New Roman"/>
          <w:sz w:val="24"/>
          <w:szCs w:val="24"/>
        </w:rPr>
        <w:t xml:space="preserve"> </w:t>
      </w:r>
      <w:r w:rsidRPr="0067046F">
        <w:rPr>
          <w:rFonts w:ascii="Times New Roman" w:hAnsi="Times New Roman" w:cs="Times New Roman"/>
          <w:sz w:val="24"/>
          <w:szCs w:val="24"/>
        </w:rPr>
        <w:t xml:space="preserve">average monthly bill </w:t>
      </w:r>
      <w:r w:rsidR="005C2968">
        <w:rPr>
          <w:rFonts w:ascii="Times New Roman" w:hAnsi="Times New Roman" w:cs="Times New Roman"/>
          <w:sz w:val="24"/>
          <w:szCs w:val="24"/>
        </w:rPr>
        <w:t>of a</w:t>
      </w:r>
      <w:r w:rsidRPr="0067046F">
        <w:rPr>
          <w:rFonts w:ascii="Times New Roman" w:hAnsi="Times New Roman" w:cs="Times New Roman"/>
          <w:sz w:val="24"/>
          <w:szCs w:val="24"/>
        </w:rPr>
        <w:t xml:space="preserve"> residential electric customer using 957 kWh </w:t>
      </w:r>
      <w:r w:rsidR="005C2968">
        <w:rPr>
          <w:rFonts w:ascii="Times New Roman" w:hAnsi="Times New Roman" w:cs="Times New Roman"/>
          <w:sz w:val="24"/>
          <w:szCs w:val="24"/>
        </w:rPr>
        <w:t xml:space="preserve">by </w:t>
      </w:r>
      <w:r>
        <w:rPr>
          <w:rFonts w:ascii="Times New Roman" w:hAnsi="Times New Roman" w:cs="Times New Roman"/>
          <w:sz w:val="24"/>
          <w:szCs w:val="24"/>
        </w:rPr>
        <w:t>$0.79, or 0.9 percent</w:t>
      </w:r>
      <w:r w:rsidRPr="0067046F">
        <w:rPr>
          <w:rFonts w:ascii="Times New Roman" w:hAnsi="Times New Roman" w:cs="Times New Roman"/>
          <w:sz w:val="24"/>
          <w:szCs w:val="24"/>
        </w:rPr>
        <w:t>.</w:t>
      </w:r>
      <w:r>
        <w:rPr>
          <w:rFonts w:ascii="Times New Roman" w:hAnsi="Times New Roman" w:cs="Times New Roman"/>
          <w:sz w:val="24"/>
          <w:szCs w:val="24"/>
        </w:rPr>
        <w:t xml:space="preserve"> </w:t>
      </w:r>
    </w:p>
    <w:p w14:paraId="6CA1273F" w14:textId="77777777" w:rsidR="005530CB" w:rsidRPr="00913907" w:rsidRDefault="005530CB" w:rsidP="005530CB">
      <w:pPr>
        <w:spacing w:after="0" w:line="240" w:lineRule="auto"/>
        <w:rPr>
          <w:rFonts w:ascii="Times New Roman" w:eastAsia="Times New Roman" w:hAnsi="Times New Roman" w:cs="Times New Roman"/>
          <w:color w:val="FF0000"/>
          <w:sz w:val="24"/>
          <w:szCs w:val="24"/>
        </w:rPr>
      </w:pPr>
    </w:p>
    <w:tbl>
      <w:tblPr>
        <w:tblW w:w="9263" w:type="dxa"/>
        <w:tblBorders>
          <w:top w:val="single" w:sz="4" w:space="0" w:color="000000"/>
          <w:insideH w:val="single" w:sz="4" w:space="0" w:color="000000"/>
        </w:tblBorders>
        <w:tblLook w:val="04A0" w:firstRow="1" w:lastRow="0" w:firstColumn="1" w:lastColumn="0" w:noHBand="0" w:noVBand="1"/>
      </w:tblPr>
      <w:tblGrid>
        <w:gridCol w:w="3060"/>
        <w:gridCol w:w="2070"/>
        <w:gridCol w:w="1440"/>
        <w:gridCol w:w="1620"/>
        <w:gridCol w:w="1073"/>
      </w:tblGrid>
      <w:tr w:rsidR="005530CB" w:rsidRPr="00C51C4C" w14:paraId="037DC26F" w14:textId="77777777" w:rsidTr="0077521E">
        <w:trPr>
          <w:trHeight w:val="557"/>
        </w:trPr>
        <w:tc>
          <w:tcPr>
            <w:tcW w:w="3060" w:type="dxa"/>
            <w:vAlign w:val="center"/>
          </w:tcPr>
          <w:p w14:paraId="7D6B7BA4" w14:textId="77777777" w:rsidR="005530CB" w:rsidRPr="00EC1E52" w:rsidRDefault="005530CB" w:rsidP="0077521E">
            <w:pPr>
              <w:spacing w:after="0" w:line="240" w:lineRule="auto"/>
              <w:jc w:val="center"/>
              <w:rPr>
                <w:rFonts w:ascii="Times New Roman" w:eastAsia="Times New Roman" w:hAnsi="Times New Roman" w:cs="Times New Roman"/>
                <w:b/>
                <w:sz w:val="24"/>
                <w:szCs w:val="24"/>
              </w:rPr>
            </w:pPr>
          </w:p>
        </w:tc>
        <w:tc>
          <w:tcPr>
            <w:tcW w:w="2070" w:type="dxa"/>
            <w:vAlign w:val="center"/>
          </w:tcPr>
          <w:p w14:paraId="1F73482D" w14:textId="77777777" w:rsidR="005530CB" w:rsidRPr="00EC1E52" w:rsidRDefault="005530CB" w:rsidP="0077521E">
            <w:pPr>
              <w:spacing w:after="0" w:line="240" w:lineRule="auto"/>
              <w:jc w:val="center"/>
              <w:rPr>
                <w:rFonts w:ascii="Times New Roman" w:eastAsia="Times New Roman" w:hAnsi="Times New Roman" w:cs="Times New Roman"/>
                <w:b/>
                <w:bCs/>
                <w:sz w:val="24"/>
                <w:szCs w:val="24"/>
              </w:rPr>
            </w:pPr>
          </w:p>
          <w:p w14:paraId="24A4BB18" w14:textId="77777777" w:rsidR="005530CB" w:rsidRPr="00EC1E52" w:rsidRDefault="005530CB" w:rsidP="0077521E">
            <w:pPr>
              <w:spacing w:after="0" w:line="240" w:lineRule="auto"/>
              <w:jc w:val="center"/>
              <w:rPr>
                <w:rFonts w:ascii="Times New Roman" w:eastAsia="Times New Roman" w:hAnsi="Times New Roman" w:cs="Times New Roman"/>
                <w:b/>
                <w:sz w:val="24"/>
                <w:szCs w:val="24"/>
              </w:rPr>
            </w:pPr>
            <w:r w:rsidRPr="00EC1E52">
              <w:rPr>
                <w:rFonts w:ascii="Times New Roman" w:eastAsia="Times New Roman" w:hAnsi="Times New Roman" w:cs="Times New Roman"/>
                <w:b/>
                <w:bCs/>
                <w:sz w:val="24"/>
                <w:szCs w:val="24"/>
              </w:rPr>
              <w:t>Schedule</w:t>
            </w:r>
          </w:p>
        </w:tc>
        <w:tc>
          <w:tcPr>
            <w:tcW w:w="1440" w:type="dxa"/>
            <w:vAlign w:val="center"/>
          </w:tcPr>
          <w:p w14:paraId="462EC1FF" w14:textId="3D900313" w:rsidR="005530CB" w:rsidRPr="00EC1E52" w:rsidRDefault="005530CB" w:rsidP="0077521E">
            <w:pPr>
              <w:spacing w:after="0" w:line="240" w:lineRule="auto"/>
              <w:jc w:val="center"/>
              <w:rPr>
                <w:rFonts w:ascii="Times New Roman" w:eastAsia="Times New Roman" w:hAnsi="Times New Roman" w:cs="Times New Roman"/>
                <w:b/>
                <w:sz w:val="24"/>
                <w:szCs w:val="24"/>
              </w:rPr>
            </w:pPr>
            <w:r w:rsidRPr="00EC1E52">
              <w:rPr>
                <w:rFonts w:ascii="Times New Roman" w:eastAsia="Times New Roman" w:hAnsi="Times New Roman" w:cs="Times New Roman"/>
                <w:b/>
                <w:bCs/>
                <w:sz w:val="24"/>
                <w:szCs w:val="24"/>
              </w:rPr>
              <w:t>Current Rate</w:t>
            </w:r>
            <w:r w:rsidR="0077521E">
              <w:rPr>
                <w:rFonts w:ascii="Times New Roman" w:eastAsia="Times New Roman" w:hAnsi="Times New Roman" w:cs="Times New Roman"/>
                <w:b/>
                <w:bCs/>
                <w:sz w:val="24"/>
                <w:szCs w:val="24"/>
              </w:rPr>
              <w:t xml:space="preserve"> </w:t>
            </w:r>
            <w:r w:rsidRPr="00EC1E52">
              <w:rPr>
                <w:rFonts w:ascii="Times New Roman" w:eastAsia="Times New Roman" w:hAnsi="Times New Roman" w:cs="Times New Roman"/>
                <w:b/>
                <w:bCs/>
                <w:sz w:val="24"/>
                <w:szCs w:val="24"/>
              </w:rPr>
              <w:t>per kWh</w:t>
            </w:r>
          </w:p>
        </w:tc>
        <w:tc>
          <w:tcPr>
            <w:tcW w:w="1620" w:type="dxa"/>
            <w:vAlign w:val="center"/>
          </w:tcPr>
          <w:p w14:paraId="0AD52EC1" w14:textId="77777777" w:rsidR="005530CB" w:rsidRPr="00C51C4C" w:rsidRDefault="005530CB" w:rsidP="0077521E">
            <w:pPr>
              <w:spacing w:after="0" w:line="240" w:lineRule="auto"/>
              <w:jc w:val="center"/>
              <w:rPr>
                <w:rFonts w:ascii="Times New Roman" w:eastAsia="Times New Roman" w:hAnsi="Times New Roman" w:cs="Times New Roman"/>
                <w:b/>
                <w:sz w:val="24"/>
                <w:szCs w:val="24"/>
                <w:vertAlign w:val="superscript"/>
              </w:rPr>
            </w:pPr>
            <w:r w:rsidRPr="00C51C4C">
              <w:rPr>
                <w:rFonts w:ascii="Times New Roman" w:eastAsia="Times New Roman" w:hAnsi="Times New Roman" w:cs="Times New Roman"/>
                <w:b/>
                <w:sz w:val="24"/>
                <w:szCs w:val="24"/>
              </w:rPr>
              <w:t>Proposed</w:t>
            </w:r>
          </w:p>
          <w:p w14:paraId="2F6F50CC" w14:textId="77777777" w:rsidR="005530CB" w:rsidRPr="00C51C4C" w:rsidRDefault="005530CB" w:rsidP="0077521E">
            <w:pPr>
              <w:spacing w:after="0" w:line="240" w:lineRule="auto"/>
              <w:jc w:val="center"/>
              <w:rPr>
                <w:rFonts w:ascii="Times New Roman" w:eastAsia="Times New Roman" w:hAnsi="Times New Roman" w:cs="Times New Roman"/>
                <w:b/>
                <w:sz w:val="24"/>
                <w:szCs w:val="24"/>
              </w:rPr>
            </w:pPr>
            <w:r w:rsidRPr="00C51C4C">
              <w:rPr>
                <w:rFonts w:ascii="Times New Roman" w:eastAsia="Times New Roman" w:hAnsi="Times New Roman" w:cs="Times New Roman"/>
                <w:b/>
                <w:sz w:val="24"/>
                <w:szCs w:val="24"/>
              </w:rPr>
              <w:t>Rate per kWh</w:t>
            </w:r>
          </w:p>
        </w:tc>
        <w:tc>
          <w:tcPr>
            <w:tcW w:w="1073" w:type="dxa"/>
            <w:vAlign w:val="center"/>
          </w:tcPr>
          <w:p w14:paraId="5C7B5BCE" w14:textId="2C7E6404" w:rsidR="005530CB" w:rsidRPr="00C51C4C" w:rsidRDefault="004401DD" w:rsidP="007752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w:t>
            </w:r>
            <w:r w:rsidR="005530C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Change</w:t>
            </w:r>
          </w:p>
        </w:tc>
      </w:tr>
      <w:tr w:rsidR="005530CB" w:rsidRPr="00913907" w14:paraId="268F6D33" w14:textId="77777777" w:rsidTr="0077521E">
        <w:tc>
          <w:tcPr>
            <w:tcW w:w="3060" w:type="dxa"/>
          </w:tcPr>
          <w:p w14:paraId="0C4D65C2" w14:textId="77777777" w:rsidR="004401DD" w:rsidRDefault="004401DD" w:rsidP="00553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Residential &amp;</w:t>
            </w:r>
          </w:p>
          <w:p w14:paraId="0A98D293" w14:textId="6D4713C3" w:rsidR="005530CB" w:rsidRPr="00C51C4C" w:rsidRDefault="004401DD" w:rsidP="00553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Fixed-Income/Disabled</w:t>
            </w:r>
          </w:p>
        </w:tc>
        <w:tc>
          <w:tcPr>
            <w:tcW w:w="2070" w:type="dxa"/>
          </w:tcPr>
          <w:p w14:paraId="23D3185D" w14:textId="00C9232A" w:rsidR="005530CB" w:rsidRPr="00C51C4C" w:rsidRDefault="005530CB" w:rsidP="005530CB">
            <w:pPr>
              <w:spacing w:after="0" w:line="240" w:lineRule="auto"/>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Schedule</w:t>
            </w:r>
            <w:r w:rsidR="00F21C98">
              <w:rPr>
                <w:rFonts w:ascii="Times New Roman" w:eastAsia="Times New Roman" w:hAnsi="Times New Roman" w:cs="Times New Roman"/>
                <w:sz w:val="24"/>
                <w:szCs w:val="24"/>
              </w:rPr>
              <w:t>s</w:t>
            </w:r>
            <w:r w:rsidRPr="00C51C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&amp; 2</w:t>
            </w:r>
          </w:p>
        </w:tc>
        <w:tc>
          <w:tcPr>
            <w:tcW w:w="1440" w:type="dxa"/>
          </w:tcPr>
          <w:p w14:paraId="745A5BC8" w14:textId="67DC6924" w:rsidR="005530CB" w:rsidRPr="00EC1E52" w:rsidRDefault="005530CB" w:rsidP="0077521E">
            <w:pPr>
              <w:spacing w:after="0" w:line="240" w:lineRule="auto"/>
              <w:jc w:val="center"/>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$0.</w:t>
            </w:r>
            <w:r>
              <w:rPr>
                <w:rFonts w:ascii="Times New Roman" w:eastAsia="Times New Roman" w:hAnsi="Times New Roman" w:cs="Times New Roman"/>
                <w:sz w:val="24"/>
                <w:szCs w:val="24"/>
              </w:rPr>
              <w:t>00262</w:t>
            </w:r>
          </w:p>
        </w:tc>
        <w:tc>
          <w:tcPr>
            <w:tcW w:w="1620" w:type="dxa"/>
          </w:tcPr>
          <w:p w14:paraId="49800A1B" w14:textId="3CB63905" w:rsidR="005530CB" w:rsidRPr="00C51C4C" w:rsidRDefault="005530CB" w:rsidP="007752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$0.00344</w:t>
            </w:r>
          </w:p>
        </w:tc>
        <w:tc>
          <w:tcPr>
            <w:tcW w:w="1073" w:type="dxa"/>
          </w:tcPr>
          <w:p w14:paraId="501090CA" w14:textId="7283AFE1" w:rsidR="005530CB" w:rsidRPr="00455251" w:rsidRDefault="000533A5" w:rsidP="0077521E">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31</w:t>
            </w:r>
            <w:r w:rsidR="005530CB" w:rsidRPr="00455251">
              <w:rPr>
                <w:rFonts w:ascii="Times New Roman" w:hAnsi="Times New Roman" w:cs="Times New Roman"/>
                <w:sz w:val="24"/>
                <w:szCs w:val="24"/>
              </w:rPr>
              <w:t>%</w:t>
            </w:r>
          </w:p>
        </w:tc>
      </w:tr>
      <w:tr w:rsidR="005530CB" w:rsidRPr="00913907" w14:paraId="21E65A89" w14:textId="77777777" w:rsidTr="0077521E">
        <w:tc>
          <w:tcPr>
            <w:tcW w:w="3060" w:type="dxa"/>
          </w:tcPr>
          <w:p w14:paraId="28594D53" w14:textId="77777777" w:rsidR="005530CB" w:rsidRDefault="004401DD" w:rsidP="00553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Service &amp;</w:t>
            </w:r>
          </w:p>
          <w:p w14:paraId="675D12DE" w14:textId="5C7D2728" w:rsidR="004401DD" w:rsidRPr="00C51C4C" w:rsidRDefault="004401DD" w:rsidP="00553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Residential and Farm</w:t>
            </w:r>
          </w:p>
        </w:tc>
        <w:tc>
          <w:tcPr>
            <w:tcW w:w="2070" w:type="dxa"/>
          </w:tcPr>
          <w:p w14:paraId="78A9CA94" w14:textId="3F56C146" w:rsidR="005530CB" w:rsidRPr="00C51C4C" w:rsidRDefault="005530CB" w:rsidP="00553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Schedule</w:t>
            </w:r>
            <w:r w:rsidR="00F21C9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11 &amp; 12</w:t>
            </w:r>
          </w:p>
        </w:tc>
        <w:tc>
          <w:tcPr>
            <w:tcW w:w="1440" w:type="dxa"/>
          </w:tcPr>
          <w:p w14:paraId="24CD7A3E" w14:textId="035CBDBA" w:rsidR="005530CB" w:rsidRPr="00EC1E52" w:rsidRDefault="005530CB" w:rsidP="0077521E">
            <w:pPr>
              <w:spacing w:after="0" w:line="240" w:lineRule="auto"/>
              <w:jc w:val="center"/>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$0.</w:t>
            </w:r>
            <w:r>
              <w:rPr>
                <w:rFonts w:ascii="Times New Roman" w:eastAsia="Times New Roman" w:hAnsi="Times New Roman" w:cs="Times New Roman"/>
                <w:sz w:val="24"/>
                <w:szCs w:val="24"/>
              </w:rPr>
              <w:t>00362</w:t>
            </w:r>
          </w:p>
        </w:tc>
        <w:tc>
          <w:tcPr>
            <w:tcW w:w="1620" w:type="dxa"/>
          </w:tcPr>
          <w:p w14:paraId="79D75458" w14:textId="31038108" w:rsidR="005530CB" w:rsidRPr="00C51C4C" w:rsidRDefault="005530CB" w:rsidP="007752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F456B">
              <w:rPr>
                <w:rFonts w:ascii="Times New Roman" w:eastAsia="Times New Roman" w:hAnsi="Times New Roman" w:cs="Times New Roman"/>
                <w:sz w:val="24"/>
                <w:szCs w:val="24"/>
              </w:rPr>
              <w:t>00463</w:t>
            </w:r>
          </w:p>
        </w:tc>
        <w:tc>
          <w:tcPr>
            <w:tcW w:w="1073" w:type="dxa"/>
          </w:tcPr>
          <w:p w14:paraId="54CB9A2C" w14:textId="0351FDC8" w:rsidR="005530CB" w:rsidRPr="00455251" w:rsidRDefault="000533A5" w:rsidP="0077521E">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28</w:t>
            </w:r>
            <w:r w:rsidR="005530CB" w:rsidRPr="00455251">
              <w:rPr>
                <w:rFonts w:ascii="Times New Roman" w:hAnsi="Times New Roman" w:cs="Times New Roman"/>
                <w:sz w:val="24"/>
                <w:szCs w:val="24"/>
              </w:rPr>
              <w:t>%</w:t>
            </w:r>
          </w:p>
        </w:tc>
      </w:tr>
      <w:tr w:rsidR="005530CB" w:rsidRPr="00913907" w14:paraId="0F0024DA" w14:textId="77777777" w:rsidTr="0077521E">
        <w:tc>
          <w:tcPr>
            <w:tcW w:w="3060" w:type="dxa"/>
          </w:tcPr>
          <w:p w14:paraId="1D2BF75D" w14:textId="065B56D0" w:rsidR="005530CB" w:rsidRPr="00C51C4C" w:rsidRDefault="004401DD" w:rsidP="008F45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Large General Service &amp; Large Residential/Farm</w:t>
            </w:r>
          </w:p>
        </w:tc>
        <w:tc>
          <w:tcPr>
            <w:tcW w:w="2070" w:type="dxa"/>
          </w:tcPr>
          <w:p w14:paraId="3ABD6A1A" w14:textId="7E416B0D" w:rsidR="005530CB" w:rsidRPr="00C51C4C" w:rsidRDefault="005530CB" w:rsidP="00553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Schedule</w:t>
            </w:r>
            <w:r w:rsidR="00F21C9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21 &amp; 22</w:t>
            </w:r>
          </w:p>
        </w:tc>
        <w:tc>
          <w:tcPr>
            <w:tcW w:w="1440" w:type="dxa"/>
          </w:tcPr>
          <w:p w14:paraId="0F9C2D95" w14:textId="728E3F86" w:rsidR="005530CB" w:rsidRPr="00EC1E52" w:rsidRDefault="005530CB" w:rsidP="0077521E">
            <w:pPr>
              <w:spacing w:after="0" w:line="240" w:lineRule="auto"/>
              <w:jc w:val="center"/>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$0.</w:t>
            </w:r>
            <w:r>
              <w:rPr>
                <w:rFonts w:ascii="Times New Roman" w:eastAsia="Times New Roman" w:hAnsi="Times New Roman" w:cs="Times New Roman"/>
                <w:sz w:val="24"/>
                <w:szCs w:val="24"/>
              </w:rPr>
              <w:t>00273</w:t>
            </w:r>
          </w:p>
        </w:tc>
        <w:tc>
          <w:tcPr>
            <w:tcW w:w="1620" w:type="dxa"/>
          </w:tcPr>
          <w:p w14:paraId="758D6133" w14:textId="5080C940" w:rsidR="005530CB" w:rsidRPr="00C51C4C" w:rsidRDefault="008F456B" w:rsidP="007752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$0.00366</w:t>
            </w:r>
          </w:p>
        </w:tc>
        <w:tc>
          <w:tcPr>
            <w:tcW w:w="1073" w:type="dxa"/>
          </w:tcPr>
          <w:p w14:paraId="4BD6EAF2" w14:textId="3A98C0AF" w:rsidR="005530CB" w:rsidRPr="00455251" w:rsidRDefault="000533A5" w:rsidP="0077521E">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34</w:t>
            </w:r>
            <w:r w:rsidR="005530CB" w:rsidRPr="00455251">
              <w:rPr>
                <w:rFonts w:ascii="Times New Roman" w:hAnsi="Times New Roman" w:cs="Times New Roman"/>
                <w:sz w:val="24"/>
                <w:szCs w:val="24"/>
              </w:rPr>
              <w:t>%</w:t>
            </w:r>
          </w:p>
        </w:tc>
      </w:tr>
      <w:tr w:rsidR="005530CB" w:rsidRPr="00913907" w14:paraId="396AFC99" w14:textId="77777777" w:rsidTr="0077521E">
        <w:tc>
          <w:tcPr>
            <w:tcW w:w="3060" w:type="dxa"/>
          </w:tcPr>
          <w:p w14:paraId="139277FE" w14:textId="797ED575" w:rsidR="005530CB" w:rsidRPr="00C51C4C" w:rsidRDefault="004401DD" w:rsidP="008F45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Extra Large General Service</w:t>
            </w:r>
          </w:p>
        </w:tc>
        <w:tc>
          <w:tcPr>
            <w:tcW w:w="2070" w:type="dxa"/>
          </w:tcPr>
          <w:p w14:paraId="751218F9" w14:textId="1ECC14BC" w:rsidR="005530CB" w:rsidRPr="00C51C4C" w:rsidRDefault="005530CB" w:rsidP="00553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25</w:t>
            </w:r>
          </w:p>
        </w:tc>
        <w:tc>
          <w:tcPr>
            <w:tcW w:w="1440" w:type="dxa"/>
          </w:tcPr>
          <w:p w14:paraId="5254F028" w14:textId="4AF853E3" w:rsidR="005530CB" w:rsidRPr="00EC1E52" w:rsidRDefault="005530CB" w:rsidP="007752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$0.00172</w:t>
            </w:r>
          </w:p>
        </w:tc>
        <w:tc>
          <w:tcPr>
            <w:tcW w:w="1620" w:type="dxa"/>
          </w:tcPr>
          <w:p w14:paraId="1F8E175C" w14:textId="2F7E18A3" w:rsidR="005530CB" w:rsidRPr="00C51C4C" w:rsidRDefault="005530CB" w:rsidP="0077521E">
            <w:pPr>
              <w:spacing w:after="0" w:line="240" w:lineRule="auto"/>
              <w:jc w:val="center"/>
              <w:rPr>
                <w:rFonts w:ascii="Times New Roman" w:eastAsia="Times New Roman" w:hAnsi="Times New Roman" w:cs="Times New Roman"/>
                <w:sz w:val="24"/>
                <w:szCs w:val="24"/>
              </w:rPr>
            </w:pPr>
            <w:r w:rsidRPr="00C51C4C">
              <w:rPr>
                <w:rFonts w:ascii="Times New Roman" w:eastAsia="Times New Roman" w:hAnsi="Times New Roman" w:cs="Times New Roman"/>
                <w:sz w:val="24"/>
                <w:szCs w:val="24"/>
              </w:rPr>
              <w:t>$0.</w:t>
            </w:r>
            <w:r w:rsidR="008F456B">
              <w:rPr>
                <w:rFonts w:ascii="Times New Roman" w:eastAsia="Times New Roman" w:hAnsi="Times New Roman" w:cs="Times New Roman"/>
                <w:sz w:val="24"/>
                <w:szCs w:val="24"/>
              </w:rPr>
              <w:t>00232</w:t>
            </w:r>
          </w:p>
        </w:tc>
        <w:tc>
          <w:tcPr>
            <w:tcW w:w="1073" w:type="dxa"/>
          </w:tcPr>
          <w:p w14:paraId="2922DC52" w14:textId="36670DCB" w:rsidR="005530CB" w:rsidRPr="00455251" w:rsidRDefault="004401DD" w:rsidP="0077521E">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35</w:t>
            </w:r>
            <w:r w:rsidR="005530CB" w:rsidRPr="00455251">
              <w:rPr>
                <w:rFonts w:ascii="Times New Roman" w:hAnsi="Times New Roman" w:cs="Times New Roman"/>
                <w:sz w:val="24"/>
                <w:szCs w:val="24"/>
              </w:rPr>
              <w:t>%</w:t>
            </w:r>
          </w:p>
        </w:tc>
      </w:tr>
      <w:tr w:rsidR="005530CB" w:rsidRPr="00913907" w14:paraId="1008B7BD" w14:textId="77777777" w:rsidTr="0077521E">
        <w:tc>
          <w:tcPr>
            <w:tcW w:w="3060" w:type="dxa"/>
          </w:tcPr>
          <w:p w14:paraId="58694602" w14:textId="7EFDE8DA" w:rsidR="005530CB" w:rsidRPr="00C51C4C" w:rsidRDefault="004401DD" w:rsidP="008F45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Pumping Service</w:t>
            </w:r>
          </w:p>
        </w:tc>
        <w:tc>
          <w:tcPr>
            <w:tcW w:w="2070" w:type="dxa"/>
          </w:tcPr>
          <w:p w14:paraId="59AF9F0E" w14:textId="2EB4C81C" w:rsidR="005530CB" w:rsidRPr="00C51C4C" w:rsidRDefault="005530CB" w:rsidP="00553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Schedule</w:t>
            </w:r>
            <w:r w:rsidR="00F21C9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31</w:t>
            </w:r>
            <w:r w:rsidR="008F45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&amp;</w:t>
            </w:r>
            <w:r w:rsidR="008F45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w:t>
            </w:r>
          </w:p>
        </w:tc>
        <w:tc>
          <w:tcPr>
            <w:tcW w:w="1440" w:type="dxa"/>
          </w:tcPr>
          <w:p w14:paraId="4175BE3E" w14:textId="10C22D43" w:rsidR="005530CB" w:rsidRPr="00EC1E52" w:rsidRDefault="005530CB" w:rsidP="007752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$0.00261</w:t>
            </w:r>
          </w:p>
        </w:tc>
        <w:tc>
          <w:tcPr>
            <w:tcW w:w="1620" w:type="dxa"/>
          </w:tcPr>
          <w:p w14:paraId="5D10286A" w14:textId="458A862B" w:rsidR="005530CB" w:rsidRPr="00C51C4C" w:rsidRDefault="008F456B" w:rsidP="007752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$0.00341</w:t>
            </w:r>
          </w:p>
        </w:tc>
        <w:tc>
          <w:tcPr>
            <w:tcW w:w="1073" w:type="dxa"/>
          </w:tcPr>
          <w:p w14:paraId="4FEB46D2" w14:textId="5933E68C" w:rsidR="005530CB" w:rsidRPr="00455251" w:rsidRDefault="004401DD" w:rsidP="0077521E">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31</w:t>
            </w:r>
            <w:r w:rsidR="005530CB" w:rsidRPr="00455251">
              <w:rPr>
                <w:rFonts w:ascii="Times New Roman" w:hAnsi="Times New Roman" w:cs="Times New Roman"/>
                <w:sz w:val="24"/>
                <w:szCs w:val="24"/>
              </w:rPr>
              <w:t>%</w:t>
            </w:r>
          </w:p>
        </w:tc>
      </w:tr>
      <w:tr w:rsidR="008F456B" w:rsidRPr="00913907" w14:paraId="473A000F" w14:textId="77777777" w:rsidTr="0077521E">
        <w:tc>
          <w:tcPr>
            <w:tcW w:w="3060" w:type="dxa"/>
            <w:tcBorders>
              <w:bottom w:val="single" w:sz="4" w:space="0" w:color="000000"/>
            </w:tcBorders>
          </w:tcPr>
          <w:p w14:paraId="2CB6209B" w14:textId="528E283A" w:rsidR="008F456B" w:rsidRDefault="004401DD" w:rsidP="008F45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Street Light Service</w:t>
            </w:r>
          </w:p>
        </w:tc>
        <w:tc>
          <w:tcPr>
            <w:tcW w:w="2070" w:type="dxa"/>
            <w:tcBorders>
              <w:bottom w:val="single" w:sz="4" w:space="0" w:color="000000"/>
            </w:tcBorders>
          </w:tcPr>
          <w:p w14:paraId="620D9FB1" w14:textId="686DB3B6" w:rsidR="008F456B" w:rsidRDefault="008F456B" w:rsidP="00553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Schedule</w:t>
            </w:r>
            <w:r w:rsidR="00F21C9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41-48</w:t>
            </w:r>
          </w:p>
        </w:tc>
        <w:tc>
          <w:tcPr>
            <w:tcW w:w="1440" w:type="dxa"/>
            <w:tcBorders>
              <w:bottom w:val="single" w:sz="4" w:space="0" w:color="000000"/>
            </w:tcBorders>
          </w:tcPr>
          <w:p w14:paraId="3FB42AC8" w14:textId="72DC9A26" w:rsidR="008F456B" w:rsidRDefault="008F456B" w:rsidP="007752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$0.00862</w:t>
            </w:r>
          </w:p>
        </w:tc>
        <w:tc>
          <w:tcPr>
            <w:tcW w:w="1620" w:type="dxa"/>
            <w:tcBorders>
              <w:bottom w:val="single" w:sz="4" w:space="0" w:color="000000"/>
            </w:tcBorders>
          </w:tcPr>
          <w:p w14:paraId="7DDA208E" w14:textId="10C33081" w:rsidR="008F456B" w:rsidRPr="00C51C4C" w:rsidRDefault="008F456B" w:rsidP="007752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$0.01215</w:t>
            </w:r>
          </w:p>
        </w:tc>
        <w:tc>
          <w:tcPr>
            <w:tcW w:w="1073" w:type="dxa"/>
            <w:tcBorders>
              <w:bottom w:val="single" w:sz="4" w:space="0" w:color="000000"/>
            </w:tcBorders>
          </w:tcPr>
          <w:p w14:paraId="341FE8FD" w14:textId="00663CE7" w:rsidR="008F456B" w:rsidRPr="00455251" w:rsidRDefault="004401DD" w:rsidP="007752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bl>
    <w:p w14:paraId="4DE06DE2" w14:textId="77777777" w:rsidR="00DB7019" w:rsidRDefault="00DB7019" w:rsidP="007A3E5D">
      <w:pPr>
        <w:spacing w:after="0" w:line="240" w:lineRule="auto"/>
        <w:rPr>
          <w:rFonts w:ascii="Times New Roman" w:eastAsia="Calibri" w:hAnsi="Times New Roman" w:cs="Times New Roman"/>
          <w:b/>
          <w:i/>
          <w:sz w:val="24"/>
          <w:szCs w:val="24"/>
        </w:rPr>
      </w:pPr>
    </w:p>
    <w:p w14:paraId="0FA21829" w14:textId="4650B7FC" w:rsidR="005530CB" w:rsidRPr="005530CB" w:rsidRDefault="005530CB" w:rsidP="007A3E5D">
      <w:pPr>
        <w:spacing w:after="0" w:line="240" w:lineRule="auto"/>
        <w:rPr>
          <w:rFonts w:ascii="Times New Roman" w:eastAsia="Calibri" w:hAnsi="Times New Roman" w:cs="Times New Roman"/>
          <w:b/>
          <w:i/>
          <w:sz w:val="24"/>
          <w:szCs w:val="24"/>
        </w:rPr>
      </w:pPr>
      <w:r w:rsidRPr="005530CB">
        <w:rPr>
          <w:rFonts w:ascii="Times New Roman" w:eastAsia="Calibri" w:hAnsi="Times New Roman" w:cs="Times New Roman"/>
          <w:b/>
          <w:i/>
          <w:sz w:val="24"/>
          <w:szCs w:val="24"/>
        </w:rPr>
        <w:lastRenderedPageBreak/>
        <w:t>Staff Audit</w:t>
      </w:r>
    </w:p>
    <w:p w14:paraId="58858894" w14:textId="77777777" w:rsidR="005530CB" w:rsidRDefault="005530CB" w:rsidP="007A3E5D">
      <w:pPr>
        <w:spacing w:after="0" w:line="240" w:lineRule="auto"/>
        <w:rPr>
          <w:rFonts w:ascii="Times New Roman" w:eastAsia="Calibri" w:hAnsi="Times New Roman" w:cs="Times New Roman"/>
          <w:sz w:val="24"/>
          <w:szCs w:val="24"/>
        </w:rPr>
      </w:pPr>
    </w:p>
    <w:p w14:paraId="28D76712" w14:textId="20456FD6" w:rsidR="00844779" w:rsidRPr="0067046F" w:rsidRDefault="00844779" w:rsidP="008447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67046F">
        <w:rPr>
          <w:rFonts w:ascii="Times New Roman" w:hAnsi="Times New Roman" w:cs="Times New Roman"/>
          <w:sz w:val="24"/>
          <w:szCs w:val="24"/>
        </w:rPr>
        <w:t xml:space="preserve">prudence review of Avista’s conservation programs occurs in an ongoing manner through such avenues as advisory group participation and review of annual business plans, conservation potential assessments, biennial conservation reports, and annual cost recovery tariff filings. The cost recovery tariff filings before the commission now provide us with one of many opportunities to review Avista’s conservation expenditures and the appropriateness of those expenditures. </w:t>
      </w:r>
    </w:p>
    <w:p w14:paraId="28D76713" w14:textId="77777777" w:rsidR="00A120F1" w:rsidRDefault="00A120F1" w:rsidP="00294D1A">
      <w:pPr>
        <w:spacing w:after="0" w:line="240" w:lineRule="auto"/>
        <w:rPr>
          <w:rFonts w:ascii="Times New Roman" w:hAnsi="Times New Roman" w:cs="Times New Roman"/>
          <w:sz w:val="24"/>
          <w:szCs w:val="24"/>
        </w:rPr>
      </w:pPr>
    </w:p>
    <w:p w14:paraId="28D76714" w14:textId="28AB736C" w:rsidR="00A367F2" w:rsidRDefault="0016714E" w:rsidP="00294D1A">
      <w:pPr>
        <w:spacing w:after="0" w:line="240" w:lineRule="auto"/>
        <w:rPr>
          <w:rFonts w:ascii="Times New Roman" w:hAnsi="Times New Roman" w:cs="Times New Roman"/>
          <w:sz w:val="24"/>
          <w:szCs w:val="24"/>
        </w:rPr>
      </w:pPr>
      <w:r>
        <w:rPr>
          <w:rFonts w:ascii="Times New Roman" w:hAnsi="Times New Roman" w:cs="Times New Roman"/>
          <w:sz w:val="24"/>
          <w:szCs w:val="24"/>
        </w:rPr>
        <w:t>On March 27,</w:t>
      </w:r>
      <w:r w:rsidR="000638B4">
        <w:rPr>
          <w:rFonts w:ascii="Times New Roman" w:hAnsi="Times New Roman" w:cs="Times New Roman"/>
          <w:sz w:val="24"/>
          <w:szCs w:val="24"/>
        </w:rPr>
        <w:t xml:space="preserve"> 2017</w:t>
      </w:r>
      <w:r w:rsidR="00364CF7">
        <w:rPr>
          <w:rFonts w:ascii="Times New Roman" w:hAnsi="Times New Roman" w:cs="Times New Roman"/>
          <w:sz w:val="24"/>
          <w:szCs w:val="24"/>
        </w:rPr>
        <w:t xml:space="preserve">, </w:t>
      </w:r>
      <w:r>
        <w:rPr>
          <w:rFonts w:ascii="Times New Roman" w:hAnsi="Times New Roman" w:cs="Times New Roman"/>
          <w:sz w:val="24"/>
          <w:szCs w:val="24"/>
        </w:rPr>
        <w:t xml:space="preserve">staff conducted an on-site audit of </w:t>
      </w:r>
      <w:r w:rsidR="00364CF7">
        <w:rPr>
          <w:rFonts w:ascii="Times New Roman" w:hAnsi="Times New Roman" w:cs="Times New Roman"/>
          <w:sz w:val="24"/>
          <w:szCs w:val="24"/>
        </w:rPr>
        <w:t xml:space="preserve">electric </w:t>
      </w:r>
      <w:r w:rsidR="000638B4">
        <w:rPr>
          <w:rFonts w:ascii="Times New Roman" w:hAnsi="Times New Roman" w:cs="Times New Roman"/>
          <w:sz w:val="24"/>
          <w:szCs w:val="24"/>
        </w:rPr>
        <w:t>c</w:t>
      </w:r>
      <w:r>
        <w:rPr>
          <w:rFonts w:ascii="Times New Roman" w:hAnsi="Times New Roman" w:cs="Times New Roman"/>
          <w:sz w:val="24"/>
          <w:szCs w:val="24"/>
        </w:rPr>
        <w:t>onservation</w:t>
      </w:r>
      <w:r w:rsidR="000638B4">
        <w:rPr>
          <w:rFonts w:ascii="Times New Roman" w:hAnsi="Times New Roman" w:cs="Times New Roman"/>
          <w:sz w:val="24"/>
          <w:szCs w:val="24"/>
        </w:rPr>
        <w:t xml:space="preserve"> expenditures </w:t>
      </w:r>
      <w:r w:rsidR="0069661E">
        <w:rPr>
          <w:rFonts w:ascii="Times New Roman" w:hAnsi="Times New Roman" w:cs="Times New Roman"/>
          <w:sz w:val="24"/>
          <w:szCs w:val="24"/>
        </w:rPr>
        <w:t xml:space="preserve">and </w:t>
      </w:r>
      <w:r w:rsidR="000638B4">
        <w:rPr>
          <w:rFonts w:ascii="Times New Roman" w:hAnsi="Times New Roman" w:cs="Times New Roman"/>
          <w:sz w:val="24"/>
          <w:szCs w:val="24"/>
        </w:rPr>
        <w:t xml:space="preserve">selected </w:t>
      </w:r>
      <w:r w:rsidR="007C53D6">
        <w:rPr>
          <w:rFonts w:ascii="Times New Roman" w:hAnsi="Times New Roman" w:cs="Times New Roman"/>
          <w:sz w:val="24"/>
          <w:szCs w:val="24"/>
        </w:rPr>
        <w:t>2</w:t>
      </w:r>
      <w:r w:rsidR="0069661E">
        <w:rPr>
          <w:rFonts w:ascii="Times New Roman" w:hAnsi="Times New Roman" w:cs="Times New Roman"/>
          <w:sz w:val="24"/>
          <w:szCs w:val="24"/>
        </w:rPr>
        <w:t>7</w:t>
      </w:r>
      <w:r w:rsidR="007C53D6">
        <w:rPr>
          <w:rFonts w:ascii="Times New Roman" w:hAnsi="Times New Roman" w:cs="Times New Roman"/>
          <w:sz w:val="24"/>
          <w:szCs w:val="24"/>
        </w:rPr>
        <w:t xml:space="preserve"> </w:t>
      </w:r>
      <w:r w:rsidR="000638B4">
        <w:rPr>
          <w:rFonts w:ascii="Times New Roman" w:hAnsi="Times New Roman" w:cs="Times New Roman"/>
          <w:sz w:val="24"/>
          <w:szCs w:val="24"/>
        </w:rPr>
        <w:t>residential, nonresidential and low-income progra</w:t>
      </w:r>
      <w:r w:rsidR="007C53D6">
        <w:rPr>
          <w:rFonts w:ascii="Times New Roman" w:hAnsi="Times New Roman" w:cs="Times New Roman"/>
          <w:sz w:val="24"/>
          <w:szCs w:val="24"/>
        </w:rPr>
        <w:t xml:space="preserve">m line item expenses. In particular, staff </w:t>
      </w:r>
      <w:r w:rsidR="000638B4">
        <w:rPr>
          <w:rFonts w:ascii="Times New Roman" w:hAnsi="Times New Roman" w:cs="Times New Roman"/>
          <w:sz w:val="24"/>
          <w:szCs w:val="24"/>
        </w:rPr>
        <w:t xml:space="preserve">focused </w:t>
      </w:r>
      <w:r>
        <w:rPr>
          <w:rFonts w:ascii="Times New Roman" w:hAnsi="Times New Roman" w:cs="Times New Roman"/>
          <w:sz w:val="24"/>
          <w:szCs w:val="24"/>
        </w:rPr>
        <w:t xml:space="preserve">on </w:t>
      </w:r>
      <w:r w:rsidR="006522C4">
        <w:rPr>
          <w:rFonts w:ascii="Times New Roman" w:hAnsi="Times New Roman" w:cs="Times New Roman"/>
          <w:sz w:val="24"/>
          <w:szCs w:val="24"/>
        </w:rPr>
        <w:t>Avista</w:t>
      </w:r>
      <w:r>
        <w:rPr>
          <w:rFonts w:ascii="Times New Roman" w:hAnsi="Times New Roman" w:cs="Times New Roman"/>
          <w:sz w:val="24"/>
          <w:szCs w:val="24"/>
        </w:rPr>
        <w:t xml:space="preserve">’s </w:t>
      </w:r>
      <w:r w:rsidR="006522C4" w:rsidRPr="008C5FBB">
        <w:rPr>
          <w:rFonts w:ascii="Times New Roman" w:hAnsi="Times New Roman" w:cs="Times New Roman"/>
          <w:sz w:val="24"/>
          <w:szCs w:val="24"/>
        </w:rPr>
        <w:t xml:space="preserve">1,134 interior lighting energy savings projects under the Washington </w:t>
      </w:r>
      <w:r w:rsidR="009207E2" w:rsidRPr="008C5FBB">
        <w:rPr>
          <w:rFonts w:ascii="Times New Roman" w:hAnsi="Times New Roman" w:cs="Times New Roman"/>
          <w:sz w:val="24"/>
          <w:szCs w:val="24"/>
        </w:rPr>
        <w:t xml:space="preserve">prescriptive interior lighting </w:t>
      </w:r>
      <w:r w:rsidR="006522C4" w:rsidRPr="008C5FBB">
        <w:rPr>
          <w:rFonts w:ascii="Times New Roman" w:hAnsi="Times New Roman" w:cs="Times New Roman"/>
          <w:sz w:val="24"/>
          <w:szCs w:val="24"/>
        </w:rPr>
        <w:t xml:space="preserve">program, </w:t>
      </w:r>
      <w:r>
        <w:rPr>
          <w:rFonts w:ascii="Times New Roman" w:hAnsi="Times New Roman" w:cs="Times New Roman"/>
          <w:sz w:val="24"/>
          <w:szCs w:val="24"/>
        </w:rPr>
        <w:t>totaling over $6.1 million in expenditures</w:t>
      </w:r>
      <w:r w:rsidR="006522C4" w:rsidRPr="008C5FBB">
        <w:rPr>
          <w:rFonts w:ascii="Times New Roman" w:hAnsi="Times New Roman" w:cs="Times New Roman"/>
          <w:sz w:val="24"/>
          <w:szCs w:val="24"/>
        </w:rPr>
        <w:t>.</w:t>
      </w:r>
      <w:r w:rsidR="006522C4" w:rsidRPr="0067046F">
        <w:rPr>
          <w:vertAlign w:val="superscript"/>
        </w:rPr>
        <w:footnoteReference w:id="7"/>
      </w:r>
      <w:r w:rsidR="007C53D6">
        <w:rPr>
          <w:rFonts w:ascii="Times New Roman" w:hAnsi="Times New Roman" w:cs="Times New Roman"/>
          <w:sz w:val="24"/>
          <w:szCs w:val="24"/>
        </w:rPr>
        <w:t xml:space="preserve"> </w:t>
      </w:r>
      <w:r w:rsidR="00ED3066" w:rsidRPr="0067046F">
        <w:rPr>
          <w:rFonts w:ascii="Times New Roman" w:hAnsi="Times New Roman" w:cs="Times New Roman"/>
          <w:sz w:val="24"/>
          <w:szCs w:val="24"/>
        </w:rPr>
        <w:t xml:space="preserve">During its prudence review, staff </w:t>
      </w:r>
      <w:r w:rsidR="00B832CF">
        <w:rPr>
          <w:rFonts w:ascii="Times New Roman" w:hAnsi="Times New Roman" w:cs="Times New Roman"/>
          <w:sz w:val="24"/>
          <w:szCs w:val="24"/>
        </w:rPr>
        <w:t xml:space="preserve">raised questions about </w:t>
      </w:r>
      <w:r w:rsidR="009636A6">
        <w:rPr>
          <w:rFonts w:ascii="Times New Roman" w:hAnsi="Times New Roman" w:cs="Times New Roman"/>
          <w:sz w:val="24"/>
          <w:szCs w:val="24"/>
        </w:rPr>
        <w:t xml:space="preserve">why </w:t>
      </w:r>
      <w:r w:rsidR="00ED3066" w:rsidRPr="008C5FBB">
        <w:rPr>
          <w:rFonts w:ascii="Times New Roman" w:hAnsi="Times New Roman" w:cs="Times New Roman"/>
          <w:sz w:val="24"/>
          <w:szCs w:val="24"/>
        </w:rPr>
        <w:t xml:space="preserve">TLED incentives </w:t>
      </w:r>
      <w:r w:rsidR="00AB28B0">
        <w:rPr>
          <w:rFonts w:ascii="Times New Roman" w:hAnsi="Times New Roman" w:cs="Times New Roman"/>
          <w:sz w:val="24"/>
          <w:szCs w:val="24"/>
        </w:rPr>
        <w:t xml:space="preserve">were </w:t>
      </w:r>
      <w:r w:rsidR="00B832CF">
        <w:rPr>
          <w:rFonts w:ascii="Times New Roman" w:hAnsi="Times New Roman" w:cs="Times New Roman"/>
          <w:sz w:val="24"/>
          <w:szCs w:val="24"/>
        </w:rPr>
        <w:t xml:space="preserve">paid </w:t>
      </w:r>
      <w:r w:rsidR="00ED3066" w:rsidRPr="008C5FBB">
        <w:rPr>
          <w:rFonts w:ascii="Times New Roman" w:hAnsi="Times New Roman" w:cs="Times New Roman"/>
          <w:sz w:val="24"/>
          <w:szCs w:val="24"/>
        </w:rPr>
        <w:t>at the</w:t>
      </w:r>
      <w:r w:rsidR="00B832CF">
        <w:rPr>
          <w:rFonts w:ascii="Times New Roman" w:hAnsi="Times New Roman" w:cs="Times New Roman"/>
          <w:sz w:val="24"/>
          <w:szCs w:val="24"/>
        </w:rPr>
        <w:t xml:space="preserve"> higher $15 incentive level</w:t>
      </w:r>
      <w:r w:rsidR="00176DF2">
        <w:rPr>
          <w:rFonts w:ascii="Times New Roman" w:hAnsi="Times New Roman" w:cs="Times New Roman"/>
          <w:sz w:val="24"/>
          <w:szCs w:val="24"/>
        </w:rPr>
        <w:t>. W</w:t>
      </w:r>
      <w:r w:rsidR="009636A6">
        <w:rPr>
          <w:rFonts w:ascii="Times New Roman" w:hAnsi="Times New Roman" w:cs="Times New Roman"/>
          <w:sz w:val="24"/>
          <w:szCs w:val="24"/>
        </w:rPr>
        <w:t>hen using</w:t>
      </w:r>
      <w:r w:rsidR="00885099">
        <w:rPr>
          <w:rFonts w:ascii="Times New Roman" w:hAnsi="Times New Roman" w:cs="Times New Roman"/>
          <w:sz w:val="24"/>
          <w:szCs w:val="24"/>
        </w:rPr>
        <w:t xml:space="preserve"> the Design Lights Consortium (DLC)</w:t>
      </w:r>
      <w:r w:rsidR="00885099" w:rsidRPr="00885099">
        <w:rPr>
          <w:rStyle w:val="FootnoteReference"/>
          <w:rFonts w:ascii="Times New Roman" w:hAnsi="Times New Roman" w:cs="Times New Roman"/>
          <w:sz w:val="24"/>
          <w:szCs w:val="24"/>
        </w:rPr>
        <w:t xml:space="preserve"> </w:t>
      </w:r>
      <w:r w:rsidR="00885099">
        <w:rPr>
          <w:rStyle w:val="FootnoteReference"/>
          <w:rFonts w:ascii="Times New Roman" w:hAnsi="Times New Roman" w:cs="Times New Roman"/>
          <w:sz w:val="24"/>
          <w:szCs w:val="24"/>
        </w:rPr>
        <w:footnoteReference w:id="8"/>
      </w:r>
      <w:r w:rsidR="00885099" w:rsidRPr="0067046F">
        <w:rPr>
          <w:rFonts w:ascii="Times New Roman" w:hAnsi="Times New Roman" w:cs="Times New Roman"/>
          <w:sz w:val="24"/>
          <w:szCs w:val="24"/>
        </w:rPr>
        <w:t xml:space="preserve"> </w:t>
      </w:r>
      <w:r w:rsidR="00885099">
        <w:rPr>
          <w:rFonts w:ascii="Times New Roman" w:hAnsi="Times New Roman" w:cs="Times New Roman"/>
          <w:sz w:val="24"/>
          <w:szCs w:val="24"/>
        </w:rPr>
        <w:t>“rated data</w:t>
      </w:r>
      <w:r w:rsidR="005E5D8C">
        <w:rPr>
          <w:rFonts w:ascii="Times New Roman" w:hAnsi="Times New Roman" w:cs="Times New Roman"/>
          <w:sz w:val="24"/>
          <w:szCs w:val="24"/>
        </w:rPr>
        <w:t>,</w:t>
      </w:r>
      <w:r w:rsidR="00885099">
        <w:rPr>
          <w:rFonts w:ascii="Times New Roman" w:hAnsi="Times New Roman" w:cs="Times New Roman"/>
          <w:sz w:val="24"/>
          <w:szCs w:val="24"/>
        </w:rPr>
        <w:t>”</w:t>
      </w:r>
      <w:r w:rsidR="003C182B">
        <w:rPr>
          <w:rFonts w:ascii="Times New Roman" w:hAnsi="Times New Roman" w:cs="Times New Roman"/>
          <w:sz w:val="24"/>
          <w:szCs w:val="24"/>
        </w:rPr>
        <w:t xml:space="preserve"> it appeared</w:t>
      </w:r>
      <w:r w:rsidR="00423E03">
        <w:rPr>
          <w:rFonts w:ascii="Times New Roman" w:hAnsi="Times New Roman" w:cs="Times New Roman"/>
          <w:sz w:val="24"/>
          <w:szCs w:val="24"/>
        </w:rPr>
        <w:t xml:space="preserve"> that some of the </w:t>
      </w:r>
      <w:r w:rsidR="00176DF2">
        <w:rPr>
          <w:rFonts w:ascii="Times New Roman" w:hAnsi="Times New Roman" w:cs="Times New Roman"/>
          <w:sz w:val="24"/>
          <w:szCs w:val="24"/>
        </w:rPr>
        <w:t xml:space="preserve">TLED </w:t>
      </w:r>
      <w:r w:rsidR="00423E03">
        <w:rPr>
          <w:rFonts w:ascii="Times New Roman" w:hAnsi="Times New Roman" w:cs="Times New Roman"/>
          <w:sz w:val="24"/>
          <w:szCs w:val="24"/>
        </w:rPr>
        <w:t xml:space="preserve">rebates could have been paid </w:t>
      </w:r>
      <w:r w:rsidR="009636A6">
        <w:rPr>
          <w:rFonts w:ascii="Times New Roman" w:hAnsi="Times New Roman" w:cs="Times New Roman"/>
          <w:sz w:val="24"/>
          <w:szCs w:val="24"/>
        </w:rPr>
        <w:t xml:space="preserve">at the $10 </w:t>
      </w:r>
      <w:r w:rsidR="00176DF2">
        <w:rPr>
          <w:rFonts w:ascii="Times New Roman" w:hAnsi="Times New Roman" w:cs="Times New Roman"/>
          <w:sz w:val="24"/>
          <w:szCs w:val="24"/>
        </w:rPr>
        <w:t xml:space="preserve">incentive </w:t>
      </w:r>
      <w:r w:rsidR="009636A6">
        <w:rPr>
          <w:rFonts w:ascii="Times New Roman" w:hAnsi="Times New Roman" w:cs="Times New Roman"/>
          <w:sz w:val="24"/>
          <w:szCs w:val="24"/>
        </w:rPr>
        <w:t>level.</w:t>
      </w:r>
    </w:p>
    <w:p w14:paraId="28D76715" w14:textId="77777777" w:rsidR="006522C4" w:rsidRDefault="006522C4" w:rsidP="00294D1A">
      <w:pPr>
        <w:spacing w:after="0" w:line="240" w:lineRule="auto"/>
        <w:rPr>
          <w:rFonts w:ascii="Times New Roman" w:hAnsi="Times New Roman" w:cs="Times New Roman"/>
          <w:sz w:val="24"/>
          <w:szCs w:val="24"/>
        </w:rPr>
      </w:pPr>
    </w:p>
    <w:p w14:paraId="28D76716" w14:textId="77777777" w:rsidR="00A367F2" w:rsidRPr="00A367F2" w:rsidRDefault="00A367F2" w:rsidP="00294D1A">
      <w:pPr>
        <w:spacing w:after="0" w:line="240" w:lineRule="auto"/>
        <w:rPr>
          <w:rFonts w:ascii="Times New Roman" w:hAnsi="Times New Roman" w:cs="Times New Roman"/>
          <w:b/>
          <w:i/>
          <w:sz w:val="24"/>
          <w:szCs w:val="24"/>
        </w:rPr>
      </w:pPr>
      <w:r w:rsidRPr="00A367F2">
        <w:rPr>
          <w:rFonts w:ascii="Times New Roman" w:hAnsi="Times New Roman" w:cs="Times New Roman"/>
          <w:b/>
          <w:i/>
          <w:sz w:val="24"/>
          <w:szCs w:val="24"/>
        </w:rPr>
        <w:t xml:space="preserve">TLED </w:t>
      </w:r>
      <w:r>
        <w:rPr>
          <w:rFonts w:ascii="Times New Roman" w:hAnsi="Times New Roman" w:cs="Times New Roman"/>
          <w:b/>
          <w:i/>
          <w:sz w:val="24"/>
          <w:szCs w:val="24"/>
        </w:rPr>
        <w:t>Incentives</w:t>
      </w:r>
    </w:p>
    <w:p w14:paraId="28D76717" w14:textId="77777777" w:rsidR="00C52EEC" w:rsidRDefault="00C52EEC" w:rsidP="00294D1A">
      <w:pPr>
        <w:spacing w:after="0" w:line="240" w:lineRule="auto"/>
        <w:rPr>
          <w:rFonts w:ascii="Times New Roman" w:hAnsi="Times New Roman" w:cs="Times New Roman"/>
          <w:sz w:val="24"/>
          <w:szCs w:val="24"/>
        </w:rPr>
      </w:pPr>
    </w:p>
    <w:p w14:paraId="28D76718" w14:textId="7BC9449A" w:rsidR="00294D1A" w:rsidRDefault="00294D1A" w:rsidP="00294D1A">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67046F">
        <w:rPr>
          <w:rFonts w:ascii="Times New Roman" w:hAnsi="Times New Roman" w:cs="Times New Roman"/>
          <w:sz w:val="24"/>
          <w:szCs w:val="24"/>
        </w:rPr>
        <w:t xml:space="preserve">n early 2016, Avista </w:t>
      </w:r>
      <w:r>
        <w:rPr>
          <w:rFonts w:ascii="Times New Roman" w:hAnsi="Times New Roman" w:cs="Times New Roman"/>
          <w:sz w:val="24"/>
          <w:szCs w:val="24"/>
        </w:rPr>
        <w:t xml:space="preserve">commercial </w:t>
      </w:r>
      <w:r w:rsidRPr="0067046F">
        <w:rPr>
          <w:rFonts w:ascii="Times New Roman" w:hAnsi="Times New Roman" w:cs="Times New Roman"/>
          <w:sz w:val="24"/>
          <w:szCs w:val="24"/>
        </w:rPr>
        <w:t xml:space="preserve">customers and vendors expressed confusion regarding the </w:t>
      </w:r>
      <w:r>
        <w:rPr>
          <w:rFonts w:ascii="Times New Roman" w:hAnsi="Times New Roman" w:cs="Times New Roman"/>
          <w:sz w:val="24"/>
          <w:szCs w:val="24"/>
        </w:rPr>
        <w:t xml:space="preserve">$15 and $10 </w:t>
      </w:r>
      <w:r w:rsidRPr="0067046F">
        <w:rPr>
          <w:rFonts w:ascii="Times New Roman" w:hAnsi="Times New Roman" w:cs="Times New Roman"/>
          <w:sz w:val="24"/>
          <w:szCs w:val="24"/>
        </w:rPr>
        <w:t>incentive level</w:t>
      </w:r>
      <w:r>
        <w:rPr>
          <w:rFonts w:ascii="Times New Roman" w:hAnsi="Times New Roman" w:cs="Times New Roman"/>
          <w:sz w:val="24"/>
          <w:szCs w:val="24"/>
        </w:rPr>
        <w:t xml:space="preserve">s </w:t>
      </w:r>
      <w:r w:rsidR="009207E2">
        <w:rPr>
          <w:rFonts w:ascii="Times New Roman" w:hAnsi="Times New Roman" w:cs="Times New Roman"/>
          <w:sz w:val="24"/>
          <w:szCs w:val="24"/>
        </w:rPr>
        <w:t xml:space="preserve">for </w:t>
      </w:r>
      <w:r w:rsidR="009207E2" w:rsidRPr="0067046F">
        <w:rPr>
          <w:rFonts w:ascii="Times New Roman" w:hAnsi="Times New Roman" w:cs="Times New Roman"/>
          <w:sz w:val="24"/>
          <w:szCs w:val="24"/>
        </w:rPr>
        <w:t>TLED lamp</w:t>
      </w:r>
      <w:r w:rsidR="009207E2">
        <w:rPr>
          <w:rFonts w:ascii="Times New Roman" w:hAnsi="Times New Roman" w:cs="Times New Roman"/>
          <w:sz w:val="24"/>
          <w:szCs w:val="24"/>
        </w:rPr>
        <w:t>s</w:t>
      </w:r>
      <w:r w:rsidR="009207E2" w:rsidRPr="0067046F">
        <w:rPr>
          <w:rFonts w:ascii="Times New Roman" w:hAnsi="Times New Roman" w:cs="Times New Roman"/>
          <w:sz w:val="24"/>
          <w:szCs w:val="24"/>
        </w:rPr>
        <w:t xml:space="preserve"> </w:t>
      </w:r>
      <w:r>
        <w:rPr>
          <w:rFonts w:ascii="Times New Roman" w:hAnsi="Times New Roman" w:cs="Times New Roman"/>
          <w:sz w:val="24"/>
          <w:szCs w:val="24"/>
        </w:rPr>
        <w:t>because of the</w:t>
      </w:r>
      <w:r w:rsidRPr="0067046F">
        <w:rPr>
          <w:rFonts w:ascii="Times New Roman" w:hAnsi="Times New Roman" w:cs="Times New Roman"/>
          <w:sz w:val="24"/>
          <w:szCs w:val="24"/>
        </w:rPr>
        <w:t xml:space="preserve"> difference between what was printed in the </w:t>
      </w:r>
      <w:r w:rsidR="00885099">
        <w:rPr>
          <w:rFonts w:ascii="Times New Roman" w:hAnsi="Times New Roman" w:cs="Times New Roman"/>
          <w:sz w:val="24"/>
          <w:szCs w:val="24"/>
        </w:rPr>
        <w:t>DLC</w:t>
      </w:r>
      <w:r w:rsidRPr="0067046F">
        <w:rPr>
          <w:rFonts w:ascii="Times New Roman" w:hAnsi="Times New Roman" w:cs="Times New Roman"/>
          <w:sz w:val="24"/>
          <w:szCs w:val="24"/>
        </w:rPr>
        <w:t xml:space="preserve"> “rated data” and what was labele</w:t>
      </w:r>
      <w:r>
        <w:rPr>
          <w:rFonts w:ascii="Times New Roman" w:hAnsi="Times New Roman" w:cs="Times New Roman"/>
          <w:sz w:val="24"/>
          <w:szCs w:val="24"/>
        </w:rPr>
        <w:t xml:space="preserve">d on the lamp and lamp packaging. </w:t>
      </w:r>
      <w:r>
        <w:rPr>
          <w:rFonts w:ascii="Times New Roman" w:hAnsi="Times New Roman" w:cs="Times New Roman"/>
          <w:spacing w:val="-1"/>
          <w:sz w:val="24"/>
          <w:szCs w:val="24"/>
        </w:rPr>
        <w:t>For example, i</w:t>
      </w:r>
      <w:r w:rsidRPr="0067046F">
        <w:rPr>
          <w:rFonts w:ascii="Times New Roman" w:hAnsi="Times New Roman" w:cs="Times New Roman"/>
          <w:sz w:val="24"/>
          <w:szCs w:val="24"/>
        </w:rPr>
        <w:t>n the case of a Philips TLED 15W product, the lamp itself, the packaging, and the online marketing ma</w:t>
      </w:r>
      <w:r>
        <w:rPr>
          <w:rFonts w:ascii="Times New Roman" w:hAnsi="Times New Roman" w:cs="Times New Roman"/>
          <w:sz w:val="24"/>
          <w:szCs w:val="24"/>
        </w:rPr>
        <w:t xml:space="preserve">terials all discuss 15W, but when </w:t>
      </w:r>
      <w:r w:rsidRPr="0067046F">
        <w:rPr>
          <w:rFonts w:ascii="Times New Roman" w:hAnsi="Times New Roman" w:cs="Times New Roman"/>
          <w:sz w:val="24"/>
          <w:szCs w:val="24"/>
        </w:rPr>
        <w:t xml:space="preserve">the DLC measured </w:t>
      </w:r>
      <w:r>
        <w:rPr>
          <w:rFonts w:ascii="Times New Roman" w:hAnsi="Times New Roman" w:cs="Times New Roman"/>
          <w:sz w:val="24"/>
          <w:szCs w:val="24"/>
        </w:rPr>
        <w:t xml:space="preserve">and tested </w:t>
      </w:r>
      <w:r w:rsidRPr="0067046F">
        <w:rPr>
          <w:rFonts w:ascii="Times New Roman" w:hAnsi="Times New Roman" w:cs="Times New Roman"/>
          <w:sz w:val="24"/>
          <w:szCs w:val="24"/>
        </w:rPr>
        <w:t>the actual operation of the lamp with a standard ball</w:t>
      </w:r>
      <w:r>
        <w:rPr>
          <w:rFonts w:ascii="Times New Roman" w:hAnsi="Times New Roman" w:cs="Times New Roman"/>
          <w:sz w:val="24"/>
          <w:szCs w:val="24"/>
        </w:rPr>
        <w:t>ast, the DLC found that it used 17W.</w:t>
      </w:r>
      <w:r w:rsidR="00D06A8B">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14:paraId="31C5C90C" w14:textId="77777777" w:rsidR="00DB7019" w:rsidRDefault="00DB7019" w:rsidP="00DB7019">
      <w:pPr>
        <w:spacing w:after="0" w:line="240" w:lineRule="auto"/>
        <w:jc w:val="center"/>
        <w:rPr>
          <w:rFonts w:ascii="Times New Roman" w:hAnsi="Times New Roman"/>
          <w:b/>
          <w:sz w:val="24"/>
          <w:szCs w:val="24"/>
        </w:rPr>
      </w:pPr>
    </w:p>
    <w:p w14:paraId="0BBEAAE7" w14:textId="77777777" w:rsidR="00DB7019" w:rsidRDefault="00DB7019" w:rsidP="00DB7019">
      <w:pPr>
        <w:spacing w:after="0" w:line="240" w:lineRule="auto"/>
        <w:jc w:val="center"/>
        <w:rPr>
          <w:rFonts w:ascii="Times New Roman" w:hAnsi="Times New Roman"/>
          <w:b/>
          <w:sz w:val="24"/>
          <w:szCs w:val="24"/>
        </w:rPr>
      </w:pPr>
    </w:p>
    <w:p w14:paraId="2CAF15B8" w14:textId="77777777" w:rsidR="00DB7019" w:rsidRDefault="00DB7019" w:rsidP="00DB7019">
      <w:pPr>
        <w:spacing w:after="0" w:line="240" w:lineRule="auto"/>
        <w:jc w:val="center"/>
        <w:rPr>
          <w:rFonts w:ascii="Times New Roman" w:hAnsi="Times New Roman"/>
          <w:b/>
          <w:sz w:val="24"/>
          <w:szCs w:val="24"/>
        </w:rPr>
      </w:pPr>
    </w:p>
    <w:p w14:paraId="53E0F75A" w14:textId="77777777" w:rsidR="00DB7019" w:rsidRDefault="00DB7019" w:rsidP="00DB7019">
      <w:pPr>
        <w:spacing w:after="0" w:line="240" w:lineRule="auto"/>
        <w:jc w:val="center"/>
        <w:rPr>
          <w:rFonts w:ascii="Times New Roman" w:hAnsi="Times New Roman"/>
          <w:b/>
          <w:sz w:val="24"/>
          <w:szCs w:val="24"/>
        </w:rPr>
      </w:pPr>
    </w:p>
    <w:p w14:paraId="787E2AC8" w14:textId="77777777" w:rsidR="00DB7019" w:rsidRDefault="00DB7019" w:rsidP="00DB7019">
      <w:pPr>
        <w:spacing w:after="0" w:line="240" w:lineRule="auto"/>
        <w:jc w:val="center"/>
        <w:rPr>
          <w:rFonts w:ascii="Times New Roman" w:hAnsi="Times New Roman"/>
          <w:b/>
          <w:sz w:val="24"/>
          <w:szCs w:val="24"/>
        </w:rPr>
      </w:pPr>
    </w:p>
    <w:p w14:paraId="1B3C3ADC" w14:textId="77777777" w:rsidR="00DB7019" w:rsidRDefault="00DB7019" w:rsidP="00DB7019">
      <w:pPr>
        <w:spacing w:after="0" w:line="240" w:lineRule="auto"/>
        <w:jc w:val="center"/>
        <w:rPr>
          <w:rFonts w:ascii="Times New Roman" w:hAnsi="Times New Roman"/>
          <w:b/>
          <w:sz w:val="24"/>
          <w:szCs w:val="24"/>
        </w:rPr>
      </w:pPr>
    </w:p>
    <w:p w14:paraId="70AADBAA" w14:textId="77777777" w:rsidR="00DB7019" w:rsidRDefault="00DB7019" w:rsidP="00DB7019">
      <w:pPr>
        <w:spacing w:after="0" w:line="240" w:lineRule="auto"/>
        <w:jc w:val="center"/>
        <w:rPr>
          <w:rFonts w:ascii="Times New Roman" w:hAnsi="Times New Roman"/>
          <w:b/>
          <w:sz w:val="24"/>
          <w:szCs w:val="24"/>
        </w:rPr>
      </w:pPr>
    </w:p>
    <w:p w14:paraId="65BA0F7A" w14:textId="77777777" w:rsidR="00DB7019" w:rsidRDefault="00DB7019" w:rsidP="00DB7019">
      <w:pPr>
        <w:spacing w:after="0" w:line="240" w:lineRule="auto"/>
        <w:jc w:val="center"/>
        <w:rPr>
          <w:rFonts w:ascii="Times New Roman" w:hAnsi="Times New Roman"/>
          <w:b/>
          <w:sz w:val="24"/>
          <w:szCs w:val="24"/>
        </w:rPr>
      </w:pPr>
    </w:p>
    <w:p w14:paraId="2DF0ABF0" w14:textId="77777777" w:rsidR="00DB7019" w:rsidRDefault="00DB7019" w:rsidP="00DB7019">
      <w:pPr>
        <w:spacing w:after="0" w:line="240" w:lineRule="auto"/>
        <w:jc w:val="center"/>
        <w:rPr>
          <w:rFonts w:ascii="Times New Roman" w:hAnsi="Times New Roman"/>
          <w:b/>
          <w:sz w:val="24"/>
          <w:szCs w:val="24"/>
        </w:rPr>
      </w:pPr>
    </w:p>
    <w:p w14:paraId="0500F041" w14:textId="77777777" w:rsidR="00DB7019" w:rsidRDefault="00DB7019" w:rsidP="00DB7019">
      <w:pPr>
        <w:spacing w:after="0" w:line="240" w:lineRule="auto"/>
        <w:jc w:val="center"/>
        <w:rPr>
          <w:rFonts w:ascii="Times New Roman" w:hAnsi="Times New Roman"/>
          <w:b/>
          <w:sz w:val="24"/>
          <w:szCs w:val="24"/>
        </w:rPr>
      </w:pPr>
    </w:p>
    <w:p w14:paraId="28D7671D" w14:textId="77777777" w:rsidR="007B73E3" w:rsidRPr="0067046F" w:rsidRDefault="007B73E3" w:rsidP="00DB7019">
      <w:pPr>
        <w:spacing w:after="0" w:line="240" w:lineRule="auto"/>
        <w:jc w:val="center"/>
        <w:rPr>
          <w:rFonts w:ascii="Times New Roman" w:hAnsi="Times New Roman"/>
          <w:b/>
          <w:sz w:val="24"/>
          <w:szCs w:val="24"/>
        </w:rPr>
      </w:pPr>
      <w:r w:rsidRPr="0067046F">
        <w:rPr>
          <w:rFonts w:ascii="Times New Roman" w:hAnsi="Times New Roman"/>
          <w:b/>
          <w:sz w:val="24"/>
          <w:szCs w:val="24"/>
        </w:rPr>
        <w:lastRenderedPageBreak/>
        <w:t>Table 1:  2016 TLEDs Annual Savings and Incentive Levels</w:t>
      </w:r>
    </w:p>
    <w:p w14:paraId="28D7671E" w14:textId="77777777" w:rsidR="007B73E3" w:rsidRPr="0067046F" w:rsidRDefault="007B73E3" w:rsidP="007B73E3">
      <w:pPr>
        <w:spacing w:after="0" w:line="240" w:lineRule="auto"/>
        <w:rPr>
          <w:rFonts w:ascii="Times New Roman" w:hAnsi="Times New Roman"/>
          <w:sz w:val="20"/>
          <w:szCs w:val="20"/>
        </w:rPr>
      </w:pPr>
    </w:p>
    <w:tbl>
      <w:tblPr>
        <w:tblStyle w:val="TableGrid"/>
        <w:tblW w:w="9355" w:type="dxa"/>
        <w:tblLayout w:type="fixed"/>
        <w:tblLook w:val="04A0" w:firstRow="1" w:lastRow="0" w:firstColumn="1" w:lastColumn="0" w:noHBand="0" w:noVBand="1"/>
      </w:tblPr>
      <w:tblGrid>
        <w:gridCol w:w="5125"/>
        <w:gridCol w:w="990"/>
        <w:gridCol w:w="1170"/>
        <w:gridCol w:w="1080"/>
        <w:gridCol w:w="990"/>
      </w:tblGrid>
      <w:tr w:rsidR="007B73E3" w:rsidRPr="0067046F" w14:paraId="28D76727" w14:textId="77777777" w:rsidTr="00DB7019">
        <w:tc>
          <w:tcPr>
            <w:tcW w:w="5125" w:type="dxa"/>
          </w:tcPr>
          <w:p w14:paraId="28D7671F" w14:textId="77777777" w:rsidR="007B73E3" w:rsidRPr="0067046F" w:rsidRDefault="007B73E3" w:rsidP="00ED3066">
            <w:pPr>
              <w:rPr>
                <w:rFonts w:ascii="Times New Roman" w:hAnsi="Times New Roman"/>
                <w:b/>
              </w:rPr>
            </w:pPr>
          </w:p>
          <w:p w14:paraId="28D76720" w14:textId="77777777" w:rsidR="007B73E3" w:rsidRPr="0067046F" w:rsidRDefault="007B73E3" w:rsidP="00CA16B9">
            <w:pPr>
              <w:rPr>
                <w:rFonts w:ascii="Times New Roman" w:hAnsi="Times New Roman"/>
                <w:b/>
              </w:rPr>
            </w:pPr>
            <w:r w:rsidRPr="0067046F">
              <w:rPr>
                <w:rFonts w:ascii="Times New Roman" w:hAnsi="Times New Roman"/>
                <w:b/>
              </w:rPr>
              <w:t xml:space="preserve">2016 TLED Interior Lighting </w:t>
            </w:r>
            <w:r w:rsidR="00CA16B9">
              <w:rPr>
                <w:rFonts w:ascii="Times New Roman" w:hAnsi="Times New Roman"/>
                <w:b/>
              </w:rPr>
              <w:t>(Replacement–4 foot)</w:t>
            </w:r>
          </w:p>
        </w:tc>
        <w:tc>
          <w:tcPr>
            <w:tcW w:w="990" w:type="dxa"/>
          </w:tcPr>
          <w:p w14:paraId="28D76721" w14:textId="77777777" w:rsidR="007B73E3" w:rsidRPr="0067046F" w:rsidRDefault="007B73E3" w:rsidP="005E5D8C">
            <w:pPr>
              <w:jc w:val="center"/>
              <w:rPr>
                <w:rFonts w:ascii="Times New Roman" w:hAnsi="Times New Roman"/>
              </w:rPr>
            </w:pPr>
            <w:r w:rsidRPr="0067046F">
              <w:rPr>
                <w:rFonts w:ascii="Times New Roman" w:hAnsi="Times New Roman"/>
              </w:rPr>
              <w:t>Annual Hours (hr)</w:t>
            </w:r>
          </w:p>
        </w:tc>
        <w:tc>
          <w:tcPr>
            <w:tcW w:w="1170" w:type="dxa"/>
          </w:tcPr>
          <w:p w14:paraId="28D76722" w14:textId="0A8E2F04" w:rsidR="007B73E3" w:rsidRPr="0067046F" w:rsidRDefault="007B73E3" w:rsidP="00DB7019">
            <w:pPr>
              <w:jc w:val="center"/>
              <w:rPr>
                <w:rFonts w:ascii="Times New Roman" w:hAnsi="Times New Roman"/>
              </w:rPr>
            </w:pPr>
            <w:r w:rsidRPr="0067046F">
              <w:rPr>
                <w:rFonts w:ascii="Times New Roman" w:hAnsi="Times New Roman"/>
              </w:rPr>
              <w:t>Annual Savings (kWh)</w:t>
            </w:r>
            <w:r w:rsidRPr="0067046F">
              <w:rPr>
                <w:rFonts w:ascii="Times New Roman" w:hAnsi="Times New Roman" w:cs="Times New Roman"/>
                <w:sz w:val="24"/>
                <w:szCs w:val="24"/>
                <w:vertAlign w:val="superscript"/>
              </w:rPr>
              <w:t xml:space="preserve"> </w:t>
            </w:r>
            <w:r w:rsidR="00DB7019" w:rsidRPr="0067046F">
              <w:rPr>
                <w:rFonts w:ascii="Times New Roman" w:hAnsi="Times New Roman" w:cs="Times New Roman"/>
                <w:sz w:val="24"/>
                <w:szCs w:val="24"/>
                <w:vertAlign w:val="superscript"/>
              </w:rPr>
              <w:footnoteReference w:id="10"/>
            </w:r>
          </w:p>
        </w:tc>
        <w:tc>
          <w:tcPr>
            <w:tcW w:w="1080" w:type="dxa"/>
          </w:tcPr>
          <w:p w14:paraId="7289CB9D" w14:textId="77777777" w:rsidR="005E5D8C" w:rsidRDefault="005E5D8C" w:rsidP="005E5D8C">
            <w:pPr>
              <w:jc w:val="center"/>
              <w:rPr>
                <w:rFonts w:ascii="Times New Roman" w:hAnsi="Times New Roman"/>
              </w:rPr>
            </w:pPr>
          </w:p>
          <w:p w14:paraId="28D76723" w14:textId="77777777" w:rsidR="007B73E3" w:rsidRPr="0067046F" w:rsidRDefault="007B73E3" w:rsidP="005E5D8C">
            <w:pPr>
              <w:jc w:val="center"/>
              <w:rPr>
                <w:rFonts w:ascii="Times New Roman" w:hAnsi="Times New Roman"/>
              </w:rPr>
            </w:pPr>
            <w:r w:rsidRPr="0067046F">
              <w:rPr>
                <w:rFonts w:ascii="Times New Roman" w:hAnsi="Times New Roman"/>
              </w:rPr>
              <w:t>Incentive</w:t>
            </w:r>
          </w:p>
          <w:p w14:paraId="28D76725" w14:textId="77777777" w:rsidR="007B73E3" w:rsidRPr="0067046F" w:rsidRDefault="007B73E3" w:rsidP="005E5D8C">
            <w:pPr>
              <w:jc w:val="center"/>
              <w:rPr>
                <w:rFonts w:ascii="Times New Roman" w:hAnsi="Times New Roman"/>
              </w:rPr>
            </w:pPr>
            <w:r w:rsidRPr="0067046F">
              <w:rPr>
                <w:rFonts w:ascii="Times New Roman" w:hAnsi="Times New Roman"/>
              </w:rPr>
              <w:t>($)</w:t>
            </w:r>
          </w:p>
        </w:tc>
        <w:tc>
          <w:tcPr>
            <w:tcW w:w="990" w:type="dxa"/>
          </w:tcPr>
          <w:p w14:paraId="28D76726" w14:textId="77777777" w:rsidR="007B73E3" w:rsidRPr="0067046F" w:rsidRDefault="007B73E3" w:rsidP="00ED3066">
            <w:pPr>
              <w:jc w:val="center"/>
              <w:rPr>
                <w:rFonts w:ascii="Times New Roman" w:hAnsi="Times New Roman"/>
              </w:rPr>
            </w:pPr>
            <w:r w:rsidRPr="0067046F">
              <w:rPr>
                <w:rFonts w:ascii="Times New Roman" w:hAnsi="Times New Roman"/>
              </w:rPr>
              <w:t>Quantity of lamps (q)</w:t>
            </w:r>
          </w:p>
        </w:tc>
      </w:tr>
      <w:tr w:rsidR="007B73E3" w:rsidRPr="0067046F" w14:paraId="28D7672D" w14:textId="77777777" w:rsidTr="00DB7019">
        <w:tc>
          <w:tcPr>
            <w:tcW w:w="512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8D76728" w14:textId="77777777" w:rsidR="007B73E3" w:rsidRPr="0067046F" w:rsidRDefault="007B73E3" w:rsidP="00ED3066">
            <w:pPr>
              <w:rPr>
                <w:rFonts w:ascii="Times New Roman" w:hAnsi="Times New Roman"/>
              </w:rPr>
            </w:pPr>
            <w:r w:rsidRPr="0067046F">
              <w:rPr>
                <w:rFonts w:ascii="Times New Roman" w:eastAsia="Times New Roman" w:hAnsi="Times New Roman" w:cs="Times New Roman"/>
              </w:rPr>
              <w:t>1-Lamp T12/T8 Fixture to 1-Lamp LED 8 W to 15 W</w:t>
            </w:r>
          </w:p>
        </w:tc>
        <w:tc>
          <w:tcPr>
            <w:tcW w:w="990" w:type="dxa"/>
            <w:tcBorders>
              <w:top w:val="nil"/>
              <w:left w:val="nil"/>
              <w:bottom w:val="single" w:sz="4" w:space="0" w:color="auto"/>
              <w:right w:val="single" w:sz="4" w:space="0" w:color="auto"/>
            </w:tcBorders>
            <w:shd w:val="clear" w:color="auto" w:fill="F2F2F2" w:themeFill="background1" w:themeFillShade="F2"/>
            <w:vAlign w:val="bottom"/>
          </w:tcPr>
          <w:p w14:paraId="28D76729" w14:textId="2B553E99" w:rsidR="007B73E3" w:rsidRPr="0067046F" w:rsidRDefault="007B73E3" w:rsidP="005E5D8C">
            <w:pPr>
              <w:jc w:val="center"/>
              <w:rPr>
                <w:rFonts w:ascii="Times New Roman" w:hAnsi="Times New Roman"/>
              </w:rPr>
            </w:pPr>
            <w:r w:rsidRPr="0067046F">
              <w:rPr>
                <w:rFonts w:ascii="Times New Roman" w:eastAsia="Times New Roman" w:hAnsi="Times New Roman" w:cs="Times New Roman"/>
              </w:rPr>
              <w:t>3,700</w:t>
            </w:r>
          </w:p>
        </w:tc>
        <w:tc>
          <w:tcPr>
            <w:tcW w:w="1170" w:type="dxa"/>
            <w:tcBorders>
              <w:top w:val="nil"/>
              <w:left w:val="nil"/>
              <w:bottom w:val="single" w:sz="4" w:space="0" w:color="auto"/>
              <w:right w:val="single" w:sz="4" w:space="0" w:color="auto"/>
            </w:tcBorders>
            <w:shd w:val="clear" w:color="auto" w:fill="F2F2F2" w:themeFill="background1" w:themeFillShade="F2"/>
            <w:vAlign w:val="bottom"/>
          </w:tcPr>
          <w:p w14:paraId="28D7672A" w14:textId="77777777" w:rsidR="007B73E3" w:rsidRPr="0067046F" w:rsidRDefault="007B73E3" w:rsidP="005E5D8C">
            <w:pPr>
              <w:jc w:val="center"/>
              <w:rPr>
                <w:rFonts w:ascii="Times New Roman" w:hAnsi="Times New Roman"/>
              </w:rPr>
            </w:pPr>
            <w:r w:rsidRPr="0067046F">
              <w:rPr>
                <w:rFonts w:ascii="Times New Roman" w:eastAsia="Times New Roman" w:hAnsi="Times New Roman" w:cs="Times New Roman"/>
              </w:rPr>
              <w:t>62.9</w:t>
            </w:r>
          </w:p>
        </w:tc>
        <w:tc>
          <w:tcPr>
            <w:tcW w:w="1080" w:type="dxa"/>
            <w:tcBorders>
              <w:top w:val="nil"/>
              <w:left w:val="nil"/>
              <w:bottom w:val="single" w:sz="4" w:space="0" w:color="auto"/>
              <w:right w:val="single" w:sz="4" w:space="0" w:color="auto"/>
            </w:tcBorders>
            <w:shd w:val="clear" w:color="auto" w:fill="F2F2F2" w:themeFill="background1" w:themeFillShade="F2"/>
          </w:tcPr>
          <w:p w14:paraId="28D7672B" w14:textId="77777777" w:rsidR="007B73E3" w:rsidRPr="0067046F" w:rsidRDefault="007B73E3" w:rsidP="005E5D8C">
            <w:pPr>
              <w:jc w:val="center"/>
              <w:rPr>
                <w:rFonts w:ascii="Times New Roman" w:hAnsi="Times New Roman"/>
              </w:rPr>
            </w:pPr>
            <w:r w:rsidRPr="0067046F">
              <w:rPr>
                <w:rFonts w:ascii="Times New Roman" w:eastAsia="Times New Roman" w:hAnsi="Times New Roman" w:cs="Times New Roman"/>
              </w:rPr>
              <w:t>$15</w:t>
            </w:r>
          </w:p>
        </w:tc>
        <w:tc>
          <w:tcPr>
            <w:tcW w:w="990" w:type="dxa"/>
            <w:tcBorders>
              <w:top w:val="nil"/>
              <w:left w:val="nil"/>
              <w:bottom w:val="single" w:sz="4" w:space="0" w:color="auto"/>
              <w:right w:val="single" w:sz="4" w:space="0" w:color="auto"/>
            </w:tcBorders>
            <w:shd w:val="clear" w:color="auto" w:fill="F2F2F2" w:themeFill="background1" w:themeFillShade="F2"/>
          </w:tcPr>
          <w:p w14:paraId="28D7672C" w14:textId="77777777" w:rsidR="007B73E3" w:rsidRPr="006B7A59" w:rsidRDefault="006B7A59" w:rsidP="00ED3066">
            <w:pPr>
              <w:jc w:val="center"/>
              <w:rPr>
                <w:rFonts w:ascii="Times New Roman" w:eastAsia="Times New Roman" w:hAnsi="Times New Roman" w:cs="Times New Roman"/>
              </w:rPr>
            </w:pP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11"/>
            </w:r>
          </w:p>
        </w:tc>
      </w:tr>
      <w:tr w:rsidR="007B73E3" w:rsidRPr="0067046F" w14:paraId="28D76733" w14:textId="77777777" w:rsidTr="00DB7019">
        <w:tc>
          <w:tcPr>
            <w:tcW w:w="5125" w:type="dxa"/>
            <w:tcBorders>
              <w:top w:val="nil"/>
              <w:left w:val="single" w:sz="4" w:space="0" w:color="auto"/>
              <w:bottom w:val="single" w:sz="4" w:space="0" w:color="auto"/>
              <w:right w:val="single" w:sz="4" w:space="0" w:color="auto"/>
            </w:tcBorders>
            <w:vAlign w:val="bottom"/>
          </w:tcPr>
          <w:p w14:paraId="28D7672E" w14:textId="77777777" w:rsidR="007B73E3" w:rsidRPr="0067046F" w:rsidRDefault="007B73E3" w:rsidP="00ED3066">
            <w:pPr>
              <w:rPr>
                <w:rFonts w:ascii="Times New Roman" w:hAnsi="Times New Roman"/>
              </w:rPr>
            </w:pPr>
            <w:r w:rsidRPr="0067046F">
              <w:rPr>
                <w:rFonts w:ascii="Times New Roman" w:eastAsia="Times New Roman" w:hAnsi="Times New Roman" w:cs="Times New Roman"/>
              </w:rPr>
              <w:t>1-Lamp T12/T8 Fixture to 1-Lamp LED 16 W to 23 W</w:t>
            </w:r>
          </w:p>
        </w:tc>
        <w:tc>
          <w:tcPr>
            <w:tcW w:w="990" w:type="dxa"/>
            <w:tcBorders>
              <w:top w:val="nil"/>
              <w:left w:val="nil"/>
              <w:bottom w:val="single" w:sz="4" w:space="0" w:color="auto"/>
              <w:right w:val="single" w:sz="4" w:space="0" w:color="auto"/>
            </w:tcBorders>
            <w:vAlign w:val="bottom"/>
          </w:tcPr>
          <w:p w14:paraId="28D7672F" w14:textId="004F311A" w:rsidR="007B73E3" w:rsidRPr="0067046F" w:rsidRDefault="007B73E3" w:rsidP="005E5D8C">
            <w:pPr>
              <w:jc w:val="center"/>
              <w:rPr>
                <w:rFonts w:ascii="Times New Roman" w:hAnsi="Times New Roman"/>
              </w:rPr>
            </w:pPr>
            <w:r w:rsidRPr="0067046F">
              <w:rPr>
                <w:rFonts w:ascii="Times New Roman" w:eastAsia="Times New Roman" w:hAnsi="Times New Roman" w:cs="Times New Roman"/>
              </w:rPr>
              <w:t>3,700</w:t>
            </w:r>
          </w:p>
        </w:tc>
        <w:tc>
          <w:tcPr>
            <w:tcW w:w="1170" w:type="dxa"/>
            <w:tcBorders>
              <w:top w:val="nil"/>
              <w:left w:val="nil"/>
              <w:bottom w:val="single" w:sz="4" w:space="0" w:color="auto"/>
              <w:right w:val="single" w:sz="4" w:space="0" w:color="auto"/>
            </w:tcBorders>
            <w:vAlign w:val="bottom"/>
          </w:tcPr>
          <w:p w14:paraId="28D76730" w14:textId="77777777" w:rsidR="007B73E3" w:rsidRPr="0067046F" w:rsidRDefault="007B73E3" w:rsidP="005E5D8C">
            <w:pPr>
              <w:jc w:val="center"/>
              <w:rPr>
                <w:rFonts w:ascii="Times New Roman" w:hAnsi="Times New Roman"/>
              </w:rPr>
            </w:pPr>
            <w:r w:rsidRPr="0067046F">
              <w:rPr>
                <w:rFonts w:ascii="Times New Roman" w:eastAsia="Times New Roman" w:hAnsi="Times New Roman" w:cs="Times New Roman"/>
              </w:rPr>
              <w:t>40.7</w:t>
            </w:r>
          </w:p>
        </w:tc>
        <w:tc>
          <w:tcPr>
            <w:tcW w:w="1080" w:type="dxa"/>
            <w:tcBorders>
              <w:top w:val="nil"/>
              <w:left w:val="nil"/>
              <w:bottom w:val="single" w:sz="4" w:space="0" w:color="auto"/>
              <w:right w:val="single" w:sz="4" w:space="0" w:color="auto"/>
            </w:tcBorders>
          </w:tcPr>
          <w:p w14:paraId="28D76731" w14:textId="77777777" w:rsidR="007B73E3" w:rsidRPr="0067046F" w:rsidRDefault="007B73E3" w:rsidP="005E5D8C">
            <w:pPr>
              <w:jc w:val="center"/>
              <w:rPr>
                <w:rFonts w:ascii="Times New Roman" w:hAnsi="Times New Roman"/>
              </w:rPr>
            </w:pPr>
            <w:r w:rsidRPr="0067046F">
              <w:rPr>
                <w:rFonts w:ascii="Times New Roman" w:eastAsia="Times New Roman" w:hAnsi="Times New Roman" w:cs="Times New Roman"/>
              </w:rPr>
              <w:t>$10</w:t>
            </w:r>
          </w:p>
        </w:tc>
        <w:tc>
          <w:tcPr>
            <w:tcW w:w="990" w:type="dxa"/>
            <w:tcBorders>
              <w:top w:val="nil"/>
              <w:left w:val="nil"/>
              <w:bottom w:val="single" w:sz="4" w:space="0" w:color="auto"/>
              <w:right w:val="single" w:sz="4" w:space="0" w:color="auto"/>
            </w:tcBorders>
          </w:tcPr>
          <w:p w14:paraId="28D76732" w14:textId="1F674E95" w:rsidR="007B73E3" w:rsidRPr="006B7A59" w:rsidRDefault="006B7A59" w:rsidP="0077521E">
            <w:pPr>
              <w:ind w:left="-108"/>
              <w:jc w:val="center"/>
              <w:rPr>
                <w:rFonts w:ascii="Times New Roman" w:eastAsia="Times New Roman" w:hAnsi="Times New Roman" w:cs="Times New Roman"/>
              </w:rPr>
            </w:pPr>
            <w:r>
              <w:rPr>
                <w:rFonts w:ascii="Times New Roman" w:eastAsia="Times New Roman" w:hAnsi="Times New Roman" w:cs="Times New Roman"/>
              </w:rPr>
              <w:t>*</w:t>
            </w:r>
            <w:r w:rsidR="0077521E">
              <w:rPr>
                <w:rFonts w:ascii="Times New Roman" w:eastAsia="Times New Roman" w:hAnsi="Times New Roman" w:cs="Times New Roman"/>
              </w:rPr>
              <w:t xml:space="preserve"> </w:t>
            </w:r>
          </w:p>
        </w:tc>
      </w:tr>
    </w:tbl>
    <w:p w14:paraId="28D76734" w14:textId="77777777" w:rsidR="00ED3066" w:rsidRDefault="00ED3066" w:rsidP="00C43F8D">
      <w:pPr>
        <w:spacing w:after="0" w:line="240" w:lineRule="auto"/>
        <w:rPr>
          <w:rFonts w:ascii="Times New Roman" w:hAnsi="Times New Roman" w:cs="Times New Roman"/>
          <w:sz w:val="24"/>
          <w:szCs w:val="24"/>
        </w:rPr>
      </w:pPr>
    </w:p>
    <w:p w14:paraId="246240F1" w14:textId="44D5F6A3" w:rsidR="00F21AD4" w:rsidRPr="002A0C04" w:rsidRDefault="00F21AD4" w:rsidP="00C43F8D">
      <w:pPr>
        <w:spacing w:after="0" w:line="240" w:lineRule="auto"/>
        <w:rPr>
          <w:rFonts w:ascii="Times New Roman" w:hAnsi="Times New Roman" w:cs="Times New Roman"/>
          <w:sz w:val="24"/>
          <w:szCs w:val="24"/>
        </w:rPr>
      </w:pPr>
      <w:r w:rsidRPr="00F21AD4">
        <w:rPr>
          <w:rFonts w:ascii="Times New Roman" w:hAnsi="Times New Roman" w:cs="Times New Roman"/>
          <w:sz w:val="24"/>
          <w:szCs w:val="24"/>
        </w:rPr>
        <w:t>As shown in Table 1, when designing this lighting program, Avista divided TLEDs into two categories of incentive</w:t>
      </w:r>
      <w:r>
        <w:rPr>
          <w:rFonts w:ascii="Times New Roman" w:hAnsi="Times New Roman" w:cs="Times New Roman"/>
          <w:sz w:val="24"/>
          <w:szCs w:val="24"/>
        </w:rPr>
        <w:t>s</w:t>
      </w:r>
      <w:r w:rsidRPr="00F21AD4">
        <w:rPr>
          <w:rFonts w:ascii="Times New Roman" w:hAnsi="Times New Roman" w:cs="Times New Roman"/>
          <w:sz w:val="24"/>
          <w:szCs w:val="24"/>
        </w:rPr>
        <w:t xml:space="preserve"> based on the estimated savings values from the DLC. These kWh savings estimates include an adjustment for the proportion of customers who changed from T12 to T8 technology and chose to leave all of the lamps in their fixtures in place and those customers who reduce the number of lamps. </w:t>
      </w:r>
      <w:r w:rsidR="005771A9" w:rsidRPr="005771A9">
        <w:rPr>
          <w:rFonts w:ascii="Times New Roman" w:hAnsi="Times New Roman" w:cs="Times New Roman"/>
          <w:sz w:val="24"/>
          <w:szCs w:val="24"/>
        </w:rPr>
        <w:t xml:space="preserve">Typically, higher wattage lamps are brighter, and customers are thus more likely to reduce the number of lamps per fixture. Lower wattage lamps achieve higher savings, but are more likely to be fully replaced. </w:t>
      </w:r>
      <w:r w:rsidRPr="00F21AD4">
        <w:rPr>
          <w:rFonts w:ascii="Times New Roman" w:hAnsi="Times New Roman" w:cs="Times New Roman"/>
          <w:sz w:val="24"/>
          <w:szCs w:val="24"/>
        </w:rPr>
        <w:t>Avista split the wattage and incentive levels at 15W to reflect these differences.</w:t>
      </w:r>
    </w:p>
    <w:p w14:paraId="28D76736" w14:textId="77777777" w:rsidR="00C52EEC" w:rsidRDefault="00C52EEC" w:rsidP="00C43F8D">
      <w:pPr>
        <w:spacing w:after="0" w:line="240" w:lineRule="auto"/>
        <w:rPr>
          <w:rFonts w:ascii="Times New Roman" w:hAnsi="Times New Roman" w:cs="Times New Roman"/>
          <w:spacing w:val="-1"/>
          <w:sz w:val="24"/>
          <w:szCs w:val="24"/>
        </w:rPr>
      </w:pPr>
    </w:p>
    <w:p w14:paraId="28D76737" w14:textId="4C6B8878" w:rsidR="005325E0" w:rsidRPr="00814963" w:rsidRDefault="00BC30EB" w:rsidP="005325E0">
      <w:pPr>
        <w:spacing w:after="0" w:line="240" w:lineRule="auto"/>
        <w:rPr>
          <w:rFonts w:ascii="Times New Roman" w:hAnsi="Times New Roman" w:cs="Times New Roman"/>
          <w:sz w:val="24"/>
          <w:szCs w:val="24"/>
        </w:rPr>
      </w:pPr>
      <w:r>
        <w:rPr>
          <w:rFonts w:ascii="Times New Roman" w:hAnsi="Times New Roman" w:cs="Times New Roman"/>
          <w:sz w:val="24"/>
          <w:szCs w:val="24"/>
        </w:rPr>
        <w:t>In addition to the confusion around the DLC “rated data”</w:t>
      </w:r>
      <w:r w:rsidR="00EC6FA3">
        <w:rPr>
          <w:rFonts w:ascii="Times New Roman" w:hAnsi="Times New Roman" w:cs="Times New Roman"/>
          <w:sz w:val="24"/>
          <w:szCs w:val="24"/>
        </w:rPr>
        <w:t xml:space="preserve"> and the incentive payment split</w:t>
      </w:r>
      <w:r>
        <w:rPr>
          <w:rFonts w:ascii="Times New Roman" w:hAnsi="Times New Roman" w:cs="Times New Roman"/>
          <w:sz w:val="24"/>
          <w:szCs w:val="24"/>
        </w:rPr>
        <w:t xml:space="preserve">, </w:t>
      </w:r>
      <w:r w:rsidR="005325E0" w:rsidRPr="00517A94">
        <w:rPr>
          <w:rFonts w:ascii="Times New Roman" w:hAnsi="Times New Roman" w:cs="Times New Roman"/>
          <w:sz w:val="24"/>
          <w:szCs w:val="24"/>
        </w:rPr>
        <w:t xml:space="preserve">Avista’s third party evaluator, Nexant, </w:t>
      </w:r>
      <w:r w:rsidR="002A0C04" w:rsidRPr="00517A94">
        <w:rPr>
          <w:rFonts w:ascii="Times New Roman" w:hAnsi="Times New Roman" w:cs="Times New Roman"/>
          <w:spacing w:val="-1"/>
          <w:sz w:val="24"/>
          <w:szCs w:val="24"/>
        </w:rPr>
        <w:t>calculated</w:t>
      </w:r>
      <w:r w:rsidR="002A0C04" w:rsidRPr="00517A94">
        <w:rPr>
          <w:rFonts w:ascii="Times New Roman" w:hAnsi="Times New Roman" w:cs="Times New Roman"/>
          <w:spacing w:val="-2"/>
          <w:sz w:val="24"/>
          <w:szCs w:val="24"/>
        </w:rPr>
        <w:t xml:space="preserve"> </w:t>
      </w:r>
      <w:r w:rsidR="002A0C04" w:rsidRPr="00517A94">
        <w:rPr>
          <w:rFonts w:ascii="Times New Roman" w:hAnsi="Times New Roman" w:cs="Times New Roman"/>
          <w:spacing w:val="-1"/>
          <w:sz w:val="24"/>
          <w:szCs w:val="24"/>
        </w:rPr>
        <w:t>an</w:t>
      </w:r>
      <w:r w:rsidR="002A0C04" w:rsidRPr="00517A94">
        <w:rPr>
          <w:rFonts w:ascii="Times New Roman" w:hAnsi="Times New Roman" w:cs="Times New Roman"/>
          <w:sz w:val="24"/>
          <w:szCs w:val="24"/>
        </w:rPr>
        <w:t xml:space="preserve"> </w:t>
      </w:r>
      <w:r w:rsidR="002A0C04" w:rsidRPr="00517A94">
        <w:rPr>
          <w:rFonts w:ascii="Times New Roman" w:hAnsi="Times New Roman" w:cs="Times New Roman"/>
          <w:spacing w:val="-1"/>
          <w:sz w:val="24"/>
          <w:szCs w:val="24"/>
        </w:rPr>
        <w:t>interim</w:t>
      </w:r>
      <w:r w:rsidR="002A0C04">
        <w:rPr>
          <w:rFonts w:ascii="Times New Roman" w:hAnsi="Times New Roman" w:cs="Times New Roman"/>
          <w:spacing w:val="-1"/>
          <w:sz w:val="24"/>
          <w:szCs w:val="24"/>
        </w:rPr>
        <w:t xml:space="preserve"> </w:t>
      </w:r>
      <w:r w:rsidR="002A0C04" w:rsidRPr="00517A94">
        <w:rPr>
          <w:rFonts w:ascii="Times New Roman" w:hAnsi="Times New Roman" w:cs="Times New Roman"/>
          <w:spacing w:val="-1"/>
          <w:sz w:val="24"/>
          <w:szCs w:val="24"/>
        </w:rPr>
        <w:t>realization</w:t>
      </w:r>
      <w:r w:rsidR="002A0C04" w:rsidRPr="00517A94">
        <w:rPr>
          <w:rFonts w:ascii="Times New Roman" w:hAnsi="Times New Roman" w:cs="Times New Roman"/>
          <w:sz w:val="24"/>
          <w:szCs w:val="24"/>
        </w:rPr>
        <w:t xml:space="preserve"> rate </w:t>
      </w:r>
      <w:r w:rsidR="002A0C04" w:rsidRPr="00517A94">
        <w:rPr>
          <w:rFonts w:ascii="Times New Roman" w:hAnsi="Times New Roman" w:cs="Times New Roman"/>
          <w:spacing w:val="-2"/>
          <w:sz w:val="24"/>
          <w:szCs w:val="24"/>
        </w:rPr>
        <w:t>of</w:t>
      </w:r>
      <w:r w:rsidR="002A0C04" w:rsidRPr="00517A94">
        <w:rPr>
          <w:rFonts w:ascii="Times New Roman" w:hAnsi="Times New Roman" w:cs="Times New Roman"/>
          <w:spacing w:val="2"/>
          <w:sz w:val="24"/>
          <w:szCs w:val="24"/>
        </w:rPr>
        <w:t xml:space="preserve"> </w:t>
      </w:r>
      <w:r w:rsidR="002A0C04" w:rsidRPr="00517A94">
        <w:rPr>
          <w:rFonts w:ascii="Times New Roman" w:hAnsi="Times New Roman" w:cs="Times New Roman"/>
          <w:spacing w:val="-2"/>
          <w:sz w:val="24"/>
          <w:szCs w:val="24"/>
        </w:rPr>
        <w:t>71 percent</w:t>
      </w:r>
      <w:r w:rsidR="002A0C04" w:rsidRPr="00517A94">
        <w:rPr>
          <w:rFonts w:ascii="Times New Roman" w:hAnsi="Times New Roman" w:cs="Times New Roman"/>
          <w:spacing w:val="-1"/>
          <w:sz w:val="24"/>
          <w:szCs w:val="24"/>
        </w:rPr>
        <w:t xml:space="preserve"> for </w:t>
      </w:r>
      <w:r w:rsidR="002A0C04" w:rsidRPr="00517A94">
        <w:rPr>
          <w:rFonts w:ascii="Times New Roman" w:hAnsi="Times New Roman" w:cs="Times New Roman"/>
          <w:sz w:val="24"/>
          <w:szCs w:val="24"/>
        </w:rPr>
        <w:t xml:space="preserve">Avista’s </w:t>
      </w:r>
      <w:r w:rsidR="002A0C04" w:rsidRPr="00517A94">
        <w:rPr>
          <w:rFonts w:ascii="Times New Roman" w:hAnsi="Times New Roman" w:cs="Times New Roman"/>
          <w:spacing w:val="-1"/>
          <w:sz w:val="24"/>
          <w:szCs w:val="24"/>
        </w:rPr>
        <w:t>prescriptive</w:t>
      </w:r>
      <w:r w:rsidR="002A0C04" w:rsidRPr="00517A94">
        <w:rPr>
          <w:rFonts w:ascii="Times New Roman" w:hAnsi="Times New Roman" w:cs="Times New Roman"/>
          <w:sz w:val="24"/>
          <w:szCs w:val="24"/>
        </w:rPr>
        <w:t xml:space="preserve"> </w:t>
      </w:r>
      <w:r w:rsidR="002A0C04" w:rsidRPr="00517A94">
        <w:rPr>
          <w:rFonts w:ascii="Times New Roman" w:hAnsi="Times New Roman" w:cs="Times New Roman"/>
          <w:spacing w:val="-1"/>
          <w:sz w:val="24"/>
          <w:szCs w:val="24"/>
        </w:rPr>
        <w:t>lighting</w:t>
      </w:r>
      <w:r w:rsidR="002A0C04" w:rsidRPr="00517A94">
        <w:rPr>
          <w:rFonts w:ascii="Times New Roman" w:hAnsi="Times New Roman" w:cs="Times New Roman"/>
          <w:spacing w:val="-2"/>
          <w:sz w:val="24"/>
          <w:szCs w:val="24"/>
        </w:rPr>
        <w:t xml:space="preserve"> </w:t>
      </w:r>
      <w:r w:rsidR="00894FFB">
        <w:rPr>
          <w:rFonts w:ascii="Times New Roman" w:hAnsi="Times New Roman" w:cs="Times New Roman"/>
          <w:spacing w:val="-1"/>
          <w:sz w:val="24"/>
          <w:szCs w:val="24"/>
        </w:rPr>
        <w:t xml:space="preserve">measures. This </w:t>
      </w:r>
      <w:r w:rsidR="002A0C04" w:rsidRPr="00517A94">
        <w:rPr>
          <w:rFonts w:ascii="Times New Roman" w:hAnsi="Times New Roman" w:cs="Times New Roman"/>
          <w:spacing w:val="-1"/>
          <w:sz w:val="24"/>
          <w:szCs w:val="24"/>
        </w:rPr>
        <w:t>result</w:t>
      </w:r>
      <w:r w:rsidR="00894FFB">
        <w:rPr>
          <w:rFonts w:ascii="Times New Roman" w:hAnsi="Times New Roman" w:cs="Times New Roman"/>
          <w:spacing w:val="-1"/>
          <w:sz w:val="24"/>
          <w:szCs w:val="24"/>
        </w:rPr>
        <w:t>ed</w:t>
      </w:r>
      <w:r w:rsidR="002A0C04" w:rsidRPr="00517A94">
        <w:rPr>
          <w:rFonts w:ascii="Times New Roman" w:hAnsi="Times New Roman" w:cs="Times New Roman"/>
          <w:spacing w:val="-1"/>
          <w:sz w:val="24"/>
          <w:szCs w:val="24"/>
        </w:rPr>
        <w:t xml:space="preserve"> </w:t>
      </w:r>
      <w:r w:rsidR="00894FFB">
        <w:rPr>
          <w:rFonts w:ascii="Times New Roman" w:hAnsi="Times New Roman" w:cs="Times New Roman"/>
          <w:spacing w:val="-1"/>
          <w:sz w:val="24"/>
          <w:szCs w:val="24"/>
        </w:rPr>
        <w:t xml:space="preserve">in </w:t>
      </w:r>
      <w:r w:rsidR="002A0C04" w:rsidRPr="00517A94">
        <w:rPr>
          <w:rFonts w:ascii="Times New Roman" w:hAnsi="Times New Roman" w:cs="Times New Roman"/>
          <w:spacing w:val="-1"/>
          <w:sz w:val="24"/>
          <w:szCs w:val="24"/>
        </w:rPr>
        <w:t>an adjusted 29 percent decrease in savings, as shown in Table 2</w:t>
      </w:r>
      <w:r w:rsidR="002A0C04">
        <w:rPr>
          <w:rFonts w:ascii="Times New Roman" w:hAnsi="Times New Roman" w:cs="Times New Roman"/>
          <w:spacing w:val="-1"/>
          <w:sz w:val="24"/>
          <w:szCs w:val="24"/>
        </w:rPr>
        <w:t xml:space="preserve">. Nexant </w:t>
      </w:r>
      <w:r w:rsidR="005325E0" w:rsidRPr="00517A94">
        <w:rPr>
          <w:rFonts w:ascii="Times New Roman" w:hAnsi="Times New Roman" w:cs="Times New Roman"/>
          <w:spacing w:val="-1"/>
          <w:sz w:val="24"/>
          <w:szCs w:val="24"/>
        </w:rPr>
        <w:t>conducted</w:t>
      </w:r>
      <w:r w:rsidR="005325E0" w:rsidRPr="00517A94">
        <w:rPr>
          <w:rFonts w:ascii="Times New Roman" w:hAnsi="Times New Roman" w:cs="Times New Roman"/>
          <w:sz w:val="24"/>
          <w:szCs w:val="24"/>
        </w:rPr>
        <w:t xml:space="preserve"> 20 </w:t>
      </w:r>
      <w:r w:rsidR="005325E0" w:rsidRPr="00517A94">
        <w:rPr>
          <w:rFonts w:ascii="Times New Roman" w:hAnsi="Times New Roman" w:cs="Times New Roman"/>
          <w:spacing w:val="-2"/>
          <w:sz w:val="24"/>
          <w:szCs w:val="24"/>
        </w:rPr>
        <w:t>document</w:t>
      </w:r>
      <w:r w:rsidR="005325E0" w:rsidRPr="00517A94">
        <w:rPr>
          <w:rFonts w:ascii="Times New Roman" w:hAnsi="Times New Roman" w:cs="Times New Roman"/>
          <w:spacing w:val="-1"/>
          <w:sz w:val="24"/>
          <w:szCs w:val="24"/>
        </w:rPr>
        <w:t xml:space="preserve"> </w:t>
      </w:r>
      <w:r w:rsidR="005325E0" w:rsidRPr="00517A94">
        <w:rPr>
          <w:rFonts w:ascii="Times New Roman" w:hAnsi="Times New Roman" w:cs="Times New Roman"/>
          <w:spacing w:val="-2"/>
          <w:sz w:val="24"/>
          <w:szCs w:val="24"/>
        </w:rPr>
        <w:t xml:space="preserve">reviews of the </w:t>
      </w:r>
      <w:r w:rsidR="002A0C04">
        <w:rPr>
          <w:rFonts w:ascii="Times New Roman" w:hAnsi="Times New Roman" w:cs="Times New Roman"/>
          <w:spacing w:val="-2"/>
          <w:sz w:val="24"/>
          <w:szCs w:val="24"/>
        </w:rPr>
        <w:t xml:space="preserve">nonresidential prescriptive interior lighting </w:t>
      </w:r>
      <w:r w:rsidR="005325E0" w:rsidRPr="00517A94">
        <w:rPr>
          <w:rFonts w:ascii="Times New Roman" w:hAnsi="Times New Roman" w:cs="Times New Roman"/>
          <w:spacing w:val="-2"/>
          <w:sz w:val="24"/>
          <w:szCs w:val="24"/>
        </w:rPr>
        <w:t>rebates processed in 2016</w:t>
      </w:r>
      <w:r w:rsidR="005325E0" w:rsidRPr="00517A94">
        <w:rPr>
          <w:rFonts w:ascii="Times New Roman" w:hAnsi="Times New Roman" w:cs="Times New Roman"/>
          <w:spacing w:val="1"/>
          <w:sz w:val="24"/>
          <w:szCs w:val="24"/>
        </w:rPr>
        <w:t xml:space="preserve">, including </w:t>
      </w:r>
      <w:r w:rsidR="005325E0" w:rsidRPr="00517A94">
        <w:rPr>
          <w:rFonts w:ascii="Times New Roman" w:hAnsi="Times New Roman" w:cs="Times New Roman"/>
          <w:spacing w:val="-1"/>
          <w:sz w:val="24"/>
          <w:szCs w:val="24"/>
        </w:rPr>
        <w:t>onsite</w:t>
      </w:r>
      <w:r w:rsidR="005325E0" w:rsidRPr="00517A94">
        <w:rPr>
          <w:rFonts w:ascii="Times New Roman" w:hAnsi="Times New Roman" w:cs="Times New Roman"/>
          <w:sz w:val="24"/>
          <w:szCs w:val="24"/>
        </w:rPr>
        <w:t xml:space="preserve"> </w:t>
      </w:r>
      <w:r w:rsidR="005325E0" w:rsidRPr="00517A94">
        <w:rPr>
          <w:rFonts w:ascii="Times New Roman" w:hAnsi="Times New Roman" w:cs="Times New Roman"/>
          <w:spacing w:val="-1"/>
          <w:sz w:val="24"/>
          <w:szCs w:val="24"/>
        </w:rPr>
        <w:t>verification</w:t>
      </w:r>
      <w:r w:rsidR="005325E0" w:rsidRPr="00517A94">
        <w:rPr>
          <w:rFonts w:ascii="Times New Roman" w:hAnsi="Times New Roman" w:cs="Times New Roman"/>
          <w:sz w:val="24"/>
          <w:szCs w:val="24"/>
        </w:rPr>
        <w:t xml:space="preserve"> </w:t>
      </w:r>
      <w:r w:rsidR="005325E0" w:rsidRPr="00517A94">
        <w:rPr>
          <w:rFonts w:ascii="Times New Roman" w:hAnsi="Times New Roman" w:cs="Times New Roman"/>
          <w:spacing w:val="-1"/>
          <w:sz w:val="24"/>
          <w:szCs w:val="24"/>
        </w:rPr>
        <w:t>activities</w:t>
      </w:r>
      <w:r w:rsidR="002A0C04">
        <w:rPr>
          <w:rFonts w:ascii="Times New Roman" w:hAnsi="Times New Roman" w:cs="Times New Roman"/>
          <w:spacing w:val="1"/>
          <w:sz w:val="24"/>
          <w:szCs w:val="24"/>
        </w:rPr>
        <w:t xml:space="preserve">, </w:t>
      </w:r>
      <w:r w:rsidR="005325E0" w:rsidRPr="00517A94">
        <w:rPr>
          <w:rFonts w:ascii="Times New Roman" w:hAnsi="Times New Roman" w:cs="Times New Roman"/>
          <w:spacing w:val="-1"/>
          <w:sz w:val="24"/>
          <w:szCs w:val="24"/>
        </w:rPr>
        <w:t>on</w:t>
      </w:r>
      <w:r w:rsidR="005325E0" w:rsidRPr="00517A94">
        <w:rPr>
          <w:rFonts w:ascii="Times New Roman" w:hAnsi="Times New Roman" w:cs="Times New Roman"/>
          <w:sz w:val="24"/>
          <w:szCs w:val="24"/>
        </w:rPr>
        <w:t xml:space="preserve"> a</w:t>
      </w:r>
      <w:r w:rsidR="005325E0" w:rsidRPr="00517A94">
        <w:rPr>
          <w:rFonts w:ascii="Times New Roman" w:hAnsi="Times New Roman" w:cs="Times New Roman"/>
          <w:spacing w:val="-2"/>
          <w:sz w:val="24"/>
          <w:szCs w:val="24"/>
        </w:rPr>
        <w:t xml:space="preserve"> </w:t>
      </w:r>
      <w:r w:rsidR="005325E0" w:rsidRPr="00517A94">
        <w:rPr>
          <w:rFonts w:ascii="Times New Roman" w:hAnsi="Times New Roman" w:cs="Times New Roman"/>
          <w:spacing w:val="-1"/>
          <w:sz w:val="24"/>
          <w:szCs w:val="24"/>
        </w:rPr>
        <w:t>sample</w:t>
      </w:r>
      <w:r w:rsidR="009207E2">
        <w:rPr>
          <w:rFonts w:ascii="Times New Roman" w:hAnsi="Times New Roman" w:cs="Times New Roman"/>
          <w:spacing w:val="-1"/>
          <w:sz w:val="24"/>
          <w:szCs w:val="24"/>
        </w:rPr>
        <w:t xml:space="preserve"> of</w:t>
      </w:r>
      <w:r w:rsidR="005325E0" w:rsidRPr="00517A94">
        <w:rPr>
          <w:rFonts w:ascii="Times New Roman" w:hAnsi="Times New Roman" w:cs="Times New Roman"/>
          <w:spacing w:val="-4"/>
          <w:sz w:val="24"/>
          <w:szCs w:val="24"/>
        </w:rPr>
        <w:t xml:space="preserve"> </w:t>
      </w:r>
      <w:r w:rsidR="005325E0" w:rsidRPr="00517A94">
        <w:rPr>
          <w:rFonts w:ascii="Times New Roman" w:hAnsi="Times New Roman" w:cs="Times New Roman"/>
          <w:spacing w:val="-1"/>
          <w:sz w:val="24"/>
          <w:szCs w:val="24"/>
        </w:rPr>
        <w:t>non-residential</w:t>
      </w:r>
      <w:r w:rsidR="005325E0" w:rsidRPr="00517A94">
        <w:rPr>
          <w:rFonts w:ascii="Times New Roman" w:hAnsi="Times New Roman" w:cs="Times New Roman"/>
          <w:sz w:val="24"/>
          <w:szCs w:val="24"/>
        </w:rPr>
        <w:t xml:space="preserve"> </w:t>
      </w:r>
      <w:r w:rsidR="005325E0" w:rsidRPr="00517A94">
        <w:rPr>
          <w:rFonts w:ascii="Times New Roman" w:hAnsi="Times New Roman" w:cs="Times New Roman"/>
          <w:spacing w:val="-1"/>
          <w:sz w:val="24"/>
          <w:szCs w:val="24"/>
        </w:rPr>
        <w:t>projects for its annual conservation report</w:t>
      </w:r>
      <w:r w:rsidR="005325E0" w:rsidRPr="00517A94">
        <w:rPr>
          <w:rFonts w:ascii="Times New Roman" w:hAnsi="Times New Roman" w:cs="Times New Roman"/>
          <w:spacing w:val="2"/>
          <w:sz w:val="24"/>
          <w:szCs w:val="24"/>
        </w:rPr>
        <w:t>.</w:t>
      </w:r>
      <w:r w:rsidR="005325E0" w:rsidRPr="00517A94">
        <w:rPr>
          <w:rFonts w:ascii="Times New Roman" w:hAnsi="Times New Roman" w:cs="Times New Roman"/>
          <w:spacing w:val="2"/>
          <w:sz w:val="24"/>
          <w:szCs w:val="24"/>
          <w:vertAlign w:val="superscript"/>
        </w:rPr>
        <w:footnoteReference w:id="12"/>
      </w:r>
      <w:r w:rsidR="005325E0" w:rsidRPr="00517A94">
        <w:rPr>
          <w:rFonts w:ascii="Times New Roman" w:hAnsi="Times New Roman" w:cs="Times New Roman"/>
          <w:spacing w:val="2"/>
          <w:sz w:val="24"/>
          <w:szCs w:val="24"/>
        </w:rPr>
        <w:t xml:space="preserve"> </w:t>
      </w:r>
      <w:r w:rsidR="008D6C35">
        <w:rPr>
          <w:rFonts w:ascii="Times New Roman" w:hAnsi="Times New Roman" w:cs="Times New Roman"/>
          <w:spacing w:val="2"/>
          <w:sz w:val="24"/>
          <w:szCs w:val="24"/>
        </w:rPr>
        <w:t>As a result of Nexant’s findings, t</w:t>
      </w:r>
      <w:r w:rsidR="002A0C04">
        <w:rPr>
          <w:rFonts w:ascii="Times New Roman" w:hAnsi="Times New Roman" w:cs="Times New Roman"/>
          <w:spacing w:val="2"/>
          <w:sz w:val="24"/>
          <w:szCs w:val="24"/>
        </w:rPr>
        <w:t xml:space="preserve">he company voluntarily reduced its </w:t>
      </w:r>
      <w:r w:rsidR="008D6C35">
        <w:rPr>
          <w:rFonts w:ascii="Times New Roman" w:hAnsi="Times New Roman" w:cs="Times New Roman"/>
          <w:spacing w:val="2"/>
          <w:sz w:val="24"/>
          <w:szCs w:val="24"/>
        </w:rPr>
        <w:t xml:space="preserve">nonresidential interior lighting </w:t>
      </w:r>
      <w:r w:rsidR="002A0C04">
        <w:rPr>
          <w:rFonts w:ascii="Times New Roman" w:hAnsi="Times New Roman" w:cs="Times New Roman"/>
          <w:spacing w:val="2"/>
          <w:sz w:val="24"/>
          <w:szCs w:val="24"/>
        </w:rPr>
        <w:t xml:space="preserve">savings, as </w:t>
      </w:r>
      <w:r w:rsidR="00A351FA">
        <w:rPr>
          <w:rFonts w:ascii="Times New Roman" w:hAnsi="Times New Roman" w:cs="Times New Roman"/>
          <w:spacing w:val="2"/>
          <w:sz w:val="24"/>
          <w:szCs w:val="24"/>
        </w:rPr>
        <w:t>noted</w:t>
      </w:r>
      <w:r w:rsidR="002A0C04">
        <w:rPr>
          <w:rFonts w:ascii="Times New Roman" w:hAnsi="Times New Roman" w:cs="Times New Roman"/>
          <w:spacing w:val="2"/>
          <w:sz w:val="24"/>
          <w:szCs w:val="24"/>
        </w:rPr>
        <w:t xml:space="preserve"> in Avista’s 2016 Annual Report.</w:t>
      </w:r>
      <w:r w:rsidR="002A0C04">
        <w:rPr>
          <w:rStyle w:val="FootnoteReference"/>
          <w:rFonts w:ascii="Times New Roman" w:hAnsi="Times New Roman" w:cs="Times New Roman"/>
          <w:spacing w:val="2"/>
          <w:sz w:val="24"/>
          <w:szCs w:val="24"/>
        </w:rPr>
        <w:footnoteReference w:id="13"/>
      </w:r>
    </w:p>
    <w:p w14:paraId="28D76738" w14:textId="77777777" w:rsidR="005325E0" w:rsidRDefault="005325E0" w:rsidP="005325E0">
      <w:pPr>
        <w:spacing w:after="0" w:line="240" w:lineRule="auto"/>
        <w:rPr>
          <w:rFonts w:ascii="Times New Roman" w:hAnsi="Times New Roman" w:cs="Times New Roman"/>
          <w:spacing w:val="-1"/>
          <w:sz w:val="24"/>
          <w:szCs w:val="24"/>
        </w:rPr>
      </w:pPr>
    </w:p>
    <w:p w14:paraId="28D76739" w14:textId="77777777" w:rsidR="005325E0" w:rsidRPr="0067046F" w:rsidRDefault="002A0C04" w:rsidP="005325E0">
      <w:pPr>
        <w:spacing w:after="0" w:line="240"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Table 2: Non</w:t>
      </w:r>
      <w:r w:rsidR="005325E0" w:rsidRPr="0067046F">
        <w:rPr>
          <w:rFonts w:ascii="Times New Roman" w:hAnsi="Times New Roman" w:cs="Times New Roman"/>
          <w:b/>
          <w:spacing w:val="-1"/>
          <w:sz w:val="24"/>
          <w:szCs w:val="24"/>
        </w:rPr>
        <w:t>residential Reported and Adjusted Annual Savings</w:t>
      </w:r>
    </w:p>
    <w:tbl>
      <w:tblPr>
        <w:tblStyle w:val="TableGrid"/>
        <w:tblW w:w="0" w:type="auto"/>
        <w:tblLayout w:type="fixed"/>
        <w:tblLook w:val="04A0" w:firstRow="1" w:lastRow="0" w:firstColumn="1" w:lastColumn="0" w:noHBand="0" w:noVBand="1"/>
      </w:tblPr>
      <w:tblGrid>
        <w:gridCol w:w="3595"/>
        <w:gridCol w:w="2430"/>
        <w:gridCol w:w="1260"/>
        <w:gridCol w:w="2065"/>
      </w:tblGrid>
      <w:tr w:rsidR="005325E0" w:rsidRPr="0067046F" w14:paraId="28D76744" w14:textId="77777777" w:rsidTr="005530CB">
        <w:tc>
          <w:tcPr>
            <w:tcW w:w="3595" w:type="dxa"/>
          </w:tcPr>
          <w:p w14:paraId="28D7673A" w14:textId="77777777" w:rsidR="005325E0" w:rsidRPr="0067046F" w:rsidRDefault="005325E0" w:rsidP="005530CB">
            <w:pPr>
              <w:rPr>
                <w:rFonts w:ascii="Times New Roman" w:hAnsi="Times New Roman" w:cs="Times New Roman"/>
                <w:spacing w:val="-1"/>
              </w:rPr>
            </w:pPr>
          </w:p>
          <w:p w14:paraId="28D7673B" w14:textId="77777777" w:rsidR="005325E0" w:rsidRPr="0067046F" w:rsidRDefault="005325E0" w:rsidP="005530CB">
            <w:pPr>
              <w:rPr>
                <w:rFonts w:ascii="Times New Roman" w:hAnsi="Times New Roman" w:cs="Times New Roman"/>
                <w:spacing w:val="-1"/>
              </w:rPr>
            </w:pPr>
            <w:r w:rsidRPr="0067046F">
              <w:rPr>
                <w:rFonts w:ascii="Times New Roman" w:hAnsi="Times New Roman" w:cs="Times New Roman"/>
                <w:spacing w:val="-1"/>
              </w:rPr>
              <w:t>Program Measure Category</w:t>
            </w:r>
          </w:p>
        </w:tc>
        <w:tc>
          <w:tcPr>
            <w:tcW w:w="2430" w:type="dxa"/>
          </w:tcPr>
          <w:p w14:paraId="28D7673C" w14:textId="77777777" w:rsidR="005325E0" w:rsidRPr="0067046F" w:rsidRDefault="005325E0" w:rsidP="005530CB">
            <w:pPr>
              <w:jc w:val="center"/>
              <w:rPr>
                <w:rFonts w:ascii="Times New Roman" w:hAnsi="Times New Roman" w:cs="Times New Roman"/>
                <w:spacing w:val="-1"/>
              </w:rPr>
            </w:pPr>
          </w:p>
          <w:p w14:paraId="28D7673D" w14:textId="77777777" w:rsidR="005325E0" w:rsidRPr="0067046F" w:rsidRDefault="005325E0" w:rsidP="005530CB">
            <w:pPr>
              <w:jc w:val="center"/>
              <w:rPr>
                <w:rFonts w:ascii="Times New Roman" w:hAnsi="Times New Roman" w:cs="Times New Roman"/>
                <w:spacing w:val="-1"/>
              </w:rPr>
            </w:pPr>
            <w:r w:rsidRPr="0067046F">
              <w:rPr>
                <w:rFonts w:ascii="Times New Roman" w:hAnsi="Times New Roman" w:cs="Times New Roman"/>
                <w:spacing w:val="-1"/>
              </w:rPr>
              <w:t>Annual Reported Savings (kWh)</w:t>
            </w:r>
          </w:p>
        </w:tc>
        <w:tc>
          <w:tcPr>
            <w:tcW w:w="1260" w:type="dxa"/>
          </w:tcPr>
          <w:p w14:paraId="28D7673E" w14:textId="77777777" w:rsidR="005325E0" w:rsidRPr="0067046F" w:rsidRDefault="005325E0" w:rsidP="005530CB">
            <w:pPr>
              <w:jc w:val="center"/>
              <w:rPr>
                <w:rFonts w:ascii="Times New Roman" w:hAnsi="Times New Roman" w:cs="Times New Roman"/>
                <w:spacing w:val="-1"/>
              </w:rPr>
            </w:pPr>
          </w:p>
          <w:p w14:paraId="28D7673F" w14:textId="77777777" w:rsidR="005325E0" w:rsidRPr="0067046F" w:rsidRDefault="005325E0" w:rsidP="005530CB">
            <w:pPr>
              <w:jc w:val="center"/>
              <w:rPr>
                <w:rFonts w:ascii="Times New Roman" w:hAnsi="Times New Roman" w:cs="Times New Roman"/>
                <w:spacing w:val="-1"/>
              </w:rPr>
            </w:pPr>
            <w:r w:rsidRPr="0067046F">
              <w:rPr>
                <w:rFonts w:ascii="Times New Roman" w:hAnsi="Times New Roman" w:cs="Times New Roman"/>
                <w:spacing w:val="-1"/>
              </w:rPr>
              <w:t>Adjustment</w:t>
            </w:r>
          </w:p>
          <w:p w14:paraId="28D76740" w14:textId="77777777" w:rsidR="005325E0" w:rsidRPr="0067046F" w:rsidRDefault="005325E0" w:rsidP="005530CB">
            <w:pPr>
              <w:jc w:val="center"/>
              <w:rPr>
                <w:rFonts w:ascii="Times New Roman" w:hAnsi="Times New Roman" w:cs="Times New Roman"/>
                <w:spacing w:val="-1"/>
              </w:rPr>
            </w:pPr>
          </w:p>
        </w:tc>
        <w:tc>
          <w:tcPr>
            <w:tcW w:w="2065" w:type="dxa"/>
          </w:tcPr>
          <w:p w14:paraId="28D76741" w14:textId="77777777" w:rsidR="005325E0" w:rsidRPr="0067046F" w:rsidRDefault="005325E0" w:rsidP="005530CB">
            <w:pPr>
              <w:jc w:val="center"/>
              <w:rPr>
                <w:rFonts w:ascii="Times New Roman" w:hAnsi="Times New Roman" w:cs="Times New Roman"/>
                <w:spacing w:val="-1"/>
              </w:rPr>
            </w:pPr>
            <w:r w:rsidRPr="0067046F">
              <w:rPr>
                <w:rFonts w:ascii="Times New Roman" w:hAnsi="Times New Roman" w:cs="Times New Roman"/>
                <w:spacing w:val="-1"/>
              </w:rPr>
              <w:t>Adjusted</w:t>
            </w:r>
          </w:p>
          <w:p w14:paraId="28D76742" w14:textId="77777777" w:rsidR="005325E0" w:rsidRPr="0067046F" w:rsidRDefault="005325E0" w:rsidP="005530CB">
            <w:pPr>
              <w:jc w:val="center"/>
              <w:rPr>
                <w:rFonts w:ascii="Times New Roman" w:hAnsi="Times New Roman" w:cs="Times New Roman"/>
                <w:spacing w:val="-1"/>
              </w:rPr>
            </w:pPr>
            <w:r w:rsidRPr="0067046F">
              <w:rPr>
                <w:rFonts w:ascii="Times New Roman" w:hAnsi="Times New Roman" w:cs="Times New Roman"/>
                <w:spacing w:val="-1"/>
              </w:rPr>
              <w:t>Savings Decrease</w:t>
            </w:r>
          </w:p>
          <w:p w14:paraId="28D76743" w14:textId="77777777" w:rsidR="005325E0" w:rsidRPr="0067046F" w:rsidRDefault="005325E0" w:rsidP="005530CB">
            <w:pPr>
              <w:jc w:val="center"/>
              <w:rPr>
                <w:rFonts w:ascii="Times New Roman" w:hAnsi="Times New Roman" w:cs="Times New Roman"/>
                <w:spacing w:val="-1"/>
              </w:rPr>
            </w:pPr>
            <w:r w:rsidRPr="0067046F">
              <w:rPr>
                <w:rFonts w:ascii="Times New Roman" w:hAnsi="Times New Roman" w:cs="Times New Roman"/>
                <w:spacing w:val="-1"/>
              </w:rPr>
              <w:t>(kWh)</w:t>
            </w:r>
          </w:p>
        </w:tc>
      </w:tr>
      <w:tr w:rsidR="005325E0" w:rsidRPr="0067046F" w14:paraId="28D76749" w14:textId="77777777" w:rsidTr="005530CB">
        <w:tc>
          <w:tcPr>
            <w:tcW w:w="3595" w:type="dxa"/>
          </w:tcPr>
          <w:p w14:paraId="28D76745" w14:textId="77777777" w:rsidR="005325E0" w:rsidRPr="0067046F" w:rsidRDefault="002A0C04" w:rsidP="005530CB">
            <w:pPr>
              <w:rPr>
                <w:rFonts w:ascii="Times New Roman" w:hAnsi="Times New Roman" w:cs="Times New Roman"/>
                <w:spacing w:val="-1"/>
              </w:rPr>
            </w:pPr>
            <w:r>
              <w:rPr>
                <w:rFonts w:ascii="Times New Roman" w:hAnsi="Times New Roman" w:cs="Times New Roman"/>
                <w:spacing w:val="-1"/>
              </w:rPr>
              <w:t>PSC Nonr</w:t>
            </w:r>
            <w:r w:rsidR="005325E0" w:rsidRPr="0067046F">
              <w:rPr>
                <w:rFonts w:ascii="Times New Roman" w:hAnsi="Times New Roman" w:cs="Times New Roman"/>
                <w:spacing w:val="-1"/>
              </w:rPr>
              <w:t>esidential Interior Lighting</w:t>
            </w:r>
          </w:p>
        </w:tc>
        <w:tc>
          <w:tcPr>
            <w:tcW w:w="2430" w:type="dxa"/>
          </w:tcPr>
          <w:p w14:paraId="28D76746" w14:textId="77777777" w:rsidR="005325E0" w:rsidRPr="0067046F" w:rsidRDefault="005325E0" w:rsidP="005530CB">
            <w:pPr>
              <w:jc w:val="center"/>
              <w:rPr>
                <w:rFonts w:ascii="Times New Roman" w:hAnsi="Times New Roman" w:cs="Times New Roman"/>
                <w:spacing w:val="-1"/>
              </w:rPr>
            </w:pPr>
            <w:r w:rsidRPr="0067046F">
              <w:rPr>
                <w:rFonts w:ascii="Times New Roman" w:hAnsi="Times New Roman" w:cs="Times New Roman"/>
                <w:spacing w:val="-1"/>
              </w:rPr>
              <w:t>36,042,267</w:t>
            </w:r>
          </w:p>
        </w:tc>
        <w:tc>
          <w:tcPr>
            <w:tcW w:w="1260" w:type="dxa"/>
          </w:tcPr>
          <w:p w14:paraId="28D76747" w14:textId="3DA27093" w:rsidR="005325E0" w:rsidRPr="0067046F" w:rsidRDefault="0077521E" w:rsidP="005530CB">
            <w:pPr>
              <w:jc w:val="center"/>
              <w:rPr>
                <w:rFonts w:ascii="Times New Roman" w:hAnsi="Times New Roman" w:cs="Times New Roman"/>
                <w:spacing w:val="-1"/>
              </w:rPr>
            </w:pPr>
            <w:r>
              <w:rPr>
                <w:rFonts w:ascii="Times New Roman" w:hAnsi="Times New Roman" w:cs="Times New Roman"/>
                <w:spacing w:val="-1"/>
              </w:rPr>
              <w:t>71</w:t>
            </w:r>
            <w:r w:rsidR="005325E0" w:rsidRPr="0067046F">
              <w:rPr>
                <w:rFonts w:ascii="Times New Roman" w:hAnsi="Times New Roman" w:cs="Times New Roman"/>
                <w:spacing w:val="-1"/>
              </w:rPr>
              <w:t>%</w:t>
            </w:r>
          </w:p>
        </w:tc>
        <w:tc>
          <w:tcPr>
            <w:tcW w:w="2065" w:type="dxa"/>
          </w:tcPr>
          <w:p w14:paraId="28D76748" w14:textId="77777777" w:rsidR="005325E0" w:rsidRPr="0067046F" w:rsidRDefault="005325E0" w:rsidP="005530CB">
            <w:pPr>
              <w:jc w:val="center"/>
              <w:rPr>
                <w:rFonts w:ascii="Times New Roman" w:hAnsi="Times New Roman" w:cs="Times New Roman"/>
                <w:spacing w:val="-1"/>
              </w:rPr>
            </w:pPr>
            <w:r w:rsidRPr="0067046F">
              <w:rPr>
                <w:rFonts w:ascii="Times New Roman" w:hAnsi="Times New Roman" w:cs="Times New Roman"/>
                <w:spacing w:val="-1"/>
              </w:rPr>
              <w:t>25,590,010</w:t>
            </w:r>
          </w:p>
        </w:tc>
      </w:tr>
    </w:tbl>
    <w:p w14:paraId="28D7674A" w14:textId="77777777" w:rsidR="00BC30EB" w:rsidRDefault="00BC30EB" w:rsidP="00535637">
      <w:pPr>
        <w:spacing w:after="0" w:line="240" w:lineRule="auto"/>
        <w:rPr>
          <w:rFonts w:ascii="Times New Roman" w:hAnsi="Times New Roman" w:cs="Times New Roman"/>
          <w:sz w:val="24"/>
          <w:szCs w:val="24"/>
        </w:rPr>
      </w:pPr>
    </w:p>
    <w:p w14:paraId="28D7674B" w14:textId="77777777" w:rsidR="00535637" w:rsidRDefault="00C42779" w:rsidP="00535637">
      <w:pPr>
        <w:spacing w:after="0" w:line="240" w:lineRule="auto"/>
        <w:rPr>
          <w:rFonts w:ascii="Times New Roman" w:hAnsi="Times New Roman" w:cs="Times New Roman"/>
          <w:sz w:val="24"/>
          <w:szCs w:val="24"/>
        </w:rPr>
      </w:pPr>
      <w:r w:rsidRPr="0067046F">
        <w:rPr>
          <w:rFonts w:ascii="Times New Roman" w:hAnsi="Times New Roman" w:cs="Times New Roman"/>
          <w:sz w:val="24"/>
          <w:szCs w:val="24"/>
        </w:rPr>
        <w:t>In March 2016, Avista’s Energy Efficiency team discussed</w:t>
      </w:r>
      <w:r>
        <w:rPr>
          <w:rFonts w:ascii="Times New Roman" w:hAnsi="Times New Roman" w:cs="Times New Roman"/>
          <w:sz w:val="24"/>
          <w:szCs w:val="24"/>
        </w:rPr>
        <w:t xml:space="preserve"> customer and vendor confusion </w:t>
      </w:r>
      <w:r w:rsidRPr="00C42779">
        <w:rPr>
          <w:rFonts w:ascii="Times New Roman" w:hAnsi="Times New Roman" w:cs="Times New Roman"/>
          <w:sz w:val="24"/>
          <w:szCs w:val="24"/>
        </w:rPr>
        <w:t xml:space="preserve">related to TLED payments internally for possible solutions. The company determined that in order to give customers more clarity in their decision-making process, the incentive should be </w:t>
      </w:r>
      <w:r w:rsidRPr="00C42779">
        <w:rPr>
          <w:rFonts w:ascii="Times New Roman" w:hAnsi="Times New Roman" w:cs="Times New Roman"/>
          <w:sz w:val="24"/>
          <w:szCs w:val="24"/>
        </w:rPr>
        <w:lastRenderedPageBreak/>
        <w:t xml:space="preserve">clarified and paid using the lamp’s packaging and online marketing materials at the higher $15 incentive level. </w:t>
      </w:r>
    </w:p>
    <w:p w14:paraId="28D7674C" w14:textId="77777777" w:rsidR="00535637" w:rsidRDefault="00535637" w:rsidP="00535637">
      <w:pPr>
        <w:spacing w:after="0" w:line="240" w:lineRule="auto"/>
        <w:rPr>
          <w:rFonts w:ascii="Times New Roman" w:hAnsi="Times New Roman" w:cs="Times New Roman"/>
          <w:sz w:val="24"/>
          <w:szCs w:val="24"/>
        </w:rPr>
      </w:pPr>
    </w:p>
    <w:p w14:paraId="28D7674D" w14:textId="4EFC96AE" w:rsidR="00535637" w:rsidRDefault="00535637" w:rsidP="005356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Staff </w:t>
      </w:r>
      <w:r w:rsidR="008A3BA9">
        <w:rPr>
          <w:rFonts w:ascii="Times New Roman" w:hAnsi="Times New Roman" w:cs="Times New Roman"/>
          <w:sz w:val="24"/>
          <w:szCs w:val="24"/>
        </w:rPr>
        <w:t xml:space="preserve">has concerns that the company: 1) </w:t>
      </w:r>
      <w:r>
        <w:rPr>
          <w:rFonts w:ascii="Times New Roman" w:hAnsi="Times New Roman" w:cs="Times New Roman"/>
          <w:sz w:val="24"/>
          <w:szCs w:val="24"/>
        </w:rPr>
        <w:t>may not have pursued all feasible stakeho</w:t>
      </w:r>
      <w:r w:rsidR="00BC30EB">
        <w:rPr>
          <w:rFonts w:ascii="Times New Roman" w:hAnsi="Times New Roman" w:cs="Times New Roman"/>
          <w:sz w:val="24"/>
          <w:szCs w:val="24"/>
        </w:rPr>
        <w:t xml:space="preserve">lder involvement related to </w:t>
      </w:r>
      <w:r w:rsidR="008A3BA9">
        <w:rPr>
          <w:rFonts w:ascii="Times New Roman" w:hAnsi="Times New Roman" w:cs="Times New Roman"/>
          <w:sz w:val="24"/>
          <w:szCs w:val="24"/>
        </w:rPr>
        <w:t xml:space="preserve">the TLED payment issues, and 2) </w:t>
      </w:r>
      <w:r w:rsidR="00BC30EB">
        <w:rPr>
          <w:rFonts w:ascii="Times New Roman" w:hAnsi="Times New Roman" w:cs="Times New Roman"/>
          <w:sz w:val="24"/>
          <w:szCs w:val="24"/>
        </w:rPr>
        <w:t xml:space="preserve">should have </w:t>
      </w:r>
      <w:r>
        <w:rPr>
          <w:rFonts w:ascii="Times New Roman" w:hAnsi="Times New Roman" w:cs="Times New Roman"/>
          <w:sz w:val="24"/>
          <w:szCs w:val="24"/>
        </w:rPr>
        <w:t>discussed</w:t>
      </w:r>
      <w:r w:rsidR="008A3BA9">
        <w:rPr>
          <w:rFonts w:ascii="Times New Roman" w:hAnsi="Times New Roman" w:cs="Times New Roman"/>
          <w:sz w:val="24"/>
          <w:szCs w:val="24"/>
        </w:rPr>
        <w:t xml:space="preserve"> the issue </w:t>
      </w:r>
      <w:r>
        <w:rPr>
          <w:rFonts w:ascii="Times New Roman" w:hAnsi="Times New Roman" w:cs="Times New Roman"/>
          <w:sz w:val="24"/>
          <w:szCs w:val="24"/>
        </w:rPr>
        <w:t xml:space="preserve">in greater detail at the September 2016 meeting. </w:t>
      </w:r>
      <w:r w:rsidRPr="0067046F">
        <w:rPr>
          <w:rFonts w:ascii="Times New Roman" w:hAnsi="Times New Roman" w:cs="Times New Roman"/>
          <w:sz w:val="24"/>
          <w:szCs w:val="24"/>
        </w:rPr>
        <w:t>Avista informed the advisory group, that in the 2017 Business Plan, the company would be lowering the rebate per lamp from $15.00 to $6.50. However</w:t>
      </w:r>
      <w:r w:rsidR="004D685D">
        <w:rPr>
          <w:rFonts w:ascii="Times New Roman" w:hAnsi="Times New Roman" w:cs="Times New Roman"/>
          <w:sz w:val="24"/>
          <w:szCs w:val="24"/>
        </w:rPr>
        <w:t xml:space="preserve"> </w:t>
      </w:r>
      <w:r w:rsidR="008A3BA9">
        <w:rPr>
          <w:rFonts w:ascii="Times New Roman" w:hAnsi="Times New Roman" w:cs="Times New Roman"/>
          <w:sz w:val="24"/>
          <w:szCs w:val="24"/>
        </w:rPr>
        <w:t xml:space="preserve">staff believes </w:t>
      </w:r>
      <w:r w:rsidRPr="0067046F">
        <w:rPr>
          <w:rFonts w:ascii="Times New Roman" w:hAnsi="Times New Roman" w:cs="Times New Roman"/>
          <w:sz w:val="24"/>
          <w:szCs w:val="24"/>
        </w:rPr>
        <w:t xml:space="preserve">the issue </w:t>
      </w:r>
      <w:r>
        <w:rPr>
          <w:rFonts w:ascii="Times New Roman" w:hAnsi="Times New Roman" w:cs="Times New Roman"/>
          <w:sz w:val="24"/>
          <w:szCs w:val="24"/>
        </w:rPr>
        <w:t xml:space="preserve">of the internal Avista decision </w:t>
      </w:r>
      <w:r w:rsidRPr="0067046F">
        <w:rPr>
          <w:rFonts w:ascii="Times New Roman" w:hAnsi="Times New Roman" w:cs="Times New Roman"/>
          <w:sz w:val="24"/>
          <w:szCs w:val="24"/>
        </w:rPr>
        <w:t>and clarification to pay at the higher $</w:t>
      </w:r>
      <w:r w:rsidR="00663A63">
        <w:rPr>
          <w:rFonts w:ascii="Times New Roman" w:hAnsi="Times New Roman" w:cs="Times New Roman"/>
          <w:sz w:val="24"/>
          <w:szCs w:val="24"/>
        </w:rPr>
        <w:t>15 incentive level</w:t>
      </w:r>
      <w:r w:rsidR="00F1525A">
        <w:rPr>
          <w:rFonts w:ascii="Times New Roman" w:hAnsi="Times New Roman" w:cs="Times New Roman"/>
          <w:sz w:val="24"/>
          <w:szCs w:val="24"/>
        </w:rPr>
        <w:t xml:space="preserve"> should have been</w:t>
      </w:r>
      <w:r>
        <w:rPr>
          <w:rFonts w:ascii="Times New Roman" w:hAnsi="Times New Roman" w:cs="Times New Roman"/>
          <w:sz w:val="24"/>
          <w:szCs w:val="24"/>
        </w:rPr>
        <w:t xml:space="preserve"> </w:t>
      </w:r>
      <w:r w:rsidR="00F1525A">
        <w:rPr>
          <w:rFonts w:ascii="Times New Roman" w:hAnsi="Times New Roman" w:cs="Times New Roman"/>
          <w:sz w:val="24"/>
          <w:szCs w:val="24"/>
        </w:rPr>
        <w:t xml:space="preserve">discussed </w:t>
      </w:r>
      <w:r w:rsidR="002363A9">
        <w:rPr>
          <w:rFonts w:ascii="Times New Roman" w:hAnsi="Times New Roman" w:cs="Times New Roman"/>
          <w:sz w:val="24"/>
          <w:szCs w:val="24"/>
        </w:rPr>
        <w:t>with the</w:t>
      </w:r>
      <w:r w:rsidR="00663A63">
        <w:rPr>
          <w:rFonts w:ascii="Times New Roman" w:hAnsi="Times New Roman" w:cs="Times New Roman"/>
          <w:sz w:val="24"/>
          <w:szCs w:val="24"/>
        </w:rPr>
        <w:t xml:space="preserve"> Advisory Group</w:t>
      </w:r>
      <w:r w:rsidR="00F1525A">
        <w:rPr>
          <w:rFonts w:ascii="Times New Roman" w:hAnsi="Times New Roman" w:cs="Times New Roman"/>
          <w:sz w:val="24"/>
          <w:szCs w:val="24"/>
        </w:rPr>
        <w:t xml:space="preserve"> in March of 2016</w:t>
      </w:r>
      <w:r>
        <w:rPr>
          <w:rFonts w:ascii="Times New Roman" w:hAnsi="Times New Roman" w:cs="Times New Roman"/>
          <w:sz w:val="24"/>
          <w:szCs w:val="24"/>
        </w:rPr>
        <w:t xml:space="preserve">. </w:t>
      </w:r>
    </w:p>
    <w:p w14:paraId="06559B11" w14:textId="77777777" w:rsidR="00F1525A" w:rsidRDefault="00F1525A" w:rsidP="00FE55D1">
      <w:pPr>
        <w:spacing w:after="0" w:line="240" w:lineRule="auto"/>
        <w:rPr>
          <w:rFonts w:ascii="Times New Roman" w:hAnsi="Times New Roman" w:cs="Times New Roman"/>
          <w:sz w:val="24"/>
          <w:szCs w:val="24"/>
        </w:rPr>
      </w:pPr>
    </w:p>
    <w:p w14:paraId="28D7674F" w14:textId="1D2A7C72" w:rsidR="006B7A59" w:rsidRDefault="00014E3C" w:rsidP="00FE55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June </w:t>
      </w:r>
      <w:r w:rsidR="006B7A59">
        <w:rPr>
          <w:rFonts w:ascii="Times New Roman" w:hAnsi="Times New Roman" w:cs="Times New Roman"/>
          <w:sz w:val="24"/>
          <w:szCs w:val="24"/>
        </w:rPr>
        <w:t>29, 2017, over tw</w:t>
      </w:r>
      <w:r w:rsidR="00EC0601">
        <w:rPr>
          <w:rFonts w:ascii="Times New Roman" w:hAnsi="Times New Roman" w:cs="Times New Roman"/>
          <w:sz w:val="24"/>
          <w:szCs w:val="24"/>
        </w:rPr>
        <w:t xml:space="preserve">o months after </w:t>
      </w:r>
      <w:r w:rsidR="00BC30EB">
        <w:rPr>
          <w:rFonts w:ascii="Times New Roman" w:hAnsi="Times New Roman" w:cs="Times New Roman"/>
          <w:sz w:val="24"/>
          <w:szCs w:val="24"/>
        </w:rPr>
        <w:t xml:space="preserve">staff initially requested information about the company’s </w:t>
      </w:r>
      <w:r w:rsidR="00EC0601">
        <w:rPr>
          <w:rFonts w:ascii="Times New Roman" w:hAnsi="Times New Roman" w:cs="Times New Roman"/>
          <w:sz w:val="24"/>
          <w:szCs w:val="24"/>
        </w:rPr>
        <w:t>TLED rebates</w:t>
      </w:r>
      <w:r w:rsidR="006B7A59">
        <w:rPr>
          <w:rFonts w:ascii="Times New Roman" w:hAnsi="Times New Roman" w:cs="Times New Roman"/>
          <w:sz w:val="24"/>
          <w:szCs w:val="24"/>
        </w:rPr>
        <w:t xml:space="preserve">, Avista </w:t>
      </w:r>
      <w:r w:rsidR="00F1525A">
        <w:rPr>
          <w:rFonts w:ascii="Times New Roman" w:hAnsi="Times New Roman" w:cs="Times New Roman"/>
          <w:sz w:val="24"/>
          <w:szCs w:val="24"/>
        </w:rPr>
        <w:t xml:space="preserve">finally </w:t>
      </w:r>
      <w:r w:rsidR="006B7A59">
        <w:rPr>
          <w:rFonts w:ascii="Times New Roman" w:hAnsi="Times New Roman" w:cs="Times New Roman"/>
          <w:sz w:val="24"/>
          <w:szCs w:val="24"/>
        </w:rPr>
        <w:t xml:space="preserve">provided </w:t>
      </w:r>
      <w:r w:rsidR="00206772">
        <w:rPr>
          <w:rFonts w:ascii="Times New Roman" w:hAnsi="Times New Roman" w:cs="Times New Roman"/>
          <w:sz w:val="24"/>
          <w:szCs w:val="24"/>
        </w:rPr>
        <w:t>compelling evidence that the $15 incentives were paid at the correct level</w:t>
      </w:r>
      <w:r w:rsidR="00EC0601">
        <w:rPr>
          <w:rFonts w:ascii="Times New Roman" w:hAnsi="Times New Roman" w:cs="Times New Roman"/>
          <w:sz w:val="24"/>
          <w:szCs w:val="24"/>
        </w:rPr>
        <w:t xml:space="preserve">. </w:t>
      </w:r>
      <w:r w:rsidR="00A367F2">
        <w:rPr>
          <w:rFonts w:ascii="Times New Roman" w:hAnsi="Times New Roman" w:cs="Times New Roman"/>
          <w:sz w:val="24"/>
          <w:szCs w:val="24"/>
        </w:rPr>
        <w:t xml:space="preserve">Based on </w:t>
      </w:r>
      <w:r w:rsidR="004A0D42">
        <w:rPr>
          <w:rFonts w:ascii="Times New Roman" w:hAnsi="Times New Roman" w:cs="Times New Roman"/>
          <w:sz w:val="24"/>
          <w:szCs w:val="24"/>
        </w:rPr>
        <w:t xml:space="preserve">the following </w:t>
      </w:r>
      <w:r w:rsidR="000E347D">
        <w:rPr>
          <w:rFonts w:ascii="Times New Roman" w:hAnsi="Times New Roman" w:cs="Times New Roman"/>
          <w:sz w:val="24"/>
          <w:szCs w:val="24"/>
        </w:rPr>
        <w:t>information</w:t>
      </w:r>
      <w:r w:rsidR="005F2661">
        <w:rPr>
          <w:rStyle w:val="FootnoteReference"/>
          <w:rFonts w:ascii="Times New Roman" w:hAnsi="Times New Roman" w:cs="Times New Roman"/>
          <w:sz w:val="24"/>
          <w:szCs w:val="24"/>
        </w:rPr>
        <w:footnoteReference w:id="14"/>
      </w:r>
      <w:r w:rsidR="005F2661">
        <w:rPr>
          <w:rFonts w:ascii="Times New Roman" w:hAnsi="Times New Roman" w:cs="Times New Roman"/>
          <w:sz w:val="24"/>
          <w:szCs w:val="24"/>
        </w:rPr>
        <w:t xml:space="preserve">, staff is satisfied </w:t>
      </w:r>
      <w:r w:rsidR="00900106">
        <w:rPr>
          <w:rFonts w:ascii="Times New Roman" w:hAnsi="Times New Roman" w:cs="Times New Roman"/>
          <w:sz w:val="24"/>
          <w:szCs w:val="24"/>
        </w:rPr>
        <w:t xml:space="preserve">that the </w:t>
      </w:r>
      <w:r w:rsidR="004A0D42">
        <w:rPr>
          <w:rFonts w:ascii="Times New Roman" w:hAnsi="Times New Roman" w:cs="Times New Roman"/>
          <w:sz w:val="24"/>
          <w:szCs w:val="24"/>
        </w:rPr>
        <w:t xml:space="preserve">rebates paid </w:t>
      </w:r>
      <w:r w:rsidR="00A367F2">
        <w:rPr>
          <w:rFonts w:ascii="Times New Roman" w:hAnsi="Times New Roman" w:cs="Times New Roman"/>
          <w:sz w:val="24"/>
          <w:szCs w:val="24"/>
        </w:rPr>
        <w:t xml:space="preserve">at the </w:t>
      </w:r>
      <w:r w:rsidR="00A367F2" w:rsidRPr="008C5FBB">
        <w:rPr>
          <w:rFonts w:ascii="Times New Roman" w:hAnsi="Times New Roman" w:cs="Times New Roman"/>
          <w:sz w:val="24"/>
          <w:szCs w:val="24"/>
        </w:rPr>
        <w:t xml:space="preserve">higher $15 incentive level </w:t>
      </w:r>
      <w:r w:rsidR="00EC0601">
        <w:rPr>
          <w:rFonts w:ascii="Times New Roman" w:hAnsi="Times New Roman" w:cs="Times New Roman"/>
          <w:sz w:val="24"/>
          <w:szCs w:val="24"/>
        </w:rPr>
        <w:t>were</w:t>
      </w:r>
      <w:r w:rsidR="00A367F2">
        <w:rPr>
          <w:rFonts w:ascii="Times New Roman" w:hAnsi="Times New Roman" w:cs="Times New Roman"/>
          <w:sz w:val="24"/>
          <w:szCs w:val="24"/>
        </w:rPr>
        <w:t xml:space="preserve"> prudent</w:t>
      </w:r>
      <w:r w:rsidR="006B7A59">
        <w:rPr>
          <w:rFonts w:ascii="Times New Roman" w:hAnsi="Times New Roman" w:cs="Times New Roman"/>
          <w:sz w:val="24"/>
          <w:szCs w:val="24"/>
        </w:rPr>
        <w:t>:</w:t>
      </w:r>
    </w:p>
    <w:p w14:paraId="28D76750" w14:textId="77777777" w:rsidR="006B7A59" w:rsidRPr="006B7A59" w:rsidRDefault="006B7A59" w:rsidP="006B7A59">
      <w:pPr>
        <w:spacing w:after="0" w:line="240" w:lineRule="auto"/>
        <w:rPr>
          <w:rFonts w:ascii="Times New Roman" w:hAnsi="Times New Roman" w:cs="Times New Roman"/>
          <w:sz w:val="24"/>
          <w:szCs w:val="24"/>
        </w:rPr>
      </w:pPr>
    </w:p>
    <w:p w14:paraId="28D76751" w14:textId="4B2D6FD8" w:rsidR="006B7A59" w:rsidRPr="006B7A59" w:rsidRDefault="006B7A59" w:rsidP="00ED2158">
      <w:pPr>
        <w:pStyle w:val="ListParagraph"/>
        <w:numPr>
          <w:ilvl w:val="0"/>
          <w:numId w:val="8"/>
        </w:numPr>
        <w:tabs>
          <w:tab w:val="decimal" w:pos="4680"/>
        </w:tabs>
        <w:spacing w:after="0" w:line="240" w:lineRule="auto"/>
        <w:rPr>
          <w:rFonts w:ascii="Times New Roman" w:hAnsi="Times New Roman" w:cs="Times New Roman"/>
          <w:sz w:val="24"/>
          <w:szCs w:val="24"/>
        </w:rPr>
      </w:pPr>
      <w:r w:rsidRPr="006B7A59">
        <w:rPr>
          <w:rFonts w:ascii="Times New Roman" w:hAnsi="Times New Roman" w:cs="Times New Roman"/>
          <w:sz w:val="24"/>
          <w:szCs w:val="24"/>
        </w:rPr>
        <w:t>8w-15w Lamps</w:t>
      </w:r>
      <w:r w:rsidR="00814963">
        <w:rPr>
          <w:rFonts w:ascii="Times New Roman" w:hAnsi="Times New Roman" w:cs="Times New Roman"/>
          <w:sz w:val="24"/>
          <w:szCs w:val="24"/>
        </w:rPr>
        <w:t xml:space="preserve"> ($15 rebate)</w:t>
      </w:r>
      <w:r w:rsidRPr="006B7A59">
        <w:rPr>
          <w:rFonts w:ascii="Times New Roman" w:hAnsi="Times New Roman" w:cs="Times New Roman"/>
          <w:sz w:val="24"/>
          <w:szCs w:val="24"/>
        </w:rPr>
        <w:t>:</w:t>
      </w:r>
      <w:r w:rsidRPr="006B7A59">
        <w:rPr>
          <w:rFonts w:ascii="Times New Roman" w:hAnsi="Times New Roman" w:cs="Times New Roman"/>
          <w:sz w:val="24"/>
          <w:szCs w:val="24"/>
        </w:rPr>
        <w:tab/>
        <w:t>364,167 units</w:t>
      </w:r>
      <w:r w:rsidR="00294D1A">
        <w:rPr>
          <w:rFonts w:ascii="Times New Roman" w:hAnsi="Times New Roman" w:cs="Times New Roman"/>
          <w:sz w:val="24"/>
          <w:szCs w:val="24"/>
        </w:rPr>
        <w:t xml:space="preserve"> (273,008 </w:t>
      </w:r>
      <w:r w:rsidR="00517A94">
        <w:rPr>
          <w:rFonts w:ascii="Times New Roman" w:hAnsi="Times New Roman" w:cs="Times New Roman"/>
          <w:sz w:val="24"/>
          <w:szCs w:val="24"/>
        </w:rPr>
        <w:t xml:space="preserve">were </w:t>
      </w:r>
      <w:r w:rsidR="00294D1A">
        <w:rPr>
          <w:rFonts w:ascii="Times New Roman" w:hAnsi="Times New Roman" w:cs="Times New Roman"/>
          <w:sz w:val="24"/>
          <w:szCs w:val="24"/>
        </w:rPr>
        <w:t>12w</w:t>
      </w:r>
      <w:r w:rsidR="00517A94">
        <w:rPr>
          <w:rFonts w:ascii="Times New Roman" w:hAnsi="Times New Roman" w:cs="Times New Roman"/>
          <w:sz w:val="24"/>
          <w:szCs w:val="24"/>
        </w:rPr>
        <w:t xml:space="preserve"> lamps</w:t>
      </w:r>
      <w:r w:rsidR="00294D1A">
        <w:rPr>
          <w:rFonts w:ascii="Times New Roman" w:hAnsi="Times New Roman" w:cs="Times New Roman"/>
          <w:sz w:val="24"/>
          <w:szCs w:val="24"/>
        </w:rPr>
        <w:t>)</w:t>
      </w:r>
    </w:p>
    <w:p w14:paraId="28D76752" w14:textId="11240763" w:rsidR="006B7A59" w:rsidRPr="006B7A59" w:rsidRDefault="00ED2158" w:rsidP="00ED2158">
      <w:pPr>
        <w:pStyle w:val="ListParagraph"/>
        <w:numPr>
          <w:ilvl w:val="0"/>
          <w:numId w:val="8"/>
        </w:numPr>
        <w:tabs>
          <w:tab w:val="decimal" w:pos="4680"/>
        </w:tabs>
        <w:spacing w:after="0" w:line="240" w:lineRule="auto"/>
        <w:rPr>
          <w:rFonts w:ascii="Times New Roman" w:hAnsi="Times New Roman" w:cs="Times New Roman"/>
          <w:sz w:val="24"/>
          <w:szCs w:val="24"/>
        </w:rPr>
      </w:pPr>
      <w:r w:rsidRPr="00ED215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E3C1AD0" wp14:editId="41940BC5">
                <wp:simplePos x="0" y="0"/>
                <wp:positionH relativeFrom="column">
                  <wp:posOffset>2446020</wp:posOffset>
                </wp:positionH>
                <wp:positionV relativeFrom="paragraph">
                  <wp:posOffset>175895</wp:posOffset>
                </wp:positionV>
                <wp:extent cx="5410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4102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F078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6pt,13.85pt" to="235.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" strokecolor="black [3200]" strokeweight="1pt">
                <v:stroke joinstyle="miter"/>
              </v:line>
            </w:pict>
          </mc:Fallback>
        </mc:AlternateContent>
      </w:r>
      <w:r w:rsidR="006B7A59" w:rsidRPr="006B7A59">
        <w:rPr>
          <w:rFonts w:ascii="Times New Roman" w:hAnsi="Times New Roman" w:cs="Times New Roman"/>
          <w:sz w:val="24"/>
          <w:szCs w:val="24"/>
        </w:rPr>
        <w:t>16w-23w Lamps</w:t>
      </w:r>
      <w:r w:rsidR="00814963">
        <w:rPr>
          <w:rFonts w:ascii="Times New Roman" w:hAnsi="Times New Roman" w:cs="Times New Roman"/>
          <w:sz w:val="24"/>
          <w:szCs w:val="24"/>
        </w:rPr>
        <w:t xml:space="preserve"> ($10 rebate)</w:t>
      </w:r>
      <w:r w:rsidR="006B7A59" w:rsidRPr="006B7A59">
        <w:rPr>
          <w:rFonts w:ascii="Times New Roman" w:hAnsi="Times New Roman" w:cs="Times New Roman"/>
          <w:sz w:val="24"/>
          <w:szCs w:val="24"/>
        </w:rPr>
        <w:t>:</w:t>
      </w:r>
      <w:r w:rsidR="006B7A59" w:rsidRPr="006B7A59">
        <w:rPr>
          <w:rFonts w:ascii="Times New Roman" w:hAnsi="Times New Roman" w:cs="Times New Roman"/>
          <w:sz w:val="24"/>
          <w:szCs w:val="24"/>
        </w:rPr>
        <w:tab/>
      </w:r>
      <w:r w:rsidR="006B7A59" w:rsidRPr="00ED2158">
        <w:rPr>
          <w:rFonts w:ascii="Times New Roman" w:hAnsi="Times New Roman" w:cs="Times New Roman"/>
          <w:sz w:val="24"/>
          <w:szCs w:val="24"/>
        </w:rPr>
        <w:t>23,394 units</w:t>
      </w:r>
    </w:p>
    <w:p w14:paraId="28D76753" w14:textId="72F3F66E" w:rsidR="006B7A59" w:rsidRPr="006B7A59" w:rsidRDefault="00ED2158" w:rsidP="00ED2158">
      <w:pPr>
        <w:pStyle w:val="ListParagraph"/>
        <w:numPr>
          <w:ilvl w:val="0"/>
          <w:numId w:val="8"/>
        </w:numPr>
        <w:tabs>
          <w:tab w:val="decimal" w:pos="4680"/>
        </w:tabs>
        <w:spacing w:after="0" w:line="240" w:lineRule="auto"/>
        <w:rPr>
          <w:rFonts w:ascii="Times New Roman" w:hAnsi="Times New Roman" w:cs="Times New Roman"/>
          <w:sz w:val="24"/>
          <w:szCs w:val="24"/>
        </w:rPr>
      </w:pPr>
      <w:r>
        <w:rPr>
          <w:rFonts w:ascii="Times New Roman" w:hAnsi="Times New Roman" w:cs="Times New Roman"/>
          <w:sz w:val="24"/>
          <w:szCs w:val="24"/>
        </w:rPr>
        <w:t>Total Lamps:</w:t>
      </w:r>
      <w:r w:rsidR="00814963">
        <w:rPr>
          <w:rFonts w:ascii="Times New Roman" w:hAnsi="Times New Roman" w:cs="Times New Roman"/>
          <w:sz w:val="24"/>
          <w:szCs w:val="24"/>
        </w:rPr>
        <w:tab/>
      </w:r>
      <w:r w:rsidR="006B7A59" w:rsidRPr="006B7A59">
        <w:rPr>
          <w:rFonts w:ascii="Times New Roman" w:hAnsi="Times New Roman" w:cs="Times New Roman"/>
          <w:sz w:val="24"/>
          <w:szCs w:val="24"/>
        </w:rPr>
        <w:t>387,561 units</w:t>
      </w:r>
      <w:r w:rsidR="005325E0">
        <w:rPr>
          <w:rStyle w:val="FootnoteReference"/>
          <w:rFonts w:ascii="Times New Roman" w:hAnsi="Times New Roman" w:cs="Times New Roman"/>
          <w:sz w:val="24"/>
          <w:szCs w:val="24"/>
        </w:rPr>
        <w:footnoteReference w:id="15"/>
      </w:r>
    </w:p>
    <w:p w14:paraId="28D76754" w14:textId="77777777" w:rsidR="00517A94" w:rsidRDefault="00517A94" w:rsidP="009E18D3">
      <w:pPr>
        <w:spacing w:after="0" w:line="240" w:lineRule="auto"/>
        <w:rPr>
          <w:rFonts w:ascii="Times New Roman" w:hAnsi="Times New Roman" w:cs="Times New Roman"/>
          <w:sz w:val="24"/>
          <w:szCs w:val="24"/>
        </w:rPr>
      </w:pPr>
    </w:p>
    <w:p w14:paraId="28D76755" w14:textId="747D87D4" w:rsidR="00C42779" w:rsidRDefault="00C42779" w:rsidP="00C427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Avista is expected to keep adequate, detailed records that allow the commission to evaluate the company’s decision making process. </w:t>
      </w:r>
      <w:r w:rsidR="002B02F3">
        <w:rPr>
          <w:rFonts w:ascii="Times New Roman" w:hAnsi="Times New Roman" w:cs="Times New Roman"/>
          <w:sz w:val="24"/>
          <w:szCs w:val="24"/>
        </w:rPr>
        <w:t>A</w:t>
      </w:r>
      <w:r>
        <w:rPr>
          <w:rFonts w:ascii="Times New Roman" w:hAnsi="Times New Roman" w:cs="Times New Roman"/>
          <w:sz w:val="24"/>
          <w:szCs w:val="24"/>
        </w:rPr>
        <w:t xml:space="preserve">vista </w:t>
      </w:r>
      <w:r w:rsidR="00F1525A">
        <w:rPr>
          <w:rFonts w:ascii="Times New Roman" w:hAnsi="Times New Roman" w:cs="Times New Roman"/>
          <w:sz w:val="24"/>
          <w:szCs w:val="24"/>
        </w:rPr>
        <w:t xml:space="preserve">kept </w:t>
      </w:r>
      <w:r w:rsidR="002B02F3">
        <w:rPr>
          <w:rFonts w:ascii="Times New Roman" w:hAnsi="Times New Roman" w:cs="Times New Roman"/>
          <w:sz w:val="24"/>
          <w:szCs w:val="24"/>
        </w:rPr>
        <w:t>the TLED rebate data</w:t>
      </w:r>
      <w:r w:rsidR="008F4567">
        <w:rPr>
          <w:rFonts w:ascii="Times New Roman" w:hAnsi="Times New Roman" w:cs="Times New Roman"/>
          <w:sz w:val="24"/>
          <w:szCs w:val="24"/>
        </w:rPr>
        <w:t xml:space="preserve">; however, </w:t>
      </w:r>
      <w:r>
        <w:rPr>
          <w:rFonts w:ascii="Times New Roman" w:hAnsi="Times New Roman" w:cs="Times New Roman"/>
          <w:sz w:val="24"/>
          <w:szCs w:val="24"/>
        </w:rPr>
        <w:t xml:space="preserve">it did not </w:t>
      </w:r>
      <w:r w:rsidR="00F1525A">
        <w:rPr>
          <w:rFonts w:ascii="Times New Roman" w:hAnsi="Times New Roman" w:cs="Times New Roman"/>
          <w:sz w:val="24"/>
          <w:szCs w:val="24"/>
        </w:rPr>
        <w:t>track it</w:t>
      </w:r>
      <w:r>
        <w:rPr>
          <w:rFonts w:ascii="Times New Roman" w:hAnsi="Times New Roman" w:cs="Times New Roman"/>
          <w:sz w:val="24"/>
          <w:szCs w:val="24"/>
        </w:rPr>
        <w:t xml:space="preserve"> via a spreadsheet or database upon initial processing. A</w:t>
      </w:r>
      <w:r w:rsidRPr="00C55D91">
        <w:rPr>
          <w:rFonts w:ascii="Times New Roman" w:hAnsi="Times New Roman" w:cs="Times New Roman"/>
          <w:sz w:val="24"/>
          <w:szCs w:val="24"/>
        </w:rPr>
        <w:t xml:space="preserve">t the time of the audit, </w:t>
      </w:r>
      <w:r>
        <w:rPr>
          <w:rFonts w:ascii="Times New Roman" w:hAnsi="Times New Roman" w:cs="Times New Roman"/>
          <w:sz w:val="24"/>
          <w:szCs w:val="24"/>
        </w:rPr>
        <w:t>Avista</w:t>
      </w:r>
      <w:r w:rsidRPr="00C55D91">
        <w:rPr>
          <w:rFonts w:ascii="Times New Roman" w:hAnsi="Times New Roman" w:cs="Times New Roman"/>
          <w:sz w:val="24"/>
          <w:szCs w:val="24"/>
        </w:rPr>
        <w:t xml:space="preserve"> could not readily produce the quantity of rebate</w:t>
      </w:r>
      <w:r w:rsidR="0016466B">
        <w:rPr>
          <w:rFonts w:ascii="Times New Roman" w:hAnsi="Times New Roman" w:cs="Times New Roman"/>
          <w:sz w:val="24"/>
          <w:szCs w:val="24"/>
        </w:rPr>
        <w:t>s paid at the different levels. In order t</w:t>
      </w:r>
      <w:r w:rsidR="0016466B" w:rsidRPr="00676B80">
        <w:rPr>
          <w:rFonts w:ascii="Times New Roman" w:hAnsi="Times New Roman" w:cs="Times New Roman"/>
          <w:sz w:val="24"/>
          <w:szCs w:val="24"/>
        </w:rPr>
        <w:t xml:space="preserve">o </w:t>
      </w:r>
      <w:r w:rsidR="0016466B">
        <w:rPr>
          <w:rFonts w:ascii="Times New Roman" w:hAnsi="Times New Roman" w:cs="Times New Roman"/>
          <w:sz w:val="24"/>
          <w:szCs w:val="24"/>
        </w:rPr>
        <w:t>determine the</w:t>
      </w:r>
      <w:r w:rsidR="0016466B" w:rsidRPr="00C55D91">
        <w:rPr>
          <w:rFonts w:ascii="Times New Roman" w:hAnsi="Times New Roman" w:cs="Times New Roman"/>
          <w:sz w:val="24"/>
          <w:szCs w:val="24"/>
        </w:rPr>
        <w:t xml:space="preserve"> quantity of rebates paid at the $10 and $15 </w:t>
      </w:r>
      <w:r w:rsidR="0016466B" w:rsidRPr="00905A67">
        <w:rPr>
          <w:rFonts w:ascii="Times New Roman" w:hAnsi="Times New Roman" w:cs="Times New Roman"/>
          <w:sz w:val="24"/>
          <w:szCs w:val="24"/>
        </w:rPr>
        <w:t>level</w:t>
      </w:r>
      <w:r w:rsidR="0016466B">
        <w:rPr>
          <w:rFonts w:ascii="Times New Roman" w:hAnsi="Times New Roman" w:cs="Times New Roman"/>
          <w:sz w:val="24"/>
          <w:szCs w:val="24"/>
        </w:rPr>
        <w:t>, t</w:t>
      </w:r>
      <w:r w:rsidR="00663A63">
        <w:rPr>
          <w:rFonts w:ascii="Times New Roman" w:hAnsi="Times New Roman" w:cs="Times New Roman"/>
          <w:sz w:val="24"/>
          <w:szCs w:val="24"/>
        </w:rPr>
        <w:t xml:space="preserve">he company had </w:t>
      </w:r>
      <w:r w:rsidR="002B02F3">
        <w:rPr>
          <w:rFonts w:ascii="Times New Roman" w:hAnsi="Times New Roman" w:cs="Times New Roman"/>
          <w:sz w:val="24"/>
          <w:szCs w:val="24"/>
        </w:rPr>
        <w:t>to undertake a cumbersome, by-</w:t>
      </w:r>
      <w:r w:rsidR="008F4567">
        <w:rPr>
          <w:rFonts w:ascii="Times New Roman" w:hAnsi="Times New Roman" w:cs="Times New Roman"/>
          <w:sz w:val="24"/>
          <w:szCs w:val="24"/>
        </w:rPr>
        <w:t>hand</w:t>
      </w:r>
      <w:r w:rsidR="002B02F3">
        <w:rPr>
          <w:rFonts w:ascii="Times New Roman" w:hAnsi="Times New Roman" w:cs="Times New Roman"/>
          <w:sz w:val="24"/>
          <w:szCs w:val="24"/>
        </w:rPr>
        <w:t>, record retrieval process for</w:t>
      </w:r>
      <w:r w:rsidR="006F30A4">
        <w:rPr>
          <w:rFonts w:ascii="Times New Roman" w:hAnsi="Times New Roman" w:cs="Times New Roman"/>
          <w:sz w:val="24"/>
          <w:szCs w:val="24"/>
        </w:rPr>
        <w:t xml:space="preserve"> </w:t>
      </w:r>
      <w:r>
        <w:rPr>
          <w:rFonts w:ascii="Times New Roman" w:hAnsi="Times New Roman" w:cs="Times New Roman"/>
          <w:sz w:val="24"/>
          <w:szCs w:val="24"/>
        </w:rPr>
        <w:t>o</w:t>
      </w:r>
      <w:r w:rsidRPr="00C55D91">
        <w:rPr>
          <w:rFonts w:ascii="Times New Roman" w:hAnsi="Times New Roman" w:cs="Times New Roman"/>
          <w:sz w:val="24"/>
          <w:szCs w:val="24"/>
        </w:rPr>
        <w:t>ver 1,100 commercial interior lighting prescriptive rebate forms</w:t>
      </w:r>
      <w:r>
        <w:rPr>
          <w:rFonts w:ascii="Times New Roman" w:hAnsi="Times New Roman" w:cs="Times New Roman"/>
          <w:sz w:val="24"/>
          <w:szCs w:val="24"/>
        </w:rPr>
        <w:t>.</w:t>
      </w:r>
      <w:r w:rsidRPr="00905A67">
        <w:rPr>
          <w:rFonts w:ascii="Times New Roman" w:hAnsi="Times New Roman" w:cs="Times New Roman"/>
          <w:sz w:val="24"/>
          <w:szCs w:val="24"/>
        </w:rPr>
        <w:t xml:space="preserve"> </w:t>
      </w:r>
      <w:r>
        <w:rPr>
          <w:rFonts w:ascii="Times New Roman" w:hAnsi="Times New Roman" w:cs="Times New Roman"/>
          <w:sz w:val="24"/>
          <w:szCs w:val="24"/>
        </w:rPr>
        <w:t>S</w:t>
      </w:r>
      <w:r w:rsidRPr="00905A67">
        <w:rPr>
          <w:rFonts w:ascii="Times New Roman" w:hAnsi="Times New Roman" w:cs="Times New Roman"/>
          <w:sz w:val="24"/>
          <w:szCs w:val="24"/>
        </w:rPr>
        <w:t xml:space="preserve">taff encourages the company, particularly its Demand Side Management </w:t>
      </w:r>
      <w:r w:rsidR="000D20AD">
        <w:rPr>
          <w:rFonts w:ascii="Times New Roman" w:hAnsi="Times New Roman" w:cs="Times New Roman"/>
          <w:sz w:val="24"/>
          <w:szCs w:val="24"/>
        </w:rPr>
        <w:t>(DSM) group, to explore ways of</w:t>
      </w:r>
      <w:r w:rsidRPr="00905A67">
        <w:rPr>
          <w:rFonts w:ascii="Times New Roman" w:hAnsi="Times New Roman" w:cs="Times New Roman"/>
          <w:sz w:val="24"/>
          <w:szCs w:val="24"/>
        </w:rPr>
        <w:t xml:space="preserve"> b</w:t>
      </w:r>
      <w:r>
        <w:rPr>
          <w:rFonts w:ascii="Times New Roman" w:hAnsi="Times New Roman" w:cs="Times New Roman"/>
          <w:sz w:val="24"/>
          <w:szCs w:val="24"/>
        </w:rPr>
        <w:t xml:space="preserve">etter record keeping and rebate processing. </w:t>
      </w:r>
    </w:p>
    <w:p w14:paraId="28D76756" w14:textId="77777777" w:rsidR="00C42779" w:rsidRDefault="00C42779" w:rsidP="00C42779">
      <w:pPr>
        <w:spacing w:after="0" w:line="240" w:lineRule="auto"/>
        <w:rPr>
          <w:rFonts w:ascii="Times New Roman" w:hAnsi="Times New Roman" w:cs="Times New Roman"/>
          <w:sz w:val="24"/>
          <w:szCs w:val="24"/>
        </w:rPr>
      </w:pPr>
    </w:p>
    <w:p w14:paraId="28D76757" w14:textId="77777777" w:rsidR="00BB4727" w:rsidRPr="00BB4727" w:rsidRDefault="00485E50" w:rsidP="00FE55D1">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Improved </w:t>
      </w:r>
      <w:r w:rsidR="00BB4727">
        <w:rPr>
          <w:rFonts w:ascii="Times New Roman" w:hAnsi="Times New Roman" w:cs="Times New Roman"/>
          <w:b/>
          <w:i/>
          <w:sz w:val="24"/>
          <w:szCs w:val="24"/>
        </w:rPr>
        <w:t xml:space="preserve">Documentation </w:t>
      </w:r>
      <w:r w:rsidR="00BB4727" w:rsidRPr="00BB4727">
        <w:rPr>
          <w:rFonts w:ascii="Times New Roman" w:hAnsi="Times New Roman" w:cs="Times New Roman"/>
          <w:b/>
          <w:i/>
          <w:sz w:val="24"/>
          <w:szCs w:val="24"/>
        </w:rPr>
        <w:t xml:space="preserve">and </w:t>
      </w:r>
      <w:r w:rsidR="005F2661">
        <w:rPr>
          <w:rFonts w:ascii="Times New Roman" w:hAnsi="Times New Roman" w:cs="Times New Roman"/>
          <w:b/>
          <w:i/>
          <w:sz w:val="24"/>
          <w:szCs w:val="24"/>
        </w:rPr>
        <w:t xml:space="preserve">Advisory Group </w:t>
      </w:r>
      <w:r w:rsidR="00BB4727" w:rsidRPr="00BB4727">
        <w:rPr>
          <w:rFonts w:ascii="Times New Roman" w:hAnsi="Times New Roman" w:cs="Times New Roman"/>
          <w:b/>
          <w:i/>
          <w:sz w:val="24"/>
          <w:szCs w:val="24"/>
        </w:rPr>
        <w:t>Communication</w:t>
      </w:r>
    </w:p>
    <w:p w14:paraId="28D76758" w14:textId="77777777" w:rsidR="00073559" w:rsidRDefault="00073559" w:rsidP="00FE55D1">
      <w:pPr>
        <w:spacing w:after="0" w:line="240" w:lineRule="auto"/>
        <w:rPr>
          <w:rFonts w:ascii="Times New Roman" w:hAnsi="Times New Roman" w:cs="Times New Roman"/>
          <w:sz w:val="24"/>
          <w:szCs w:val="24"/>
        </w:rPr>
      </w:pPr>
    </w:p>
    <w:p w14:paraId="28D76759" w14:textId="66888D44" w:rsidR="00BB4727" w:rsidRDefault="00E45485" w:rsidP="00FE55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June 29, 2017, Avista </w:t>
      </w:r>
      <w:r w:rsidR="00517A94">
        <w:rPr>
          <w:rFonts w:ascii="Times New Roman" w:hAnsi="Times New Roman" w:cs="Times New Roman"/>
          <w:sz w:val="24"/>
          <w:szCs w:val="24"/>
        </w:rPr>
        <w:t xml:space="preserve">representatives met in person with commission staff </w:t>
      </w:r>
      <w:r>
        <w:rPr>
          <w:rFonts w:ascii="Times New Roman" w:hAnsi="Times New Roman" w:cs="Times New Roman"/>
          <w:sz w:val="24"/>
          <w:szCs w:val="24"/>
        </w:rPr>
        <w:t>and ren</w:t>
      </w:r>
      <w:r w:rsidR="00517A94">
        <w:rPr>
          <w:rFonts w:ascii="Times New Roman" w:hAnsi="Times New Roman" w:cs="Times New Roman"/>
          <w:sz w:val="24"/>
          <w:szCs w:val="24"/>
        </w:rPr>
        <w:t xml:space="preserve">ewed their commitment </w:t>
      </w:r>
      <w:r w:rsidR="00814963">
        <w:rPr>
          <w:rFonts w:ascii="Times New Roman" w:hAnsi="Times New Roman" w:cs="Times New Roman"/>
          <w:sz w:val="24"/>
          <w:szCs w:val="24"/>
        </w:rPr>
        <w:t xml:space="preserve">to more open communication </w:t>
      </w:r>
      <w:r w:rsidR="00CA3BC9">
        <w:rPr>
          <w:rFonts w:ascii="Times New Roman" w:hAnsi="Times New Roman" w:cs="Times New Roman"/>
          <w:sz w:val="24"/>
          <w:szCs w:val="24"/>
        </w:rPr>
        <w:t xml:space="preserve">with the DSM </w:t>
      </w:r>
      <w:r w:rsidR="005325E0">
        <w:rPr>
          <w:rFonts w:ascii="Times New Roman" w:hAnsi="Times New Roman" w:cs="Times New Roman"/>
          <w:sz w:val="24"/>
          <w:szCs w:val="24"/>
        </w:rPr>
        <w:t xml:space="preserve">Advisory Group, including </w:t>
      </w:r>
      <w:r w:rsidR="00CA3BC9">
        <w:rPr>
          <w:rFonts w:ascii="Times New Roman" w:hAnsi="Times New Roman" w:cs="Times New Roman"/>
          <w:sz w:val="24"/>
          <w:szCs w:val="24"/>
        </w:rPr>
        <w:t>more frequent Advisory G</w:t>
      </w:r>
      <w:r w:rsidR="00517A94">
        <w:rPr>
          <w:rFonts w:ascii="Times New Roman" w:hAnsi="Times New Roman" w:cs="Times New Roman"/>
          <w:sz w:val="24"/>
          <w:szCs w:val="24"/>
        </w:rPr>
        <w:t xml:space="preserve">roup check-ins. </w:t>
      </w:r>
      <w:r w:rsidR="00BB4727">
        <w:rPr>
          <w:rFonts w:ascii="Times New Roman" w:hAnsi="Times New Roman" w:cs="Times New Roman"/>
          <w:sz w:val="24"/>
          <w:szCs w:val="24"/>
        </w:rPr>
        <w:t xml:space="preserve">Further, the company </w:t>
      </w:r>
      <w:r w:rsidR="00FD707A">
        <w:rPr>
          <w:rFonts w:ascii="Times New Roman" w:hAnsi="Times New Roman" w:cs="Times New Roman"/>
          <w:sz w:val="24"/>
          <w:szCs w:val="24"/>
        </w:rPr>
        <w:t xml:space="preserve">indicated that an improved </w:t>
      </w:r>
      <w:r w:rsidR="007E3C03">
        <w:rPr>
          <w:rFonts w:ascii="Times New Roman" w:hAnsi="Times New Roman" w:cs="Times New Roman"/>
          <w:sz w:val="24"/>
          <w:szCs w:val="24"/>
        </w:rPr>
        <w:t>demand side database</w:t>
      </w:r>
      <w:r w:rsidR="00BB4727">
        <w:rPr>
          <w:rFonts w:ascii="Times New Roman" w:hAnsi="Times New Roman" w:cs="Times New Roman"/>
          <w:sz w:val="24"/>
          <w:szCs w:val="24"/>
        </w:rPr>
        <w:t xml:space="preserve"> is under</w:t>
      </w:r>
      <w:r w:rsidR="00FD707A">
        <w:rPr>
          <w:rFonts w:ascii="Times New Roman" w:hAnsi="Times New Roman" w:cs="Times New Roman"/>
          <w:sz w:val="24"/>
          <w:szCs w:val="24"/>
        </w:rPr>
        <w:t xml:space="preserve"> development</w:t>
      </w:r>
      <w:r w:rsidR="00BB4727">
        <w:rPr>
          <w:rFonts w:ascii="Times New Roman" w:hAnsi="Times New Roman" w:cs="Times New Roman"/>
          <w:sz w:val="24"/>
          <w:szCs w:val="24"/>
        </w:rPr>
        <w:t xml:space="preserve"> and </w:t>
      </w:r>
      <w:r w:rsidR="007E3C03">
        <w:rPr>
          <w:rFonts w:ascii="Times New Roman" w:hAnsi="Times New Roman" w:cs="Times New Roman"/>
          <w:sz w:val="24"/>
          <w:szCs w:val="24"/>
        </w:rPr>
        <w:t>should eliminate the time lag issue encoun</w:t>
      </w:r>
      <w:r w:rsidR="00FD707A">
        <w:rPr>
          <w:rFonts w:ascii="Times New Roman" w:hAnsi="Times New Roman" w:cs="Times New Roman"/>
          <w:sz w:val="24"/>
          <w:szCs w:val="24"/>
        </w:rPr>
        <w:t>tered with staff’s TLED rebate data request</w:t>
      </w:r>
      <w:r w:rsidR="007E3C03">
        <w:rPr>
          <w:rFonts w:ascii="Times New Roman" w:hAnsi="Times New Roman" w:cs="Times New Roman"/>
          <w:sz w:val="24"/>
          <w:szCs w:val="24"/>
        </w:rPr>
        <w:t xml:space="preserve">. </w:t>
      </w:r>
    </w:p>
    <w:p w14:paraId="5A97E7BF" w14:textId="77777777" w:rsidR="007A3E5D" w:rsidRDefault="007A3E5D" w:rsidP="00FE55D1">
      <w:pPr>
        <w:spacing w:after="0" w:line="240" w:lineRule="auto"/>
        <w:rPr>
          <w:rFonts w:ascii="Times New Roman" w:hAnsi="Times New Roman" w:cs="Times New Roman"/>
          <w:sz w:val="24"/>
          <w:szCs w:val="24"/>
        </w:rPr>
      </w:pPr>
    </w:p>
    <w:p w14:paraId="10A26C65" w14:textId="0ED0C6EE" w:rsidR="007A3E5D" w:rsidRDefault="004B7A69" w:rsidP="00FE55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For the</w:t>
      </w:r>
      <w:r w:rsidR="00BB4727">
        <w:rPr>
          <w:rFonts w:ascii="Times New Roman" w:hAnsi="Times New Roman" w:cs="Times New Roman"/>
          <w:sz w:val="24"/>
          <w:szCs w:val="24"/>
        </w:rPr>
        <w:t xml:space="preserve"> </w:t>
      </w:r>
      <w:r>
        <w:rPr>
          <w:rFonts w:ascii="Times New Roman" w:hAnsi="Times New Roman" w:cs="Times New Roman"/>
          <w:sz w:val="24"/>
          <w:szCs w:val="24"/>
        </w:rPr>
        <w:t>s</w:t>
      </w:r>
      <w:r w:rsidR="00BB4727">
        <w:rPr>
          <w:rFonts w:ascii="Times New Roman" w:hAnsi="Times New Roman" w:cs="Times New Roman"/>
          <w:sz w:val="24"/>
          <w:szCs w:val="24"/>
        </w:rPr>
        <w:t>ummer of 2017, the</w:t>
      </w:r>
      <w:r w:rsidR="007E3C03">
        <w:rPr>
          <w:rFonts w:ascii="Times New Roman" w:hAnsi="Times New Roman" w:cs="Times New Roman"/>
          <w:sz w:val="24"/>
          <w:szCs w:val="24"/>
        </w:rPr>
        <w:t xml:space="preserve"> </w:t>
      </w:r>
      <w:r>
        <w:rPr>
          <w:rFonts w:ascii="Times New Roman" w:hAnsi="Times New Roman" w:cs="Times New Roman"/>
          <w:sz w:val="24"/>
          <w:szCs w:val="24"/>
        </w:rPr>
        <w:t xml:space="preserve">company </w:t>
      </w:r>
      <w:r w:rsidR="00517A94">
        <w:rPr>
          <w:rFonts w:ascii="Times New Roman" w:hAnsi="Times New Roman" w:cs="Times New Roman"/>
          <w:sz w:val="24"/>
          <w:szCs w:val="24"/>
        </w:rPr>
        <w:t xml:space="preserve">scheduled several </w:t>
      </w:r>
      <w:r w:rsidR="00F1525A">
        <w:rPr>
          <w:rFonts w:ascii="Times New Roman" w:hAnsi="Times New Roman" w:cs="Times New Roman"/>
          <w:sz w:val="24"/>
          <w:szCs w:val="24"/>
        </w:rPr>
        <w:t>topic-</w:t>
      </w:r>
      <w:r w:rsidR="00814963">
        <w:rPr>
          <w:rFonts w:ascii="Times New Roman" w:hAnsi="Times New Roman" w:cs="Times New Roman"/>
          <w:sz w:val="24"/>
          <w:szCs w:val="24"/>
        </w:rPr>
        <w:t xml:space="preserve">specific </w:t>
      </w:r>
      <w:r w:rsidR="00517A94">
        <w:rPr>
          <w:rFonts w:ascii="Times New Roman" w:hAnsi="Times New Roman" w:cs="Times New Roman"/>
          <w:sz w:val="24"/>
          <w:szCs w:val="24"/>
        </w:rPr>
        <w:t>WebEx Advisory Group meeting</w:t>
      </w:r>
      <w:r w:rsidR="005325E0">
        <w:rPr>
          <w:rFonts w:ascii="Times New Roman" w:hAnsi="Times New Roman" w:cs="Times New Roman"/>
          <w:sz w:val="24"/>
          <w:szCs w:val="24"/>
        </w:rPr>
        <w:t xml:space="preserve">s and initiated </w:t>
      </w:r>
      <w:r w:rsidR="00814963">
        <w:rPr>
          <w:rFonts w:ascii="Times New Roman" w:hAnsi="Times New Roman" w:cs="Times New Roman"/>
          <w:sz w:val="24"/>
          <w:szCs w:val="24"/>
        </w:rPr>
        <w:t xml:space="preserve">a </w:t>
      </w:r>
      <w:r w:rsidR="00517A94">
        <w:rPr>
          <w:rFonts w:ascii="Times New Roman" w:hAnsi="Times New Roman" w:cs="Times New Roman"/>
          <w:sz w:val="24"/>
          <w:szCs w:val="24"/>
        </w:rPr>
        <w:t>standing bi-weekly conference</w:t>
      </w:r>
      <w:r w:rsidR="00814963">
        <w:rPr>
          <w:rFonts w:ascii="Times New Roman" w:hAnsi="Times New Roman" w:cs="Times New Roman"/>
          <w:sz w:val="24"/>
          <w:szCs w:val="24"/>
        </w:rPr>
        <w:t xml:space="preserve"> call</w:t>
      </w:r>
      <w:r>
        <w:rPr>
          <w:rFonts w:ascii="Times New Roman" w:hAnsi="Times New Roman" w:cs="Times New Roman"/>
          <w:sz w:val="24"/>
          <w:szCs w:val="24"/>
        </w:rPr>
        <w:t xml:space="preserve"> with staff to discuss upcoming conservation filings and outstanding issues</w:t>
      </w:r>
      <w:r w:rsidR="00517A94">
        <w:rPr>
          <w:rFonts w:ascii="Times New Roman" w:hAnsi="Times New Roman" w:cs="Times New Roman"/>
          <w:sz w:val="24"/>
          <w:szCs w:val="24"/>
        </w:rPr>
        <w:t>.</w:t>
      </w:r>
      <w:r w:rsidR="00814963">
        <w:rPr>
          <w:rFonts w:ascii="Times New Roman" w:hAnsi="Times New Roman" w:cs="Times New Roman"/>
          <w:sz w:val="24"/>
          <w:szCs w:val="24"/>
        </w:rPr>
        <w:t xml:space="preserve"> Staff is cautiously optimistic that communication with the Advisory Group will improve</w:t>
      </w:r>
      <w:r w:rsidR="005325E0">
        <w:rPr>
          <w:rFonts w:ascii="Times New Roman" w:hAnsi="Times New Roman" w:cs="Times New Roman"/>
          <w:sz w:val="24"/>
          <w:szCs w:val="24"/>
        </w:rPr>
        <w:t xml:space="preserve"> </w:t>
      </w:r>
      <w:r w:rsidR="009F44F5">
        <w:rPr>
          <w:rFonts w:ascii="Times New Roman" w:hAnsi="Times New Roman" w:cs="Times New Roman"/>
          <w:sz w:val="24"/>
          <w:szCs w:val="24"/>
        </w:rPr>
        <w:t xml:space="preserve">and that significant </w:t>
      </w:r>
      <w:r w:rsidR="005F2661">
        <w:rPr>
          <w:rFonts w:ascii="Times New Roman" w:hAnsi="Times New Roman" w:cs="Times New Roman"/>
          <w:sz w:val="24"/>
          <w:szCs w:val="24"/>
        </w:rPr>
        <w:t xml:space="preserve">data request </w:t>
      </w:r>
      <w:r w:rsidR="00D63AEB">
        <w:rPr>
          <w:rFonts w:ascii="Times New Roman" w:hAnsi="Times New Roman" w:cs="Times New Roman"/>
          <w:sz w:val="24"/>
          <w:szCs w:val="24"/>
        </w:rPr>
        <w:t>delays will be minimized</w:t>
      </w:r>
      <w:r w:rsidR="005F2661">
        <w:rPr>
          <w:rFonts w:ascii="Times New Roman" w:hAnsi="Times New Roman" w:cs="Times New Roman"/>
          <w:sz w:val="24"/>
          <w:szCs w:val="24"/>
        </w:rPr>
        <w:t xml:space="preserve"> </w:t>
      </w:r>
      <w:r w:rsidR="009F44F5">
        <w:rPr>
          <w:rFonts w:ascii="Times New Roman" w:hAnsi="Times New Roman" w:cs="Times New Roman"/>
          <w:sz w:val="24"/>
          <w:szCs w:val="24"/>
        </w:rPr>
        <w:t>(</w:t>
      </w:r>
      <w:r w:rsidR="00BE50A0">
        <w:rPr>
          <w:rFonts w:ascii="Times New Roman" w:hAnsi="Times New Roman" w:cs="Times New Roman"/>
          <w:sz w:val="24"/>
          <w:szCs w:val="24"/>
        </w:rPr>
        <w:t>or eliminated</w:t>
      </w:r>
      <w:r w:rsidR="009F44F5">
        <w:rPr>
          <w:rFonts w:ascii="Times New Roman" w:hAnsi="Times New Roman" w:cs="Times New Roman"/>
          <w:sz w:val="24"/>
          <w:szCs w:val="24"/>
        </w:rPr>
        <w:t>)</w:t>
      </w:r>
      <w:r w:rsidR="00BE50A0">
        <w:rPr>
          <w:rFonts w:ascii="Times New Roman" w:hAnsi="Times New Roman" w:cs="Times New Roman"/>
          <w:sz w:val="24"/>
          <w:szCs w:val="24"/>
        </w:rPr>
        <w:t xml:space="preserve"> </w:t>
      </w:r>
      <w:r w:rsidR="005F2661">
        <w:rPr>
          <w:rFonts w:ascii="Times New Roman" w:hAnsi="Times New Roman" w:cs="Times New Roman"/>
          <w:sz w:val="24"/>
          <w:szCs w:val="24"/>
        </w:rPr>
        <w:t xml:space="preserve">with </w:t>
      </w:r>
      <w:r w:rsidR="008656FC">
        <w:rPr>
          <w:rFonts w:ascii="Times New Roman" w:hAnsi="Times New Roman" w:cs="Times New Roman"/>
          <w:sz w:val="24"/>
          <w:szCs w:val="24"/>
        </w:rPr>
        <w:t xml:space="preserve">the </w:t>
      </w:r>
      <w:r w:rsidR="005F2661">
        <w:rPr>
          <w:rFonts w:ascii="Times New Roman" w:hAnsi="Times New Roman" w:cs="Times New Roman"/>
          <w:sz w:val="24"/>
          <w:szCs w:val="24"/>
        </w:rPr>
        <w:t>new database capabilities</w:t>
      </w:r>
      <w:r w:rsidR="00814963">
        <w:rPr>
          <w:rFonts w:ascii="Times New Roman" w:hAnsi="Times New Roman" w:cs="Times New Roman"/>
          <w:sz w:val="24"/>
          <w:szCs w:val="24"/>
        </w:rPr>
        <w:t>.</w:t>
      </w:r>
    </w:p>
    <w:p w14:paraId="28D7675C" w14:textId="77777777" w:rsidR="0067046F" w:rsidRPr="0067046F" w:rsidRDefault="0067046F" w:rsidP="0067046F">
      <w:pPr>
        <w:spacing w:after="0" w:line="240" w:lineRule="auto"/>
        <w:rPr>
          <w:rFonts w:ascii="Times New Roman" w:hAnsi="Times New Roman" w:cs="Times New Roman"/>
          <w:sz w:val="24"/>
          <w:szCs w:val="24"/>
        </w:rPr>
      </w:pPr>
    </w:p>
    <w:p w14:paraId="28D7675D" w14:textId="77777777" w:rsidR="006C7B40" w:rsidRDefault="006C7B40" w:rsidP="003B6555">
      <w:pPr>
        <w:spacing w:after="0" w:line="240" w:lineRule="auto"/>
        <w:rPr>
          <w:rFonts w:ascii="Times New Roman" w:hAnsi="Times New Roman" w:cs="Times New Roman"/>
          <w:b/>
          <w:i/>
          <w:sz w:val="24"/>
          <w:szCs w:val="24"/>
        </w:rPr>
      </w:pPr>
      <w:r>
        <w:rPr>
          <w:rFonts w:ascii="Times New Roman" w:hAnsi="Times New Roman" w:cs="Times New Roman"/>
          <w:b/>
          <w:i/>
          <w:sz w:val="24"/>
          <w:szCs w:val="24"/>
        </w:rPr>
        <w:t>Customer Notification</w:t>
      </w:r>
    </w:p>
    <w:p w14:paraId="28D7675E" w14:textId="77777777" w:rsidR="00C01EBD" w:rsidRDefault="00C01EBD" w:rsidP="003B6555">
      <w:pPr>
        <w:spacing w:after="0" w:line="240" w:lineRule="auto"/>
        <w:rPr>
          <w:rFonts w:ascii="Times New Roman" w:hAnsi="Times New Roman" w:cs="Times New Roman"/>
          <w:b/>
          <w:i/>
          <w:sz w:val="24"/>
          <w:szCs w:val="24"/>
        </w:rPr>
      </w:pPr>
    </w:p>
    <w:p w14:paraId="28D7675F" w14:textId="21882587" w:rsidR="003B6555" w:rsidRDefault="00EB0587" w:rsidP="003B65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“Notice of Tariff Change” </w:t>
      </w:r>
      <w:r w:rsidR="0044032C">
        <w:rPr>
          <w:rFonts w:ascii="Times New Roman" w:hAnsi="Times New Roman" w:cs="Times New Roman"/>
          <w:sz w:val="24"/>
          <w:szCs w:val="24"/>
        </w:rPr>
        <w:t xml:space="preserve">was </w:t>
      </w:r>
      <w:r>
        <w:rPr>
          <w:rFonts w:ascii="Times New Roman" w:hAnsi="Times New Roman" w:cs="Times New Roman"/>
          <w:sz w:val="24"/>
          <w:szCs w:val="24"/>
        </w:rPr>
        <w:t xml:space="preserve">posted on the company’s </w:t>
      </w:r>
      <w:r w:rsidR="0044032C">
        <w:rPr>
          <w:rFonts w:ascii="Times New Roman" w:hAnsi="Times New Roman" w:cs="Times New Roman"/>
          <w:sz w:val="24"/>
          <w:szCs w:val="24"/>
        </w:rPr>
        <w:t>website coincident with the date</w:t>
      </w:r>
      <w:r w:rsidR="00D40128">
        <w:rPr>
          <w:rFonts w:ascii="Times New Roman" w:hAnsi="Times New Roman" w:cs="Times New Roman"/>
          <w:sz w:val="24"/>
          <w:szCs w:val="24"/>
        </w:rPr>
        <w:t xml:space="preserve"> of this filing. Avista also sent bill inserts </w:t>
      </w:r>
      <w:r>
        <w:rPr>
          <w:rFonts w:ascii="Times New Roman" w:hAnsi="Times New Roman" w:cs="Times New Roman"/>
          <w:sz w:val="24"/>
          <w:szCs w:val="24"/>
        </w:rPr>
        <w:t>to customers regard</w:t>
      </w:r>
      <w:r w:rsidR="004B7A69">
        <w:rPr>
          <w:rFonts w:ascii="Times New Roman" w:hAnsi="Times New Roman" w:cs="Times New Roman"/>
          <w:sz w:val="24"/>
          <w:szCs w:val="24"/>
        </w:rPr>
        <w:t>ing</w:t>
      </w:r>
      <w:r>
        <w:rPr>
          <w:rFonts w:ascii="Times New Roman" w:hAnsi="Times New Roman" w:cs="Times New Roman"/>
          <w:sz w:val="24"/>
          <w:szCs w:val="24"/>
        </w:rPr>
        <w:t xml:space="preserve"> the proposed increase. </w:t>
      </w:r>
      <w:r w:rsidR="004B7A69">
        <w:rPr>
          <w:rFonts w:ascii="Times New Roman" w:hAnsi="Times New Roman" w:cs="Times New Roman"/>
          <w:sz w:val="24"/>
          <w:szCs w:val="24"/>
        </w:rPr>
        <w:t xml:space="preserve">Staff did not receive </w:t>
      </w:r>
      <w:r w:rsidR="00C42779">
        <w:rPr>
          <w:rFonts w:ascii="Times New Roman" w:hAnsi="Times New Roman" w:cs="Times New Roman"/>
          <w:sz w:val="24"/>
          <w:szCs w:val="24"/>
        </w:rPr>
        <w:t>any comments opposing this tariff revision.</w:t>
      </w:r>
      <w:r w:rsidR="0069661E">
        <w:rPr>
          <w:rFonts w:ascii="Times New Roman" w:hAnsi="Times New Roman" w:cs="Times New Roman"/>
          <w:sz w:val="24"/>
          <w:szCs w:val="24"/>
        </w:rPr>
        <w:t xml:space="preserve"> </w:t>
      </w:r>
    </w:p>
    <w:p w14:paraId="7100125F" w14:textId="77777777" w:rsidR="00F1525A" w:rsidRPr="003B6555" w:rsidRDefault="00F1525A" w:rsidP="003B6555">
      <w:pPr>
        <w:spacing w:after="0" w:line="240" w:lineRule="auto"/>
        <w:rPr>
          <w:rFonts w:ascii="Times New Roman" w:hAnsi="Times New Roman" w:cs="Times New Roman"/>
          <w:color w:val="7030A0"/>
          <w:sz w:val="24"/>
          <w:szCs w:val="24"/>
        </w:rPr>
      </w:pPr>
    </w:p>
    <w:p w14:paraId="28D76761" w14:textId="77777777" w:rsidR="0067046F" w:rsidRPr="0067046F" w:rsidRDefault="0067046F" w:rsidP="0067046F">
      <w:pPr>
        <w:spacing w:after="0" w:line="240" w:lineRule="auto"/>
        <w:rPr>
          <w:rFonts w:ascii="Times New Roman" w:hAnsi="Times New Roman" w:cs="Times New Roman"/>
          <w:b/>
          <w:sz w:val="24"/>
          <w:szCs w:val="24"/>
          <w:u w:val="single"/>
        </w:rPr>
      </w:pPr>
      <w:r w:rsidRPr="0067046F">
        <w:rPr>
          <w:rFonts w:ascii="Times New Roman" w:hAnsi="Times New Roman" w:cs="Times New Roman"/>
          <w:b/>
          <w:sz w:val="24"/>
          <w:szCs w:val="24"/>
          <w:u w:val="single"/>
        </w:rPr>
        <w:t>Conclusion</w:t>
      </w:r>
    </w:p>
    <w:p w14:paraId="28D76762" w14:textId="77777777" w:rsidR="0067046F" w:rsidRPr="0067046F" w:rsidRDefault="0067046F" w:rsidP="0067046F">
      <w:pPr>
        <w:spacing w:after="0" w:line="240" w:lineRule="auto"/>
        <w:rPr>
          <w:rFonts w:ascii="Times New Roman" w:hAnsi="Times New Roman" w:cs="Times New Roman"/>
          <w:b/>
          <w:sz w:val="24"/>
          <w:szCs w:val="24"/>
          <w:u w:val="single"/>
        </w:rPr>
      </w:pPr>
    </w:p>
    <w:p w14:paraId="28D76763" w14:textId="3A1AB765" w:rsidR="0067046F" w:rsidRPr="0067046F" w:rsidRDefault="0067046F" w:rsidP="0067046F">
      <w:pPr>
        <w:spacing w:after="0" w:line="240" w:lineRule="auto"/>
        <w:rPr>
          <w:rFonts w:ascii="Times New Roman" w:hAnsi="Times New Roman" w:cs="Times New Roman"/>
          <w:sz w:val="24"/>
          <w:szCs w:val="24"/>
        </w:rPr>
      </w:pPr>
      <w:r w:rsidRPr="0067046F">
        <w:rPr>
          <w:rFonts w:ascii="Times New Roman" w:hAnsi="Times New Roman" w:cs="Times New Roman"/>
          <w:sz w:val="24"/>
          <w:szCs w:val="24"/>
        </w:rPr>
        <w:t>Commission staff has completed</w:t>
      </w:r>
      <w:r w:rsidR="002A46AF">
        <w:rPr>
          <w:rFonts w:ascii="Times New Roman" w:hAnsi="Times New Roman" w:cs="Times New Roman"/>
          <w:sz w:val="24"/>
          <w:szCs w:val="24"/>
        </w:rPr>
        <w:t xml:space="preserve"> a thorough</w:t>
      </w:r>
      <w:r w:rsidRPr="0067046F">
        <w:rPr>
          <w:rFonts w:ascii="Times New Roman" w:hAnsi="Times New Roman" w:cs="Times New Roman"/>
          <w:sz w:val="24"/>
          <w:szCs w:val="24"/>
        </w:rPr>
        <w:t xml:space="preserve"> review of the company’s supporting financial documents and records. </w:t>
      </w:r>
      <w:r w:rsidR="002A46AF">
        <w:rPr>
          <w:rFonts w:ascii="Times New Roman" w:hAnsi="Times New Roman" w:cs="Times New Roman"/>
          <w:sz w:val="24"/>
          <w:szCs w:val="24"/>
        </w:rPr>
        <w:t>Staff recommends the commission take no action, allowing the tariff to go into effect by operation of law.</w:t>
      </w:r>
    </w:p>
    <w:p w14:paraId="28D76764" w14:textId="77777777" w:rsidR="000E51B4" w:rsidRDefault="000E51B4"/>
    <w:sectPr w:rsidR="000E51B4" w:rsidSect="00ED3066">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76767" w14:textId="77777777" w:rsidR="005530CB" w:rsidRDefault="005530CB" w:rsidP="0067046F">
      <w:pPr>
        <w:spacing w:after="0" w:line="240" w:lineRule="auto"/>
      </w:pPr>
      <w:r>
        <w:separator/>
      </w:r>
    </w:p>
  </w:endnote>
  <w:endnote w:type="continuationSeparator" w:id="0">
    <w:p w14:paraId="28D76768" w14:textId="77777777" w:rsidR="005530CB" w:rsidRDefault="005530CB" w:rsidP="0067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428568"/>
      <w:docPartObj>
        <w:docPartGallery w:val="Page Numbers (Bottom of Page)"/>
        <w:docPartUnique/>
      </w:docPartObj>
    </w:sdtPr>
    <w:sdtEndPr>
      <w:rPr>
        <w:rFonts w:ascii="Times New Roman" w:hAnsi="Times New Roman" w:cs="Times New Roman"/>
        <w:noProof/>
        <w:sz w:val="20"/>
        <w:szCs w:val="20"/>
      </w:rPr>
    </w:sdtEndPr>
    <w:sdtContent>
      <w:p w14:paraId="28D7676D" w14:textId="77777777" w:rsidR="005530CB" w:rsidRPr="005E0D8D" w:rsidRDefault="005530CB">
        <w:pPr>
          <w:pStyle w:val="Footer"/>
          <w:jc w:val="right"/>
          <w:rPr>
            <w:rFonts w:ascii="Times New Roman" w:hAnsi="Times New Roman" w:cs="Times New Roman"/>
            <w:sz w:val="20"/>
            <w:szCs w:val="20"/>
          </w:rPr>
        </w:pPr>
        <w:r w:rsidRPr="005E0D8D">
          <w:rPr>
            <w:rFonts w:ascii="Times New Roman" w:hAnsi="Times New Roman" w:cs="Times New Roman"/>
            <w:sz w:val="20"/>
            <w:szCs w:val="20"/>
          </w:rPr>
          <w:fldChar w:fldCharType="begin"/>
        </w:r>
        <w:r w:rsidRPr="005E0D8D">
          <w:rPr>
            <w:rFonts w:ascii="Times New Roman" w:hAnsi="Times New Roman" w:cs="Times New Roman"/>
            <w:sz w:val="20"/>
            <w:szCs w:val="20"/>
          </w:rPr>
          <w:instrText xml:space="preserve"> PAGE   \* MERGEFORMAT </w:instrText>
        </w:r>
        <w:r w:rsidRPr="005E0D8D">
          <w:rPr>
            <w:rFonts w:ascii="Times New Roman" w:hAnsi="Times New Roman" w:cs="Times New Roman"/>
            <w:sz w:val="20"/>
            <w:szCs w:val="20"/>
          </w:rPr>
          <w:fldChar w:fldCharType="separate"/>
        </w:r>
        <w:r w:rsidR="00841C71">
          <w:rPr>
            <w:rFonts w:ascii="Times New Roman" w:hAnsi="Times New Roman" w:cs="Times New Roman"/>
            <w:noProof/>
            <w:sz w:val="20"/>
            <w:szCs w:val="20"/>
          </w:rPr>
          <w:t>2</w:t>
        </w:r>
        <w:r w:rsidRPr="005E0D8D">
          <w:rPr>
            <w:rFonts w:ascii="Times New Roman" w:hAnsi="Times New Roman" w:cs="Times New Roman"/>
            <w:noProof/>
            <w:sz w:val="20"/>
            <w:szCs w:val="20"/>
          </w:rPr>
          <w:fldChar w:fldCharType="end"/>
        </w:r>
      </w:p>
    </w:sdtContent>
  </w:sdt>
  <w:p w14:paraId="28D7676E" w14:textId="77777777" w:rsidR="005530CB" w:rsidRDefault="005530CB">
    <w:pPr>
      <w:pStyle w:val="Footer"/>
    </w:pPr>
  </w:p>
  <w:p w14:paraId="28D7676F" w14:textId="77777777" w:rsidR="005530CB" w:rsidRDefault="005530CB"/>
  <w:p w14:paraId="28D76770" w14:textId="77777777" w:rsidR="005530CB" w:rsidRDefault="00553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76765" w14:textId="77777777" w:rsidR="005530CB" w:rsidRDefault="005530CB" w:rsidP="0067046F">
      <w:pPr>
        <w:spacing w:after="0" w:line="240" w:lineRule="auto"/>
      </w:pPr>
      <w:r>
        <w:separator/>
      </w:r>
    </w:p>
  </w:footnote>
  <w:footnote w:type="continuationSeparator" w:id="0">
    <w:p w14:paraId="28D76766" w14:textId="77777777" w:rsidR="005530CB" w:rsidRDefault="005530CB" w:rsidP="0067046F">
      <w:pPr>
        <w:spacing w:after="0" w:line="240" w:lineRule="auto"/>
      </w:pPr>
      <w:r>
        <w:continuationSeparator/>
      </w:r>
    </w:p>
  </w:footnote>
  <w:footnote w:id="1">
    <w:p w14:paraId="602FD845" w14:textId="77777777" w:rsidR="003F6675" w:rsidRPr="00C413FA" w:rsidRDefault="003F6675" w:rsidP="003F6675">
      <w:pPr>
        <w:pStyle w:val="FootnoteText"/>
        <w:rPr>
          <w:rFonts w:ascii="Times New Roman" w:hAnsi="Times New Roman" w:cs="Times New Roman"/>
        </w:rPr>
      </w:pPr>
      <w:r w:rsidRPr="00C413FA">
        <w:rPr>
          <w:rStyle w:val="FootnoteReference"/>
          <w:rFonts w:ascii="Times New Roman" w:hAnsi="Times New Roman" w:cs="Times New Roman"/>
        </w:rPr>
        <w:footnoteRef/>
      </w:r>
      <w:r w:rsidRPr="00C413FA">
        <w:rPr>
          <w:rFonts w:ascii="Times New Roman" w:hAnsi="Times New Roman" w:cs="Times New Roman"/>
        </w:rPr>
        <w:t xml:space="preserve"> </w:t>
      </w:r>
      <w:r w:rsidRPr="00982922">
        <w:rPr>
          <w:rFonts w:ascii="Times New Roman" w:hAnsi="Times New Roman" w:cs="Times New Roman"/>
          <w:i/>
        </w:rPr>
        <w:t>2016 Annual Conservation Report</w:t>
      </w:r>
      <w:r>
        <w:rPr>
          <w:rFonts w:ascii="Times New Roman" w:hAnsi="Times New Roman" w:cs="Times New Roman"/>
        </w:rPr>
        <w:t>, Dockets UE-152076 and UG-152077, submitted June 1, 2017.</w:t>
      </w:r>
    </w:p>
  </w:footnote>
  <w:footnote w:id="2">
    <w:p w14:paraId="28D76771" w14:textId="79516257" w:rsidR="005530CB" w:rsidRPr="00841B91" w:rsidRDefault="005530CB" w:rsidP="00AD0E47">
      <w:pPr>
        <w:pStyle w:val="FootnoteText"/>
        <w:rPr>
          <w:rFonts w:ascii="Times New Roman" w:hAnsi="Times New Roman" w:cs="Times New Roman"/>
        </w:rPr>
      </w:pPr>
      <w:r w:rsidRPr="00E21206">
        <w:rPr>
          <w:rStyle w:val="FootnoteReference"/>
          <w:rFonts w:ascii="Times New Roman" w:hAnsi="Times New Roman" w:cs="Times New Roman"/>
        </w:rPr>
        <w:footnoteRef/>
      </w:r>
      <w:r w:rsidRPr="00E21206">
        <w:rPr>
          <w:rFonts w:ascii="Times New Roman" w:hAnsi="Times New Roman" w:cs="Times New Roman"/>
        </w:rPr>
        <w:t xml:space="preserve"> </w:t>
      </w:r>
      <w:r w:rsidRPr="00892AA5">
        <w:rPr>
          <w:rFonts w:ascii="Times New Roman" w:hAnsi="Times New Roman" w:cs="Times New Roman"/>
          <w:i/>
        </w:rPr>
        <w:t>Avista</w:t>
      </w:r>
      <w:r>
        <w:rPr>
          <w:rFonts w:ascii="Times New Roman" w:hAnsi="Times New Roman" w:cs="Times New Roman"/>
          <w:i/>
        </w:rPr>
        <w:t xml:space="preserve"> Corporation’s</w:t>
      </w:r>
      <w:r w:rsidRPr="00892AA5">
        <w:rPr>
          <w:rFonts w:ascii="Times New Roman" w:hAnsi="Times New Roman" w:cs="Times New Roman"/>
          <w:i/>
        </w:rPr>
        <w:t xml:space="preserve"> 2017 Annual Conservation Plan</w:t>
      </w:r>
      <w:r>
        <w:rPr>
          <w:rFonts w:ascii="Times New Roman" w:hAnsi="Times New Roman" w:cs="Times New Roman"/>
          <w:i/>
        </w:rPr>
        <w:t>,</w:t>
      </w:r>
      <w:r w:rsidRPr="00AD0E47">
        <w:t xml:space="preserve"> </w:t>
      </w:r>
      <w:r w:rsidRPr="00AD0E47">
        <w:rPr>
          <w:rFonts w:ascii="Times New Roman" w:hAnsi="Times New Roman" w:cs="Times New Roman"/>
        </w:rPr>
        <w:t>submitted on November 15, 2016</w:t>
      </w:r>
      <w:r w:rsidR="00F21C98">
        <w:rPr>
          <w:rFonts w:ascii="Times New Roman" w:hAnsi="Times New Roman" w:cs="Times New Roman"/>
        </w:rPr>
        <w:t>,</w:t>
      </w:r>
      <w:r w:rsidRPr="00AD0E47">
        <w:rPr>
          <w:rFonts w:ascii="Times New Roman" w:hAnsi="Times New Roman" w:cs="Times New Roman"/>
        </w:rPr>
        <w:t xml:space="preserve"> in Docket UE-152076. </w:t>
      </w:r>
    </w:p>
  </w:footnote>
  <w:footnote w:id="3">
    <w:p w14:paraId="28D76772" w14:textId="77777777" w:rsidR="005530CB" w:rsidRDefault="005530CB" w:rsidP="0067046F">
      <w:pPr>
        <w:pStyle w:val="FootnoteText"/>
      </w:pPr>
      <w:r>
        <w:rPr>
          <w:rStyle w:val="FootnoteReference"/>
        </w:rPr>
        <w:footnoteRef/>
      </w:r>
      <w:r>
        <w:t xml:space="preserve"> </w:t>
      </w:r>
      <w:r w:rsidRPr="0033142D">
        <w:rPr>
          <w:rFonts w:ascii="Times New Roman" w:hAnsi="Times New Roman" w:cs="Times New Roman"/>
          <w:i/>
        </w:rPr>
        <w:t>Avista Corporation</w:t>
      </w:r>
      <w:r w:rsidRPr="0033142D">
        <w:rPr>
          <w:rFonts w:ascii="Times New Roman" w:hAnsi="Times New Roman" w:cs="Times New Roman"/>
        </w:rPr>
        <w:t>, Docket UE-160756.</w:t>
      </w:r>
      <w:r>
        <w:rPr>
          <w:rFonts w:ascii="Times New Roman" w:hAnsi="Times New Roman" w:cs="Times New Roman"/>
        </w:rPr>
        <w:t xml:space="preserve"> In August 2016, the</w:t>
      </w:r>
      <w:r w:rsidRPr="00E72FFF">
        <w:rPr>
          <w:rFonts w:ascii="Times New Roman" w:hAnsi="Times New Roman" w:cs="Times New Roman"/>
        </w:rPr>
        <w:t xml:space="preserve"> </w:t>
      </w:r>
      <w:r>
        <w:rPr>
          <w:rFonts w:ascii="Times New Roman" w:hAnsi="Times New Roman" w:cs="Times New Roman"/>
        </w:rPr>
        <w:t>company requested a total of $15 million for electric conservation programs, and the c</w:t>
      </w:r>
      <w:r w:rsidRPr="00E72FFF">
        <w:rPr>
          <w:rFonts w:ascii="Times New Roman" w:hAnsi="Times New Roman" w:cs="Times New Roman"/>
        </w:rPr>
        <w:t>ommission approved</w:t>
      </w:r>
      <w:r>
        <w:rPr>
          <w:rFonts w:ascii="Times New Roman" w:hAnsi="Times New Roman" w:cs="Times New Roman"/>
        </w:rPr>
        <w:t xml:space="preserve"> the company’s conservation cost recovery adjustment, where the </w:t>
      </w:r>
      <w:r w:rsidRPr="0033142D">
        <w:rPr>
          <w:rFonts w:ascii="Times New Roman" w:hAnsi="Times New Roman" w:cs="Times New Roman"/>
        </w:rPr>
        <w:t>average residential monthly bill increase</w:t>
      </w:r>
      <w:r>
        <w:rPr>
          <w:rFonts w:ascii="Times New Roman" w:hAnsi="Times New Roman" w:cs="Times New Roman"/>
        </w:rPr>
        <w:t>d $0.59, or 0.7 percent</w:t>
      </w:r>
      <w:r w:rsidRPr="0033142D">
        <w:rPr>
          <w:rFonts w:ascii="Times New Roman" w:hAnsi="Times New Roman" w:cs="Times New Roman"/>
        </w:rPr>
        <w:t>.</w:t>
      </w:r>
    </w:p>
  </w:footnote>
  <w:footnote w:id="4">
    <w:p w14:paraId="28D76773" w14:textId="77777777" w:rsidR="005530CB" w:rsidRPr="00351829" w:rsidRDefault="005530CB" w:rsidP="0067046F">
      <w:pPr>
        <w:pStyle w:val="FootnoteText"/>
        <w:rPr>
          <w:rFonts w:ascii="Times New Roman" w:hAnsi="Times New Roman" w:cs="Times New Roman"/>
        </w:rPr>
      </w:pPr>
      <w:r w:rsidRPr="00351829">
        <w:rPr>
          <w:rStyle w:val="FootnoteReference"/>
          <w:rFonts w:ascii="Times New Roman" w:hAnsi="Times New Roman" w:cs="Times New Roman"/>
        </w:rPr>
        <w:footnoteRef/>
      </w:r>
      <w:r w:rsidRPr="00351829">
        <w:rPr>
          <w:rFonts w:ascii="Times New Roman" w:hAnsi="Times New Roman" w:cs="Times New Roman"/>
        </w:rPr>
        <w:t xml:space="preserve"> Avista provided </w:t>
      </w:r>
      <w:r>
        <w:rPr>
          <w:rFonts w:ascii="Times New Roman" w:hAnsi="Times New Roman" w:cs="Times New Roman"/>
        </w:rPr>
        <w:t>the</w:t>
      </w:r>
      <w:r w:rsidRPr="00351829">
        <w:rPr>
          <w:rFonts w:ascii="Times New Roman" w:hAnsi="Times New Roman" w:cs="Times New Roman"/>
        </w:rPr>
        <w:t xml:space="preserve"> account balance as of </w:t>
      </w:r>
      <w:r>
        <w:rPr>
          <w:rFonts w:ascii="Times New Roman" w:hAnsi="Times New Roman" w:cs="Times New Roman"/>
        </w:rPr>
        <w:t>February 28, 2017</w:t>
      </w:r>
      <w:r w:rsidRPr="00351829">
        <w:rPr>
          <w:rFonts w:ascii="Times New Roman" w:hAnsi="Times New Roman" w:cs="Times New Roman"/>
        </w:rPr>
        <w:t xml:space="preserve">. The </w:t>
      </w:r>
      <w:r>
        <w:rPr>
          <w:rFonts w:ascii="Times New Roman" w:hAnsi="Times New Roman" w:cs="Times New Roman"/>
        </w:rPr>
        <w:t xml:space="preserve">monthly </w:t>
      </w:r>
      <w:r w:rsidRPr="00351829">
        <w:rPr>
          <w:rFonts w:ascii="Times New Roman" w:hAnsi="Times New Roman" w:cs="Times New Roman"/>
        </w:rPr>
        <w:t>expend</w:t>
      </w:r>
      <w:r>
        <w:rPr>
          <w:rFonts w:ascii="Times New Roman" w:hAnsi="Times New Roman" w:cs="Times New Roman"/>
        </w:rPr>
        <w:t xml:space="preserve">itures for the remainder of 2017, and projections through July 2019, are estimates based on the </w:t>
      </w:r>
      <w:r w:rsidRPr="000F3C9F">
        <w:rPr>
          <w:rFonts w:ascii="Times New Roman" w:hAnsi="Times New Roman" w:cs="Times New Roman"/>
          <w:i/>
        </w:rPr>
        <w:t>2017 Annual Conservation Plan</w:t>
      </w:r>
      <w:r>
        <w:rPr>
          <w:rFonts w:ascii="Times New Roman" w:hAnsi="Times New Roman" w:cs="Times New Roman"/>
        </w:rPr>
        <w:t>, Docket UE-152076.</w:t>
      </w:r>
      <w:r w:rsidRPr="00351829">
        <w:rPr>
          <w:rFonts w:ascii="Times New Roman" w:hAnsi="Times New Roman" w:cs="Times New Roman"/>
        </w:rPr>
        <w:t xml:space="preserve"> </w:t>
      </w:r>
    </w:p>
  </w:footnote>
  <w:footnote w:id="5">
    <w:p w14:paraId="35EDEDC9" w14:textId="1A6F1E16" w:rsidR="00D40128" w:rsidRDefault="00D40128">
      <w:pPr>
        <w:pStyle w:val="FootnoteText"/>
      </w:pPr>
      <w:r>
        <w:rPr>
          <w:rStyle w:val="FootnoteReference"/>
        </w:rPr>
        <w:footnoteRef/>
      </w:r>
      <w:r>
        <w:t xml:space="preserve"> </w:t>
      </w:r>
      <w:r w:rsidRPr="00D40128">
        <w:rPr>
          <w:rFonts w:ascii="Times New Roman" w:hAnsi="Times New Roman" w:cs="Times New Roman"/>
        </w:rPr>
        <w:t>Includes generation and distribution efficiency gains.</w:t>
      </w:r>
    </w:p>
  </w:footnote>
  <w:footnote w:id="6">
    <w:p w14:paraId="1188BC2A" w14:textId="015FAA03" w:rsidR="000533A5" w:rsidRPr="00EF08A5" w:rsidRDefault="000533A5" w:rsidP="000533A5">
      <w:pPr>
        <w:pStyle w:val="FootnoteText"/>
        <w:rPr>
          <w:rFonts w:ascii="Times New Roman" w:hAnsi="Times New Roman" w:cs="Times New Roman"/>
        </w:rPr>
      </w:pPr>
      <w:r w:rsidRPr="00EF08A5">
        <w:rPr>
          <w:rStyle w:val="FootnoteReference"/>
          <w:rFonts w:ascii="Times New Roman" w:hAnsi="Times New Roman" w:cs="Times New Roman"/>
        </w:rPr>
        <w:footnoteRef/>
      </w:r>
      <w:r w:rsidRPr="00EF08A5">
        <w:rPr>
          <w:rFonts w:ascii="Times New Roman" w:hAnsi="Times New Roman" w:cs="Times New Roman"/>
        </w:rPr>
        <w:t xml:space="preserve"> Docket UE-152076, Order 01, at Page 2. The biennial conservation target that is sub</w:t>
      </w:r>
      <w:r>
        <w:rPr>
          <w:rFonts w:ascii="Times New Roman" w:hAnsi="Times New Roman" w:cs="Times New Roman"/>
        </w:rPr>
        <w:t xml:space="preserve">ject to penalties is 72,626 MWh, </w:t>
      </w:r>
      <w:r w:rsidRPr="00EF08A5">
        <w:rPr>
          <w:rFonts w:ascii="Times New Roman" w:hAnsi="Times New Roman" w:cs="Times New Roman"/>
        </w:rPr>
        <w:t>the NEEA projected savings includes 6,220 MWh</w:t>
      </w:r>
      <w:r>
        <w:rPr>
          <w:rFonts w:ascii="Times New Roman" w:hAnsi="Times New Roman" w:cs="Times New Roman"/>
        </w:rPr>
        <w:t xml:space="preserve">, and the </w:t>
      </w:r>
      <w:r w:rsidRPr="00EF08A5">
        <w:rPr>
          <w:rFonts w:ascii="Times New Roman" w:hAnsi="Times New Roman" w:cs="Times New Roman"/>
        </w:rPr>
        <w:t xml:space="preserve">Decoupling Commitment of 5 percent </w:t>
      </w:r>
      <w:r>
        <w:rPr>
          <w:rFonts w:ascii="Times New Roman" w:hAnsi="Times New Roman" w:cs="Times New Roman"/>
        </w:rPr>
        <w:t xml:space="preserve">is </w:t>
      </w:r>
      <w:r w:rsidRPr="00EF08A5">
        <w:rPr>
          <w:rFonts w:ascii="Times New Roman" w:hAnsi="Times New Roman" w:cs="Times New Roman"/>
        </w:rPr>
        <w:t>3,631 MWh, totaling 82,477 MWh.</w:t>
      </w:r>
    </w:p>
  </w:footnote>
  <w:footnote w:id="7">
    <w:p w14:paraId="28D76774" w14:textId="77777777" w:rsidR="005530CB" w:rsidRDefault="005530CB" w:rsidP="006522C4">
      <w:pPr>
        <w:pStyle w:val="FootnoteText"/>
      </w:pPr>
      <w:r>
        <w:rPr>
          <w:rStyle w:val="FootnoteReference"/>
        </w:rPr>
        <w:footnoteRef/>
      </w:r>
      <w:r>
        <w:t xml:space="preserve"> </w:t>
      </w:r>
      <w:r>
        <w:rPr>
          <w:rFonts w:ascii="Times New Roman" w:hAnsi="Times New Roman" w:cs="Times New Roman"/>
        </w:rPr>
        <w:t>Avista’s</w:t>
      </w:r>
      <w:r w:rsidRPr="00997708">
        <w:rPr>
          <w:rFonts w:ascii="Times New Roman" w:hAnsi="Times New Roman" w:cs="Times New Roman"/>
        </w:rPr>
        <w:t xml:space="preserve"> “Non-Residential Prescr</w:t>
      </w:r>
      <w:r>
        <w:rPr>
          <w:rFonts w:ascii="Times New Roman" w:hAnsi="Times New Roman" w:cs="Times New Roman"/>
        </w:rPr>
        <w:t xml:space="preserve">iptive Interior Lighting Rebate Form” consists of 30+ line item rebates </w:t>
      </w:r>
      <w:r w:rsidRPr="00997708">
        <w:rPr>
          <w:rFonts w:ascii="Times New Roman" w:hAnsi="Times New Roman" w:cs="Times New Roman"/>
        </w:rPr>
        <w:t>offered for a set dollar amount (per unit)</w:t>
      </w:r>
      <w:r>
        <w:rPr>
          <w:rFonts w:ascii="Times New Roman" w:hAnsi="Times New Roman" w:cs="Times New Roman"/>
        </w:rPr>
        <w:t xml:space="preserve">, for fixtures, </w:t>
      </w:r>
      <w:r w:rsidRPr="00997708">
        <w:rPr>
          <w:rFonts w:ascii="Times New Roman" w:hAnsi="Times New Roman" w:cs="Times New Roman"/>
        </w:rPr>
        <w:t>retrofits, lamps, or othe</w:t>
      </w:r>
      <w:r>
        <w:rPr>
          <w:rFonts w:ascii="Times New Roman" w:hAnsi="Times New Roman" w:cs="Times New Roman"/>
        </w:rPr>
        <w:t>r lighting equipment.</w:t>
      </w:r>
    </w:p>
  </w:footnote>
  <w:footnote w:id="8">
    <w:p w14:paraId="28D76775" w14:textId="77777777" w:rsidR="005530CB" w:rsidRPr="00ED4A5D" w:rsidRDefault="005530CB" w:rsidP="00885099">
      <w:pPr>
        <w:pStyle w:val="FootnoteText"/>
        <w:rPr>
          <w:rFonts w:ascii="Times New Roman" w:hAnsi="Times New Roman" w:cs="Times New Roman"/>
        </w:rPr>
      </w:pPr>
      <w:r w:rsidRPr="00ED4A5D">
        <w:rPr>
          <w:rStyle w:val="FootnoteReference"/>
          <w:rFonts w:ascii="Times New Roman" w:hAnsi="Times New Roman" w:cs="Times New Roman"/>
        </w:rPr>
        <w:footnoteRef/>
      </w:r>
      <w:r w:rsidRPr="00ED4A5D">
        <w:rPr>
          <w:rFonts w:ascii="Times New Roman" w:hAnsi="Times New Roman" w:cs="Times New Roman"/>
        </w:rPr>
        <w:t xml:space="preserve"> The Design</w:t>
      </w:r>
      <w:r>
        <w:rPr>
          <w:rFonts w:ascii="Times New Roman" w:hAnsi="Times New Roman" w:cs="Times New Roman"/>
        </w:rPr>
        <w:t xml:space="preserve"> </w:t>
      </w:r>
      <w:r w:rsidRPr="00ED4A5D">
        <w:rPr>
          <w:rFonts w:ascii="Times New Roman" w:hAnsi="Times New Roman" w:cs="Times New Roman"/>
        </w:rPr>
        <w:t>Lights Consortium® (DLC) lists and rates energy-efficient lighting products, establishes product quality specifications, and provides technical expertise for lighting.</w:t>
      </w:r>
    </w:p>
  </w:footnote>
  <w:footnote w:id="9">
    <w:p w14:paraId="7C410404" w14:textId="56649D97" w:rsidR="00D06A8B" w:rsidRDefault="00D06A8B">
      <w:pPr>
        <w:pStyle w:val="FootnoteText"/>
      </w:pPr>
      <w:r w:rsidRPr="002C233D">
        <w:rPr>
          <w:rStyle w:val="FootnoteReference"/>
          <w:rFonts w:ascii="Times New Roman" w:hAnsi="Times New Roman" w:cs="Times New Roman"/>
        </w:rPr>
        <w:footnoteRef/>
      </w:r>
      <w:r w:rsidR="002C233D" w:rsidRPr="002C233D">
        <w:rPr>
          <w:rFonts w:ascii="Times New Roman" w:hAnsi="Times New Roman" w:cs="Times New Roman"/>
        </w:rPr>
        <w:t xml:space="preserve"> </w:t>
      </w:r>
      <w:r w:rsidR="001E0B6E">
        <w:rPr>
          <w:rFonts w:ascii="Times New Roman" w:hAnsi="Times New Roman" w:cs="Times New Roman"/>
        </w:rPr>
        <w:t xml:space="preserve">Tubular LED lamps are used to replace fluorescent tubular lamps using the existing fixture. </w:t>
      </w:r>
      <w:r w:rsidR="002C233D">
        <w:rPr>
          <w:rFonts w:ascii="Times New Roman" w:hAnsi="Times New Roman" w:cs="Times New Roman"/>
        </w:rPr>
        <w:t>The</w:t>
      </w:r>
      <w:r w:rsidR="001E0B6E">
        <w:rPr>
          <w:rFonts w:ascii="Times New Roman" w:hAnsi="Times New Roman" w:cs="Times New Roman"/>
        </w:rPr>
        <w:t>refore, the</w:t>
      </w:r>
      <w:r w:rsidR="002C233D">
        <w:rPr>
          <w:rFonts w:ascii="Times New Roman" w:hAnsi="Times New Roman" w:cs="Times New Roman"/>
        </w:rPr>
        <w:t xml:space="preserve"> DLC testing protocol </w:t>
      </w:r>
      <w:r w:rsidR="001E0B6E">
        <w:rPr>
          <w:rFonts w:ascii="Times New Roman" w:hAnsi="Times New Roman" w:cs="Times New Roman"/>
        </w:rPr>
        <w:t xml:space="preserve">for TLEDs </w:t>
      </w:r>
      <w:r w:rsidR="002C233D">
        <w:rPr>
          <w:rFonts w:ascii="Times New Roman" w:hAnsi="Times New Roman" w:cs="Times New Roman"/>
        </w:rPr>
        <w:t xml:space="preserve">includes the effect of the ballast, which is needed to control </w:t>
      </w:r>
      <w:r w:rsidR="002C233D" w:rsidRPr="002C233D">
        <w:rPr>
          <w:rFonts w:ascii="Times New Roman" w:hAnsi="Times New Roman" w:cs="Times New Roman"/>
        </w:rPr>
        <w:t>all fluorescent lights</w:t>
      </w:r>
      <w:r w:rsidR="002C233D">
        <w:rPr>
          <w:rFonts w:ascii="Times New Roman" w:hAnsi="Times New Roman" w:cs="Times New Roman"/>
        </w:rPr>
        <w:t>. The</w:t>
      </w:r>
      <w:r w:rsidR="002C233D" w:rsidRPr="002C233D">
        <w:rPr>
          <w:rFonts w:ascii="Times New Roman" w:hAnsi="Times New Roman" w:cs="Times New Roman"/>
        </w:rPr>
        <w:t xml:space="preserve"> ballast</w:t>
      </w:r>
      <w:r w:rsidR="002C233D">
        <w:rPr>
          <w:rFonts w:ascii="Times New Roman" w:hAnsi="Times New Roman" w:cs="Times New Roman"/>
        </w:rPr>
        <w:t xml:space="preserve"> may</w:t>
      </w:r>
      <w:r w:rsidR="002C233D" w:rsidRPr="002C233D">
        <w:rPr>
          <w:rFonts w:ascii="Times New Roman" w:hAnsi="Times New Roman" w:cs="Times New Roman"/>
        </w:rPr>
        <w:t xml:space="preserve"> consume an additional 8 to 10 watts.</w:t>
      </w:r>
      <w:r w:rsidRPr="002C233D">
        <w:rPr>
          <w:rFonts w:ascii="Times New Roman" w:hAnsi="Times New Roman" w:cs="Times New Roman"/>
        </w:rPr>
        <w:t xml:space="preserve"> </w:t>
      </w:r>
      <w:hyperlink r:id="rId1" w:history="1">
        <w:r w:rsidR="002C233D" w:rsidRPr="002C233D">
          <w:rPr>
            <w:rStyle w:val="Hyperlink"/>
            <w:rFonts w:ascii="Times New Roman" w:hAnsi="Times New Roman" w:cs="Times New Roman"/>
          </w:rPr>
          <w:t>http://www.naturallighting.com/cart/store.php?sc_page=50</w:t>
        </w:r>
      </w:hyperlink>
      <w:r w:rsidR="002C233D" w:rsidRPr="008A3BA9">
        <w:rPr>
          <w:rFonts w:ascii="Times New Roman" w:hAnsi="Times New Roman" w:cs="Times New Roman"/>
        </w:rPr>
        <w:t xml:space="preserve"> Ballasts may be high or low output, and their energy use changes accordingly. Standard industry guidance directs </w:t>
      </w:r>
      <w:r w:rsidR="002C233D" w:rsidRPr="008A3BA9">
        <w:rPr>
          <w:rFonts w:ascii="Times New Roman" w:hAnsi="Times New Roman" w:cs="Times New Roman"/>
          <w:spacing w:val="-1"/>
        </w:rPr>
        <w:t>manufacturers</w:t>
      </w:r>
      <w:r w:rsidR="002C233D" w:rsidRPr="008A3BA9">
        <w:rPr>
          <w:rFonts w:ascii="Times New Roman" w:hAnsi="Times New Roman" w:cs="Times New Roman"/>
          <w:spacing w:val="1"/>
        </w:rPr>
        <w:t xml:space="preserve"> to </w:t>
      </w:r>
      <w:r w:rsidR="002C233D" w:rsidRPr="008A3BA9">
        <w:rPr>
          <w:rFonts w:ascii="Times New Roman" w:hAnsi="Times New Roman" w:cs="Times New Roman"/>
          <w:spacing w:val="-1"/>
        </w:rPr>
        <w:t>label</w:t>
      </w:r>
      <w:r w:rsidR="002C233D" w:rsidRPr="008A3BA9">
        <w:rPr>
          <w:rFonts w:ascii="Times New Roman" w:hAnsi="Times New Roman" w:cs="Times New Roman"/>
          <w:spacing w:val="-3"/>
        </w:rPr>
        <w:t xml:space="preserve"> </w:t>
      </w:r>
      <w:r w:rsidR="002C233D" w:rsidRPr="008A3BA9">
        <w:rPr>
          <w:rFonts w:ascii="Times New Roman" w:hAnsi="Times New Roman" w:cs="Times New Roman"/>
          <w:spacing w:val="-1"/>
        </w:rPr>
        <w:t>TLED</w:t>
      </w:r>
      <w:r w:rsidR="002C233D" w:rsidRPr="008A3BA9">
        <w:rPr>
          <w:rFonts w:ascii="Times New Roman" w:hAnsi="Times New Roman" w:cs="Times New Roman"/>
        </w:rPr>
        <w:t xml:space="preserve"> </w:t>
      </w:r>
      <w:r w:rsidR="002C233D" w:rsidRPr="008A3BA9">
        <w:rPr>
          <w:rFonts w:ascii="Times New Roman" w:hAnsi="Times New Roman" w:cs="Times New Roman"/>
          <w:spacing w:val="-1"/>
        </w:rPr>
        <w:t>bulbs</w:t>
      </w:r>
      <w:r w:rsidR="002C233D" w:rsidRPr="008A3BA9">
        <w:rPr>
          <w:rFonts w:ascii="Times New Roman" w:hAnsi="Times New Roman" w:cs="Times New Roman"/>
          <w:spacing w:val="1"/>
        </w:rPr>
        <w:t xml:space="preserve"> </w:t>
      </w:r>
      <w:r w:rsidR="002C233D" w:rsidRPr="008A3BA9">
        <w:rPr>
          <w:rFonts w:ascii="Times New Roman" w:hAnsi="Times New Roman" w:cs="Times New Roman"/>
          <w:spacing w:val="-1"/>
        </w:rPr>
        <w:t>with</w:t>
      </w:r>
      <w:r w:rsidR="002C233D" w:rsidRPr="008A3BA9">
        <w:rPr>
          <w:rFonts w:ascii="Times New Roman" w:hAnsi="Times New Roman" w:cs="Times New Roman"/>
        </w:rPr>
        <w:t xml:space="preserve"> a</w:t>
      </w:r>
      <w:r w:rsidR="002C233D" w:rsidRPr="008A3BA9">
        <w:rPr>
          <w:rFonts w:ascii="Times New Roman" w:hAnsi="Times New Roman" w:cs="Times New Roman"/>
          <w:spacing w:val="-2"/>
        </w:rPr>
        <w:t xml:space="preserve"> </w:t>
      </w:r>
      <w:r w:rsidR="002C233D" w:rsidRPr="008A3BA9">
        <w:rPr>
          <w:rFonts w:ascii="Times New Roman" w:hAnsi="Times New Roman" w:cs="Times New Roman"/>
          <w:spacing w:val="-1"/>
        </w:rPr>
        <w:t>wattage</w:t>
      </w:r>
      <w:r w:rsidR="002C233D" w:rsidRPr="008A3BA9">
        <w:rPr>
          <w:rFonts w:ascii="Times New Roman" w:hAnsi="Times New Roman" w:cs="Times New Roman"/>
          <w:spacing w:val="-2"/>
        </w:rPr>
        <w:t xml:space="preserve"> </w:t>
      </w:r>
      <w:r w:rsidR="002C233D" w:rsidRPr="008A3BA9">
        <w:rPr>
          <w:rFonts w:ascii="Times New Roman" w:hAnsi="Times New Roman" w:cs="Times New Roman"/>
          <w:spacing w:val="-1"/>
        </w:rPr>
        <w:t>based on the power draw before the ballast</w:t>
      </w:r>
      <w:r w:rsidR="001E0B6E">
        <w:rPr>
          <w:rFonts w:ascii="Times New Roman" w:hAnsi="Times New Roman" w:cs="Times New Roman"/>
          <w:spacing w:val="-1"/>
        </w:rPr>
        <w:t>.</w:t>
      </w:r>
    </w:p>
  </w:footnote>
  <w:footnote w:id="10">
    <w:p w14:paraId="470374F6" w14:textId="77777777" w:rsidR="00DB7019" w:rsidRPr="000F3C9F" w:rsidRDefault="00DB7019" w:rsidP="00DB7019">
      <w:pPr>
        <w:pStyle w:val="PlainText"/>
        <w:rPr>
          <w:rFonts w:ascii="Times New Roman" w:hAnsi="Times New Roman"/>
          <w:sz w:val="20"/>
          <w:szCs w:val="20"/>
        </w:rPr>
      </w:pPr>
      <w:r w:rsidRPr="000F3C9F">
        <w:rPr>
          <w:rStyle w:val="FootnoteReference"/>
          <w:rFonts w:ascii="Times New Roman" w:hAnsi="Times New Roman"/>
          <w:sz w:val="20"/>
          <w:szCs w:val="20"/>
        </w:rPr>
        <w:footnoteRef/>
      </w:r>
      <w:r>
        <w:rPr>
          <w:rFonts w:ascii="Times New Roman" w:hAnsi="Times New Roman"/>
          <w:sz w:val="20"/>
          <w:szCs w:val="20"/>
        </w:rPr>
        <w:t xml:space="preserve"> Response to audit q</w:t>
      </w:r>
      <w:r w:rsidRPr="000F3C9F">
        <w:rPr>
          <w:rFonts w:ascii="Times New Roman" w:hAnsi="Times New Roman"/>
          <w:sz w:val="20"/>
          <w:szCs w:val="20"/>
        </w:rPr>
        <w:t>uestions from Kathi Scanl</w:t>
      </w:r>
      <w:r>
        <w:rPr>
          <w:rFonts w:ascii="Times New Roman" w:hAnsi="Times New Roman"/>
          <w:sz w:val="20"/>
          <w:szCs w:val="20"/>
        </w:rPr>
        <w:t>a</w:t>
      </w:r>
      <w:r w:rsidRPr="000F3C9F">
        <w:rPr>
          <w:rFonts w:ascii="Times New Roman" w:hAnsi="Times New Roman"/>
          <w:sz w:val="20"/>
          <w:szCs w:val="20"/>
        </w:rPr>
        <w:t>n</w:t>
      </w:r>
      <w:r>
        <w:rPr>
          <w:rFonts w:ascii="Times New Roman" w:hAnsi="Times New Roman"/>
          <w:sz w:val="20"/>
          <w:szCs w:val="20"/>
        </w:rPr>
        <w:t>, follow-up d</w:t>
      </w:r>
      <w:r w:rsidRPr="000F3C9F">
        <w:rPr>
          <w:rFonts w:ascii="Times New Roman" w:hAnsi="Times New Roman"/>
          <w:sz w:val="20"/>
          <w:szCs w:val="20"/>
        </w:rPr>
        <w:t>ated April 6, 2017</w:t>
      </w:r>
      <w:r>
        <w:rPr>
          <w:rFonts w:ascii="Times New Roman" w:hAnsi="Times New Roman"/>
          <w:sz w:val="20"/>
          <w:szCs w:val="20"/>
        </w:rPr>
        <w:t>.</w:t>
      </w:r>
      <w:r w:rsidRPr="000F3C9F">
        <w:rPr>
          <w:rFonts w:ascii="Times New Roman" w:hAnsi="Times New Roman"/>
          <w:sz w:val="20"/>
          <w:szCs w:val="20"/>
        </w:rPr>
        <w:t xml:space="preserve"> Avista</w:t>
      </w:r>
      <w:r>
        <w:rPr>
          <w:rFonts w:ascii="Times New Roman" w:hAnsi="Times New Roman"/>
          <w:sz w:val="20"/>
          <w:szCs w:val="20"/>
        </w:rPr>
        <w:t xml:space="preserve"> provided an illustrative example of 2016 TLED savings based on 3,700 annual hours of operation.</w:t>
      </w:r>
    </w:p>
  </w:footnote>
  <w:footnote w:id="11">
    <w:p w14:paraId="28D76777" w14:textId="77777777" w:rsidR="005530CB" w:rsidRDefault="005530CB">
      <w:pPr>
        <w:pStyle w:val="FootnoteText"/>
      </w:pPr>
      <w:r>
        <w:rPr>
          <w:rStyle w:val="FootnoteReference"/>
        </w:rPr>
        <w:footnoteRef/>
      </w:r>
      <w:r>
        <w:t xml:space="preserve"> </w:t>
      </w:r>
      <w:r w:rsidRPr="006B7A59">
        <w:rPr>
          <w:rFonts w:ascii="Times New Roman" w:hAnsi="Times New Roman" w:cs="Times New Roman"/>
        </w:rPr>
        <w:t xml:space="preserve">In April 2017, staff requested more information about the company’s nonresidential interior lighting program rebates. </w:t>
      </w:r>
      <w:r>
        <w:rPr>
          <w:rFonts w:ascii="Times New Roman" w:hAnsi="Times New Roman" w:cs="Times New Roman"/>
        </w:rPr>
        <w:t xml:space="preserve">Avista </w:t>
      </w:r>
      <w:r w:rsidRPr="006B7A59">
        <w:rPr>
          <w:rFonts w:ascii="Times New Roman" w:hAnsi="Times New Roman" w:cs="Times New Roman"/>
        </w:rPr>
        <w:t>indicated that the information could not be readily obtained until June 2017—the data had to be collected by hand to determine the quantity of rebates paid</w:t>
      </w:r>
      <w:r>
        <w:rPr>
          <w:rFonts w:ascii="Times New Roman" w:hAnsi="Times New Roman" w:cs="Times New Roman"/>
        </w:rPr>
        <w:t xml:space="preserve"> at the $15 and $10 levels</w:t>
      </w:r>
      <w:r w:rsidRPr="006B7A59">
        <w:rPr>
          <w:rFonts w:ascii="Times New Roman" w:hAnsi="Times New Roman" w:cs="Times New Roman"/>
        </w:rPr>
        <w:t>.</w:t>
      </w:r>
    </w:p>
  </w:footnote>
  <w:footnote w:id="12">
    <w:p w14:paraId="28D76779" w14:textId="77777777" w:rsidR="005530CB" w:rsidRDefault="005530CB" w:rsidP="005325E0">
      <w:pPr>
        <w:pStyle w:val="FootnoteText"/>
      </w:pPr>
      <w:r w:rsidRPr="00153C79">
        <w:rPr>
          <w:rStyle w:val="FootnoteReference"/>
          <w:rFonts w:ascii="Times New Roman" w:hAnsi="Times New Roman" w:cs="Times New Roman"/>
        </w:rPr>
        <w:footnoteRef/>
      </w:r>
      <w:r w:rsidRPr="00153C79">
        <w:rPr>
          <w:rFonts w:ascii="Times New Roman" w:hAnsi="Times New Roman" w:cs="Times New Roman"/>
        </w:rPr>
        <w:t xml:space="preserve"> WAC 480-109-120(3)</w:t>
      </w:r>
      <w:r>
        <w:rPr>
          <w:rFonts w:ascii="Times New Roman" w:hAnsi="Times New Roman" w:cs="Times New Roman"/>
        </w:rPr>
        <w:t xml:space="preserve">. </w:t>
      </w:r>
    </w:p>
  </w:footnote>
  <w:footnote w:id="13">
    <w:p w14:paraId="28D7677A" w14:textId="77777777" w:rsidR="005530CB" w:rsidRDefault="005530CB">
      <w:pPr>
        <w:pStyle w:val="FootnoteText"/>
      </w:pPr>
      <w:r>
        <w:rPr>
          <w:rStyle w:val="FootnoteReference"/>
        </w:rPr>
        <w:footnoteRef/>
      </w:r>
      <w:r>
        <w:t xml:space="preserve"> </w:t>
      </w:r>
      <w:r w:rsidRPr="003A29AB">
        <w:rPr>
          <w:rFonts w:ascii="Times New Roman" w:hAnsi="Times New Roman" w:cs="Times New Roman"/>
          <w:i/>
        </w:rPr>
        <w:t>Avista’s 2016 Annual Report</w:t>
      </w:r>
      <w:r w:rsidRPr="003A29AB">
        <w:rPr>
          <w:rFonts w:ascii="Times New Roman" w:hAnsi="Times New Roman" w:cs="Times New Roman"/>
        </w:rPr>
        <w:t xml:space="preserve"> (June 1, 2017), at pages 46-47, in Docket UE-152076</w:t>
      </w:r>
      <w:r w:rsidRPr="002A0C04">
        <w:rPr>
          <w:rFonts w:ascii="Times New Roman" w:hAnsi="Times New Roman" w:cs="Times New Roman"/>
        </w:rPr>
        <w:t>.</w:t>
      </w:r>
    </w:p>
  </w:footnote>
  <w:footnote w:id="14">
    <w:p w14:paraId="28D7677B" w14:textId="77777777" w:rsidR="005530CB" w:rsidRPr="005F2661" w:rsidRDefault="005530CB" w:rsidP="005F2661">
      <w:pPr>
        <w:pStyle w:val="NormalWeb"/>
        <w:spacing w:before="0" w:beforeAutospacing="0" w:after="0" w:afterAutospacing="0"/>
        <w:textAlignment w:val="baseline"/>
        <w:rPr>
          <w:rFonts w:eastAsia="MS PGothic"/>
          <w:color w:val="000000" w:themeColor="text1"/>
          <w:kern w:val="24"/>
          <w:sz w:val="20"/>
          <w:szCs w:val="20"/>
        </w:rPr>
      </w:pPr>
      <w:r w:rsidRPr="005F2661">
        <w:rPr>
          <w:rStyle w:val="FootnoteReference"/>
          <w:sz w:val="20"/>
          <w:szCs w:val="20"/>
        </w:rPr>
        <w:footnoteRef/>
      </w:r>
      <w:r w:rsidRPr="005F2661">
        <w:rPr>
          <w:sz w:val="20"/>
          <w:szCs w:val="20"/>
        </w:rPr>
        <w:t xml:space="preserve"> Puget Sound Energy’s Business Lighting Incentive Program also allows TLED lamps to be “listed” on the Design Lights Consortium (DLC) and does not solely use DLC’s “rated data” for </w:t>
      </w:r>
      <w:r>
        <w:rPr>
          <w:sz w:val="20"/>
          <w:szCs w:val="20"/>
        </w:rPr>
        <w:t xml:space="preserve">incentive </w:t>
      </w:r>
      <w:r w:rsidRPr="005F2661">
        <w:rPr>
          <w:sz w:val="20"/>
          <w:szCs w:val="20"/>
        </w:rPr>
        <w:t xml:space="preserve">payment processing purposes. </w:t>
      </w:r>
      <w:hyperlink r:id="rId2" w:history="1">
        <w:r w:rsidRPr="005F2661">
          <w:rPr>
            <w:rStyle w:val="Hyperlink"/>
            <w:rFonts w:eastAsia="MS PGothic"/>
            <w:kern w:val="24"/>
            <w:sz w:val="20"/>
            <w:szCs w:val="20"/>
          </w:rPr>
          <w:t>https://pse.com/savingsandenergycenter/forbusinesses/lighting/pages/business-lighting-program.aspx</w:t>
        </w:r>
      </w:hyperlink>
    </w:p>
  </w:footnote>
  <w:footnote w:id="15">
    <w:p w14:paraId="28D7677C" w14:textId="77777777" w:rsidR="005530CB" w:rsidRDefault="005530CB">
      <w:pPr>
        <w:pStyle w:val="FootnoteText"/>
      </w:pPr>
      <w:r>
        <w:rPr>
          <w:rStyle w:val="FootnoteReference"/>
        </w:rPr>
        <w:footnoteRef/>
      </w:r>
      <w:r>
        <w:t xml:space="preserve"> </w:t>
      </w:r>
      <w:r w:rsidRPr="005325E0">
        <w:rPr>
          <w:rFonts w:ascii="Times New Roman" w:hAnsi="Times New Roman" w:cs="Times New Roman"/>
        </w:rPr>
        <w:t>For 2016 TLED rebates, $ 5,462,505 in rebates were paid at the $15 level and $233,940 were paid at the $10 level.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76769" w14:textId="2D04B564" w:rsidR="005530CB" w:rsidRPr="005E0D8D" w:rsidRDefault="006A735F" w:rsidP="00D27D60">
    <w:pPr>
      <w:spacing w:after="0"/>
      <w:rPr>
        <w:rFonts w:ascii="Times New Roman" w:hAnsi="Times New Roman" w:cs="Times New Roman"/>
        <w:sz w:val="20"/>
        <w:szCs w:val="20"/>
      </w:rPr>
    </w:pPr>
    <w:r>
      <w:rPr>
        <w:rFonts w:ascii="Times New Roman" w:hAnsi="Times New Roman" w:cs="Times New Roman"/>
        <w:sz w:val="20"/>
        <w:szCs w:val="20"/>
      </w:rPr>
      <w:t xml:space="preserve">Docket </w:t>
    </w:r>
    <w:r w:rsidR="005530CB">
      <w:rPr>
        <w:rFonts w:ascii="Times New Roman" w:hAnsi="Times New Roman" w:cs="Times New Roman"/>
        <w:sz w:val="20"/>
        <w:szCs w:val="20"/>
      </w:rPr>
      <w:t>UE-170174</w:t>
    </w:r>
  </w:p>
  <w:p w14:paraId="28D7676A" w14:textId="77777777" w:rsidR="005530CB" w:rsidRPr="005E0D8D" w:rsidRDefault="005530CB" w:rsidP="00D27D60">
    <w:pPr>
      <w:tabs>
        <w:tab w:val="left" w:pos="5736"/>
      </w:tabs>
      <w:spacing w:after="0"/>
      <w:rPr>
        <w:rFonts w:ascii="Times New Roman" w:hAnsi="Times New Roman" w:cs="Times New Roman"/>
        <w:sz w:val="20"/>
        <w:szCs w:val="20"/>
      </w:rPr>
    </w:pPr>
    <w:r>
      <w:rPr>
        <w:rFonts w:ascii="Times New Roman" w:hAnsi="Times New Roman" w:cs="Times New Roman"/>
        <w:sz w:val="20"/>
        <w:szCs w:val="20"/>
      </w:rPr>
      <w:t>July 27, 2017</w:t>
    </w:r>
    <w:r>
      <w:rPr>
        <w:rFonts w:ascii="Times New Roman" w:hAnsi="Times New Roman" w:cs="Times New Roman"/>
        <w:sz w:val="20"/>
        <w:szCs w:val="20"/>
      </w:rPr>
      <w:tab/>
    </w:r>
  </w:p>
  <w:p w14:paraId="28D7676B" w14:textId="77777777" w:rsidR="005530CB" w:rsidRPr="009C57DA" w:rsidRDefault="005530CB" w:rsidP="00D27D60">
    <w:pPr>
      <w:spacing w:after="0"/>
      <w:rPr>
        <w:rFonts w:ascii="Times New Roman" w:hAnsi="Times New Roman" w:cs="Times New Roman"/>
        <w:sz w:val="20"/>
        <w:szCs w:val="20"/>
      </w:rPr>
    </w:pPr>
    <w:r w:rsidRPr="005E0D8D">
      <w:rPr>
        <w:rFonts w:ascii="Times New Roman" w:hAnsi="Times New Roman" w:cs="Times New Roman"/>
        <w:sz w:val="20"/>
        <w:szCs w:val="20"/>
      </w:rPr>
      <w:t xml:space="preserve">Page </w:t>
    </w:r>
    <w:r w:rsidRPr="005E0D8D">
      <w:rPr>
        <w:rFonts w:ascii="Times New Roman" w:hAnsi="Times New Roman" w:cs="Times New Roman"/>
        <w:sz w:val="20"/>
        <w:szCs w:val="20"/>
      </w:rPr>
      <w:fldChar w:fldCharType="begin"/>
    </w:r>
    <w:r w:rsidRPr="005E0D8D">
      <w:rPr>
        <w:rFonts w:ascii="Times New Roman" w:hAnsi="Times New Roman" w:cs="Times New Roman"/>
        <w:sz w:val="20"/>
        <w:szCs w:val="20"/>
      </w:rPr>
      <w:instrText xml:space="preserve">PAGE </w:instrText>
    </w:r>
    <w:r w:rsidRPr="005E0D8D">
      <w:rPr>
        <w:rFonts w:ascii="Times New Roman" w:hAnsi="Times New Roman" w:cs="Times New Roman"/>
        <w:sz w:val="20"/>
        <w:szCs w:val="20"/>
      </w:rPr>
      <w:fldChar w:fldCharType="separate"/>
    </w:r>
    <w:r w:rsidR="00841C71">
      <w:rPr>
        <w:rFonts w:ascii="Times New Roman" w:hAnsi="Times New Roman" w:cs="Times New Roman"/>
        <w:noProof/>
        <w:sz w:val="20"/>
        <w:szCs w:val="20"/>
      </w:rPr>
      <w:t>2</w:t>
    </w:r>
    <w:r w:rsidRPr="005E0D8D">
      <w:rPr>
        <w:rFonts w:ascii="Times New Roman" w:hAnsi="Times New Roman" w:cs="Times New Roman"/>
        <w:sz w:val="20"/>
        <w:szCs w:val="20"/>
      </w:rPr>
      <w:fldChar w:fldCharType="end"/>
    </w:r>
  </w:p>
  <w:p w14:paraId="28D7676C" w14:textId="77777777" w:rsidR="005530CB" w:rsidRDefault="005530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2CFD"/>
    <w:multiLevelType w:val="hybridMultilevel"/>
    <w:tmpl w:val="49A6D34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1B7D2FF1"/>
    <w:multiLevelType w:val="hybridMultilevel"/>
    <w:tmpl w:val="7AB84454"/>
    <w:lvl w:ilvl="0" w:tplc="74C4F5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037A7"/>
    <w:multiLevelType w:val="hybridMultilevel"/>
    <w:tmpl w:val="672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8211F"/>
    <w:multiLevelType w:val="hybridMultilevel"/>
    <w:tmpl w:val="5C28CC32"/>
    <w:lvl w:ilvl="0" w:tplc="23968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35626"/>
    <w:multiLevelType w:val="hybridMultilevel"/>
    <w:tmpl w:val="2A86A0C6"/>
    <w:lvl w:ilvl="0" w:tplc="D04A2FDA">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536A4E76"/>
    <w:multiLevelType w:val="hybridMultilevel"/>
    <w:tmpl w:val="E10E8F4C"/>
    <w:lvl w:ilvl="0" w:tplc="9800A7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D709B"/>
    <w:multiLevelType w:val="hybridMultilevel"/>
    <w:tmpl w:val="66F0983A"/>
    <w:lvl w:ilvl="0" w:tplc="1DB654F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3E3D8C"/>
    <w:multiLevelType w:val="hybridMultilevel"/>
    <w:tmpl w:val="D278D1E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6F"/>
    <w:rsid w:val="00002119"/>
    <w:rsid w:val="00014E3C"/>
    <w:rsid w:val="00021F86"/>
    <w:rsid w:val="00022050"/>
    <w:rsid w:val="00026507"/>
    <w:rsid w:val="00042D02"/>
    <w:rsid w:val="000533A5"/>
    <w:rsid w:val="000638B4"/>
    <w:rsid w:val="00073559"/>
    <w:rsid w:val="00083156"/>
    <w:rsid w:val="000837AC"/>
    <w:rsid w:val="00091F10"/>
    <w:rsid w:val="0009438B"/>
    <w:rsid w:val="000B570A"/>
    <w:rsid w:val="000C100F"/>
    <w:rsid w:val="000D20AD"/>
    <w:rsid w:val="000E347D"/>
    <w:rsid w:val="000E51B4"/>
    <w:rsid w:val="000F7705"/>
    <w:rsid w:val="00110DE5"/>
    <w:rsid w:val="00113E34"/>
    <w:rsid w:val="00137FB1"/>
    <w:rsid w:val="0016466B"/>
    <w:rsid w:val="001660AD"/>
    <w:rsid w:val="0016714E"/>
    <w:rsid w:val="00176DF2"/>
    <w:rsid w:val="00180CD1"/>
    <w:rsid w:val="001C7FE3"/>
    <w:rsid w:val="001D3F70"/>
    <w:rsid w:val="001E0B6E"/>
    <w:rsid w:val="001F7431"/>
    <w:rsid w:val="00206772"/>
    <w:rsid w:val="002363A9"/>
    <w:rsid w:val="00247550"/>
    <w:rsid w:val="0025739C"/>
    <w:rsid w:val="002645D2"/>
    <w:rsid w:val="00294D1A"/>
    <w:rsid w:val="00295B53"/>
    <w:rsid w:val="002970D3"/>
    <w:rsid w:val="002A0C04"/>
    <w:rsid w:val="002A2AD2"/>
    <w:rsid w:val="002A46AF"/>
    <w:rsid w:val="002B02F3"/>
    <w:rsid w:val="002C233D"/>
    <w:rsid w:val="002F204C"/>
    <w:rsid w:val="002F54FC"/>
    <w:rsid w:val="002F6F58"/>
    <w:rsid w:val="00311D46"/>
    <w:rsid w:val="00314073"/>
    <w:rsid w:val="00335F05"/>
    <w:rsid w:val="00352609"/>
    <w:rsid w:val="00357470"/>
    <w:rsid w:val="00361C4D"/>
    <w:rsid w:val="00362553"/>
    <w:rsid w:val="00364CF7"/>
    <w:rsid w:val="00367854"/>
    <w:rsid w:val="00370AA5"/>
    <w:rsid w:val="00380ADD"/>
    <w:rsid w:val="003902F1"/>
    <w:rsid w:val="003969F0"/>
    <w:rsid w:val="003A29AB"/>
    <w:rsid w:val="003B6555"/>
    <w:rsid w:val="003C182B"/>
    <w:rsid w:val="003D2170"/>
    <w:rsid w:val="003F6675"/>
    <w:rsid w:val="00423E03"/>
    <w:rsid w:val="00437951"/>
    <w:rsid w:val="004401DD"/>
    <w:rsid w:val="0044032C"/>
    <w:rsid w:val="004438DE"/>
    <w:rsid w:val="004534A4"/>
    <w:rsid w:val="00455CE8"/>
    <w:rsid w:val="00461040"/>
    <w:rsid w:val="00475DC8"/>
    <w:rsid w:val="00485E50"/>
    <w:rsid w:val="0049613B"/>
    <w:rsid w:val="004A0D42"/>
    <w:rsid w:val="004A14AA"/>
    <w:rsid w:val="004A382B"/>
    <w:rsid w:val="004A41CD"/>
    <w:rsid w:val="004B54B7"/>
    <w:rsid w:val="004B7A69"/>
    <w:rsid w:val="004D685D"/>
    <w:rsid w:val="004F22C2"/>
    <w:rsid w:val="004F6D2B"/>
    <w:rsid w:val="00505989"/>
    <w:rsid w:val="00517A94"/>
    <w:rsid w:val="0052004E"/>
    <w:rsid w:val="005325E0"/>
    <w:rsid w:val="00535637"/>
    <w:rsid w:val="005530CB"/>
    <w:rsid w:val="005652C2"/>
    <w:rsid w:val="005671B4"/>
    <w:rsid w:val="00572BD9"/>
    <w:rsid w:val="005771A9"/>
    <w:rsid w:val="0059086C"/>
    <w:rsid w:val="00590CDF"/>
    <w:rsid w:val="005949A9"/>
    <w:rsid w:val="005C2968"/>
    <w:rsid w:val="005C4C83"/>
    <w:rsid w:val="005E5D8C"/>
    <w:rsid w:val="005E6F01"/>
    <w:rsid w:val="005F2661"/>
    <w:rsid w:val="0060308B"/>
    <w:rsid w:val="00616201"/>
    <w:rsid w:val="006522C4"/>
    <w:rsid w:val="00663A63"/>
    <w:rsid w:val="0067046F"/>
    <w:rsid w:val="00673697"/>
    <w:rsid w:val="00676B80"/>
    <w:rsid w:val="00694AA7"/>
    <w:rsid w:val="0069661E"/>
    <w:rsid w:val="006A4356"/>
    <w:rsid w:val="006A735F"/>
    <w:rsid w:val="006B2603"/>
    <w:rsid w:val="006B7A59"/>
    <w:rsid w:val="006C7B40"/>
    <w:rsid w:val="006D3840"/>
    <w:rsid w:val="006D387E"/>
    <w:rsid w:val="006F30A4"/>
    <w:rsid w:val="0077514C"/>
    <w:rsid w:val="0077521E"/>
    <w:rsid w:val="007A3E5D"/>
    <w:rsid w:val="007B14CA"/>
    <w:rsid w:val="007B73E3"/>
    <w:rsid w:val="007C53D6"/>
    <w:rsid w:val="007D25B5"/>
    <w:rsid w:val="007D37E9"/>
    <w:rsid w:val="007E3C03"/>
    <w:rsid w:val="0080104F"/>
    <w:rsid w:val="00814963"/>
    <w:rsid w:val="008368CA"/>
    <w:rsid w:val="00841C71"/>
    <w:rsid w:val="00844779"/>
    <w:rsid w:val="008656FC"/>
    <w:rsid w:val="00875776"/>
    <w:rsid w:val="00885099"/>
    <w:rsid w:val="00894FFB"/>
    <w:rsid w:val="008A1015"/>
    <w:rsid w:val="008A12E1"/>
    <w:rsid w:val="008A3BA9"/>
    <w:rsid w:val="008A477D"/>
    <w:rsid w:val="008B12C3"/>
    <w:rsid w:val="008C5FBB"/>
    <w:rsid w:val="008C7828"/>
    <w:rsid w:val="008D6C35"/>
    <w:rsid w:val="008F4567"/>
    <w:rsid w:val="008F456B"/>
    <w:rsid w:val="00900106"/>
    <w:rsid w:val="00904F7D"/>
    <w:rsid w:val="00905A67"/>
    <w:rsid w:val="00907382"/>
    <w:rsid w:val="009207E2"/>
    <w:rsid w:val="009636A6"/>
    <w:rsid w:val="00973B87"/>
    <w:rsid w:val="009762CA"/>
    <w:rsid w:val="0098300E"/>
    <w:rsid w:val="00984D91"/>
    <w:rsid w:val="009C1502"/>
    <w:rsid w:val="009D3D3D"/>
    <w:rsid w:val="009D5E9C"/>
    <w:rsid w:val="009E18D3"/>
    <w:rsid w:val="009F44F5"/>
    <w:rsid w:val="00A07810"/>
    <w:rsid w:val="00A120F1"/>
    <w:rsid w:val="00A23266"/>
    <w:rsid w:val="00A351FA"/>
    <w:rsid w:val="00A367F2"/>
    <w:rsid w:val="00A411FF"/>
    <w:rsid w:val="00A5285B"/>
    <w:rsid w:val="00A8025E"/>
    <w:rsid w:val="00A9700E"/>
    <w:rsid w:val="00AB28B0"/>
    <w:rsid w:val="00AC44AA"/>
    <w:rsid w:val="00AD0E47"/>
    <w:rsid w:val="00B10691"/>
    <w:rsid w:val="00B14349"/>
    <w:rsid w:val="00B207F0"/>
    <w:rsid w:val="00B24A54"/>
    <w:rsid w:val="00B832CF"/>
    <w:rsid w:val="00BA0E6B"/>
    <w:rsid w:val="00BB4727"/>
    <w:rsid w:val="00BC1183"/>
    <w:rsid w:val="00BC30EB"/>
    <w:rsid w:val="00BE1FCF"/>
    <w:rsid w:val="00BE50A0"/>
    <w:rsid w:val="00C01EBD"/>
    <w:rsid w:val="00C078CA"/>
    <w:rsid w:val="00C413FA"/>
    <w:rsid w:val="00C42779"/>
    <w:rsid w:val="00C43F8D"/>
    <w:rsid w:val="00C47A36"/>
    <w:rsid w:val="00C52EEC"/>
    <w:rsid w:val="00C55D91"/>
    <w:rsid w:val="00CA0EF6"/>
    <w:rsid w:val="00CA16B9"/>
    <w:rsid w:val="00CA3BC9"/>
    <w:rsid w:val="00D06A8B"/>
    <w:rsid w:val="00D27D60"/>
    <w:rsid w:val="00D40128"/>
    <w:rsid w:val="00D61733"/>
    <w:rsid w:val="00D63AEB"/>
    <w:rsid w:val="00D677AD"/>
    <w:rsid w:val="00D80E04"/>
    <w:rsid w:val="00DA1697"/>
    <w:rsid w:val="00DB353A"/>
    <w:rsid w:val="00DB7019"/>
    <w:rsid w:val="00DC7DF0"/>
    <w:rsid w:val="00DD00B9"/>
    <w:rsid w:val="00DE1AA0"/>
    <w:rsid w:val="00E05761"/>
    <w:rsid w:val="00E10DA5"/>
    <w:rsid w:val="00E15D6F"/>
    <w:rsid w:val="00E24781"/>
    <w:rsid w:val="00E45485"/>
    <w:rsid w:val="00E47577"/>
    <w:rsid w:val="00E56C91"/>
    <w:rsid w:val="00E73DC0"/>
    <w:rsid w:val="00E77B8F"/>
    <w:rsid w:val="00E94D36"/>
    <w:rsid w:val="00EA44CD"/>
    <w:rsid w:val="00EB0587"/>
    <w:rsid w:val="00EB0793"/>
    <w:rsid w:val="00EC0601"/>
    <w:rsid w:val="00EC6FA3"/>
    <w:rsid w:val="00ED2158"/>
    <w:rsid w:val="00ED3066"/>
    <w:rsid w:val="00ED4A5D"/>
    <w:rsid w:val="00ED6F36"/>
    <w:rsid w:val="00EE36A8"/>
    <w:rsid w:val="00EE5107"/>
    <w:rsid w:val="00EF6217"/>
    <w:rsid w:val="00EF6D3D"/>
    <w:rsid w:val="00F1525A"/>
    <w:rsid w:val="00F21AD4"/>
    <w:rsid w:val="00F21C98"/>
    <w:rsid w:val="00F560DD"/>
    <w:rsid w:val="00F64F30"/>
    <w:rsid w:val="00F67D3B"/>
    <w:rsid w:val="00F7653E"/>
    <w:rsid w:val="00F835CF"/>
    <w:rsid w:val="00F83E76"/>
    <w:rsid w:val="00F84F30"/>
    <w:rsid w:val="00FA34A3"/>
    <w:rsid w:val="00FA42A9"/>
    <w:rsid w:val="00FD707A"/>
    <w:rsid w:val="00FE4012"/>
    <w:rsid w:val="00FE55D1"/>
    <w:rsid w:val="00FE686B"/>
    <w:rsid w:val="00FF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66F7"/>
  <w15:chartTrackingRefBased/>
  <w15:docId w15:val="{1CC41BDE-C9D4-443B-B295-8C6EC40F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42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aliases w:val="Question"/>
    <w:basedOn w:val="Heading2"/>
    <w:next w:val="Normal"/>
    <w:link w:val="Heading8Char"/>
    <w:uiPriority w:val="9"/>
    <w:unhideWhenUsed/>
    <w:qFormat/>
    <w:rsid w:val="00FA42A9"/>
    <w:pPr>
      <w:keepNext w:val="0"/>
      <w:keepLines w:val="0"/>
      <w:spacing w:before="0" w:line="480" w:lineRule="auto"/>
      <w:ind w:left="720" w:hanging="720"/>
      <w:outlineLvl w:val="7"/>
    </w:pPr>
    <w:rPr>
      <w:rFonts w:ascii="Times New Roman" w:eastAsia="Times New Roman" w:hAnsi="Times New Roman" w:cs="Times New Roman"/>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Question Char"/>
    <w:basedOn w:val="DefaultParagraphFont"/>
    <w:link w:val="Heading8"/>
    <w:uiPriority w:val="9"/>
    <w:rsid w:val="00FA42A9"/>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semiHidden/>
    <w:rsid w:val="00FA42A9"/>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semiHidden/>
    <w:unhideWhenUsed/>
    <w:rsid w:val="006704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046F"/>
    <w:rPr>
      <w:rFonts w:ascii="Consolas" w:hAnsi="Consolas"/>
      <w:sz w:val="21"/>
      <w:szCs w:val="21"/>
    </w:rPr>
  </w:style>
  <w:style w:type="paragraph" w:styleId="FootnoteText">
    <w:name w:val="footnote text"/>
    <w:basedOn w:val="Normal"/>
    <w:link w:val="FootnoteTextChar"/>
    <w:unhideWhenUsed/>
    <w:rsid w:val="0067046F"/>
    <w:pPr>
      <w:spacing w:after="0" w:line="240" w:lineRule="auto"/>
    </w:pPr>
    <w:rPr>
      <w:sz w:val="20"/>
      <w:szCs w:val="20"/>
    </w:rPr>
  </w:style>
  <w:style w:type="character" w:customStyle="1" w:styleId="FootnoteTextChar">
    <w:name w:val="Footnote Text Char"/>
    <w:basedOn w:val="DefaultParagraphFont"/>
    <w:link w:val="FootnoteText"/>
    <w:rsid w:val="0067046F"/>
    <w:rPr>
      <w:sz w:val="20"/>
      <w:szCs w:val="20"/>
    </w:rPr>
  </w:style>
  <w:style w:type="character" w:styleId="FootnoteReference">
    <w:name w:val="footnote reference"/>
    <w:basedOn w:val="DefaultParagraphFont"/>
    <w:uiPriority w:val="99"/>
    <w:unhideWhenUsed/>
    <w:rsid w:val="0067046F"/>
    <w:rPr>
      <w:vertAlign w:val="superscript"/>
    </w:rPr>
  </w:style>
  <w:style w:type="paragraph" w:styleId="Footer">
    <w:name w:val="footer"/>
    <w:basedOn w:val="Normal"/>
    <w:link w:val="FooterChar"/>
    <w:uiPriority w:val="99"/>
    <w:unhideWhenUsed/>
    <w:rsid w:val="00670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6F"/>
  </w:style>
  <w:style w:type="table" w:styleId="TableGrid">
    <w:name w:val="Table Grid"/>
    <w:basedOn w:val="TableNormal"/>
    <w:uiPriority w:val="39"/>
    <w:rsid w:val="00670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046F"/>
    <w:rPr>
      <w:color w:val="0563C1" w:themeColor="hyperlink"/>
      <w:u w:val="single"/>
    </w:rPr>
  </w:style>
  <w:style w:type="paragraph" w:styleId="Header">
    <w:name w:val="header"/>
    <w:basedOn w:val="Normal"/>
    <w:link w:val="HeaderChar"/>
    <w:uiPriority w:val="99"/>
    <w:unhideWhenUsed/>
    <w:rsid w:val="00D27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D60"/>
  </w:style>
  <w:style w:type="paragraph" w:styleId="ListParagraph">
    <w:name w:val="List Paragraph"/>
    <w:basedOn w:val="Normal"/>
    <w:uiPriority w:val="34"/>
    <w:qFormat/>
    <w:rsid w:val="00461040"/>
    <w:pPr>
      <w:ind w:left="720"/>
      <w:contextualSpacing/>
    </w:pPr>
  </w:style>
  <w:style w:type="paragraph" w:styleId="NormalWeb">
    <w:name w:val="Normal (Web)"/>
    <w:basedOn w:val="Normal"/>
    <w:uiPriority w:val="99"/>
    <w:unhideWhenUsed/>
    <w:rsid w:val="0080104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F2661"/>
    <w:rPr>
      <w:color w:val="954F72" w:themeColor="followedHyperlink"/>
      <w:u w:val="single"/>
    </w:rPr>
  </w:style>
  <w:style w:type="paragraph" w:styleId="BalloonText">
    <w:name w:val="Balloon Text"/>
    <w:basedOn w:val="Normal"/>
    <w:link w:val="BalloonTextChar"/>
    <w:uiPriority w:val="99"/>
    <w:semiHidden/>
    <w:unhideWhenUsed/>
    <w:rsid w:val="002C2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33D"/>
    <w:rPr>
      <w:rFonts w:ascii="Segoe UI" w:hAnsi="Segoe UI" w:cs="Segoe UI"/>
      <w:sz w:val="18"/>
      <w:szCs w:val="18"/>
    </w:rPr>
  </w:style>
  <w:style w:type="character" w:styleId="CommentReference">
    <w:name w:val="annotation reference"/>
    <w:basedOn w:val="DefaultParagraphFont"/>
    <w:uiPriority w:val="99"/>
    <w:semiHidden/>
    <w:unhideWhenUsed/>
    <w:rsid w:val="008A1015"/>
    <w:rPr>
      <w:sz w:val="16"/>
      <w:szCs w:val="16"/>
    </w:rPr>
  </w:style>
  <w:style w:type="paragraph" w:styleId="CommentText">
    <w:name w:val="annotation text"/>
    <w:basedOn w:val="Normal"/>
    <w:link w:val="CommentTextChar"/>
    <w:uiPriority w:val="99"/>
    <w:semiHidden/>
    <w:unhideWhenUsed/>
    <w:rsid w:val="008A1015"/>
    <w:pPr>
      <w:spacing w:line="240" w:lineRule="auto"/>
    </w:pPr>
    <w:rPr>
      <w:sz w:val="20"/>
      <w:szCs w:val="20"/>
    </w:rPr>
  </w:style>
  <w:style w:type="character" w:customStyle="1" w:styleId="CommentTextChar">
    <w:name w:val="Comment Text Char"/>
    <w:basedOn w:val="DefaultParagraphFont"/>
    <w:link w:val="CommentText"/>
    <w:uiPriority w:val="99"/>
    <w:semiHidden/>
    <w:rsid w:val="008A1015"/>
    <w:rPr>
      <w:sz w:val="20"/>
      <w:szCs w:val="20"/>
    </w:rPr>
  </w:style>
  <w:style w:type="paragraph" w:styleId="CommentSubject">
    <w:name w:val="annotation subject"/>
    <w:basedOn w:val="CommentText"/>
    <w:next w:val="CommentText"/>
    <w:link w:val="CommentSubjectChar"/>
    <w:uiPriority w:val="99"/>
    <w:semiHidden/>
    <w:unhideWhenUsed/>
    <w:rsid w:val="008A1015"/>
    <w:rPr>
      <w:b/>
      <w:bCs/>
    </w:rPr>
  </w:style>
  <w:style w:type="character" w:customStyle="1" w:styleId="CommentSubjectChar">
    <w:name w:val="Comment Subject Char"/>
    <w:basedOn w:val="CommentTextChar"/>
    <w:link w:val="CommentSubject"/>
    <w:uiPriority w:val="99"/>
    <w:semiHidden/>
    <w:rsid w:val="008A10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91859">
      <w:bodyDiv w:val="1"/>
      <w:marLeft w:val="0"/>
      <w:marRight w:val="0"/>
      <w:marTop w:val="0"/>
      <w:marBottom w:val="0"/>
      <w:divBdr>
        <w:top w:val="none" w:sz="0" w:space="0" w:color="auto"/>
        <w:left w:val="none" w:sz="0" w:space="0" w:color="auto"/>
        <w:bottom w:val="none" w:sz="0" w:space="0" w:color="auto"/>
        <w:right w:val="none" w:sz="0" w:space="0" w:color="auto"/>
      </w:divBdr>
    </w:div>
    <w:div w:id="213806550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55">
          <w:marLeft w:val="547"/>
          <w:marRight w:val="0"/>
          <w:marTop w:val="134"/>
          <w:marBottom w:val="0"/>
          <w:divBdr>
            <w:top w:val="none" w:sz="0" w:space="0" w:color="auto"/>
            <w:left w:val="none" w:sz="0" w:space="0" w:color="auto"/>
            <w:bottom w:val="none" w:sz="0" w:space="0" w:color="auto"/>
            <w:right w:val="none" w:sz="0" w:space="0" w:color="auto"/>
          </w:divBdr>
        </w:div>
        <w:div w:id="1335382102">
          <w:marLeft w:val="547"/>
          <w:marRight w:val="0"/>
          <w:marTop w:val="134"/>
          <w:marBottom w:val="0"/>
          <w:divBdr>
            <w:top w:val="none" w:sz="0" w:space="0" w:color="auto"/>
            <w:left w:val="none" w:sz="0" w:space="0" w:color="auto"/>
            <w:bottom w:val="none" w:sz="0" w:space="0" w:color="auto"/>
            <w:right w:val="none" w:sz="0" w:space="0" w:color="auto"/>
          </w:divBdr>
        </w:div>
        <w:div w:id="1202867344">
          <w:marLeft w:val="547"/>
          <w:marRight w:val="0"/>
          <w:marTop w:val="134"/>
          <w:marBottom w:val="0"/>
          <w:divBdr>
            <w:top w:val="none" w:sz="0" w:space="0" w:color="auto"/>
            <w:left w:val="none" w:sz="0" w:space="0" w:color="auto"/>
            <w:bottom w:val="none" w:sz="0" w:space="0" w:color="auto"/>
            <w:right w:val="none" w:sz="0" w:space="0" w:color="auto"/>
          </w:divBdr>
        </w:div>
        <w:div w:id="1757703433">
          <w:marLeft w:val="547"/>
          <w:marRight w:val="0"/>
          <w:marTop w:val="134"/>
          <w:marBottom w:val="0"/>
          <w:divBdr>
            <w:top w:val="none" w:sz="0" w:space="0" w:color="auto"/>
            <w:left w:val="none" w:sz="0" w:space="0" w:color="auto"/>
            <w:bottom w:val="none" w:sz="0" w:space="0" w:color="auto"/>
            <w:right w:val="none" w:sz="0" w:space="0" w:color="auto"/>
          </w:divBdr>
        </w:div>
        <w:div w:id="51180068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pse.com/savingsandenergycenter/forbusinesses/lighting/pages/business-lighting-program.aspx" TargetMode="External"/><Relationship Id="rId1" Type="http://schemas.openxmlformats.org/officeDocument/2006/relationships/hyperlink" Target="http://www.naturallighting.com/cart/store.php?sc_page=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C654A45FE9B40B4C8E9104FF4261F" ma:contentTypeVersion="92" ma:contentTypeDescription="" ma:contentTypeScope="" ma:versionID="c9fdf3ecb79b016a605723182b1727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2017-03-14T07:00:00+00:00</OpenedDate>
    <Date1 xmlns="dc463f71-b30c-4ab2-9473-d307f9d35888">2017-07-27T07:00:00+00:00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170174</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3314474-ED29-49B9-8904-1BFAB917A5F0}"/>
</file>

<file path=customXml/itemProps2.xml><?xml version="1.0" encoding="utf-8"?>
<ds:datastoreItem xmlns:ds="http://schemas.openxmlformats.org/officeDocument/2006/customXml" ds:itemID="{54D586C8-3129-43AF-956C-CB65A4E813C5}">
  <ds:schemaRefs>
    <ds:schemaRef ds:uri="http://schemas.microsoft.com/sharepoint/v3/contenttype/forms"/>
  </ds:schemaRefs>
</ds:datastoreItem>
</file>

<file path=customXml/itemProps3.xml><?xml version="1.0" encoding="utf-8"?>
<ds:datastoreItem xmlns:ds="http://schemas.openxmlformats.org/officeDocument/2006/customXml" ds:itemID="{912E2E4C-AED6-4C6E-BDD9-1FB690B9CBAE}">
  <ds:schemaRefs>
    <ds:schemaRef ds:uri="http://purl.org/dc/dcmitype/"/>
    <ds:schemaRef ds:uri="751276d0-61bc-4dad-b75c-21dfd12630ad"/>
    <ds:schemaRef ds:uri="FB435683-A810-422F-8CC5-6D12CD63B98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1EE562D-94D3-46A8-B9B7-A01F9FD3D94E}">
  <ds:schemaRefs>
    <ds:schemaRef ds:uri="http://schemas.openxmlformats.org/officeDocument/2006/bibliography"/>
  </ds:schemaRefs>
</ds:datastoreItem>
</file>

<file path=customXml/itemProps5.xml><?xml version="1.0" encoding="utf-8"?>
<ds:datastoreItem xmlns:ds="http://schemas.openxmlformats.org/officeDocument/2006/customXml" ds:itemID="{7D8E93F2-8335-4002-93B9-91318E7B0FDC}"/>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Scanlan, Kathi (UTC)</dc:creator>
  <cp:keywords/>
  <dc:description/>
  <cp:lastModifiedBy>Wyse, Lisa (UTC)</cp:lastModifiedBy>
  <cp:revision>2</cp:revision>
  <dcterms:created xsi:type="dcterms:W3CDTF">2017-07-24T20:21:00Z</dcterms:created>
  <dcterms:modified xsi:type="dcterms:W3CDTF">2017-07-24T20:21:00Z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0x0101006E56B4D1795A2E4DB2F0B01679ED314A00863C654A45FE9B40B4C8E9104FF4261F</vt:lpwstr>
  </property>
  <property fmtid="{D5CDD505-2E9C-101B-9397-08002B2CF9AE}" pid="3" name="_docset_NoMedatataSyncRequired">
    <vt:lpwstr>False</vt:lpwstr>
  </property>
  <property fmtid="{D5CDD505-2E9C-101B-9397-08002B2CF9AE}" pid="4" name="IsEFSEC">
    <vt:bool>false</vt:bool>
  </property>
</Properties>
</file>