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spacing w:after="240"/>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B754B9" w:rsidP="005C206D">
            <w:pPr>
              <w:tabs>
                <w:tab w:val="left" w:pos="1800"/>
              </w:tabs>
            </w:pPr>
            <w:r>
              <w:rPr>
                <w:szCs w:val="24"/>
              </w:rPr>
              <w:t>WITNESS LIST AND HEARING EXHIBITS OF SHUTTLE EXPRESS</w:t>
            </w:r>
          </w:p>
        </w:tc>
      </w:tr>
    </w:tbl>
    <w:p w:rsidR="001321A4" w:rsidRDefault="001321A4"/>
    <w:p w:rsidR="00B754B9" w:rsidRDefault="00B754B9" w:rsidP="00773342">
      <w:pPr>
        <w:spacing w:line="480" w:lineRule="auto"/>
      </w:pPr>
    </w:p>
    <w:p w:rsidR="00773342" w:rsidRDefault="00B754B9" w:rsidP="00773342">
      <w:pPr>
        <w:spacing w:line="480" w:lineRule="auto"/>
      </w:pPr>
      <w:r>
        <w:tab/>
        <w:t>Applicant Shuttle Express hereby provides the following list of witnesses and exhibits pursuant to Order No. 1: Prehearing Conference Order:</w:t>
      </w:r>
    </w:p>
    <w:p w:rsidR="003F64CA" w:rsidRPr="003F64CA" w:rsidRDefault="005C206D" w:rsidP="00773342">
      <w:pPr>
        <w:tabs>
          <w:tab w:val="left" w:pos="360"/>
        </w:tabs>
        <w:spacing w:line="480" w:lineRule="auto"/>
        <w:rPr>
          <w:u w:val="single"/>
        </w:rPr>
      </w:pPr>
      <w:r>
        <w:tab/>
      </w:r>
      <w:r w:rsidR="003F64CA" w:rsidRPr="003F64CA">
        <w:rPr>
          <w:u w:val="single"/>
        </w:rPr>
        <w:t>Company Witness</w:t>
      </w:r>
    </w:p>
    <w:p w:rsidR="003F64CA" w:rsidRDefault="003F64CA" w:rsidP="00773342">
      <w:pPr>
        <w:tabs>
          <w:tab w:val="left" w:pos="360"/>
        </w:tabs>
        <w:spacing w:line="480" w:lineRule="auto"/>
      </w:pPr>
      <w:r>
        <w:tab/>
      </w:r>
      <w:r w:rsidR="00B754B9">
        <w:t>John Rowle</w:t>
      </w:r>
      <w:r>
        <w:t>y, President of Shuttle Express</w:t>
      </w:r>
    </w:p>
    <w:p w:rsidR="00B754B9" w:rsidRDefault="00B754B9" w:rsidP="00773342">
      <w:pPr>
        <w:tabs>
          <w:tab w:val="left" w:pos="360"/>
        </w:tabs>
        <w:spacing w:line="480" w:lineRule="auto"/>
      </w:pPr>
      <w:r>
        <w:t>Mr.</w:t>
      </w:r>
      <w:r w:rsidR="005C206D">
        <w:t xml:space="preserve"> Rowley will testify regarding background of Shuttle Express, public need for operations between points in King County and waterfront terminals and Shuttle’s fitness to operate larger vehicles.</w:t>
      </w:r>
    </w:p>
    <w:p w:rsidR="003F64CA" w:rsidRPr="003F64CA" w:rsidRDefault="003F64CA" w:rsidP="00773342">
      <w:pPr>
        <w:tabs>
          <w:tab w:val="left" w:pos="360"/>
        </w:tabs>
        <w:spacing w:line="480" w:lineRule="auto"/>
        <w:rPr>
          <w:u w:val="single"/>
        </w:rPr>
      </w:pPr>
      <w:r>
        <w:tab/>
      </w:r>
      <w:r w:rsidRPr="003F64CA">
        <w:rPr>
          <w:u w:val="single"/>
        </w:rPr>
        <w:t>Public Witnesses</w:t>
      </w:r>
    </w:p>
    <w:p w:rsidR="00B435DB" w:rsidRDefault="00B435DB" w:rsidP="00773342">
      <w:pPr>
        <w:tabs>
          <w:tab w:val="left" w:pos="360"/>
        </w:tabs>
        <w:spacing w:line="480" w:lineRule="auto"/>
      </w:pPr>
      <w:r>
        <w:tab/>
        <w:t xml:space="preserve">Raquel Wheeler, </w:t>
      </w:r>
      <w:r w:rsidR="00F3466B">
        <w:t xml:space="preserve">Director of Sales and Marketing, </w:t>
      </w:r>
      <w:r>
        <w:t>Red Lion Hotel Bellevue.</w:t>
      </w:r>
    </w:p>
    <w:p w:rsidR="00B435DB" w:rsidRDefault="005C206D" w:rsidP="00773342">
      <w:pPr>
        <w:tabs>
          <w:tab w:val="left" w:pos="360"/>
        </w:tabs>
        <w:spacing w:line="480" w:lineRule="auto"/>
      </w:pPr>
      <w:r>
        <w:tab/>
      </w:r>
      <w:r w:rsidR="00B435DB">
        <w:t xml:space="preserve">Norm Groesbeck, </w:t>
      </w:r>
      <w:r w:rsidR="00B2690B">
        <w:t>Assistant Operations Manager, Seattle Pier Operations, TMS Gateway</w:t>
      </w:r>
      <w:r w:rsidR="00B435DB">
        <w:t>.</w:t>
      </w:r>
    </w:p>
    <w:p w:rsidR="00B435DB" w:rsidRDefault="00A26B8D" w:rsidP="00773342">
      <w:pPr>
        <w:tabs>
          <w:tab w:val="left" w:pos="360"/>
        </w:tabs>
        <w:spacing w:line="480" w:lineRule="auto"/>
      </w:pPr>
      <w:r>
        <w:tab/>
      </w:r>
      <w:r w:rsidR="003F64CA">
        <w:t xml:space="preserve">David Gudgel, </w:t>
      </w:r>
      <w:r w:rsidR="00F3466B">
        <w:t xml:space="preserve">Director, </w:t>
      </w:r>
      <w:r w:rsidR="00B435DB">
        <w:t>Europe Express tours.</w:t>
      </w:r>
    </w:p>
    <w:p w:rsidR="003F64CA" w:rsidRDefault="00B435DB" w:rsidP="003F64CA">
      <w:pPr>
        <w:tabs>
          <w:tab w:val="left" w:pos="360"/>
        </w:tabs>
        <w:spacing w:line="480" w:lineRule="auto"/>
      </w:pPr>
      <w:r>
        <w:tab/>
        <w:t>Cla</w:t>
      </w:r>
      <w:r w:rsidR="003F64CA">
        <w:t>udia Rutt, Director of Sales,</w:t>
      </w:r>
      <w:r>
        <w:t xml:space="preserve"> Sheraton Bellevue</w:t>
      </w:r>
      <w:r w:rsidR="00F3466B">
        <w:t>.</w:t>
      </w:r>
    </w:p>
    <w:p w:rsidR="005C206D" w:rsidRDefault="00F3466B" w:rsidP="003F64CA">
      <w:pPr>
        <w:tabs>
          <w:tab w:val="left" w:pos="360"/>
        </w:tabs>
        <w:spacing w:line="480" w:lineRule="auto"/>
      </w:pPr>
      <w:r>
        <w:lastRenderedPageBreak/>
        <w:tab/>
      </w:r>
      <w:r>
        <w:tab/>
      </w:r>
      <w:r w:rsidR="003F64CA">
        <w:t>All public witnesses wi</w:t>
      </w:r>
      <w:r w:rsidR="00B435DB">
        <w:t xml:space="preserve">ll testify </w:t>
      </w:r>
      <w:r w:rsidR="003F64CA">
        <w:t>regarding a need for the service that</w:t>
      </w:r>
      <w:r w:rsidR="00B435DB">
        <w:t xml:space="preserve"> Shuttle Express</w:t>
      </w:r>
      <w:r w:rsidR="003F64CA">
        <w:t xml:space="preserve"> proposes in its application and why it is in the public interest for Shuttle Express to provide that service</w:t>
      </w:r>
      <w:r w:rsidR="00B435DB">
        <w:t>.</w:t>
      </w:r>
      <w:r w:rsidR="003F64CA">
        <w:t xml:space="preserve">  Some public witnesses may need to testify telephonically.  If so, Shuttle Express will request leave of the Administrative Law Judge for such remote testimony.  As of this writing, in person availability still has not been determined for all of the public witnesses.</w:t>
      </w:r>
    </w:p>
    <w:p w:rsidR="00F74C17" w:rsidRDefault="0095188A" w:rsidP="00773342">
      <w:pPr>
        <w:tabs>
          <w:tab w:val="left" w:pos="360"/>
        </w:tabs>
        <w:spacing w:line="480" w:lineRule="auto"/>
      </w:pPr>
      <w:r>
        <w:tab/>
      </w:r>
    </w:p>
    <w:p w:rsidR="003F64CA" w:rsidRPr="003F64CA" w:rsidRDefault="00F3466B" w:rsidP="00F3466B">
      <w:pPr>
        <w:tabs>
          <w:tab w:val="left" w:pos="360"/>
        </w:tabs>
        <w:spacing w:line="480" w:lineRule="auto"/>
        <w:rPr>
          <w:u w:val="single"/>
        </w:rPr>
      </w:pPr>
      <w:r w:rsidRPr="00F3466B">
        <w:tab/>
      </w:r>
      <w:r w:rsidR="003F64CA" w:rsidRPr="003F64CA">
        <w:rPr>
          <w:u w:val="single"/>
        </w:rPr>
        <w:t>Hearing Exhibits</w:t>
      </w:r>
    </w:p>
    <w:p w:rsidR="00B754B9" w:rsidRDefault="00682D3B" w:rsidP="00682D3B">
      <w:pPr>
        <w:spacing w:line="480" w:lineRule="auto"/>
      </w:pPr>
      <w:r>
        <w:tab/>
      </w:r>
      <w:r w:rsidR="00B754B9">
        <w:t xml:space="preserve">The Exhibits Shuttle Express </w:t>
      </w:r>
      <w:r w:rsidR="003F64CA">
        <w:t xml:space="preserve">expects to offer </w:t>
      </w:r>
      <w:r w:rsidR="00B754B9">
        <w:t>are as follows:</w:t>
      </w:r>
    </w:p>
    <w:p w:rsidR="00B754B9" w:rsidRDefault="00773342" w:rsidP="008321B5">
      <w:pPr>
        <w:spacing w:line="480" w:lineRule="auto"/>
        <w:ind w:firstLine="360"/>
      </w:pPr>
      <w:r>
        <w:t xml:space="preserve">Exhibit 1: </w:t>
      </w:r>
      <w:r>
        <w:tab/>
        <w:t>WUTC: Application of Shuttle Express.</w:t>
      </w:r>
    </w:p>
    <w:p w:rsidR="00773342" w:rsidRDefault="00773342" w:rsidP="008321B5">
      <w:pPr>
        <w:spacing w:line="480" w:lineRule="auto"/>
        <w:ind w:firstLine="360"/>
      </w:pPr>
      <w:r>
        <w:t>Exhibit 2:</w:t>
      </w:r>
      <w:r>
        <w:tab/>
        <w:t>WUTC: Certificate of Shuttle Express.</w:t>
      </w:r>
    </w:p>
    <w:p w:rsidR="00773342" w:rsidRDefault="00773342" w:rsidP="008321B5">
      <w:pPr>
        <w:spacing w:line="480" w:lineRule="auto"/>
        <w:ind w:firstLine="360"/>
      </w:pPr>
      <w:r>
        <w:t>Exhibit 3:</w:t>
      </w:r>
      <w:r>
        <w:tab/>
        <w:t>Shuttle Express Customer Brochure</w:t>
      </w:r>
    </w:p>
    <w:p w:rsidR="00773342" w:rsidRDefault="00773342" w:rsidP="008321B5">
      <w:pPr>
        <w:spacing w:line="480" w:lineRule="auto"/>
        <w:ind w:firstLine="360"/>
      </w:pPr>
      <w:r>
        <w:t>Exhibit 4:</w:t>
      </w:r>
      <w:r>
        <w:tab/>
        <w:t>Trax Press Release</w:t>
      </w:r>
    </w:p>
    <w:p w:rsidR="00773342" w:rsidRDefault="00773342" w:rsidP="008321B5">
      <w:pPr>
        <w:spacing w:line="480" w:lineRule="auto"/>
        <w:ind w:firstLine="360"/>
      </w:pPr>
      <w:r>
        <w:t>Exhibit 5:</w:t>
      </w:r>
      <w:r>
        <w:tab/>
        <w:t>Washington State Secretary of State – Certified Copy</w:t>
      </w:r>
    </w:p>
    <w:p w:rsidR="00773342" w:rsidRDefault="00773342" w:rsidP="008321B5">
      <w:pPr>
        <w:spacing w:line="480" w:lineRule="auto"/>
        <w:ind w:firstLine="360"/>
      </w:pPr>
      <w:r>
        <w:t>Exhibit 6:</w:t>
      </w:r>
      <w:r>
        <w:tab/>
        <w:t>Photo of DriveCam</w:t>
      </w:r>
    </w:p>
    <w:p w:rsidR="00773342" w:rsidRDefault="00773342" w:rsidP="008321B5">
      <w:pPr>
        <w:spacing w:line="480" w:lineRule="auto"/>
        <w:ind w:firstLine="360"/>
      </w:pPr>
      <w:r>
        <w:t>Exhibit 7:</w:t>
      </w:r>
      <w:r>
        <w:tab/>
        <w:t>Photos of Propane Fueling Tank</w:t>
      </w:r>
    </w:p>
    <w:p w:rsidR="00773342" w:rsidRDefault="00773342" w:rsidP="008321B5">
      <w:pPr>
        <w:spacing w:line="480" w:lineRule="auto"/>
        <w:ind w:firstLine="360"/>
      </w:pPr>
      <w:r>
        <w:t>Exhibit 8:</w:t>
      </w:r>
      <w:r>
        <w:tab/>
        <w:t>Photos of Drivers and Vans.</w:t>
      </w:r>
    </w:p>
    <w:p w:rsidR="00773342" w:rsidRDefault="00773342" w:rsidP="008321B5">
      <w:pPr>
        <w:spacing w:line="480" w:lineRule="auto"/>
        <w:ind w:firstLine="360"/>
      </w:pPr>
      <w:r>
        <w:t>Exhibit 9:</w:t>
      </w:r>
      <w:r>
        <w:tab/>
        <w:t>Photo of Dispatch Screen.</w:t>
      </w:r>
    </w:p>
    <w:p w:rsidR="00773342" w:rsidRDefault="00773342" w:rsidP="008321B5">
      <w:pPr>
        <w:spacing w:line="480" w:lineRule="auto"/>
        <w:ind w:firstLine="360"/>
      </w:pPr>
      <w:r>
        <w:t>Exhibit 10:</w:t>
      </w:r>
      <w:r>
        <w:tab/>
        <w:t>Photos and Maps of Cruise Terminals.</w:t>
      </w:r>
    </w:p>
    <w:p w:rsidR="00773342" w:rsidRDefault="00773342" w:rsidP="008321B5">
      <w:pPr>
        <w:spacing w:line="480" w:lineRule="auto"/>
        <w:ind w:firstLine="360"/>
      </w:pPr>
      <w:r>
        <w:t>Exhibit 11:</w:t>
      </w:r>
      <w:r>
        <w:tab/>
        <w:t>Department of Revenue License Search.</w:t>
      </w:r>
    </w:p>
    <w:p w:rsidR="00773342" w:rsidRDefault="00773342" w:rsidP="008321B5">
      <w:pPr>
        <w:spacing w:line="480" w:lineRule="auto"/>
        <w:ind w:firstLine="360"/>
      </w:pPr>
      <w:r>
        <w:t>Exhibit 12:</w:t>
      </w:r>
      <w:r>
        <w:tab/>
        <w:t>Washington Utilities and Transportation Commission: Notice of Penalties.</w:t>
      </w:r>
    </w:p>
    <w:p w:rsidR="00773342" w:rsidRDefault="00773342" w:rsidP="008321B5">
      <w:pPr>
        <w:spacing w:line="480" w:lineRule="auto"/>
        <w:ind w:firstLine="360"/>
      </w:pPr>
      <w:r>
        <w:t>Exhibit 13:</w:t>
      </w:r>
      <w:r>
        <w:tab/>
        <w:t>Washington State Licensing: Disciplinary Actions.</w:t>
      </w:r>
    </w:p>
    <w:p w:rsidR="00F74C17" w:rsidRDefault="00F74C17" w:rsidP="008321B5">
      <w:pPr>
        <w:spacing w:line="480" w:lineRule="auto"/>
        <w:ind w:firstLine="360"/>
      </w:pPr>
      <w:r>
        <w:t>Exhibit 14:</w:t>
      </w:r>
      <w:r>
        <w:tab/>
        <w:t>Website of Excalibur Limousine d/b/a Seattle Green Limo</w:t>
      </w:r>
    </w:p>
    <w:p w:rsidR="00773342" w:rsidRDefault="00773342" w:rsidP="00773342">
      <w:pPr>
        <w:spacing w:line="480" w:lineRule="auto"/>
        <w:ind w:firstLine="720"/>
      </w:pPr>
    </w:p>
    <w:p w:rsidR="00B754B9" w:rsidRDefault="00B754B9" w:rsidP="008321B5">
      <w:pPr>
        <w:spacing w:line="360" w:lineRule="auto"/>
        <w:ind w:firstLine="720"/>
      </w:pPr>
      <w:r>
        <w:lastRenderedPageBreak/>
        <w:t>DATED this 26</w:t>
      </w:r>
      <w:r>
        <w:rPr>
          <w:vertAlign w:val="superscript"/>
        </w:rPr>
        <w:t xml:space="preserve">th </w:t>
      </w:r>
      <w:r>
        <w:t>day of January, 2012.</w:t>
      </w:r>
    </w:p>
    <w:p w:rsidR="00B754B9" w:rsidRDefault="00B754B9" w:rsidP="00773342">
      <w:pPr>
        <w:spacing w:line="360" w:lineRule="auto"/>
        <w:ind w:firstLine="720"/>
      </w:pPr>
    </w:p>
    <w:p w:rsidR="00B754B9" w:rsidRDefault="00B754B9" w:rsidP="00773342">
      <w:pPr>
        <w:spacing w:line="360" w:lineRule="auto"/>
        <w:ind w:firstLine="720"/>
      </w:pPr>
      <w:r>
        <w:tab/>
      </w:r>
      <w:r>
        <w:tab/>
      </w:r>
      <w:r>
        <w:tab/>
      </w:r>
      <w:r>
        <w:tab/>
      </w:r>
      <w:r>
        <w:tab/>
        <w:t>LUKAS, NACE, GUTIERREZ &amp; SACHS, LLP</w:t>
      </w:r>
    </w:p>
    <w:p w:rsidR="00B754B9" w:rsidRDefault="00B754B9" w:rsidP="00B754B9">
      <w:pPr>
        <w:ind w:firstLine="720"/>
      </w:pPr>
    </w:p>
    <w:p w:rsidR="00B754B9" w:rsidRDefault="00B754B9" w:rsidP="00B754B9">
      <w:pPr>
        <w:ind w:firstLine="720"/>
      </w:pPr>
      <w:r>
        <w:rPr>
          <w:noProof/>
        </w:rPr>
        <w:drawing>
          <wp:anchor distT="0" distB="0" distL="114300" distR="114300" simplePos="0" relativeHeight="251658240" behindDoc="0" locked="0" layoutInCell="1" allowOverlap="1">
            <wp:simplePos x="0" y="0"/>
            <wp:positionH relativeFrom="column">
              <wp:posOffset>2753783</wp:posOffset>
            </wp:positionH>
            <wp:positionV relativeFrom="paragraph">
              <wp:posOffset>38524</wp:posOffset>
            </wp:positionV>
            <wp:extent cx="1894417" cy="347133"/>
            <wp:effectExtent l="19050" t="0" r="0" b="0"/>
            <wp:wrapNone/>
            <wp:docPr id="1" name="Picture 2"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ow sig"/>
                    <pic:cNvPicPr>
                      <a:picLocks noChangeAspect="1" noChangeArrowheads="1"/>
                    </pic:cNvPicPr>
                  </pic:nvPicPr>
                  <pic:blipFill>
                    <a:blip r:embed="rId6" cstate="print"/>
                    <a:srcRect/>
                    <a:stretch>
                      <a:fillRect/>
                    </a:stretch>
                  </pic:blipFill>
                  <pic:spPr bwMode="auto">
                    <a:xfrm>
                      <a:off x="0" y="0"/>
                      <a:ext cx="1894417" cy="347133"/>
                    </a:xfrm>
                    <a:prstGeom prst="rect">
                      <a:avLst/>
                    </a:prstGeom>
                    <a:noFill/>
                    <a:ln w="9525">
                      <a:noFill/>
                      <a:miter lim="800000"/>
                      <a:headEnd/>
                      <a:tailEnd/>
                    </a:ln>
                  </pic:spPr>
                </pic:pic>
              </a:graphicData>
            </a:graphic>
          </wp:anchor>
        </w:drawing>
      </w:r>
    </w:p>
    <w:p w:rsidR="00B754B9" w:rsidRDefault="00B754B9" w:rsidP="00B754B9">
      <w:pPr>
        <w:ind w:firstLine="720"/>
      </w:pPr>
    </w:p>
    <w:p w:rsidR="00B754B9" w:rsidRDefault="00B754B9" w:rsidP="00B754B9">
      <w:pPr>
        <w:ind w:firstLine="720"/>
        <w:rPr>
          <w:u w:val="single"/>
        </w:rPr>
      </w:pPr>
      <w:r>
        <w:tab/>
      </w:r>
      <w:r>
        <w:tab/>
      </w:r>
      <w:r>
        <w:tab/>
      </w:r>
      <w:r>
        <w:tab/>
      </w:r>
      <w:r>
        <w:tab/>
      </w:r>
      <w:r>
        <w:rPr>
          <w:u w:val="single"/>
        </w:rPr>
        <w:t>______________________________________</w:t>
      </w:r>
    </w:p>
    <w:p w:rsidR="00B754B9" w:rsidRDefault="00B754B9" w:rsidP="00B754B9">
      <w:pPr>
        <w:ind w:firstLine="720"/>
      </w:pPr>
      <w:r>
        <w:tab/>
      </w:r>
      <w:r>
        <w:tab/>
      </w:r>
      <w:r>
        <w:tab/>
      </w:r>
      <w:r>
        <w:tab/>
      </w:r>
      <w:r>
        <w:tab/>
        <w:t>Brooks E. Harlow</w:t>
      </w:r>
    </w:p>
    <w:p w:rsidR="00B754B9" w:rsidRDefault="00B754B9" w:rsidP="00B754B9">
      <w:pPr>
        <w:ind w:firstLine="720"/>
      </w:pPr>
      <w:r>
        <w:tab/>
      </w:r>
      <w:r>
        <w:tab/>
      </w:r>
      <w:r>
        <w:tab/>
      </w:r>
      <w:r>
        <w:tab/>
      </w:r>
      <w:r>
        <w:tab/>
        <w:t>WSB No. 11843</w:t>
      </w:r>
    </w:p>
    <w:p w:rsidR="00B754B9" w:rsidRDefault="00B754B9" w:rsidP="00B754B9">
      <w:pPr>
        <w:ind w:firstLine="720"/>
      </w:pPr>
      <w:r>
        <w:tab/>
      </w:r>
      <w:r>
        <w:tab/>
      </w:r>
      <w:r>
        <w:tab/>
      </w:r>
      <w:r>
        <w:tab/>
      </w:r>
      <w:r>
        <w:tab/>
      </w:r>
      <w:r w:rsidRPr="00F41461">
        <w:t>bharlow@fcclaw.com</w:t>
      </w:r>
    </w:p>
    <w:p w:rsidR="00B754B9" w:rsidRDefault="00B754B9" w:rsidP="00B754B9">
      <w:pPr>
        <w:ind w:firstLine="720"/>
      </w:pPr>
      <w:r>
        <w:tab/>
      </w:r>
      <w:r>
        <w:tab/>
      </w:r>
      <w:r>
        <w:tab/>
      </w:r>
      <w:r>
        <w:tab/>
      </w:r>
      <w:r>
        <w:tab/>
        <w:t>(703) 584-8680</w:t>
      </w:r>
    </w:p>
    <w:p w:rsidR="00A7377D" w:rsidRDefault="00A7377D" w:rsidP="00B754B9">
      <w:pPr>
        <w:ind w:firstLine="720"/>
        <w:sectPr w:rsidR="00A7377D" w:rsidSect="001321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A7377D" w:rsidRPr="00C411D4" w:rsidRDefault="00A7377D" w:rsidP="00A7377D">
      <w:pPr>
        <w:jc w:val="center"/>
      </w:pPr>
      <w:r w:rsidRPr="00C411D4">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773342">
        <w:t>overnight Federal Express,</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t>26</w:t>
      </w:r>
      <w:r w:rsidRPr="0050118B">
        <w:rPr>
          <w:vertAlign w:val="superscript"/>
        </w:rPr>
        <w:t>th</w:t>
      </w:r>
      <w:r>
        <w:t xml:space="preserve"> </w:t>
      </w:r>
      <w:r w:rsidRPr="00C411D4">
        <w:t xml:space="preserve">day of </w:t>
      </w:r>
      <w:r>
        <w:t>January, 2012</w:t>
      </w:r>
      <w:r w:rsidRPr="00C411D4">
        <w:t>.</w:t>
      </w:r>
    </w:p>
    <w:p w:rsidR="006E2D80" w:rsidRDefault="006E2D80" w:rsidP="00A7377D">
      <w:pPr>
        <w:pStyle w:val="BodyText"/>
        <w:tabs>
          <w:tab w:val="left" w:pos="5040"/>
        </w:tabs>
        <w:spacing w:line="240" w:lineRule="auto"/>
      </w:pPr>
      <w:r>
        <w:tab/>
      </w:r>
      <w:r>
        <w:rPr>
          <w:noProof/>
        </w:rPr>
        <w:drawing>
          <wp:inline distT="0" distB="0" distL="0" distR="0">
            <wp:extent cx="2248095" cy="495343"/>
            <wp:effectExtent l="19050" t="0" r="0" b="0"/>
            <wp:docPr id="2" name="Picture 1" descr="Digital Signature - Mirsh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ignature - Mirshak.PNG"/>
                    <pic:cNvPicPr/>
                  </pic:nvPicPr>
                  <pic:blipFill>
                    <a:blip r:embed="rId13" cstate="print"/>
                    <a:stretch>
                      <a:fillRect/>
                    </a:stretch>
                  </pic:blipFill>
                  <pic:spPr>
                    <a:xfrm>
                      <a:off x="0" y="0"/>
                      <a:ext cx="2248095" cy="495343"/>
                    </a:xfrm>
                    <a:prstGeom prst="rect">
                      <a:avLst/>
                    </a:prstGeom>
                  </pic:spPr>
                </pic:pic>
              </a:graphicData>
            </a:graphic>
          </wp:inline>
        </w:drawing>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6B" w:rsidRDefault="00F3466B" w:rsidP="00B754B9">
      <w:pPr>
        <w:spacing w:line="240" w:lineRule="auto"/>
      </w:pPr>
      <w:r>
        <w:separator/>
      </w:r>
    </w:p>
  </w:endnote>
  <w:endnote w:type="continuationSeparator" w:id="0">
    <w:p w:rsidR="00F3466B" w:rsidRDefault="00F3466B"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6B" w:rsidRDefault="00F3466B">
    <w:pPr>
      <w:pStyle w:val="Footer"/>
    </w:pPr>
    <w:r>
      <w:t xml:space="preserve">WITNESS LIST AND HEARING EXHIBITS OF SHUTTLE EXPRESS - </w:t>
    </w:r>
    <w:fldSimple w:instr=" PAGE   \* MERGEFORMAT ">
      <w:r w:rsidR="00BE17F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6B" w:rsidRDefault="00F3466B" w:rsidP="00B754B9">
      <w:pPr>
        <w:spacing w:line="240" w:lineRule="auto"/>
      </w:pPr>
      <w:r>
        <w:separator/>
      </w:r>
    </w:p>
  </w:footnote>
  <w:footnote w:type="continuationSeparator" w:id="0">
    <w:p w:rsidR="00F3466B" w:rsidRDefault="00F3466B"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4" w:rsidRDefault="00BE1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B754B9"/>
    <w:rsid w:val="000B36FE"/>
    <w:rsid w:val="001321A4"/>
    <w:rsid w:val="00196555"/>
    <w:rsid w:val="00302C20"/>
    <w:rsid w:val="003513FC"/>
    <w:rsid w:val="003E6ADC"/>
    <w:rsid w:val="003F0F57"/>
    <w:rsid w:val="003F64CA"/>
    <w:rsid w:val="004137A0"/>
    <w:rsid w:val="00444CEB"/>
    <w:rsid w:val="004B3495"/>
    <w:rsid w:val="004C6819"/>
    <w:rsid w:val="00512FC9"/>
    <w:rsid w:val="0053206C"/>
    <w:rsid w:val="005C206D"/>
    <w:rsid w:val="00605A36"/>
    <w:rsid w:val="00682D3B"/>
    <w:rsid w:val="006E2D80"/>
    <w:rsid w:val="007425F8"/>
    <w:rsid w:val="00756F19"/>
    <w:rsid w:val="007667ED"/>
    <w:rsid w:val="00773342"/>
    <w:rsid w:val="00791AEB"/>
    <w:rsid w:val="008321B5"/>
    <w:rsid w:val="0095188A"/>
    <w:rsid w:val="009A4611"/>
    <w:rsid w:val="00A26B8D"/>
    <w:rsid w:val="00A302D2"/>
    <w:rsid w:val="00A7377D"/>
    <w:rsid w:val="00AD55DF"/>
    <w:rsid w:val="00B2690B"/>
    <w:rsid w:val="00B435DB"/>
    <w:rsid w:val="00B555DD"/>
    <w:rsid w:val="00B754B9"/>
    <w:rsid w:val="00BC2D5A"/>
    <w:rsid w:val="00BE17F4"/>
    <w:rsid w:val="00CE3319"/>
    <w:rsid w:val="00D13397"/>
    <w:rsid w:val="00D141A4"/>
    <w:rsid w:val="00D24BF5"/>
    <w:rsid w:val="00D975C1"/>
    <w:rsid w:val="00DE50E9"/>
    <w:rsid w:val="00E6479E"/>
    <w:rsid w:val="00F3466B"/>
    <w:rsid w:val="00F41461"/>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Exhibit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2011-09-01T07:00:00+00:00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Pacific Northwest Transportation Services, Inc.</CaseCompanyNames>
    <DocketNumber xmlns="dc463f71-b30c-4ab2-9473-d307f9d35888">111619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0013840462CE4AA92311AE8F17FBCE" ma:contentTypeVersion="143" ma:contentTypeDescription="" ma:contentTypeScope="" ma:versionID="ee04ea566fdd4fce04804c285631b4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7FB4E4-3C3F-4F37-B995-BE1AE18AC4FF}"/>
</file>

<file path=customXml/itemProps2.xml><?xml version="1.0" encoding="utf-8"?>
<ds:datastoreItem xmlns:ds="http://schemas.openxmlformats.org/officeDocument/2006/customXml" ds:itemID="{2348E04F-B094-46EA-A5AD-57F182770643}"/>
</file>

<file path=customXml/itemProps3.xml><?xml version="1.0" encoding="utf-8"?>
<ds:datastoreItem xmlns:ds="http://schemas.openxmlformats.org/officeDocument/2006/customXml" ds:itemID="{EF5802DC-B99C-4AAA-B868-49E6385F7053}"/>
</file>

<file path=customXml/itemProps4.xml><?xml version="1.0" encoding="utf-8"?>
<ds:datastoreItem xmlns:ds="http://schemas.openxmlformats.org/officeDocument/2006/customXml" ds:itemID="{8F16033B-F1BD-4789-A090-AE919BF47C1A}"/>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LinksUpToDate>false</LinksUpToDate>
  <CharactersWithSpaces>3649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2012-01-26T22:30:00Z</dcterms:created>
  <dcterms:modified xsi:type="dcterms:W3CDTF">2012-01-26T22:30:00Z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0x0101006E56B4D1795A2E4DB2F0B01679ED314A00AA0013840462CE4AA92311AE8F17FBCE</vt:lpwstr>
  </property>
  <property fmtid="{D5CDD505-2E9C-101B-9397-08002B2CF9AE}" pid="3" name="_docset_NoMedatataSyncRequired">
    <vt:lpwstr>False</vt:lpwstr>
  </property>
</Properties>
</file>