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center"/>
        <w:rPr>
          <w:sz w:val="28"/>
          <w:szCs w:val="28"/>
        </w:rPr>
      </w:pPr>
    </w:p>
    <w:p w:rsidR="00342364" w:rsidRDefault="00342364">
      <w:pPr>
        <w:tabs>
          <w:tab w:val="left" w:pos="1260"/>
        </w:tabs>
        <w:spacing w:line="480" w:lineRule="auto"/>
        <w:ind w:firstLine="720"/>
        <w:jc w:val="center"/>
        <w:rPr>
          <w:sz w:val="28"/>
          <w:szCs w:val="28"/>
        </w:rPr>
      </w:pPr>
    </w:p>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pPr>
    </w:p>
    <w:p w:rsidR="00342364" w:rsidRDefault="00342364">
      <w:pPr>
        <w:tabs>
          <w:tab w:val="left" w:pos="1260"/>
        </w:tabs>
        <w:spacing w:line="480" w:lineRule="auto"/>
        <w:ind w:firstLine="720"/>
        <w:jc w:val="center"/>
      </w:pPr>
    </w:p>
    <w:p w:rsidR="00342364" w:rsidRDefault="00342364">
      <w:pPr>
        <w:spacing w:line="480" w:lineRule="auto"/>
        <w:jc w:val="center"/>
      </w:pPr>
      <w:r>
        <w:t>BEFORE THE WASHINGTON UTILITIES AND TRANSPORTATION COMMISSION</w:t>
      </w:r>
    </w:p>
    <w:p w:rsidR="00342364" w:rsidRDefault="00342364">
      <w:pPr>
        <w:tabs>
          <w:tab w:val="left" w:pos="1260"/>
        </w:tabs>
        <w:spacing w:line="480" w:lineRule="auto"/>
      </w:pPr>
    </w:p>
    <w:p w:rsidR="00342364" w:rsidRDefault="00342364">
      <w:pPr>
        <w:tabs>
          <w:tab w:val="left" w:pos="1260"/>
        </w:tabs>
        <w:spacing w:line="480" w:lineRule="auto"/>
        <w:jc w:val="center"/>
      </w:pPr>
      <w:r>
        <w:t>DOCKET NO. UE-090134</w:t>
      </w:r>
    </w:p>
    <w:p w:rsidR="00342364" w:rsidRDefault="00342364">
      <w:pPr>
        <w:tabs>
          <w:tab w:val="left" w:pos="1260"/>
        </w:tabs>
        <w:spacing w:line="480" w:lineRule="auto"/>
        <w:jc w:val="center"/>
      </w:pPr>
      <w:r>
        <w:t>DOCKET NO. UG-090135</w:t>
      </w:r>
    </w:p>
    <w:p w:rsidR="00131BB7" w:rsidRDefault="00342364" w:rsidP="00131BB7">
      <w:pPr>
        <w:tabs>
          <w:tab w:val="left" w:pos="1260"/>
        </w:tabs>
        <w:jc w:val="center"/>
      </w:pPr>
      <w:r>
        <w:t>DOCKET NO. UG-060518</w:t>
      </w:r>
    </w:p>
    <w:p w:rsidR="00131BB7" w:rsidRDefault="00131BB7" w:rsidP="00131BB7">
      <w:pPr>
        <w:tabs>
          <w:tab w:val="left" w:pos="1260"/>
        </w:tabs>
        <w:jc w:val="center"/>
      </w:pPr>
      <w:r>
        <w:t>(consolidated)</w:t>
      </w:r>
    </w:p>
    <w:p w:rsidR="00342364" w:rsidRDefault="00342364">
      <w:pPr>
        <w:tabs>
          <w:tab w:val="left" w:pos="1260"/>
        </w:tabs>
        <w:spacing w:line="480" w:lineRule="auto"/>
        <w:ind w:firstLine="720"/>
        <w:jc w:val="center"/>
      </w:pPr>
    </w:p>
    <w:p w:rsidR="00342364" w:rsidRDefault="00342364">
      <w:pPr>
        <w:tabs>
          <w:tab w:val="left" w:pos="1260"/>
        </w:tabs>
        <w:spacing w:line="480" w:lineRule="auto"/>
        <w:jc w:val="center"/>
      </w:pPr>
      <w:r>
        <w:t xml:space="preserve">REBUTTAL TESTIMONY OF </w:t>
      </w:r>
    </w:p>
    <w:p w:rsidR="00342364" w:rsidRDefault="00131BB7">
      <w:pPr>
        <w:tabs>
          <w:tab w:val="left" w:pos="1260"/>
        </w:tabs>
        <w:spacing w:line="480" w:lineRule="auto"/>
        <w:jc w:val="center"/>
      </w:pPr>
      <w:r>
        <w:t>JAMES M.</w:t>
      </w:r>
      <w:r w:rsidR="00F12557">
        <w:t xml:space="preserve"> KENSOK</w:t>
      </w:r>
    </w:p>
    <w:p w:rsidR="00342364" w:rsidRDefault="00342364">
      <w:pPr>
        <w:tabs>
          <w:tab w:val="left" w:pos="1260"/>
        </w:tabs>
        <w:spacing w:line="480" w:lineRule="auto"/>
        <w:jc w:val="center"/>
      </w:pPr>
      <w:r>
        <w:t>REPRESENTING AVISTA CORPORATION</w:t>
      </w:r>
    </w:p>
    <w:p w:rsidR="00342364" w:rsidRDefault="00342364">
      <w:pPr>
        <w:tabs>
          <w:tab w:val="left" w:pos="1260"/>
        </w:tabs>
        <w:spacing w:line="480" w:lineRule="auto"/>
        <w:ind w:firstLine="720"/>
        <w:jc w:val="center"/>
        <w:rPr>
          <w:rFonts w:ascii="Palatino Linotype" w:hAnsi="Palatino Linotype" w:cs="Palatino Linotype"/>
        </w:rPr>
      </w:pPr>
    </w:p>
    <w:p w:rsidR="00342364" w:rsidRDefault="00342364">
      <w:pPr>
        <w:tabs>
          <w:tab w:val="left" w:pos="1260"/>
        </w:tabs>
        <w:spacing w:line="480" w:lineRule="auto"/>
        <w:ind w:firstLine="720"/>
        <w:jc w:val="center"/>
        <w:rPr>
          <w:rFonts w:ascii="Palatino Linotype" w:hAnsi="Palatino Linotype" w:cs="Palatino Linotype"/>
        </w:rPr>
      </w:pPr>
    </w:p>
    <w:p w:rsidR="00342364" w:rsidRDefault="00342364">
      <w:pPr>
        <w:tabs>
          <w:tab w:val="left" w:pos="1260"/>
        </w:tabs>
        <w:spacing w:line="480" w:lineRule="auto"/>
        <w:ind w:firstLine="720"/>
        <w:jc w:val="center"/>
        <w:rPr>
          <w:rFonts w:ascii="Palatino Linotype" w:hAnsi="Palatino Linotype" w:cs="Palatino Linotype"/>
        </w:rPr>
      </w:pPr>
    </w:p>
    <w:p w:rsidR="00342364" w:rsidRDefault="00342364">
      <w:pPr>
        <w:tabs>
          <w:tab w:val="left" w:pos="1260"/>
        </w:tabs>
        <w:spacing w:line="480" w:lineRule="auto"/>
        <w:ind w:firstLine="720"/>
        <w:jc w:val="center"/>
        <w:rPr>
          <w:rFonts w:ascii="Palatino Linotype" w:hAnsi="Palatino Linotype" w:cs="Palatino Linotype"/>
        </w:rPr>
      </w:pPr>
    </w:p>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both"/>
      </w:pPr>
    </w:p>
    <w:p w:rsidR="00342364" w:rsidRDefault="00342364">
      <w:pPr>
        <w:sectPr w:rsidR="00342364" w:rsidSect="0009034F">
          <w:headerReference w:type="default" r:id="rId7"/>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docGrid w:linePitch="360"/>
        </w:sectPr>
      </w:pPr>
    </w:p>
    <w:p w:rsidR="00342364" w:rsidRDefault="00342364">
      <w:pPr>
        <w:pStyle w:val="Heading5"/>
        <w:rPr>
          <w:rStyle w:val="PageNumber"/>
          <w:u w:val="single"/>
        </w:rPr>
      </w:pPr>
      <w:r>
        <w:rPr>
          <w:rStyle w:val="PageNumber"/>
          <w:u w:val="single"/>
        </w:rPr>
        <w:lastRenderedPageBreak/>
        <w:t>I.  INTRODUCTION</w:t>
      </w:r>
    </w:p>
    <w:p w:rsidR="00342364" w:rsidRDefault="00342364">
      <w:pPr>
        <w:pStyle w:val="BodyTextIndent3"/>
        <w:tabs>
          <w:tab w:val="clear" w:pos="1260"/>
          <w:tab w:val="left" w:pos="720"/>
        </w:tabs>
      </w:pPr>
      <w:r>
        <w:t>Q.</w:t>
      </w:r>
      <w:r>
        <w:tab/>
        <w:t>Please state your name, employer and business address.</w:t>
      </w:r>
    </w:p>
    <w:p w:rsidR="00342364" w:rsidRDefault="00342364">
      <w:pPr>
        <w:pStyle w:val="BodyTextIndent"/>
        <w:tabs>
          <w:tab w:val="left" w:pos="720"/>
        </w:tabs>
        <w:spacing w:after="0" w:line="480" w:lineRule="auto"/>
        <w:ind w:left="0" w:firstLine="720"/>
        <w:jc w:val="both"/>
      </w:pPr>
      <w:r>
        <w:t>A.</w:t>
      </w:r>
      <w:r>
        <w:tab/>
        <w:t xml:space="preserve">My name is </w:t>
      </w:r>
      <w:r w:rsidR="00522397">
        <w:t>James</w:t>
      </w:r>
      <w:r w:rsidR="0068131C">
        <w:t xml:space="preserve"> M</w:t>
      </w:r>
      <w:r w:rsidR="00F12557">
        <w:t>. Kensok</w:t>
      </w:r>
      <w:r>
        <w:t>.  I am employed by Avista Corporation as the Vice-President</w:t>
      </w:r>
      <w:r w:rsidR="001D409D">
        <w:t xml:space="preserve"> and</w:t>
      </w:r>
      <w:r w:rsidR="00F12557">
        <w:t xml:space="preserve"> Chief Information Officer</w:t>
      </w:r>
      <w:r w:rsidR="008C23AD">
        <w:t xml:space="preserve"> (CIO)</w:t>
      </w:r>
      <w:r>
        <w:t>.  My business address is 1411 E. Mission Avenue, Spokane, Washington.</w:t>
      </w:r>
    </w:p>
    <w:p w:rsidR="00E35ACD" w:rsidRDefault="00E35ACD">
      <w:pPr>
        <w:tabs>
          <w:tab w:val="left" w:pos="720"/>
        </w:tabs>
        <w:spacing w:line="480" w:lineRule="auto"/>
        <w:ind w:firstLine="720"/>
        <w:jc w:val="both"/>
        <w:rPr>
          <w:b/>
          <w:bCs/>
        </w:rPr>
      </w:pPr>
      <w:r>
        <w:rPr>
          <w:b/>
          <w:bCs/>
        </w:rPr>
        <w:t>Q.</w:t>
      </w:r>
      <w:r>
        <w:rPr>
          <w:b/>
          <w:bCs/>
        </w:rPr>
        <w:tab/>
      </w:r>
      <w:r>
        <w:rPr>
          <w:b/>
        </w:rPr>
        <w:t>Mr. Kensok, please provide information pertaining to your educational background and professional experience.</w:t>
      </w:r>
    </w:p>
    <w:p w:rsidR="004466F8" w:rsidRPr="006279A8" w:rsidRDefault="00E35ACD" w:rsidP="006279A8">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Pr="00131BB7">
        <w:rPr>
          <w:snapToGrid w:val="0"/>
        </w:rPr>
        <w:t>Eastern Washington University with a Bachelor of Arts Degree in Business Admini</w:t>
      </w:r>
      <w:r w:rsidR="0068131C" w:rsidRPr="00131BB7">
        <w:rPr>
          <w:snapToGrid w:val="0"/>
        </w:rPr>
        <w:t>stration, majoring in Management Information Systems</w:t>
      </w:r>
      <w:r w:rsidRPr="00131BB7">
        <w:rPr>
          <w:snapToGrid w:val="0"/>
        </w:rPr>
        <w:t xml:space="preserve">.  </w:t>
      </w:r>
      <w:r w:rsidR="00B2609B" w:rsidRPr="00131BB7">
        <w:rPr>
          <w:snapToGrid w:val="0"/>
        </w:rPr>
        <w:t>I have experience through direct application and management of Information Services</w:t>
      </w:r>
      <w:r w:rsidR="00D72C46">
        <w:rPr>
          <w:snapToGrid w:val="0"/>
        </w:rPr>
        <w:t xml:space="preserve"> over the course of my 30 year information t</w:t>
      </w:r>
      <w:r w:rsidR="00B2609B" w:rsidRPr="00131BB7">
        <w:rPr>
          <w:snapToGrid w:val="0"/>
        </w:rPr>
        <w:t xml:space="preserve">echnology career.  </w:t>
      </w:r>
      <w:r w:rsidRPr="00131BB7">
        <w:rPr>
          <w:snapToGrid w:val="0"/>
        </w:rPr>
        <w:t>I jo</w:t>
      </w:r>
      <w:r w:rsidR="0068131C" w:rsidRPr="00131BB7">
        <w:rPr>
          <w:snapToGrid w:val="0"/>
        </w:rPr>
        <w:t>ined the Company in June of 1996.  Over the past 13</w:t>
      </w:r>
      <w:r w:rsidRPr="00131BB7">
        <w:rPr>
          <w:snapToGrid w:val="0"/>
        </w:rPr>
        <w:t xml:space="preserve"> year</w:t>
      </w:r>
      <w:r w:rsidR="001D409D">
        <w:rPr>
          <w:snapToGrid w:val="0"/>
        </w:rPr>
        <w:t>s, I have spent approximately one</w:t>
      </w:r>
      <w:r w:rsidR="0068131C" w:rsidRPr="00131BB7">
        <w:rPr>
          <w:snapToGrid w:val="0"/>
        </w:rPr>
        <w:t xml:space="preserve"> year in Avista’s Internal Audit Department as</w:t>
      </w:r>
      <w:r w:rsidR="008C4CF5" w:rsidRPr="00131BB7">
        <w:rPr>
          <w:snapToGrid w:val="0"/>
        </w:rPr>
        <w:t xml:space="preserve"> an Information Systems Auditor</w:t>
      </w:r>
      <w:r w:rsidRPr="00131BB7">
        <w:rPr>
          <w:snapToGrid w:val="0"/>
        </w:rPr>
        <w:t xml:space="preserve"> with involvement in </w:t>
      </w:r>
      <w:r w:rsidR="008C4CF5" w:rsidRPr="00131BB7">
        <w:rPr>
          <w:snapToGrid w:val="0"/>
        </w:rPr>
        <w:t>performing</w:t>
      </w:r>
      <w:r w:rsidR="0068131C" w:rsidRPr="00131BB7">
        <w:rPr>
          <w:snapToGrid w:val="0"/>
        </w:rPr>
        <w:t xml:space="preserve"> internal information systems compliance </w:t>
      </w:r>
      <w:r w:rsidR="00B26166" w:rsidRPr="00131BB7">
        <w:rPr>
          <w:snapToGrid w:val="0"/>
        </w:rPr>
        <w:t xml:space="preserve">and technology </w:t>
      </w:r>
      <w:r w:rsidR="0068131C" w:rsidRPr="00131BB7">
        <w:rPr>
          <w:snapToGrid w:val="0"/>
        </w:rPr>
        <w:t xml:space="preserve">audits. </w:t>
      </w:r>
      <w:r w:rsidR="008C4CF5" w:rsidRPr="00131BB7">
        <w:rPr>
          <w:snapToGrid w:val="0"/>
        </w:rPr>
        <w:t xml:space="preserve">I have been in the Information Services Department for </w:t>
      </w:r>
      <w:r w:rsidR="0068131C" w:rsidRPr="00131BB7">
        <w:rPr>
          <w:snapToGrid w:val="0"/>
        </w:rPr>
        <w:t>approximately 12</w:t>
      </w:r>
      <w:r w:rsidR="00333C01" w:rsidRPr="00131BB7">
        <w:rPr>
          <w:snapToGrid w:val="0"/>
        </w:rPr>
        <w:t xml:space="preserve"> years </w:t>
      </w:r>
      <w:r w:rsidRPr="00131BB7">
        <w:rPr>
          <w:snapToGrid w:val="0"/>
        </w:rPr>
        <w:t xml:space="preserve">in a variety of </w:t>
      </w:r>
      <w:r w:rsidR="0042694F" w:rsidRPr="00131BB7">
        <w:rPr>
          <w:snapToGrid w:val="0"/>
        </w:rPr>
        <w:t xml:space="preserve">management </w:t>
      </w:r>
      <w:r w:rsidR="00B2609B" w:rsidRPr="00131BB7">
        <w:rPr>
          <w:snapToGrid w:val="0"/>
        </w:rPr>
        <w:t xml:space="preserve">roles </w:t>
      </w:r>
      <w:r w:rsidR="00602644" w:rsidRPr="00131BB7">
        <w:rPr>
          <w:snapToGrid w:val="0"/>
        </w:rPr>
        <w:t>directing and leading</w:t>
      </w:r>
      <w:r w:rsidR="0068131C" w:rsidRPr="00131BB7">
        <w:rPr>
          <w:snapToGrid w:val="0"/>
        </w:rPr>
        <w:t xml:space="preserve"> information technology and systems</w:t>
      </w:r>
      <w:r w:rsidR="00B26166" w:rsidRPr="00131BB7">
        <w:rPr>
          <w:snapToGrid w:val="0"/>
        </w:rPr>
        <w:t>;</w:t>
      </w:r>
      <w:r w:rsidR="0068131C" w:rsidRPr="00131BB7">
        <w:rPr>
          <w:snapToGrid w:val="0"/>
        </w:rPr>
        <w:t xml:space="preserve"> planning, </w:t>
      </w:r>
      <w:r w:rsidRPr="00131BB7">
        <w:rPr>
          <w:snapToGrid w:val="0"/>
        </w:rPr>
        <w:t>op</w:t>
      </w:r>
      <w:r w:rsidR="0068131C" w:rsidRPr="00131BB7">
        <w:rPr>
          <w:snapToGrid w:val="0"/>
        </w:rPr>
        <w:t xml:space="preserve">erations, </w:t>
      </w:r>
      <w:r w:rsidR="00333C01" w:rsidRPr="00131BB7">
        <w:rPr>
          <w:snapToGrid w:val="0"/>
        </w:rPr>
        <w:t xml:space="preserve">system </w:t>
      </w:r>
      <w:r w:rsidR="00F60038" w:rsidRPr="00131BB7">
        <w:rPr>
          <w:snapToGrid w:val="0"/>
        </w:rPr>
        <w:t xml:space="preserve">analysis, </w:t>
      </w:r>
      <w:r w:rsidR="00333C01" w:rsidRPr="00131BB7">
        <w:rPr>
          <w:snapToGrid w:val="0"/>
        </w:rPr>
        <w:t>network advancement</w:t>
      </w:r>
      <w:r w:rsidR="00B26166" w:rsidRPr="00131BB7">
        <w:rPr>
          <w:snapToGrid w:val="0"/>
        </w:rPr>
        <w:t xml:space="preserve">, </w:t>
      </w:r>
      <w:r w:rsidR="009B495A" w:rsidRPr="00131BB7">
        <w:rPr>
          <w:snapToGrid w:val="0"/>
        </w:rPr>
        <w:t xml:space="preserve">telecommunications, </w:t>
      </w:r>
      <w:r w:rsidR="00B2609B" w:rsidRPr="00131BB7">
        <w:rPr>
          <w:snapToGrid w:val="0"/>
        </w:rPr>
        <w:t xml:space="preserve">information </w:t>
      </w:r>
      <w:r w:rsidR="009B495A" w:rsidRPr="00131BB7">
        <w:rPr>
          <w:snapToGrid w:val="0"/>
        </w:rPr>
        <w:t xml:space="preserve">security, </w:t>
      </w:r>
      <w:r w:rsidR="00F60038" w:rsidRPr="00131BB7">
        <w:rPr>
          <w:snapToGrid w:val="0"/>
        </w:rPr>
        <w:t xml:space="preserve">applications development, outsourcing agreements, </w:t>
      </w:r>
      <w:r w:rsidR="00B2609B" w:rsidRPr="00131BB7">
        <w:rPr>
          <w:snapToGrid w:val="0"/>
        </w:rPr>
        <w:t xml:space="preserve">contract negotiations, </w:t>
      </w:r>
      <w:r w:rsidR="009B495A" w:rsidRPr="00131BB7">
        <w:rPr>
          <w:snapToGrid w:val="0"/>
        </w:rPr>
        <w:t xml:space="preserve">technical support, </w:t>
      </w:r>
      <w:r w:rsidR="00792716" w:rsidRPr="00131BB7">
        <w:rPr>
          <w:snapToGrid w:val="0"/>
        </w:rPr>
        <w:t xml:space="preserve">cost management, </w:t>
      </w:r>
      <w:r w:rsidR="00B26166" w:rsidRPr="00131BB7">
        <w:rPr>
          <w:snapToGrid w:val="0"/>
        </w:rPr>
        <w:t xml:space="preserve">data management </w:t>
      </w:r>
      <w:r w:rsidR="00F60038" w:rsidRPr="00131BB7">
        <w:rPr>
          <w:snapToGrid w:val="0"/>
        </w:rPr>
        <w:t xml:space="preserve">and </w:t>
      </w:r>
      <w:r w:rsidR="009B495A" w:rsidRPr="00131BB7">
        <w:rPr>
          <w:snapToGrid w:val="0"/>
        </w:rPr>
        <w:t>strategic development</w:t>
      </w:r>
      <w:r w:rsidRPr="00131BB7">
        <w:rPr>
          <w:snapToGrid w:val="0"/>
        </w:rPr>
        <w:t xml:space="preserve">. </w:t>
      </w:r>
      <w:r w:rsidR="00333C01" w:rsidRPr="00131BB7">
        <w:rPr>
          <w:snapToGrid w:val="0"/>
        </w:rPr>
        <w:t xml:space="preserve"> </w:t>
      </w:r>
      <w:r w:rsidRPr="00131BB7">
        <w:rPr>
          <w:snapToGrid w:val="0"/>
        </w:rPr>
        <w:t xml:space="preserve">I was appointed Vice-President </w:t>
      </w:r>
      <w:r w:rsidR="0068131C" w:rsidRPr="00131BB7">
        <w:rPr>
          <w:snapToGrid w:val="0"/>
        </w:rPr>
        <w:t>and CIO in January of 2007</w:t>
      </w:r>
      <w:r w:rsidRPr="00131BB7">
        <w:rPr>
          <w:snapToGrid w:val="0"/>
        </w:rPr>
        <w:t>.</w:t>
      </w:r>
    </w:p>
    <w:p w:rsidR="00342364" w:rsidRDefault="00342364">
      <w:pPr>
        <w:tabs>
          <w:tab w:val="left" w:pos="720"/>
        </w:tabs>
        <w:spacing w:line="480" w:lineRule="auto"/>
        <w:ind w:firstLine="720"/>
        <w:jc w:val="both"/>
        <w:rPr>
          <w:b/>
          <w:bCs/>
        </w:rPr>
      </w:pPr>
      <w:r>
        <w:rPr>
          <w:b/>
          <w:bCs/>
        </w:rPr>
        <w:t>Q.</w:t>
      </w:r>
      <w:r>
        <w:rPr>
          <w:b/>
          <w:bCs/>
        </w:rPr>
        <w:tab/>
        <w:t>What is the scope of your rebuttal testimony in this proceeding?</w:t>
      </w:r>
    </w:p>
    <w:p w:rsidR="00342364" w:rsidRDefault="00342364">
      <w:pPr>
        <w:pStyle w:val="BodyText"/>
        <w:tabs>
          <w:tab w:val="left" w:pos="720"/>
        </w:tabs>
        <w:spacing w:line="480" w:lineRule="auto"/>
        <w:ind w:firstLine="720"/>
        <w:jc w:val="both"/>
        <w:rPr>
          <w:b w:val="0"/>
          <w:bCs w:val="0"/>
        </w:rPr>
      </w:pPr>
      <w:r>
        <w:rPr>
          <w:b w:val="0"/>
          <w:bCs w:val="0"/>
        </w:rPr>
        <w:t>A.</w:t>
      </w:r>
      <w:r>
        <w:rPr>
          <w:b w:val="0"/>
          <w:bCs w:val="0"/>
        </w:rPr>
        <w:tab/>
        <w:t>I will provide the Company’s reply to th</w:t>
      </w:r>
      <w:r w:rsidR="008C23AD">
        <w:rPr>
          <w:b w:val="0"/>
          <w:bCs w:val="0"/>
        </w:rPr>
        <w:t>e direct testimony of the Staff</w:t>
      </w:r>
      <w:r>
        <w:rPr>
          <w:b w:val="0"/>
          <w:bCs w:val="0"/>
        </w:rPr>
        <w:t xml:space="preserve"> </w:t>
      </w:r>
      <w:r w:rsidR="00E35ACD">
        <w:rPr>
          <w:b w:val="0"/>
          <w:bCs w:val="0"/>
        </w:rPr>
        <w:t xml:space="preserve">and </w:t>
      </w:r>
      <w:r>
        <w:rPr>
          <w:b w:val="0"/>
          <w:bCs w:val="0"/>
        </w:rPr>
        <w:t xml:space="preserve">Public Counsel </w:t>
      </w:r>
      <w:r w:rsidR="00F14489">
        <w:rPr>
          <w:b w:val="0"/>
          <w:bCs w:val="0"/>
        </w:rPr>
        <w:t xml:space="preserve">regarding the Company’s request </w:t>
      </w:r>
      <w:r w:rsidR="008D7554">
        <w:rPr>
          <w:b w:val="0"/>
          <w:bCs w:val="0"/>
        </w:rPr>
        <w:t>for pro</w:t>
      </w:r>
      <w:r w:rsidR="001D409D">
        <w:rPr>
          <w:b w:val="0"/>
          <w:bCs w:val="0"/>
        </w:rPr>
        <w:t xml:space="preserve"> </w:t>
      </w:r>
      <w:r w:rsidR="008D7554">
        <w:rPr>
          <w:b w:val="0"/>
          <w:bCs w:val="0"/>
        </w:rPr>
        <w:t>forma levels of</w:t>
      </w:r>
      <w:r w:rsidR="00F14489">
        <w:rPr>
          <w:b w:val="0"/>
          <w:bCs w:val="0"/>
        </w:rPr>
        <w:t xml:space="preserve"> Information Service </w:t>
      </w:r>
      <w:r w:rsidR="008D7554">
        <w:rPr>
          <w:b w:val="0"/>
          <w:bCs w:val="0"/>
        </w:rPr>
        <w:t>expense</w:t>
      </w:r>
      <w:r w:rsidR="00F14489">
        <w:rPr>
          <w:b w:val="0"/>
          <w:bCs w:val="0"/>
        </w:rPr>
        <w:t>.</w:t>
      </w:r>
    </w:p>
    <w:p w:rsidR="008D7554" w:rsidRPr="008D7554" w:rsidRDefault="008D7554">
      <w:pPr>
        <w:pStyle w:val="BodyText"/>
        <w:tabs>
          <w:tab w:val="left" w:pos="720"/>
        </w:tabs>
        <w:spacing w:line="480" w:lineRule="auto"/>
        <w:ind w:firstLine="720"/>
        <w:jc w:val="both"/>
        <w:rPr>
          <w:bCs w:val="0"/>
        </w:rPr>
      </w:pPr>
      <w:r w:rsidRPr="008D7554">
        <w:rPr>
          <w:bCs w:val="0"/>
        </w:rPr>
        <w:lastRenderedPageBreak/>
        <w:t>Q.</w:t>
      </w:r>
      <w:r w:rsidRPr="008D7554">
        <w:rPr>
          <w:bCs w:val="0"/>
        </w:rPr>
        <w:tab/>
        <w:t>Given your position and responsibilities, are you directly familiar with the components of this pro</w:t>
      </w:r>
      <w:r w:rsidR="001D409D">
        <w:rPr>
          <w:bCs w:val="0"/>
        </w:rPr>
        <w:t xml:space="preserve"> </w:t>
      </w:r>
      <w:r w:rsidRPr="008D7554">
        <w:rPr>
          <w:bCs w:val="0"/>
        </w:rPr>
        <w:t>forma adjustment?</w:t>
      </w:r>
    </w:p>
    <w:p w:rsidR="008D7554" w:rsidRDefault="008D7554">
      <w:pPr>
        <w:pStyle w:val="BodyText"/>
        <w:tabs>
          <w:tab w:val="left" w:pos="720"/>
        </w:tabs>
        <w:spacing w:line="480" w:lineRule="auto"/>
        <w:ind w:firstLine="720"/>
        <w:jc w:val="both"/>
        <w:rPr>
          <w:b w:val="0"/>
          <w:bCs w:val="0"/>
        </w:rPr>
      </w:pPr>
      <w:r>
        <w:rPr>
          <w:b w:val="0"/>
          <w:bCs w:val="0"/>
        </w:rPr>
        <w:t>A.</w:t>
      </w:r>
      <w:r>
        <w:rPr>
          <w:b w:val="0"/>
          <w:bCs w:val="0"/>
        </w:rPr>
        <w:tab/>
        <w:t>Yes, I am.</w:t>
      </w:r>
    </w:p>
    <w:p w:rsidR="00E35ACD" w:rsidRDefault="00E35ACD">
      <w:pPr>
        <w:pStyle w:val="BodyText"/>
        <w:tabs>
          <w:tab w:val="left" w:pos="720"/>
        </w:tabs>
        <w:spacing w:line="480" w:lineRule="auto"/>
        <w:ind w:firstLine="720"/>
        <w:jc w:val="both"/>
        <w:rPr>
          <w:bCs w:val="0"/>
        </w:rPr>
      </w:pPr>
      <w:r w:rsidRPr="00E35ACD">
        <w:rPr>
          <w:bCs w:val="0"/>
        </w:rPr>
        <w:t>Q.</w:t>
      </w:r>
      <w:r w:rsidRPr="00E35ACD">
        <w:rPr>
          <w:bCs w:val="0"/>
        </w:rPr>
        <w:tab/>
      </w:r>
      <w:r>
        <w:rPr>
          <w:bCs w:val="0"/>
        </w:rPr>
        <w:t xml:space="preserve">Please provide some background regarding Avista’s Information Services (IS) Department </w:t>
      </w:r>
      <w:r w:rsidR="00F14489">
        <w:rPr>
          <w:bCs w:val="0"/>
        </w:rPr>
        <w:t>current</w:t>
      </w:r>
      <w:r>
        <w:rPr>
          <w:bCs w:val="0"/>
        </w:rPr>
        <w:t xml:space="preserve"> level of cost.</w:t>
      </w:r>
    </w:p>
    <w:p w:rsidR="00755FFA" w:rsidRPr="00755FFA" w:rsidRDefault="00E35ACD" w:rsidP="00131BB7">
      <w:pPr>
        <w:spacing w:line="480" w:lineRule="auto"/>
        <w:ind w:firstLine="720"/>
        <w:jc w:val="both"/>
      </w:pPr>
      <w:r w:rsidRPr="001D409D">
        <w:rPr>
          <w:bCs/>
        </w:rPr>
        <w:t>A.</w:t>
      </w:r>
      <w:r w:rsidRPr="00755FFA">
        <w:rPr>
          <w:b/>
          <w:bCs/>
        </w:rPr>
        <w:tab/>
      </w:r>
      <w:r w:rsidR="00755FFA" w:rsidRPr="00755FFA">
        <w:t>Avista has been</w:t>
      </w:r>
      <w:r w:rsidR="008C23AD">
        <w:t>,</w:t>
      </w:r>
      <w:r w:rsidR="00755FFA" w:rsidRPr="00755FFA">
        <w:t xml:space="preserve"> and </w:t>
      </w:r>
      <w:r w:rsidR="008C23AD">
        <w:t>continues to be focused on cost-</w:t>
      </w:r>
      <w:r w:rsidR="00755FFA" w:rsidRPr="00755FFA">
        <w:t xml:space="preserve">effective solutions that meet our customer needs.  Over the past several years, Avista has focused on reducing customer transaction costs through the use of technology.  Along with meeting customer needs through the use of technology, Avista continuously works to minimize the cost of back office technology and </w:t>
      </w:r>
      <w:r w:rsidR="008C23AD">
        <w:t xml:space="preserve">to </w:t>
      </w:r>
      <w:r w:rsidR="00755FFA" w:rsidRPr="00755FFA">
        <w:t xml:space="preserve">maximize employee efficiency with the use of appropriate technology.  </w:t>
      </w:r>
    </w:p>
    <w:p w:rsidR="00755FFA" w:rsidRPr="00755FFA" w:rsidRDefault="00755FFA" w:rsidP="00D12893">
      <w:pPr>
        <w:spacing w:line="480" w:lineRule="auto"/>
        <w:ind w:firstLine="720"/>
        <w:jc w:val="both"/>
      </w:pPr>
      <w:r w:rsidRPr="00755FFA">
        <w:t>In 2002</w:t>
      </w:r>
      <w:r w:rsidR="00D12893">
        <w:t>,</w:t>
      </w:r>
      <w:r w:rsidRPr="00755FFA">
        <w:t xml:space="preserve"> Avista engaged Gartner Measurement Services, a global technology benchmarking company</w:t>
      </w:r>
      <w:r w:rsidR="008C23AD">
        <w:t>,</w:t>
      </w:r>
      <w:r w:rsidRPr="00755FFA">
        <w:t xml:space="preserve"> to conduct a benchmark study.  The results of a very detailed analysis </w:t>
      </w:r>
      <w:r w:rsidR="001D409D">
        <w:t xml:space="preserve">comparing Avista with its peers </w:t>
      </w:r>
      <w:r w:rsidR="0098081B">
        <w:t xml:space="preserve">within </w:t>
      </w:r>
      <w:r w:rsidR="006279A8">
        <w:t xml:space="preserve">the </w:t>
      </w:r>
      <w:r w:rsidR="0098081B">
        <w:t>utility</w:t>
      </w:r>
      <w:r w:rsidR="006279A8">
        <w:t xml:space="preserve"> industry</w:t>
      </w:r>
      <w:r w:rsidR="0098081B">
        <w:t>,</w:t>
      </w:r>
      <w:r w:rsidR="006279A8">
        <w:t xml:space="preserve"> </w:t>
      </w:r>
      <w:r w:rsidR="008C23AD">
        <w:t>as well as</w:t>
      </w:r>
      <w:r w:rsidR="0098081B">
        <w:t xml:space="preserve"> financial inst</w:t>
      </w:r>
      <w:r w:rsidR="00A00D7F">
        <w:t>itutions and insurance companies,</w:t>
      </w:r>
      <w:r w:rsidR="0098081B">
        <w:t xml:space="preserve"> </w:t>
      </w:r>
      <w:r w:rsidRPr="00755FFA">
        <w:t>were as follows:</w:t>
      </w:r>
    </w:p>
    <w:p w:rsidR="00755FFA" w:rsidRDefault="00755FFA" w:rsidP="00D12893">
      <w:pPr>
        <w:ind w:left="1080" w:right="1296"/>
        <w:jc w:val="both"/>
      </w:pPr>
      <w:r w:rsidRPr="00755FFA">
        <w:t>“At a summary level, total costs for the functions measured are 27% lower than what the peer group would expect to spend to support the same workload.”</w:t>
      </w:r>
    </w:p>
    <w:p w:rsidR="00D12893" w:rsidRPr="00755FFA" w:rsidRDefault="00D12893" w:rsidP="00D12893">
      <w:pPr>
        <w:ind w:left="720"/>
        <w:jc w:val="both"/>
      </w:pPr>
    </w:p>
    <w:p w:rsidR="00F14489" w:rsidRDefault="00755FFA" w:rsidP="006279A8">
      <w:pPr>
        <w:spacing w:line="480" w:lineRule="auto"/>
        <w:ind w:firstLine="720"/>
        <w:jc w:val="both"/>
      </w:pPr>
      <w:r w:rsidRPr="00755FFA">
        <w:t>After the favorable benchmark result</w:t>
      </w:r>
      <w:r w:rsidR="008C23AD">
        <w:t>s, Avista continued to drive down</w:t>
      </w:r>
      <w:r w:rsidRPr="00755FFA">
        <w:t xml:space="preserve"> operating costs through centralization of services, reduction of custom delivery applications and infrastructure consolidation.  During the period 2002 through 2005, the Information Services budget at Avista was reduced by nearly 25%.  </w:t>
      </w:r>
      <w:r w:rsidR="009F34C1">
        <w:t xml:space="preserve">The 2009 operating expense level is nearly at the same level as 2002.  However, over the same time period the Company has completed and supported many new IS system projects (such as mobile dispatch, outage management, </w:t>
      </w:r>
      <w:r w:rsidR="00A16829">
        <w:t>and web support</w:t>
      </w:r>
      <w:r w:rsidR="008C23AD">
        <w:t>), from</w:t>
      </w:r>
      <w:r w:rsidR="009F34C1">
        <w:t xml:space="preserve"> which customers benefit today with little change in IS support costs.</w:t>
      </w:r>
    </w:p>
    <w:p w:rsidR="0045428C" w:rsidRPr="00760673" w:rsidRDefault="0045428C" w:rsidP="0045428C">
      <w:pPr>
        <w:spacing w:line="480" w:lineRule="auto"/>
        <w:ind w:firstLine="720"/>
        <w:jc w:val="both"/>
        <w:rPr>
          <w:b/>
        </w:rPr>
      </w:pPr>
      <w:r w:rsidRPr="00760673">
        <w:rPr>
          <w:b/>
        </w:rPr>
        <w:lastRenderedPageBreak/>
        <w:t>Q.</w:t>
      </w:r>
      <w:r w:rsidRPr="00760673">
        <w:rPr>
          <w:b/>
        </w:rPr>
        <w:tab/>
        <w:t xml:space="preserve">Staff and Public Counsel have argued to remove </w:t>
      </w:r>
      <w:r w:rsidR="00131BB7">
        <w:rPr>
          <w:b/>
        </w:rPr>
        <w:t>the specific IS Costs included in the Company’s direct case</w:t>
      </w:r>
      <w:r w:rsidRPr="00760673">
        <w:rPr>
          <w:b/>
        </w:rPr>
        <w:t xml:space="preserve"> as not </w:t>
      </w:r>
      <w:r w:rsidR="00DB20F7">
        <w:rPr>
          <w:b/>
        </w:rPr>
        <w:t>“</w:t>
      </w:r>
      <w:r w:rsidRPr="00760673">
        <w:rPr>
          <w:b/>
        </w:rPr>
        <w:t>know</w:t>
      </w:r>
      <w:r w:rsidR="00F14489">
        <w:rPr>
          <w:b/>
        </w:rPr>
        <w:t>n</w:t>
      </w:r>
      <w:r w:rsidRPr="00760673">
        <w:rPr>
          <w:b/>
        </w:rPr>
        <w:t xml:space="preserve"> and measureable,</w:t>
      </w:r>
      <w:r w:rsidR="00DB20F7">
        <w:rPr>
          <w:b/>
        </w:rPr>
        <w:t>”</w:t>
      </w:r>
      <w:r w:rsidRPr="00760673">
        <w:rPr>
          <w:b/>
        </w:rPr>
        <w:t xml:space="preserve"> do you agree</w:t>
      </w:r>
      <w:r>
        <w:rPr>
          <w:b/>
        </w:rPr>
        <w:t xml:space="preserve"> with their assessment?</w:t>
      </w:r>
    </w:p>
    <w:p w:rsidR="00755FFA" w:rsidRPr="00755FFA" w:rsidRDefault="0045428C" w:rsidP="00DB20F7">
      <w:pPr>
        <w:spacing w:line="480" w:lineRule="auto"/>
        <w:ind w:firstLine="720"/>
        <w:jc w:val="both"/>
      </w:pPr>
      <w:r>
        <w:t>A.</w:t>
      </w:r>
      <w:r>
        <w:tab/>
        <w:t xml:space="preserve">No. </w:t>
      </w:r>
      <w:r w:rsidR="00F14489">
        <w:t>As I will discuss below, the costs requested in this case are known and measureable and sh</w:t>
      </w:r>
      <w:r w:rsidR="00131BB7">
        <w:t>ould be recovered in this case</w:t>
      </w:r>
      <w:r w:rsidR="00DB20F7">
        <w:t>.</w:t>
      </w:r>
      <w:r w:rsidR="00131BB7">
        <w:t xml:space="preserve"> </w:t>
      </w:r>
      <w:r w:rsidR="00DB20F7">
        <w:t>T</w:t>
      </w:r>
      <w:r w:rsidR="00131BB7">
        <w:t>hese</w:t>
      </w:r>
      <w:r w:rsidR="00755FFA" w:rsidRPr="00755FFA">
        <w:t xml:space="preserve"> costs are associated with </w:t>
      </w:r>
      <w:r w:rsidR="00755FFA" w:rsidRPr="00DB20F7">
        <w:rPr>
          <w:u w:val="single"/>
        </w:rPr>
        <w:t>existing</w:t>
      </w:r>
      <w:r w:rsidR="00755FFA" w:rsidRPr="00755FFA">
        <w:t xml:space="preserve"> technology and labor that are </w:t>
      </w:r>
      <w:r w:rsidR="00DB20F7">
        <w:t>already employed</w:t>
      </w:r>
      <w:r w:rsidR="00131BB7">
        <w:t>, and therefore</w:t>
      </w:r>
      <w:r w:rsidR="002C675D">
        <w:t xml:space="preserve"> are known and measureable</w:t>
      </w:r>
      <w:r w:rsidR="00755FFA" w:rsidRPr="00755FFA">
        <w:t xml:space="preserve">.  </w:t>
      </w:r>
      <w:r>
        <w:t>I will discuss this further below as I discuss</w:t>
      </w:r>
      <w:r w:rsidR="00DB20F7">
        <w:t xml:space="preserve"> each of</w:t>
      </w:r>
      <w:r>
        <w:t xml:space="preserve"> the specific </w:t>
      </w:r>
      <w:r w:rsidR="00DB20F7">
        <w:t>pro</w:t>
      </w:r>
      <w:r w:rsidR="001D409D">
        <w:t xml:space="preserve"> </w:t>
      </w:r>
      <w:r w:rsidR="00DB20F7">
        <w:t xml:space="preserve">formed </w:t>
      </w:r>
      <w:r>
        <w:t xml:space="preserve">expenses.  </w:t>
      </w:r>
      <w:r w:rsidR="00755FFA" w:rsidRPr="00755FFA">
        <w:t xml:space="preserve">  </w:t>
      </w:r>
    </w:p>
    <w:p w:rsidR="0045428C" w:rsidRPr="0045428C" w:rsidRDefault="0045428C" w:rsidP="00755FFA">
      <w:pPr>
        <w:spacing w:line="480" w:lineRule="auto"/>
        <w:jc w:val="both"/>
        <w:rPr>
          <w:b/>
        </w:rPr>
      </w:pPr>
      <w:r w:rsidRPr="0045428C">
        <w:rPr>
          <w:b/>
        </w:rPr>
        <w:tab/>
        <w:t>Q.</w:t>
      </w:r>
      <w:r w:rsidRPr="0045428C">
        <w:rPr>
          <w:b/>
        </w:rPr>
        <w:tab/>
        <w:t xml:space="preserve">Will </w:t>
      </w:r>
      <w:r w:rsidR="00DB20F7">
        <w:rPr>
          <w:b/>
        </w:rPr>
        <w:t>each of the pro</w:t>
      </w:r>
      <w:r w:rsidR="001D409D">
        <w:rPr>
          <w:b/>
        </w:rPr>
        <w:t xml:space="preserve"> </w:t>
      </w:r>
      <w:r w:rsidR="00DB20F7">
        <w:rPr>
          <w:b/>
        </w:rPr>
        <w:t>formed IS expense items yield “offsetting” savings</w:t>
      </w:r>
      <w:r w:rsidRPr="0045428C">
        <w:rPr>
          <w:b/>
        </w:rPr>
        <w:t>?</w:t>
      </w:r>
    </w:p>
    <w:p w:rsidR="00755FFA" w:rsidRPr="00755FFA" w:rsidRDefault="0045428C" w:rsidP="0045428C">
      <w:pPr>
        <w:spacing w:line="480" w:lineRule="auto"/>
        <w:ind w:firstLine="720"/>
        <w:jc w:val="both"/>
      </w:pPr>
      <w:r>
        <w:t>A.</w:t>
      </w:r>
      <w:r>
        <w:tab/>
        <w:t>No, n</w:t>
      </w:r>
      <w:r w:rsidR="00755FFA" w:rsidRPr="00755FFA">
        <w:t xml:space="preserve">ot all </w:t>
      </w:r>
      <w:r w:rsidR="00FC15CA">
        <w:t>of the requested costs</w:t>
      </w:r>
      <w:r w:rsidR="00755FFA" w:rsidRPr="00755FFA">
        <w:t xml:space="preserve"> will </w:t>
      </w:r>
      <w:r w:rsidR="008C23AD">
        <w:t>yield</w:t>
      </w:r>
      <w:r w:rsidR="00755FFA" w:rsidRPr="00755FFA">
        <w:t xml:space="preserve"> savings or cost reductions</w:t>
      </w:r>
      <w:r w:rsidR="00FC15CA">
        <w:t>,</w:t>
      </w:r>
      <w:r w:rsidR="00755FFA" w:rsidRPr="00755FFA">
        <w:t xml:space="preserve"> as some systems are </w:t>
      </w:r>
      <w:r w:rsidR="00DB20F7">
        <w:t xml:space="preserve">simply </w:t>
      </w:r>
      <w:r w:rsidR="00755FFA" w:rsidRPr="00755FFA">
        <w:t xml:space="preserve">required </w:t>
      </w:r>
      <w:r>
        <w:t>for</w:t>
      </w:r>
      <w:r w:rsidR="00755FFA" w:rsidRPr="00755FFA">
        <w:t xml:space="preserve"> </w:t>
      </w:r>
      <w:r w:rsidR="00FC15CA">
        <w:t xml:space="preserve">compliance </w:t>
      </w:r>
      <w:r w:rsidR="00DB20F7">
        <w:t>purposes;</w:t>
      </w:r>
      <w:r w:rsidR="00FC15CA">
        <w:t xml:space="preserve"> </w:t>
      </w:r>
      <w:r w:rsidR="00755FFA" w:rsidRPr="00755FFA">
        <w:t>disaster recovery and business continuity</w:t>
      </w:r>
      <w:r w:rsidR="00FC15CA">
        <w:t xml:space="preserve"> are just a couple of </w:t>
      </w:r>
      <w:r w:rsidR="008C23AD">
        <w:t xml:space="preserve">these </w:t>
      </w:r>
      <w:r w:rsidR="00FC15CA">
        <w:t>examples</w:t>
      </w:r>
      <w:r w:rsidR="00DB20F7">
        <w:t>.</w:t>
      </w:r>
      <w:r w:rsidR="00755FFA" w:rsidRPr="00755FFA">
        <w:t xml:space="preserve">  Another example is where Avista must maintain a secure cyber and data environment that protects Avista’s customer data and the delivery of power and </w:t>
      </w:r>
      <w:r>
        <w:t xml:space="preserve">natural </w:t>
      </w:r>
      <w:r w:rsidR="00DB20F7">
        <w:t>gas, which itself yields no savings.</w:t>
      </w:r>
      <w:r w:rsidR="00755FFA" w:rsidRPr="00755FFA">
        <w:t xml:space="preserve"> </w:t>
      </w:r>
    </w:p>
    <w:p w:rsidR="0045428C" w:rsidRPr="0045428C" w:rsidRDefault="0045428C" w:rsidP="00755FFA">
      <w:pPr>
        <w:spacing w:line="480" w:lineRule="auto"/>
        <w:jc w:val="both"/>
        <w:rPr>
          <w:b/>
        </w:rPr>
      </w:pPr>
      <w:r w:rsidRPr="0045428C">
        <w:rPr>
          <w:b/>
        </w:rPr>
        <w:tab/>
        <w:t>Q.</w:t>
      </w:r>
      <w:r w:rsidRPr="0045428C">
        <w:rPr>
          <w:b/>
        </w:rPr>
        <w:tab/>
        <w:t xml:space="preserve">Could you please </w:t>
      </w:r>
      <w:r w:rsidR="00131BB7">
        <w:rPr>
          <w:b/>
        </w:rPr>
        <w:t xml:space="preserve">now </w:t>
      </w:r>
      <w:r w:rsidRPr="0045428C">
        <w:rPr>
          <w:b/>
        </w:rPr>
        <w:t>briefly explain the additional costs</w:t>
      </w:r>
      <w:r w:rsidR="00DB20F7">
        <w:rPr>
          <w:b/>
        </w:rPr>
        <w:t xml:space="preserve"> included within the pro</w:t>
      </w:r>
      <w:r w:rsidR="001D409D">
        <w:rPr>
          <w:b/>
        </w:rPr>
        <w:t xml:space="preserve"> </w:t>
      </w:r>
      <w:r w:rsidR="00DB20F7">
        <w:rPr>
          <w:b/>
        </w:rPr>
        <w:t>forma adjustment</w:t>
      </w:r>
      <w:r w:rsidRPr="0045428C">
        <w:rPr>
          <w:b/>
        </w:rPr>
        <w:t>?</w:t>
      </w:r>
    </w:p>
    <w:p w:rsidR="00755FFA" w:rsidRDefault="0045428C" w:rsidP="00755FFA">
      <w:pPr>
        <w:spacing w:line="480" w:lineRule="auto"/>
        <w:jc w:val="both"/>
      </w:pPr>
      <w:r>
        <w:tab/>
        <w:t>A.</w:t>
      </w:r>
      <w:r>
        <w:tab/>
      </w:r>
      <w:r w:rsidR="00131BB7">
        <w:t xml:space="preserve">Yes. </w:t>
      </w:r>
      <w:r>
        <w:t>The f</w:t>
      </w:r>
      <w:r w:rsidR="00755FFA" w:rsidRPr="00755FFA">
        <w:t xml:space="preserve">ollowing </w:t>
      </w:r>
      <w:r w:rsidR="00DB20F7">
        <w:t>table summarizes each component and identifies any “offsets”:</w:t>
      </w:r>
    </w:p>
    <w:p w:rsidR="00DB20F7" w:rsidRDefault="00DB20F7" w:rsidP="00755FFA">
      <w:pPr>
        <w:spacing w:line="480" w:lineRule="auto"/>
        <w:jc w:val="both"/>
      </w:pPr>
    </w:p>
    <w:p w:rsidR="004466F8" w:rsidRDefault="004466F8" w:rsidP="00755FFA">
      <w:pPr>
        <w:spacing w:line="480" w:lineRule="auto"/>
        <w:jc w:val="both"/>
      </w:pPr>
    </w:p>
    <w:p w:rsidR="004466F8" w:rsidRDefault="004466F8" w:rsidP="00755FFA">
      <w:pPr>
        <w:spacing w:line="480" w:lineRule="auto"/>
        <w:jc w:val="both"/>
      </w:pPr>
    </w:p>
    <w:p w:rsidR="006279A8" w:rsidRDefault="006279A8" w:rsidP="00755FFA">
      <w:pPr>
        <w:spacing w:line="480" w:lineRule="auto"/>
        <w:jc w:val="both"/>
      </w:pPr>
    </w:p>
    <w:p w:rsidR="006279A8" w:rsidRDefault="006279A8" w:rsidP="00755FFA">
      <w:pPr>
        <w:spacing w:line="480" w:lineRule="auto"/>
        <w:jc w:val="both"/>
      </w:pPr>
    </w:p>
    <w:p w:rsidR="001D409D" w:rsidRDefault="001D409D" w:rsidP="00755FFA">
      <w:pPr>
        <w:spacing w:line="480" w:lineRule="auto"/>
        <w:jc w:val="both"/>
      </w:pPr>
    </w:p>
    <w:p w:rsidR="004466F8" w:rsidRDefault="004466F8" w:rsidP="0019366F">
      <w:pPr>
        <w:tabs>
          <w:tab w:val="left" w:pos="2880"/>
        </w:tabs>
        <w:spacing w:line="480" w:lineRule="auto"/>
        <w:jc w:val="both"/>
      </w:pPr>
      <w:r w:rsidRPr="00F55242">
        <w:rPr>
          <w:b/>
        </w:rPr>
        <w:lastRenderedPageBreak/>
        <w:t>Table 1</w:t>
      </w:r>
      <w:r w:rsidR="009A2E49">
        <w:tab/>
      </w:r>
      <w:r w:rsidR="009A2E49" w:rsidRPr="0019366F">
        <w:rPr>
          <w:b/>
        </w:rPr>
        <w:t>Information Services Costs (System)</w:t>
      </w:r>
    </w:p>
    <w:tbl>
      <w:tblPr>
        <w:tblStyle w:val="TableGrid"/>
        <w:tblW w:w="9918" w:type="dxa"/>
        <w:tblLayout w:type="fixed"/>
        <w:tblLook w:val="04A0"/>
      </w:tblPr>
      <w:tblGrid>
        <w:gridCol w:w="4878"/>
        <w:gridCol w:w="1206"/>
        <w:gridCol w:w="864"/>
        <w:gridCol w:w="1440"/>
        <w:gridCol w:w="1530"/>
      </w:tblGrid>
      <w:tr w:rsidR="0019366F" w:rsidRPr="003859C3" w:rsidTr="005A3881">
        <w:tc>
          <w:tcPr>
            <w:tcW w:w="4878" w:type="dxa"/>
          </w:tcPr>
          <w:p w:rsidR="0019366F" w:rsidRPr="00CD3D0C" w:rsidRDefault="0019366F" w:rsidP="00F55242">
            <w:pPr>
              <w:ind w:firstLine="720"/>
              <w:rPr>
                <w:rFonts w:ascii="Times New Roman" w:hAnsi="Times New Roman" w:cs="Times New Roman"/>
                <w:b/>
              </w:rPr>
            </w:pPr>
            <w:r w:rsidRPr="00CD3D0C">
              <w:rPr>
                <w:rFonts w:ascii="Times New Roman" w:hAnsi="Times New Roman" w:cs="Times New Roman"/>
                <w:b/>
              </w:rPr>
              <w:t>Project  Description</w:t>
            </w:r>
          </w:p>
        </w:tc>
        <w:tc>
          <w:tcPr>
            <w:tcW w:w="1206" w:type="dxa"/>
          </w:tcPr>
          <w:p w:rsidR="0019366F" w:rsidRPr="00CD3D0C" w:rsidRDefault="0019366F" w:rsidP="002466CE">
            <w:pPr>
              <w:jc w:val="center"/>
              <w:rPr>
                <w:rFonts w:ascii="Times New Roman" w:hAnsi="Times New Roman" w:cs="Times New Roman"/>
                <w:b/>
              </w:rPr>
            </w:pPr>
            <w:r w:rsidRPr="00CD3D0C">
              <w:rPr>
                <w:rFonts w:ascii="Times New Roman" w:hAnsi="Times New Roman" w:cs="Times New Roman"/>
                <w:b/>
              </w:rPr>
              <w:t>Cost</w:t>
            </w:r>
          </w:p>
        </w:tc>
        <w:tc>
          <w:tcPr>
            <w:tcW w:w="864" w:type="dxa"/>
          </w:tcPr>
          <w:p w:rsidR="0019366F" w:rsidRDefault="0019366F" w:rsidP="002466CE">
            <w:pPr>
              <w:jc w:val="center"/>
              <w:rPr>
                <w:rFonts w:ascii="Times New Roman" w:hAnsi="Times New Roman" w:cs="Times New Roman"/>
                <w:b/>
              </w:rPr>
            </w:pPr>
            <w:r w:rsidRPr="00CD3D0C">
              <w:rPr>
                <w:rFonts w:ascii="Times New Roman" w:hAnsi="Times New Roman" w:cs="Times New Roman"/>
                <w:b/>
              </w:rPr>
              <w:t>Offset</w:t>
            </w:r>
          </w:p>
          <w:p w:rsidR="00F55242" w:rsidRPr="00CD3D0C" w:rsidRDefault="00F55242" w:rsidP="002466CE">
            <w:pPr>
              <w:jc w:val="center"/>
              <w:rPr>
                <w:rFonts w:ascii="Times New Roman" w:hAnsi="Times New Roman" w:cs="Times New Roman"/>
                <w:b/>
              </w:rPr>
            </w:pPr>
            <w:r>
              <w:rPr>
                <w:rFonts w:ascii="Times New Roman" w:hAnsi="Times New Roman" w:cs="Times New Roman"/>
                <w:b/>
              </w:rPr>
              <w:t>%</w:t>
            </w:r>
          </w:p>
        </w:tc>
        <w:tc>
          <w:tcPr>
            <w:tcW w:w="1440" w:type="dxa"/>
          </w:tcPr>
          <w:p w:rsidR="0019366F" w:rsidRDefault="00F55242" w:rsidP="006E554E">
            <w:pPr>
              <w:jc w:val="center"/>
              <w:rPr>
                <w:rFonts w:ascii="Times New Roman" w:hAnsi="Times New Roman" w:cs="Times New Roman"/>
                <w:b/>
              </w:rPr>
            </w:pPr>
            <w:r>
              <w:rPr>
                <w:rFonts w:ascii="Times New Roman" w:hAnsi="Times New Roman" w:cs="Times New Roman"/>
                <w:b/>
              </w:rPr>
              <w:t>Offset</w:t>
            </w:r>
          </w:p>
          <w:p w:rsidR="00F55242" w:rsidRPr="00CD3D0C" w:rsidRDefault="00F55242" w:rsidP="006E554E">
            <w:pPr>
              <w:jc w:val="center"/>
              <w:rPr>
                <w:rFonts w:ascii="Times New Roman" w:hAnsi="Times New Roman" w:cs="Times New Roman"/>
                <w:b/>
              </w:rPr>
            </w:pPr>
            <w:r>
              <w:rPr>
                <w:rFonts w:ascii="Times New Roman" w:hAnsi="Times New Roman" w:cs="Times New Roman"/>
                <w:b/>
              </w:rPr>
              <w:t>Amount</w:t>
            </w:r>
          </w:p>
        </w:tc>
        <w:tc>
          <w:tcPr>
            <w:tcW w:w="1530" w:type="dxa"/>
          </w:tcPr>
          <w:p w:rsidR="0019366F" w:rsidRPr="00CD3D0C" w:rsidRDefault="0019366F" w:rsidP="0019366F">
            <w:pPr>
              <w:jc w:val="center"/>
              <w:rPr>
                <w:rFonts w:ascii="Times New Roman" w:hAnsi="Times New Roman" w:cs="Times New Roman"/>
                <w:b/>
              </w:rPr>
            </w:pPr>
            <w:r w:rsidRPr="00CD3D0C">
              <w:rPr>
                <w:rFonts w:ascii="Times New Roman" w:hAnsi="Times New Roman" w:cs="Times New Roman"/>
                <w:b/>
              </w:rPr>
              <w:t>Revised Expense</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Mobile Dispatch Labor</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$80,000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$80,000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Outage Mgmt &amp; Construction Design Labor</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$160,000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$160,000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Web Application Support Labor</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$320,000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$320,000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Crew Callout Hosting Fee</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$120,000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$120,000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Enterprise Voice Portal Hosting Fee</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$331,000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$331,000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New Mobile Dispatch Application – Electric</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$395,000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20%</w:t>
            </w:r>
          </w:p>
        </w:tc>
        <w:tc>
          <w:tcPr>
            <w:tcW w:w="1440" w:type="dxa"/>
          </w:tcPr>
          <w:p w:rsidR="0019366F" w:rsidRPr="00CD3D0C" w:rsidRDefault="0019366F" w:rsidP="0019366F">
            <w:pPr>
              <w:jc w:val="right"/>
              <w:rPr>
                <w:rFonts w:ascii="Times New Roman" w:hAnsi="Times New Roman" w:cs="Times New Roman"/>
              </w:rPr>
            </w:pPr>
            <w:r>
              <w:rPr>
                <w:rFonts w:ascii="Times New Roman" w:hAnsi="Times New Roman" w:cs="Times New Roman"/>
              </w:rPr>
              <w:t>(</w:t>
            </w:r>
            <w:r w:rsidRPr="00CD3D0C">
              <w:rPr>
                <w:rFonts w:ascii="Times New Roman" w:hAnsi="Times New Roman" w:cs="Times New Roman"/>
              </w:rPr>
              <w:t>$</w:t>
            </w:r>
            <w:r>
              <w:rPr>
                <w:rFonts w:ascii="Times New Roman" w:hAnsi="Times New Roman" w:cs="Times New Roman"/>
              </w:rPr>
              <w:t>79,000)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$316,000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Infrastructure Growth and Expansion</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$138,000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$138,000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New Software License Fees</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$131,000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$131,000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New Hardware Maintenance Fees</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$120,000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$120,000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Annual Increase for Existing Software License Fees</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$146,000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$146,000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Annual Increase for Existing Hardware License Fees</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$141,000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$141,000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New Spokane Valley Call Center Recurring Costs</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$51,000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$51,000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Wireless Wide-Area Network</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$174,000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20%</w:t>
            </w:r>
          </w:p>
        </w:tc>
        <w:tc>
          <w:tcPr>
            <w:tcW w:w="1440" w:type="dxa"/>
          </w:tcPr>
          <w:p w:rsidR="0019366F" w:rsidRPr="00CD3D0C" w:rsidRDefault="0019366F" w:rsidP="0019366F">
            <w:pPr>
              <w:jc w:val="right"/>
              <w:rPr>
                <w:rFonts w:ascii="Times New Roman" w:hAnsi="Times New Roman" w:cs="Times New Roman"/>
              </w:rPr>
            </w:pPr>
            <w:r>
              <w:rPr>
                <w:rFonts w:ascii="Times New Roman" w:hAnsi="Times New Roman" w:cs="Times New Roman"/>
              </w:rPr>
              <w:t>(</w:t>
            </w:r>
            <w:r w:rsidRPr="00CD3D0C">
              <w:rPr>
                <w:rFonts w:ascii="Times New Roman" w:hAnsi="Times New Roman" w:cs="Times New Roman"/>
              </w:rPr>
              <w:t>$</w:t>
            </w:r>
            <w:r>
              <w:rPr>
                <w:rFonts w:ascii="Times New Roman" w:hAnsi="Times New Roman" w:cs="Times New Roman"/>
              </w:rPr>
              <w:t>34,800)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$139,200</w:t>
            </w:r>
          </w:p>
        </w:tc>
      </w:tr>
      <w:tr w:rsidR="0019366F" w:rsidTr="005A3881">
        <w:tc>
          <w:tcPr>
            <w:tcW w:w="4878" w:type="dxa"/>
          </w:tcPr>
          <w:p w:rsidR="0019366F" w:rsidRPr="00CD3D0C" w:rsidRDefault="0019366F" w:rsidP="002466CE">
            <w:pPr>
              <w:rPr>
                <w:rFonts w:ascii="Times New Roman" w:hAnsi="Times New Roman" w:cs="Times New Roman"/>
              </w:rPr>
            </w:pPr>
            <w:r w:rsidRPr="00CD3D0C">
              <w:rPr>
                <w:rFonts w:ascii="Times New Roman" w:hAnsi="Times New Roman" w:cs="Times New Roman"/>
              </w:rPr>
              <w:t>Security and Compliance</w:t>
            </w:r>
          </w:p>
        </w:tc>
        <w:tc>
          <w:tcPr>
            <w:tcW w:w="1206"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$240,000</w:t>
            </w:r>
          </w:p>
        </w:tc>
        <w:tc>
          <w:tcPr>
            <w:tcW w:w="864" w:type="dxa"/>
          </w:tcPr>
          <w:p w:rsidR="0019366F" w:rsidRPr="00CD3D0C" w:rsidRDefault="0019366F" w:rsidP="002466CE">
            <w:pPr>
              <w:jc w:val="right"/>
              <w:rPr>
                <w:rFonts w:ascii="Times New Roman" w:hAnsi="Times New Roman" w:cs="Times New Roman"/>
              </w:rPr>
            </w:pPr>
            <w:r w:rsidRPr="00CD3D0C">
              <w:rPr>
                <w:rFonts w:ascii="Times New Roman" w:hAnsi="Times New Roman" w:cs="Times New Roman"/>
              </w:rPr>
              <w:t>0%</w:t>
            </w:r>
          </w:p>
        </w:tc>
        <w:tc>
          <w:tcPr>
            <w:tcW w:w="144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w:t>
            </w:r>
            <w:r>
              <w:rPr>
                <w:rFonts w:ascii="Times New Roman" w:hAnsi="Times New Roman" w:cs="Times New Roman"/>
              </w:rPr>
              <w:t>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$240,000</w:t>
            </w:r>
          </w:p>
        </w:tc>
      </w:tr>
      <w:tr w:rsidR="0019366F" w:rsidTr="005A3881">
        <w:tc>
          <w:tcPr>
            <w:tcW w:w="4878" w:type="dxa"/>
          </w:tcPr>
          <w:p w:rsidR="0019366F" w:rsidRPr="00CD3D0C" w:rsidRDefault="0019366F" w:rsidP="00907272">
            <w:pPr>
              <w:rPr>
                <w:rFonts w:ascii="Times New Roman" w:hAnsi="Times New Roman" w:cs="Times New Roman"/>
              </w:rPr>
            </w:pPr>
            <w:r w:rsidRPr="00CD3D0C">
              <w:rPr>
                <w:rFonts w:ascii="Times New Roman" w:hAnsi="Times New Roman" w:cs="Times New Roman"/>
              </w:rPr>
              <w:t>2009 Efficiency - Reduction in Technology &amp; Electronic Payment Service Providers Expense</w:t>
            </w:r>
          </w:p>
        </w:tc>
        <w:tc>
          <w:tcPr>
            <w:tcW w:w="1206" w:type="dxa"/>
          </w:tcPr>
          <w:p w:rsidR="0019366F" w:rsidRPr="00CD3D0C" w:rsidRDefault="0019366F" w:rsidP="00907272">
            <w:pPr>
              <w:jc w:val="right"/>
              <w:rPr>
                <w:rFonts w:ascii="Times New Roman" w:hAnsi="Times New Roman" w:cs="Times New Roman"/>
              </w:rPr>
            </w:pPr>
            <w:r w:rsidRPr="00CD3D0C">
              <w:rPr>
                <w:rFonts w:ascii="Times New Roman" w:hAnsi="Times New Roman" w:cs="Times New Roman"/>
              </w:rPr>
              <w:t>($200,000)</w:t>
            </w:r>
          </w:p>
        </w:tc>
        <w:tc>
          <w:tcPr>
            <w:tcW w:w="864" w:type="dxa"/>
          </w:tcPr>
          <w:p w:rsidR="0019366F" w:rsidRPr="00CD3D0C" w:rsidRDefault="0019366F" w:rsidP="00907272">
            <w:pPr>
              <w:jc w:val="right"/>
              <w:rPr>
                <w:rFonts w:ascii="Times New Roman" w:hAnsi="Times New Roman" w:cs="Times New Roman"/>
              </w:rPr>
            </w:pPr>
            <w:r>
              <w:rPr>
                <w:rFonts w:ascii="Times New Roman" w:hAnsi="Times New Roman" w:cs="Times New Roman"/>
              </w:rPr>
              <w:t>10</w:t>
            </w:r>
            <w:r w:rsidRPr="00CD3D0C">
              <w:rPr>
                <w:rFonts w:ascii="Times New Roman" w:hAnsi="Times New Roman" w:cs="Times New Roman"/>
              </w:rPr>
              <w:t>0%</w:t>
            </w:r>
          </w:p>
        </w:tc>
        <w:tc>
          <w:tcPr>
            <w:tcW w:w="1440" w:type="dxa"/>
          </w:tcPr>
          <w:p w:rsidR="0019366F" w:rsidRPr="00CD3D0C" w:rsidRDefault="0019366F" w:rsidP="006E554E">
            <w:pPr>
              <w:jc w:val="right"/>
              <w:rPr>
                <w:rFonts w:ascii="Times New Roman" w:hAnsi="Times New Roman" w:cs="Times New Roman"/>
              </w:rPr>
            </w:pPr>
            <w:r>
              <w:rPr>
                <w:rFonts w:ascii="Times New Roman" w:hAnsi="Times New Roman" w:cs="Times New Roman"/>
              </w:rPr>
              <w:t>($200,000)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rPr>
              <w:t>($200,000)</w:t>
            </w:r>
          </w:p>
        </w:tc>
      </w:tr>
      <w:tr w:rsidR="0019366F" w:rsidRPr="009A2E49" w:rsidTr="005A3881">
        <w:tc>
          <w:tcPr>
            <w:tcW w:w="4878" w:type="dxa"/>
          </w:tcPr>
          <w:p w:rsidR="0019366F" w:rsidRPr="009A2E49" w:rsidRDefault="0019366F" w:rsidP="00907272">
            <w:pPr>
              <w:rPr>
                <w:rFonts w:ascii="Times New Roman" w:hAnsi="Times New Roman" w:cs="Times New Roman"/>
              </w:rPr>
            </w:pPr>
            <w:r>
              <w:rPr>
                <w:rFonts w:ascii="Times New Roman" w:hAnsi="Times New Roman" w:cs="Times New Roman"/>
              </w:rPr>
              <w:t>Work Management System (removed)</w:t>
            </w:r>
          </w:p>
        </w:tc>
        <w:tc>
          <w:tcPr>
            <w:tcW w:w="1206" w:type="dxa"/>
          </w:tcPr>
          <w:p w:rsidR="0019366F" w:rsidRPr="009A2E49" w:rsidRDefault="0019366F" w:rsidP="00907272">
            <w:pPr>
              <w:jc w:val="right"/>
              <w:rPr>
                <w:rFonts w:ascii="Times New Roman" w:hAnsi="Times New Roman" w:cs="Times New Roman"/>
              </w:rPr>
            </w:pPr>
            <w:r>
              <w:rPr>
                <w:rFonts w:ascii="Times New Roman" w:hAnsi="Times New Roman" w:cs="Times New Roman"/>
              </w:rPr>
              <w:t>$1,120,000</w:t>
            </w:r>
          </w:p>
        </w:tc>
        <w:tc>
          <w:tcPr>
            <w:tcW w:w="864" w:type="dxa"/>
          </w:tcPr>
          <w:p w:rsidR="0019366F" w:rsidRPr="009A2E49" w:rsidRDefault="0019366F" w:rsidP="00907272">
            <w:pPr>
              <w:jc w:val="right"/>
              <w:rPr>
                <w:rFonts w:ascii="Times New Roman" w:hAnsi="Times New Roman" w:cs="Times New Roman"/>
              </w:rPr>
            </w:pPr>
            <w:r>
              <w:rPr>
                <w:rFonts w:ascii="Times New Roman" w:hAnsi="Times New Roman" w:cs="Times New Roman"/>
              </w:rPr>
              <w:t>100%</w:t>
            </w:r>
          </w:p>
        </w:tc>
        <w:tc>
          <w:tcPr>
            <w:tcW w:w="1440" w:type="dxa"/>
          </w:tcPr>
          <w:p w:rsidR="0019366F" w:rsidRPr="009A2E49" w:rsidRDefault="0019366F" w:rsidP="006E554E">
            <w:pPr>
              <w:jc w:val="right"/>
              <w:rPr>
                <w:rFonts w:ascii="Times New Roman" w:hAnsi="Times New Roman" w:cs="Times New Roman"/>
              </w:rPr>
            </w:pPr>
            <w:r>
              <w:rPr>
                <w:rFonts w:ascii="Times New Roman" w:hAnsi="Times New Roman" w:cs="Times New Roman"/>
              </w:rPr>
              <w:t>($1,120,000)</w:t>
            </w:r>
          </w:p>
        </w:tc>
        <w:tc>
          <w:tcPr>
            <w:tcW w:w="1530" w:type="dxa"/>
          </w:tcPr>
          <w:p w:rsidR="0019366F" w:rsidRPr="009A2E49" w:rsidRDefault="0019366F" w:rsidP="0019366F">
            <w:pPr>
              <w:jc w:val="right"/>
              <w:rPr>
                <w:rFonts w:ascii="Times New Roman" w:hAnsi="Times New Roman" w:cs="Times New Roman"/>
              </w:rPr>
            </w:pPr>
            <w:r>
              <w:rPr>
                <w:rFonts w:ascii="Times New Roman" w:hAnsi="Times New Roman" w:cs="Times New Roman"/>
              </w:rPr>
              <w:t>($1,120,000)</w:t>
            </w:r>
          </w:p>
        </w:tc>
      </w:tr>
      <w:tr w:rsidR="0019366F" w:rsidTr="005A3881">
        <w:tc>
          <w:tcPr>
            <w:tcW w:w="4878" w:type="dxa"/>
          </w:tcPr>
          <w:p w:rsidR="0019366F" w:rsidRPr="00CD3D0C" w:rsidRDefault="0019366F" w:rsidP="009A2E49">
            <w:pPr>
              <w:rPr>
                <w:rFonts w:ascii="Times New Roman" w:hAnsi="Times New Roman" w:cs="Times New Roman"/>
              </w:rPr>
            </w:pPr>
            <w:r w:rsidRPr="00CD3D0C">
              <w:rPr>
                <w:rFonts w:ascii="Times New Roman" w:hAnsi="Times New Roman" w:cs="Times New Roman"/>
                <w:b/>
              </w:rPr>
              <w:t>Total</w:t>
            </w:r>
          </w:p>
        </w:tc>
        <w:tc>
          <w:tcPr>
            <w:tcW w:w="1206" w:type="dxa"/>
          </w:tcPr>
          <w:p w:rsidR="0019366F" w:rsidRPr="00CD3D0C" w:rsidRDefault="0019366F" w:rsidP="00F55242">
            <w:pPr>
              <w:jc w:val="right"/>
              <w:rPr>
                <w:rFonts w:ascii="Times New Roman" w:hAnsi="Times New Roman" w:cs="Times New Roman"/>
              </w:rPr>
            </w:pPr>
            <w:r w:rsidRPr="00CD3D0C">
              <w:rPr>
                <w:rFonts w:ascii="Times New Roman" w:hAnsi="Times New Roman" w:cs="Times New Roman"/>
                <w:b/>
              </w:rPr>
              <w:t>$</w:t>
            </w:r>
            <w:r w:rsidR="00F55242">
              <w:rPr>
                <w:rFonts w:ascii="Times New Roman" w:hAnsi="Times New Roman" w:cs="Times New Roman"/>
                <w:b/>
              </w:rPr>
              <w:t>3,667</w:t>
            </w:r>
            <w:r w:rsidRPr="00CD3D0C">
              <w:rPr>
                <w:rFonts w:ascii="Times New Roman" w:hAnsi="Times New Roman" w:cs="Times New Roman"/>
                <w:b/>
              </w:rPr>
              <w:t>,000</w:t>
            </w:r>
          </w:p>
        </w:tc>
        <w:tc>
          <w:tcPr>
            <w:tcW w:w="864" w:type="dxa"/>
          </w:tcPr>
          <w:p w:rsidR="0019366F" w:rsidRPr="00CD3D0C" w:rsidRDefault="0019366F" w:rsidP="009A2E49">
            <w:pPr>
              <w:jc w:val="right"/>
              <w:rPr>
                <w:rFonts w:ascii="Times New Roman" w:hAnsi="Times New Roman" w:cs="Times New Roman"/>
              </w:rPr>
            </w:pPr>
          </w:p>
        </w:tc>
        <w:tc>
          <w:tcPr>
            <w:tcW w:w="1440" w:type="dxa"/>
          </w:tcPr>
          <w:p w:rsidR="0019366F" w:rsidRPr="00CD3D0C" w:rsidRDefault="00F55242" w:rsidP="009A2E49">
            <w:pPr>
              <w:jc w:val="right"/>
              <w:rPr>
                <w:rFonts w:ascii="Times New Roman" w:hAnsi="Times New Roman" w:cs="Times New Roman"/>
              </w:rPr>
            </w:pPr>
            <w:r>
              <w:rPr>
                <w:rFonts w:ascii="Times New Roman" w:hAnsi="Times New Roman" w:cs="Times New Roman"/>
              </w:rPr>
              <w:t>($1,433,800)</w:t>
            </w:r>
          </w:p>
        </w:tc>
        <w:tc>
          <w:tcPr>
            <w:tcW w:w="1530" w:type="dxa"/>
          </w:tcPr>
          <w:p w:rsidR="0019366F" w:rsidRPr="00CD3D0C" w:rsidRDefault="0019366F" w:rsidP="0019366F">
            <w:pPr>
              <w:jc w:val="right"/>
              <w:rPr>
                <w:rFonts w:ascii="Times New Roman" w:hAnsi="Times New Roman" w:cs="Times New Roman"/>
              </w:rPr>
            </w:pPr>
            <w:r w:rsidRPr="00CD3D0C">
              <w:rPr>
                <w:rFonts w:ascii="Times New Roman" w:hAnsi="Times New Roman" w:cs="Times New Roman"/>
                <w:b/>
              </w:rPr>
              <w:t>$</w:t>
            </w:r>
            <w:r w:rsidR="00F55242">
              <w:rPr>
                <w:rFonts w:ascii="Times New Roman" w:hAnsi="Times New Roman" w:cs="Times New Roman"/>
                <w:b/>
              </w:rPr>
              <w:t>2,233.200</w:t>
            </w:r>
          </w:p>
        </w:tc>
      </w:tr>
    </w:tbl>
    <w:p w:rsidR="00DB20F7" w:rsidRDefault="00DB20F7" w:rsidP="00755FFA">
      <w:pPr>
        <w:spacing w:line="480" w:lineRule="auto"/>
        <w:jc w:val="both"/>
      </w:pPr>
    </w:p>
    <w:p w:rsidR="00936C01" w:rsidRDefault="004466F8" w:rsidP="00755FFA">
      <w:pPr>
        <w:spacing w:line="480" w:lineRule="auto"/>
        <w:jc w:val="both"/>
        <w:rPr>
          <w:b/>
        </w:rPr>
      </w:pPr>
      <w:r w:rsidRPr="00403ED8">
        <w:rPr>
          <w:b/>
        </w:rPr>
        <w:tab/>
      </w:r>
      <w:r w:rsidR="00936C01">
        <w:rPr>
          <w:b/>
        </w:rPr>
        <w:t>Q.</w:t>
      </w:r>
      <w:r w:rsidR="00936C01">
        <w:rPr>
          <w:b/>
        </w:rPr>
        <w:tab/>
        <w:t>In the table abov</w:t>
      </w:r>
      <w:r w:rsidR="002F0610">
        <w:rPr>
          <w:b/>
        </w:rPr>
        <w:t>e, many of the cost items show</w:t>
      </w:r>
      <w:r w:rsidR="008C23AD">
        <w:rPr>
          <w:b/>
        </w:rPr>
        <w:t xml:space="preserve"> 0% for a related offset. Will</w:t>
      </w:r>
      <w:r w:rsidR="00936C01">
        <w:rPr>
          <w:b/>
        </w:rPr>
        <w:t xml:space="preserve"> you please explain this?</w:t>
      </w:r>
    </w:p>
    <w:p w:rsidR="00936C01" w:rsidRDefault="00936C01" w:rsidP="00755FFA">
      <w:pPr>
        <w:spacing w:line="480" w:lineRule="auto"/>
        <w:jc w:val="both"/>
      </w:pPr>
      <w:r w:rsidRPr="00936C01">
        <w:tab/>
        <w:t>A.</w:t>
      </w:r>
      <w:r w:rsidRPr="00936C01">
        <w:tab/>
        <w:t xml:space="preserve">Yes.  </w:t>
      </w:r>
      <w:r>
        <w:t>The majority of costs included above, other than specifically noted below</w:t>
      </w:r>
      <w:r w:rsidR="008C23AD">
        <w:t>,</w:t>
      </w:r>
      <w:r>
        <w:t xml:space="preserve"> are support costs for existing applications prior or during the test period (i.e., incremental labor and increased non-labor expense for software maintenance and licensing fees, software and hardware costs).   Therefore, certain offsets and/or benefits would </w:t>
      </w:r>
      <w:r w:rsidR="008C23AD">
        <w:t xml:space="preserve">already </w:t>
      </w:r>
      <w:r>
        <w:t>be reflected in the operating areas where these applications are being utilized and will not provide additional offsets within the IS department.  The offsets included in the Company’s revised revenue requirement</w:t>
      </w:r>
      <w:r w:rsidR="008C23AD">
        <w:t>,</w:t>
      </w:r>
      <w:r>
        <w:t xml:space="preserve"> as discussed below</w:t>
      </w:r>
      <w:r w:rsidR="008C23AD">
        <w:t>,</w:t>
      </w:r>
      <w:r>
        <w:t xml:space="preserve"> are for specific savings the IS department will experience or where the offset would not otherwise have </w:t>
      </w:r>
      <w:r w:rsidR="008C23AD">
        <w:t xml:space="preserve">already </w:t>
      </w:r>
      <w:r>
        <w:t>been reflected in the Company’s test period.</w:t>
      </w:r>
    </w:p>
    <w:p w:rsidR="002F0610" w:rsidRPr="00936C01" w:rsidRDefault="002F0610" w:rsidP="00755FFA">
      <w:pPr>
        <w:spacing w:line="480" w:lineRule="auto"/>
        <w:jc w:val="both"/>
      </w:pPr>
    </w:p>
    <w:p w:rsidR="00DB20F7" w:rsidRPr="00403ED8" w:rsidRDefault="004466F8" w:rsidP="00936C01">
      <w:pPr>
        <w:spacing w:line="480" w:lineRule="auto"/>
        <w:ind w:firstLine="720"/>
        <w:jc w:val="both"/>
        <w:rPr>
          <w:b/>
        </w:rPr>
      </w:pPr>
      <w:r w:rsidRPr="00403ED8">
        <w:rPr>
          <w:b/>
        </w:rPr>
        <w:lastRenderedPageBreak/>
        <w:t>Q.</w:t>
      </w:r>
      <w:r w:rsidRPr="00403ED8">
        <w:rPr>
          <w:b/>
        </w:rPr>
        <w:tab/>
      </w:r>
      <w:r w:rsidR="006E554E">
        <w:rPr>
          <w:b/>
        </w:rPr>
        <w:t>Please provide a summary of the additional costs included within the pro</w:t>
      </w:r>
      <w:r w:rsidR="001D409D">
        <w:rPr>
          <w:b/>
        </w:rPr>
        <w:t xml:space="preserve"> </w:t>
      </w:r>
      <w:r w:rsidR="006E554E">
        <w:rPr>
          <w:b/>
        </w:rPr>
        <w:t>forma adjustment.</w:t>
      </w:r>
    </w:p>
    <w:p w:rsidR="00403ED8" w:rsidRPr="00755FFA" w:rsidRDefault="00403ED8" w:rsidP="00755FFA">
      <w:pPr>
        <w:spacing w:line="480" w:lineRule="auto"/>
        <w:jc w:val="both"/>
      </w:pPr>
      <w:r>
        <w:tab/>
        <w:t>A.</w:t>
      </w:r>
      <w:r>
        <w:tab/>
      </w:r>
      <w:r w:rsidR="002461CD">
        <w:t>The following is additional information for the requested cost recovery of Information Technology:</w:t>
      </w:r>
    </w:p>
    <w:p w:rsidR="00755FFA" w:rsidRPr="00755FFA" w:rsidRDefault="00755FFA" w:rsidP="0045428C">
      <w:pPr>
        <w:numPr>
          <w:ilvl w:val="0"/>
          <w:numId w:val="5"/>
        </w:numPr>
        <w:spacing w:line="480" w:lineRule="auto"/>
        <w:ind w:hanging="720"/>
        <w:jc w:val="both"/>
      </w:pPr>
      <w:r w:rsidRPr="008C23AD">
        <w:rPr>
          <w:u w:val="single"/>
        </w:rPr>
        <w:t>Mobile Dispatch Labor</w:t>
      </w:r>
      <w:r w:rsidRPr="00755FFA">
        <w:t xml:space="preserve"> </w:t>
      </w:r>
      <w:r w:rsidR="00403ED8">
        <w:t>[</w:t>
      </w:r>
      <w:r w:rsidRPr="00755FFA">
        <w:t>$80,000</w:t>
      </w:r>
      <w:r w:rsidR="00403ED8">
        <w:t>]</w:t>
      </w:r>
      <w:r w:rsidRPr="00755FFA">
        <w:t>:</w:t>
      </w:r>
    </w:p>
    <w:p w:rsidR="00755FFA" w:rsidRDefault="00755FFA" w:rsidP="008F219A">
      <w:pPr>
        <w:ind w:left="1440"/>
        <w:jc w:val="both"/>
      </w:pPr>
      <w:r w:rsidRPr="00755FFA">
        <w:t>The labor associated with the M</w:t>
      </w:r>
      <w:r w:rsidR="001A4928">
        <w:t>obile Dispatch Application was a “temporary” full time</w:t>
      </w:r>
      <w:r w:rsidRPr="00755FFA">
        <w:t xml:space="preserve"> employee of Avista since 2008 and was hired as a </w:t>
      </w:r>
      <w:r w:rsidR="001A4928">
        <w:t>“</w:t>
      </w:r>
      <w:r w:rsidRPr="00755FFA">
        <w:t>permanent</w:t>
      </w:r>
      <w:r w:rsidR="001A4928">
        <w:t>”</w:t>
      </w:r>
      <w:r w:rsidRPr="00755FFA">
        <w:t xml:space="preserve"> full time Avista employee in </w:t>
      </w:r>
      <w:r w:rsidR="00863138">
        <w:t>February</w:t>
      </w:r>
      <w:r w:rsidR="00403ED8">
        <w:t xml:space="preserve">, </w:t>
      </w:r>
      <w:r w:rsidRPr="00755FFA">
        <w:t xml:space="preserve">2009.  </w:t>
      </w:r>
      <w:r w:rsidR="006279A8">
        <w:t xml:space="preserve">This cost is the amount that </w:t>
      </w:r>
      <w:r w:rsidR="007D4CAC">
        <w:t>was previously capital costs</w:t>
      </w:r>
      <w:r w:rsidR="006279A8">
        <w:t xml:space="preserve">. </w:t>
      </w:r>
      <w:r w:rsidRPr="00755FFA">
        <w:t xml:space="preserve">This position supports the </w:t>
      </w:r>
      <w:r w:rsidR="001A4928">
        <w:t xml:space="preserve">natural </w:t>
      </w:r>
      <w:r w:rsidRPr="00755FFA">
        <w:t xml:space="preserve">gas service mobile dispatch </w:t>
      </w:r>
      <w:r w:rsidR="007012A2">
        <w:t xml:space="preserve">and soon will start supporting the electric service mobile dispatch </w:t>
      </w:r>
      <w:r w:rsidRPr="00755FFA">
        <w:t xml:space="preserve">business process and application.  </w:t>
      </w:r>
      <w:r w:rsidR="001A4928">
        <w:t>This application has bee</w:t>
      </w:r>
      <w:r w:rsidR="007012A2">
        <w:t>n in operation since 2007</w:t>
      </w:r>
      <w:r w:rsidR="001A4928">
        <w:t xml:space="preserve"> and therefore existing improved efficiencies or cost savings would already be represented in the test period. </w:t>
      </w:r>
    </w:p>
    <w:p w:rsidR="008F219A" w:rsidRPr="00755FFA" w:rsidRDefault="008F219A" w:rsidP="008F219A">
      <w:pPr>
        <w:spacing w:line="360" w:lineRule="auto"/>
        <w:jc w:val="both"/>
      </w:pPr>
    </w:p>
    <w:p w:rsidR="00755FFA" w:rsidRDefault="00755FFA" w:rsidP="001A4928">
      <w:pPr>
        <w:numPr>
          <w:ilvl w:val="0"/>
          <w:numId w:val="5"/>
        </w:numPr>
        <w:ind w:hanging="720"/>
        <w:jc w:val="both"/>
      </w:pPr>
      <w:r w:rsidRPr="008C23AD">
        <w:rPr>
          <w:u w:val="single"/>
        </w:rPr>
        <w:t>Outage Management and Construction Design Application Support Labor</w:t>
      </w:r>
      <w:r w:rsidRPr="00755FFA">
        <w:t xml:space="preserve"> </w:t>
      </w:r>
      <w:r w:rsidR="00403ED8">
        <w:t>[</w:t>
      </w:r>
      <w:r w:rsidRPr="00755FFA">
        <w:t>$160,000</w:t>
      </w:r>
      <w:r w:rsidR="00403ED8">
        <w:t>]</w:t>
      </w:r>
      <w:r w:rsidRPr="00755FFA">
        <w:t>:</w:t>
      </w:r>
    </w:p>
    <w:p w:rsidR="001A4928" w:rsidRPr="00755FFA" w:rsidRDefault="001A4928" w:rsidP="001A4928">
      <w:pPr>
        <w:ind w:left="1440"/>
        <w:jc w:val="both"/>
      </w:pPr>
    </w:p>
    <w:p w:rsidR="00755FFA" w:rsidRDefault="00755FFA" w:rsidP="001A4928">
      <w:pPr>
        <w:ind w:left="1440"/>
        <w:jc w:val="both"/>
      </w:pPr>
      <w:r w:rsidRPr="00755FFA">
        <w:t xml:space="preserve">The labor associated with this application is employed under </w:t>
      </w:r>
      <w:r w:rsidR="00403ED8">
        <w:t xml:space="preserve">an existing </w:t>
      </w:r>
      <w:r w:rsidRPr="00755FFA">
        <w:t xml:space="preserve">contract with </w:t>
      </w:r>
      <w:r w:rsidR="001A4928">
        <w:t>Electronic Data Services (</w:t>
      </w:r>
      <w:r w:rsidRPr="00755FFA">
        <w:t>EDS</w:t>
      </w:r>
      <w:r w:rsidR="001A4928">
        <w:t>)</w:t>
      </w:r>
      <w:r w:rsidRPr="00755FFA">
        <w:t xml:space="preserve">.  The </w:t>
      </w:r>
      <w:r w:rsidR="00403ED8">
        <w:t xml:space="preserve">existing </w:t>
      </w:r>
      <w:r w:rsidRPr="00755FFA">
        <w:t xml:space="preserve">cost is known and measureable.  This application has been in </w:t>
      </w:r>
      <w:r w:rsidR="008C23AD">
        <w:t>existence</w:t>
      </w:r>
      <w:r w:rsidRPr="00755FFA">
        <w:t xml:space="preserve"> for many years.  The value of the application is measured in efficiency through improved customer response time for outage restoration and provides the customer with real-time access via the telephone or web on estimated</w:t>
      </w:r>
      <w:r w:rsidR="001A4928">
        <w:t xml:space="preserve"> restoration times, and therefore efficiencies and cost savings would already be included in the test year.</w:t>
      </w:r>
      <w:r w:rsidR="00FC15CA">
        <w:t xml:space="preserve">  This</w:t>
      </w:r>
      <w:r w:rsidRPr="00755FFA">
        <w:t xml:space="preserve"> position is moving from capital project development i</w:t>
      </w:r>
      <w:r w:rsidR="001A4928">
        <w:t>nto full-time technical support which will be expensed rather than capitalized</w:t>
      </w:r>
      <w:r w:rsidR="00FC15CA">
        <w:t xml:space="preserve"> and therefore will not provide additional savings</w:t>
      </w:r>
      <w:r w:rsidR="001A4928">
        <w:t>.</w:t>
      </w:r>
    </w:p>
    <w:p w:rsidR="001A4928" w:rsidRPr="00755FFA" w:rsidRDefault="001A4928" w:rsidP="001A4928">
      <w:pPr>
        <w:ind w:left="720"/>
        <w:jc w:val="both"/>
      </w:pPr>
    </w:p>
    <w:p w:rsidR="00755FFA" w:rsidRPr="00755FFA" w:rsidRDefault="00755FFA" w:rsidP="001A4928">
      <w:pPr>
        <w:numPr>
          <w:ilvl w:val="0"/>
          <w:numId w:val="5"/>
        </w:numPr>
        <w:spacing w:line="480" w:lineRule="auto"/>
        <w:ind w:hanging="720"/>
        <w:jc w:val="both"/>
      </w:pPr>
      <w:r w:rsidRPr="008C23AD">
        <w:rPr>
          <w:u w:val="single"/>
        </w:rPr>
        <w:t>Web Application Support Labor</w:t>
      </w:r>
      <w:r w:rsidRPr="00755FFA">
        <w:t xml:space="preserve"> </w:t>
      </w:r>
      <w:r w:rsidR="00403ED8">
        <w:t>[</w:t>
      </w:r>
      <w:r w:rsidRPr="00755FFA">
        <w:t>$320,000</w:t>
      </w:r>
      <w:r w:rsidR="00403ED8">
        <w:t>]</w:t>
      </w:r>
      <w:r w:rsidRPr="00755FFA">
        <w:t>:</w:t>
      </w:r>
    </w:p>
    <w:p w:rsidR="00755FFA" w:rsidRDefault="00755FFA" w:rsidP="002D4085">
      <w:pPr>
        <w:ind w:left="1440"/>
        <w:jc w:val="both"/>
      </w:pPr>
      <w:r w:rsidRPr="00755FFA">
        <w:t>The labor associated with this application is employed under contract with EDS and other services providers.  The</w:t>
      </w:r>
      <w:r w:rsidR="00131BB7">
        <w:t>se</w:t>
      </w:r>
      <w:r w:rsidRPr="00755FFA">
        <w:t xml:space="preserve"> cost</w:t>
      </w:r>
      <w:r w:rsidR="00131BB7">
        <w:t xml:space="preserve">s </w:t>
      </w:r>
      <w:r w:rsidR="00403ED8">
        <w:t xml:space="preserve">have already been incurred and </w:t>
      </w:r>
      <w:r w:rsidR="00131BB7">
        <w:t xml:space="preserve">are </w:t>
      </w:r>
      <w:r w:rsidRPr="00755FFA">
        <w:t>known and measureable.  These positions are moving from capital project development into full-time technical support</w:t>
      </w:r>
      <w:r w:rsidR="002D4085">
        <w:t xml:space="preserve"> moving from capital to expense</w:t>
      </w:r>
      <w:r w:rsidR="00FC15CA">
        <w:t>, and therefore will not provide additional savings</w:t>
      </w:r>
      <w:r w:rsidRPr="00755FFA">
        <w:t>.  The WEB application has been and continues to provide a reduced transaction cost for customers paying their bills on-line and in search of information related to energy savings through reduced calls to Avista’s contact center.</w:t>
      </w:r>
      <w:r w:rsidR="002D4085">
        <w:t xml:space="preserve"> These savings are already reflected in the test period.</w:t>
      </w:r>
    </w:p>
    <w:p w:rsidR="008C23AD" w:rsidRDefault="008C23AD" w:rsidP="002D4085">
      <w:pPr>
        <w:ind w:left="1440"/>
        <w:jc w:val="both"/>
      </w:pPr>
    </w:p>
    <w:p w:rsidR="001A4928" w:rsidRPr="00755FFA" w:rsidRDefault="001A4928" w:rsidP="001A4928">
      <w:pPr>
        <w:ind w:left="720"/>
        <w:jc w:val="both"/>
      </w:pPr>
    </w:p>
    <w:p w:rsidR="00755FFA" w:rsidRPr="00755FFA" w:rsidRDefault="00755FFA" w:rsidP="002D4085">
      <w:pPr>
        <w:numPr>
          <w:ilvl w:val="0"/>
          <w:numId w:val="5"/>
        </w:numPr>
        <w:spacing w:line="480" w:lineRule="auto"/>
        <w:ind w:hanging="720"/>
        <w:jc w:val="both"/>
      </w:pPr>
      <w:r w:rsidRPr="008C23AD">
        <w:rPr>
          <w:u w:val="single"/>
        </w:rPr>
        <w:lastRenderedPageBreak/>
        <w:t>Crew Callout Application Hosting Fee</w:t>
      </w:r>
      <w:r w:rsidRPr="00755FFA">
        <w:t xml:space="preserve"> </w:t>
      </w:r>
      <w:r w:rsidR="00403ED8">
        <w:t>[</w:t>
      </w:r>
      <w:r w:rsidRPr="00755FFA">
        <w:t>$120,000</w:t>
      </w:r>
      <w:r w:rsidR="00403ED8">
        <w:t>]</w:t>
      </w:r>
      <w:r w:rsidRPr="00755FFA">
        <w:t>:</w:t>
      </w:r>
    </w:p>
    <w:p w:rsidR="00755FFA" w:rsidRPr="00755FFA" w:rsidRDefault="00755FFA" w:rsidP="002D4085">
      <w:pPr>
        <w:ind w:left="1440"/>
        <w:jc w:val="both"/>
      </w:pPr>
      <w:r w:rsidRPr="00755FFA">
        <w:t xml:space="preserve">This application provides an efficient method for contacting Avista’s </w:t>
      </w:r>
      <w:r w:rsidR="002D4085">
        <w:t xml:space="preserve">natural </w:t>
      </w:r>
      <w:r w:rsidRPr="00755FFA">
        <w:t>gas and electric crews for service restorat</w:t>
      </w:r>
      <w:r w:rsidR="002D4085">
        <w:t>ion and regular daily work.  This</w:t>
      </w:r>
      <w:r w:rsidRPr="00755FFA">
        <w:t xml:space="preserve"> cost is known and measureable</w:t>
      </w:r>
      <w:r w:rsidR="00863B90">
        <w:t xml:space="preserve"> as this was an incremental fee starting in fall, 2008</w:t>
      </w:r>
      <w:r w:rsidRPr="00755FFA">
        <w:t xml:space="preserve">. The efficiency measurement is the </w:t>
      </w:r>
      <w:r w:rsidR="002D4085">
        <w:t xml:space="preserve">reduced </w:t>
      </w:r>
      <w:r w:rsidRPr="00755FFA">
        <w:t>time and number of dispatchers required to contact crews</w:t>
      </w:r>
      <w:r w:rsidR="003C68C5">
        <w:t xml:space="preserve"> </w:t>
      </w:r>
      <w:r w:rsidR="008C23AD">
        <w:t>however, does not reduce labor and therefore has no assoc</w:t>
      </w:r>
      <w:r w:rsidR="00863B90">
        <w:t>iated savings expected with this incremental cost</w:t>
      </w:r>
      <w:r w:rsidRPr="00755FFA">
        <w:t xml:space="preserve">.  The cost is </w:t>
      </w:r>
      <w:r w:rsidR="00403ED8">
        <w:t>reflected in an existing</w:t>
      </w:r>
      <w:r w:rsidRPr="00755FFA">
        <w:t xml:space="preserve"> contract with a service provider where Avista pays a flat fee with a “per-call” cost adder.  Through automation, the dispatcher is freed up to manage customer restoration and dispatching functions without having to manually contact crews.</w:t>
      </w:r>
      <w:r w:rsidR="002D4085">
        <w:t xml:space="preserve"> </w:t>
      </w:r>
    </w:p>
    <w:p w:rsidR="002D4085" w:rsidRDefault="002D4085" w:rsidP="00755FFA">
      <w:pPr>
        <w:spacing w:line="480" w:lineRule="auto"/>
        <w:jc w:val="both"/>
      </w:pPr>
    </w:p>
    <w:p w:rsidR="00755FFA" w:rsidRPr="00755FFA" w:rsidRDefault="00755FFA" w:rsidP="002D4085">
      <w:pPr>
        <w:numPr>
          <w:ilvl w:val="0"/>
          <w:numId w:val="5"/>
        </w:numPr>
        <w:spacing w:line="480" w:lineRule="auto"/>
        <w:ind w:hanging="720"/>
        <w:jc w:val="both"/>
      </w:pPr>
      <w:r w:rsidRPr="008C23AD">
        <w:rPr>
          <w:u w:val="single"/>
        </w:rPr>
        <w:t>Enterprise Voice Portal Application Hosting Fee</w:t>
      </w:r>
      <w:r w:rsidRPr="00755FFA">
        <w:t xml:space="preserve"> </w:t>
      </w:r>
      <w:r w:rsidR="00403ED8">
        <w:t>[</w:t>
      </w:r>
      <w:r w:rsidRPr="00755FFA">
        <w:t>$331,000</w:t>
      </w:r>
      <w:r w:rsidR="00403ED8">
        <w:t>]</w:t>
      </w:r>
      <w:r w:rsidRPr="00755FFA">
        <w:t>:</w:t>
      </w:r>
    </w:p>
    <w:p w:rsidR="00755FFA" w:rsidRDefault="00755FFA" w:rsidP="002D4085">
      <w:pPr>
        <w:ind w:left="1440"/>
        <w:jc w:val="both"/>
      </w:pPr>
      <w:r w:rsidRPr="00755FFA">
        <w:t xml:space="preserve">This application provides the customer the ability to transact business with </w:t>
      </w:r>
      <w:r w:rsidR="002D4085">
        <w:t>Avista via their telephone</w:t>
      </w:r>
      <w:r w:rsidR="00AB75F4">
        <w:t xml:space="preserve"> and is required with the Company’s new Interactive Voice Response System (IVR). </w:t>
      </w:r>
      <w:r w:rsidR="002D4085">
        <w:t>This</w:t>
      </w:r>
      <w:r w:rsidRPr="00755FFA">
        <w:t xml:space="preserve"> </w:t>
      </w:r>
      <w:r w:rsidR="00AB75F4">
        <w:t xml:space="preserve">hosting fee </w:t>
      </w:r>
      <w:r w:rsidR="00C3217B">
        <w:t>expense</w:t>
      </w:r>
      <w:r w:rsidRPr="00755FFA">
        <w:t xml:space="preserve"> </w:t>
      </w:r>
      <w:r w:rsidR="00AB75F4">
        <w:t xml:space="preserve">is an incremental fee that the old IVR system did not require because it was </w:t>
      </w:r>
      <w:r w:rsidR="00C3217B">
        <w:t>managed</w:t>
      </w:r>
      <w:r w:rsidR="00AB75F4">
        <w:t xml:space="preserve"> in-house. These fees are currently being incurred and therefore are</w:t>
      </w:r>
      <w:r w:rsidRPr="00755FFA">
        <w:t xml:space="preserve"> known and measureable.  The</w:t>
      </w:r>
      <w:r w:rsidR="00AB75F4">
        <w:t>re are no offsetting</w:t>
      </w:r>
      <w:r w:rsidRPr="00755FFA">
        <w:t xml:space="preserve"> efficienc</w:t>
      </w:r>
      <w:r w:rsidR="00AB75F4">
        <w:t>ies associated with this fee</w:t>
      </w:r>
      <w:r w:rsidRPr="00755FFA">
        <w:t xml:space="preserve">.  </w:t>
      </w:r>
    </w:p>
    <w:p w:rsidR="002D4085" w:rsidRPr="00755FFA" w:rsidRDefault="002D4085" w:rsidP="002D4085">
      <w:pPr>
        <w:ind w:left="1440"/>
        <w:jc w:val="both"/>
      </w:pPr>
    </w:p>
    <w:p w:rsidR="00755FFA" w:rsidRPr="00755FFA" w:rsidRDefault="00755FFA" w:rsidP="002D4085">
      <w:pPr>
        <w:numPr>
          <w:ilvl w:val="0"/>
          <w:numId w:val="5"/>
        </w:numPr>
        <w:spacing w:line="480" w:lineRule="auto"/>
        <w:ind w:hanging="720"/>
        <w:jc w:val="both"/>
      </w:pPr>
      <w:r w:rsidRPr="008C23AD">
        <w:rPr>
          <w:u w:val="single"/>
        </w:rPr>
        <w:t>New Mobile Dispatch Application</w:t>
      </w:r>
      <w:r w:rsidRPr="00755FFA">
        <w:t xml:space="preserve"> – Electric </w:t>
      </w:r>
      <w:r w:rsidR="00403ED8">
        <w:t>[</w:t>
      </w:r>
      <w:r w:rsidRPr="00755FFA">
        <w:t>$395,000</w:t>
      </w:r>
      <w:r w:rsidR="00403ED8">
        <w:t>]</w:t>
      </w:r>
      <w:r w:rsidRPr="00755FFA">
        <w:t>:</w:t>
      </w:r>
    </w:p>
    <w:p w:rsidR="00755FFA" w:rsidRDefault="00755FFA" w:rsidP="002D4085">
      <w:pPr>
        <w:ind w:left="1440"/>
        <w:jc w:val="both"/>
      </w:pPr>
      <w:r w:rsidRPr="00755FFA">
        <w:t>Avista is broadening the use of the gas mobile dispatch application from gas only to gas and electric service work. This application builds on the success in efficiency gains Avista has seen with the gas service mobile dispatch ap</w:t>
      </w:r>
      <w:r w:rsidR="002D4085">
        <w:t>plication. This</w:t>
      </w:r>
      <w:r w:rsidRPr="00755FFA">
        <w:t xml:space="preserve"> cost </w:t>
      </w:r>
      <w:r w:rsidR="00403ED8">
        <w:t xml:space="preserve">has already been incurred and </w:t>
      </w:r>
      <w:r w:rsidRPr="00755FFA">
        <w:t xml:space="preserve">is known and measureable as we have been running this application in Avista’s gas service work for several years. </w:t>
      </w:r>
      <w:r w:rsidR="002D4085">
        <w:t xml:space="preserve">These savings would not be reflected in the test period, and although difficult to quantify at this time, to be conservative </w:t>
      </w:r>
      <w:r w:rsidR="002F0610">
        <w:t xml:space="preserve">(overstate, if anything, the offsets) </w:t>
      </w:r>
      <w:r w:rsidR="002D4085">
        <w:t>the Company has included a reduction of 20% of the total cost</w:t>
      </w:r>
      <w:r w:rsidR="00131BB7">
        <w:t xml:space="preserve"> in its revised adjustment</w:t>
      </w:r>
      <w:r w:rsidR="006279A8">
        <w:t>, reducing the Company’s request in its original filing</w:t>
      </w:r>
      <w:r w:rsidR="002D4085">
        <w:t>.</w:t>
      </w:r>
    </w:p>
    <w:p w:rsidR="002D4085" w:rsidRPr="00755FFA" w:rsidRDefault="002D4085" w:rsidP="002D4085">
      <w:pPr>
        <w:ind w:left="1440"/>
        <w:jc w:val="both"/>
      </w:pPr>
    </w:p>
    <w:p w:rsidR="00755FFA" w:rsidRPr="00755FFA" w:rsidRDefault="00755FFA" w:rsidP="002D4085">
      <w:pPr>
        <w:numPr>
          <w:ilvl w:val="0"/>
          <w:numId w:val="5"/>
        </w:numPr>
        <w:spacing w:line="480" w:lineRule="auto"/>
        <w:ind w:hanging="720"/>
        <w:jc w:val="both"/>
      </w:pPr>
      <w:r w:rsidRPr="008C23AD">
        <w:rPr>
          <w:u w:val="single"/>
        </w:rPr>
        <w:t>Infrastructure Growth and Expansion (hardware, networks, etc.)</w:t>
      </w:r>
      <w:r w:rsidRPr="00755FFA">
        <w:t xml:space="preserve"> </w:t>
      </w:r>
      <w:r w:rsidR="00403ED8">
        <w:t>[</w:t>
      </w:r>
      <w:r w:rsidRPr="00755FFA">
        <w:t>$138,000</w:t>
      </w:r>
      <w:r w:rsidR="00403ED8">
        <w:t>]</w:t>
      </w:r>
      <w:r w:rsidR="002D4085">
        <w:t>:</w:t>
      </w:r>
    </w:p>
    <w:p w:rsidR="00755FFA" w:rsidRDefault="00755FFA" w:rsidP="002D4085">
      <w:pPr>
        <w:ind w:left="1440"/>
        <w:jc w:val="both"/>
      </w:pPr>
      <w:r w:rsidRPr="00755FFA">
        <w:t>This cost is associated with improving capacity congestion on networks due to increased data volume, improving performance of hardware that has reached capacity such as file and data servers due to increased load, etc.  An example is new compliance rules fo</w:t>
      </w:r>
      <w:r w:rsidR="000F62ED">
        <w:t>r additional documentation.  This</w:t>
      </w:r>
      <w:r w:rsidRPr="00755FFA">
        <w:t xml:space="preserve"> documentation has increased </w:t>
      </w:r>
      <w:r w:rsidR="008C23AD">
        <w:t xml:space="preserve">the </w:t>
      </w:r>
      <w:r w:rsidRPr="00755FFA">
        <w:t>use of graphics, drawings and pictures which increase the need for disk space and file server performance.  Through trend analysis of prior year growth, this is a predicable growth activity year over year</w:t>
      </w:r>
      <w:r w:rsidR="000F62ED">
        <w:t xml:space="preserve">. The costs for existing hardware and networks </w:t>
      </w:r>
      <w:r w:rsidR="00403ED8">
        <w:t xml:space="preserve">have already been incurred and </w:t>
      </w:r>
      <w:r w:rsidR="000F62ED">
        <w:t xml:space="preserve">are </w:t>
      </w:r>
      <w:r w:rsidRPr="00755FFA">
        <w:t xml:space="preserve">known and measureable. </w:t>
      </w:r>
      <w:r w:rsidR="000F62ED">
        <w:t>There are no efficiencies or cost savings attainable for these costs, therefore none have been included.</w:t>
      </w:r>
    </w:p>
    <w:p w:rsidR="002D4085" w:rsidRPr="00755FFA" w:rsidRDefault="002D4085" w:rsidP="002D4085">
      <w:pPr>
        <w:ind w:left="720"/>
        <w:jc w:val="both"/>
      </w:pPr>
    </w:p>
    <w:p w:rsidR="00755FFA" w:rsidRPr="00755FFA" w:rsidRDefault="00755FFA" w:rsidP="000F62ED">
      <w:pPr>
        <w:numPr>
          <w:ilvl w:val="0"/>
          <w:numId w:val="5"/>
        </w:numPr>
        <w:spacing w:line="480" w:lineRule="auto"/>
        <w:ind w:hanging="720"/>
        <w:jc w:val="both"/>
      </w:pPr>
      <w:r w:rsidRPr="001770E6">
        <w:rPr>
          <w:u w:val="single"/>
        </w:rPr>
        <w:t>New Software License Fees (Ultimate, IEE, etc.)</w:t>
      </w:r>
      <w:r w:rsidRPr="00755FFA">
        <w:t xml:space="preserve"> </w:t>
      </w:r>
      <w:r w:rsidR="00403ED8">
        <w:t>[</w:t>
      </w:r>
      <w:r w:rsidRPr="00755FFA">
        <w:t>$131,000</w:t>
      </w:r>
      <w:r w:rsidR="00403ED8">
        <w:t>]</w:t>
      </w:r>
      <w:r w:rsidR="000F62ED">
        <w:t>:</w:t>
      </w:r>
    </w:p>
    <w:p w:rsidR="000F62ED" w:rsidRDefault="00755FFA" w:rsidP="000F62ED">
      <w:pPr>
        <w:ind w:left="1440"/>
        <w:jc w:val="both"/>
      </w:pPr>
      <w:r w:rsidRPr="00755FFA">
        <w:t xml:space="preserve">There are capacity issues with databases that require Avista to add new data bases for testing environments, software development and </w:t>
      </w:r>
      <w:r w:rsidR="000F62ED">
        <w:t xml:space="preserve">for </w:t>
      </w:r>
      <w:r w:rsidRPr="00755FFA">
        <w:t xml:space="preserve">efficiency reasons.  With that growth </w:t>
      </w:r>
      <w:r w:rsidR="008C23AD">
        <w:t>comes</w:t>
      </w:r>
      <w:r w:rsidRPr="00755FFA">
        <w:t xml:space="preserve"> increased license fee</w:t>
      </w:r>
      <w:r w:rsidR="0025714B">
        <w:t xml:space="preserve">s. In addition, as new staff is </w:t>
      </w:r>
      <w:r w:rsidRPr="00755FFA">
        <w:t xml:space="preserve"> hired or existing staff require access to an application, typically a license must be purchased for their use of the application. An example is the use of Microsoft Office.  The cost is known and measurable and through trend analysis predictable.  </w:t>
      </w:r>
      <w:r w:rsidR="008F078B">
        <w:t xml:space="preserve">There are no savings associated with these fees. </w:t>
      </w:r>
      <w:r w:rsidRPr="00755FFA">
        <w:t xml:space="preserve">Avista works to minimize the need for additional licenses through strong controls over existing licenses and </w:t>
      </w:r>
      <w:r w:rsidR="001770E6">
        <w:t xml:space="preserve">through </w:t>
      </w:r>
      <w:r w:rsidRPr="00755FFA">
        <w:t>a program to know if any licenses are not in use that can be redeployed.</w:t>
      </w:r>
      <w:r w:rsidR="00EB2129">
        <w:t xml:space="preserve"> </w:t>
      </w:r>
    </w:p>
    <w:p w:rsidR="00131BB7" w:rsidRDefault="00131BB7" w:rsidP="000F62ED">
      <w:pPr>
        <w:ind w:left="1440"/>
        <w:jc w:val="both"/>
      </w:pPr>
    </w:p>
    <w:p w:rsidR="00131BB7" w:rsidRPr="00755FFA" w:rsidRDefault="00131BB7" w:rsidP="000F62ED">
      <w:pPr>
        <w:ind w:left="1440"/>
        <w:jc w:val="both"/>
      </w:pPr>
    </w:p>
    <w:p w:rsidR="00755FFA" w:rsidRPr="00755FFA" w:rsidRDefault="00755FFA" w:rsidP="000F62ED">
      <w:pPr>
        <w:numPr>
          <w:ilvl w:val="0"/>
          <w:numId w:val="5"/>
        </w:numPr>
        <w:spacing w:line="480" w:lineRule="auto"/>
        <w:ind w:hanging="720"/>
        <w:jc w:val="both"/>
      </w:pPr>
      <w:r w:rsidRPr="001770E6">
        <w:rPr>
          <w:u w:val="single"/>
        </w:rPr>
        <w:t>New Hardware Maintenance Fees</w:t>
      </w:r>
      <w:r w:rsidRPr="00755FFA">
        <w:t xml:space="preserve"> </w:t>
      </w:r>
      <w:r w:rsidR="00403ED8">
        <w:t>[</w:t>
      </w:r>
      <w:r w:rsidRPr="00755FFA">
        <w:t>$120,000</w:t>
      </w:r>
      <w:r w:rsidR="00403ED8">
        <w:t>]</w:t>
      </w:r>
      <w:r w:rsidRPr="00755FFA">
        <w:t>:</w:t>
      </w:r>
    </w:p>
    <w:p w:rsidR="00EB2129" w:rsidRDefault="00755FFA" w:rsidP="00EB2129">
      <w:pPr>
        <w:ind w:left="1440"/>
        <w:jc w:val="both"/>
      </w:pPr>
      <w:r w:rsidRPr="00755FFA">
        <w:t xml:space="preserve">For each new critical piece of technology hardware, Avista pays a maintenance fee to ensure that we meet compliance and system availability requirements.  The fee </w:t>
      </w:r>
      <w:r w:rsidR="00403ED8">
        <w:t xml:space="preserve">has already been incurred and </w:t>
      </w:r>
      <w:r w:rsidRPr="00755FFA">
        <w:t xml:space="preserve">is known and measureable.  The customer benefits by systems they rely on being supported in the event of failure such as the WEB, Enterprise Voice Portal, etc. </w:t>
      </w:r>
      <w:r w:rsidR="000F62ED">
        <w:t xml:space="preserve"> There are no efficiencies or cost savings attainable for these costs, therefore none have been included.</w:t>
      </w:r>
    </w:p>
    <w:p w:rsidR="00131BB7" w:rsidRDefault="00131BB7" w:rsidP="00EB2129">
      <w:pPr>
        <w:ind w:left="1440"/>
        <w:jc w:val="both"/>
      </w:pPr>
    </w:p>
    <w:p w:rsidR="00EB2129" w:rsidRDefault="00EB2129" w:rsidP="00EB2129">
      <w:pPr>
        <w:ind w:left="1440"/>
        <w:jc w:val="both"/>
      </w:pPr>
    </w:p>
    <w:p w:rsidR="00EB2129" w:rsidRDefault="00755FFA" w:rsidP="00EB2129">
      <w:pPr>
        <w:numPr>
          <w:ilvl w:val="0"/>
          <w:numId w:val="5"/>
        </w:numPr>
        <w:ind w:hanging="720"/>
        <w:jc w:val="both"/>
      </w:pPr>
      <w:r w:rsidRPr="001770E6">
        <w:rPr>
          <w:u w:val="single"/>
        </w:rPr>
        <w:t>Annual Increase for Existing</w:t>
      </w:r>
      <w:r w:rsidR="00EB2129" w:rsidRPr="001770E6">
        <w:rPr>
          <w:u w:val="single"/>
        </w:rPr>
        <w:t xml:space="preserve"> Software License Fees</w:t>
      </w:r>
      <w:r w:rsidR="00EB2129">
        <w:t xml:space="preserve"> </w:t>
      </w:r>
      <w:r w:rsidR="00403ED8">
        <w:t>[</w:t>
      </w:r>
      <w:r w:rsidR="00EB2129">
        <w:t>$146,000</w:t>
      </w:r>
      <w:r w:rsidR="00403ED8">
        <w:t>]</w:t>
      </w:r>
      <w:r w:rsidR="00EB2129">
        <w:t>:</w:t>
      </w:r>
    </w:p>
    <w:p w:rsidR="00EB2129" w:rsidRDefault="00EB2129" w:rsidP="00EB2129">
      <w:pPr>
        <w:ind w:left="1440"/>
        <w:jc w:val="both"/>
      </w:pPr>
    </w:p>
    <w:p w:rsidR="00755FFA" w:rsidRPr="00755FFA" w:rsidRDefault="00755FFA" w:rsidP="00EB2129">
      <w:pPr>
        <w:ind w:left="1440"/>
        <w:jc w:val="both"/>
      </w:pPr>
      <w:r w:rsidRPr="00755FFA">
        <w:t xml:space="preserve">With </w:t>
      </w:r>
      <w:r w:rsidR="00EB2129">
        <w:t xml:space="preserve">certain </w:t>
      </w:r>
      <w:r w:rsidRPr="00755FFA">
        <w:t>software licenses</w:t>
      </w:r>
      <w:r w:rsidR="00EB2129">
        <w:t xml:space="preserve"> utilized by the Company,</w:t>
      </w:r>
      <w:r w:rsidRPr="00755FFA">
        <w:t xml:space="preserve"> there </w:t>
      </w:r>
      <w:r w:rsidR="00EB2129">
        <w:t>is</w:t>
      </w:r>
      <w:r w:rsidRPr="00755FFA">
        <w:t xml:space="preserve"> an</w:t>
      </w:r>
      <w:r w:rsidR="001770E6">
        <w:t xml:space="preserve"> automatic, annual contractually-specified </w:t>
      </w:r>
      <w:r w:rsidRPr="00755FFA">
        <w:t xml:space="preserve">license fee increase.  These costs are known and measurable.  </w:t>
      </w:r>
      <w:r w:rsidR="000F62ED">
        <w:t>There are no efficiencies or cost savings attainable for these costs, therefore none have been included.</w:t>
      </w:r>
    </w:p>
    <w:p w:rsidR="00EB2129" w:rsidRDefault="00EB2129" w:rsidP="00755FFA">
      <w:pPr>
        <w:spacing w:line="480" w:lineRule="auto"/>
        <w:jc w:val="both"/>
      </w:pPr>
    </w:p>
    <w:p w:rsidR="00755FFA" w:rsidRPr="00755FFA" w:rsidRDefault="00755FFA" w:rsidP="00EB2129">
      <w:pPr>
        <w:numPr>
          <w:ilvl w:val="0"/>
          <w:numId w:val="5"/>
        </w:numPr>
        <w:spacing w:line="480" w:lineRule="auto"/>
        <w:ind w:hanging="720"/>
        <w:jc w:val="both"/>
      </w:pPr>
      <w:r w:rsidRPr="001770E6">
        <w:rPr>
          <w:u w:val="single"/>
        </w:rPr>
        <w:t>Annual Increase for Existing Hardware Maintenance Fees</w:t>
      </w:r>
      <w:r w:rsidRPr="00755FFA">
        <w:t xml:space="preserve"> </w:t>
      </w:r>
      <w:r w:rsidR="00403ED8">
        <w:t>[</w:t>
      </w:r>
      <w:r w:rsidRPr="00755FFA">
        <w:t>$141,000</w:t>
      </w:r>
      <w:r w:rsidR="00403ED8">
        <w:t>]</w:t>
      </w:r>
      <w:r w:rsidR="00EB2129">
        <w:t>:</w:t>
      </w:r>
    </w:p>
    <w:p w:rsidR="00755FFA" w:rsidRPr="00755FFA" w:rsidRDefault="00755FFA" w:rsidP="00EB2129">
      <w:pPr>
        <w:ind w:left="1440"/>
        <w:jc w:val="both"/>
      </w:pPr>
      <w:r w:rsidRPr="00755FFA">
        <w:t>With computer and network hardware</w:t>
      </w:r>
      <w:r w:rsidR="006279A8">
        <w:t>,</w:t>
      </w:r>
      <w:r w:rsidRPr="00755FFA">
        <w:t xml:space="preserve"> </w:t>
      </w:r>
      <w:r w:rsidR="006279A8">
        <w:t>some require</w:t>
      </w:r>
      <w:r w:rsidRPr="00755FFA">
        <w:t xml:space="preserve"> an automatic annual contractually</w:t>
      </w:r>
      <w:r w:rsidR="001770E6">
        <w:t>-specified</w:t>
      </w:r>
      <w:r w:rsidRPr="00755FFA">
        <w:t xml:space="preserve"> maintenance fee increase.  These costs </w:t>
      </w:r>
      <w:r w:rsidR="00403ED8">
        <w:t xml:space="preserve">have been incurred and </w:t>
      </w:r>
      <w:r w:rsidRPr="00755FFA">
        <w:t xml:space="preserve">are known and measurable.  </w:t>
      </w:r>
      <w:r w:rsidR="000F62ED">
        <w:t>There are no efficiencies or cost savings attainable for these costs, therefore none have been included.</w:t>
      </w:r>
    </w:p>
    <w:p w:rsidR="00EB2129" w:rsidRDefault="00EB2129" w:rsidP="00755FFA">
      <w:pPr>
        <w:spacing w:line="480" w:lineRule="auto"/>
        <w:jc w:val="both"/>
      </w:pPr>
    </w:p>
    <w:p w:rsidR="00755FFA" w:rsidRPr="00755FFA" w:rsidRDefault="00755FFA" w:rsidP="00EB2129">
      <w:pPr>
        <w:numPr>
          <w:ilvl w:val="0"/>
          <w:numId w:val="5"/>
        </w:numPr>
        <w:spacing w:line="480" w:lineRule="auto"/>
        <w:ind w:hanging="720"/>
        <w:jc w:val="both"/>
      </w:pPr>
      <w:r w:rsidRPr="001770E6">
        <w:rPr>
          <w:u w:val="single"/>
        </w:rPr>
        <w:t>New Spokane Valley Call Center Recurring Costs</w:t>
      </w:r>
      <w:r w:rsidRPr="00755FFA">
        <w:t xml:space="preserve"> </w:t>
      </w:r>
      <w:r w:rsidR="00403ED8">
        <w:t>[</w:t>
      </w:r>
      <w:r w:rsidRPr="00755FFA">
        <w:t>$51,000</w:t>
      </w:r>
      <w:r w:rsidR="00403ED8">
        <w:t>]</w:t>
      </w:r>
      <w:r w:rsidR="00EB2129">
        <w:t>:</w:t>
      </w:r>
    </w:p>
    <w:p w:rsidR="00755FFA" w:rsidRPr="00755FFA" w:rsidRDefault="00755FFA" w:rsidP="00EB2129">
      <w:pPr>
        <w:ind w:left="1440"/>
        <w:jc w:val="both"/>
      </w:pPr>
      <w:r w:rsidRPr="00755FFA">
        <w:t>This is the cost for the network services required for the Spokane Valley Call Center.  The Spokane Valley Call Center serves the needs of all of Avista’s customers.  The</w:t>
      </w:r>
      <w:r w:rsidR="00EB2129">
        <w:t>se</w:t>
      </w:r>
      <w:r w:rsidRPr="00755FFA">
        <w:t xml:space="preserve"> costs are known and measurable and have been incurred since </w:t>
      </w:r>
      <w:r w:rsidRPr="00755FFA">
        <w:lastRenderedPageBreak/>
        <w:t>Q4 of 2008.</w:t>
      </w:r>
      <w:r w:rsidR="000F62ED">
        <w:t xml:space="preserve"> There are no efficiencies or cost savings attainable for these costs, therefore none have been included.</w:t>
      </w:r>
    </w:p>
    <w:p w:rsidR="00EB2129" w:rsidRDefault="00EB2129" w:rsidP="00755FFA">
      <w:pPr>
        <w:spacing w:line="480" w:lineRule="auto"/>
        <w:jc w:val="both"/>
      </w:pPr>
    </w:p>
    <w:p w:rsidR="00755FFA" w:rsidRPr="00755FFA" w:rsidRDefault="00755FFA" w:rsidP="00EB2129">
      <w:pPr>
        <w:numPr>
          <w:ilvl w:val="0"/>
          <w:numId w:val="5"/>
        </w:numPr>
        <w:spacing w:line="480" w:lineRule="auto"/>
        <w:ind w:hanging="720"/>
        <w:jc w:val="both"/>
      </w:pPr>
      <w:r w:rsidRPr="001770E6">
        <w:rPr>
          <w:u w:val="single"/>
        </w:rPr>
        <w:t>Wireless Wide-Area Network</w:t>
      </w:r>
      <w:r w:rsidRPr="00755FFA">
        <w:t xml:space="preserve"> </w:t>
      </w:r>
      <w:r w:rsidR="00A16829">
        <w:t>[</w:t>
      </w:r>
      <w:r w:rsidRPr="00755FFA">
        <w:t>$174,000</w:t>
      </w:r>
      <w:r w:rsidR="00A16829">
        <w:t>]</w:t>
      </w:r>
      <w:r w:rsidR="00EB2129">
        <w:t>:</w:t>
      </w:r>
    </w:p>
    <w:p w:rsidR="00755FFA" w:rsidRDefault="00755FFA" w:rsidP="00EB2129">
      <w:pPr>
        <w:ind w:left="1440"/>
        <w:jc w:val="both"/>
      </w:pPr>
      <w:r w:rsidRPr="00755FFA">
        <w:t xml:space="preserve">This is the cost associated with Avista’s mobile workforce.  In order to send and receive data in the field, a wireless network is required.  This cost </w:t>
      </w:r>
      <w:r w:rsidR="00403ED8">
        <w:t xml:space="preserve">has been incurred and </w:t>
      </w:r>
      <w:r w:rsidRPr="00755FFA">
        <w:t>is known and measureable.  The value to Avista customers is improved efficiency in responding to outage calls, service locating calls, customer inquiries, crew efficiency, etc.</w:t>
      </w:r>
      <w:r w:rsidR="00EB2129">
        <w:t xml:space="preserve">  Although difficult to quantify, to be conservative </w:t>
      </w:r>
      <w:r w:rsidR="002F0610">
        <w:t xml:space="preserve">(overstate, if anything, the offsets) </w:t>
      </w:r>
      <w:r w:rsidR="00EB2129">
        <w:t>the Company has removed 20% of these additional costs</w:t>
      </w:r>
      <w:r w:rsidR="002F0610">
        <w:t xml:space="preserve"> from its original filing</w:t>
      </w:r>
      <w:r w:rsidR="00EB2129">
        <w:t>.</w:t>
      </w:r>
    </w:p>
    <w:p w:rsidR="00EB2129" w:rsidRDefault="00EB2129" w:rsidP="00EB2129">
      <w:pPr>
        <w:ind w:left="720"/>
        <w:jc w:val="both"/>
      </w:pPr>
    </w:p>
    <w:p w:rsidR="00131BB7" w:rsidRPr="00755FFA" w:rsidRDefault="00131BB7" w:rsidP="00A16829">
      <w:pPr>
        <w:jc w:val="both"/>
      </w:pPr>
    </w:p>
    <w:p w:rsidR="00755FFA" w:rsidRPr="00755FFA" w:rsidRDefault="00755FFA" w:rsidP="00EB2129">
      <w:pPr>
        <w:numPr>
          <w:ilvl w:val="0"/>
          <w:numId w:val="5"/>
        </w:numPr>
        <w:spacing w:line="480" w:lineRule="auto"/>
        <w:ind w:hanging="720"/>
        <w:jc w:val="both"/>
      </w:pPr>
      <w:r w:rsidRPr="001770E6">
        <w:rPr>
          <w:u w:val="single"/>
        </w:rPr>
        <w:t>Security and Compliance</w:t>
      </w:r>
      <w:r w:rsidRPr="00755FFA">
        <w:t xml:space="preserve"> </w:t>
      </w:r>
      <w:r w:rsidR="00A16829">
        <w:t>[</w:t>
      </w:r>
      <w:r w:rsidRPr="00755FFA">
        <w:t>$240,000</w:t>
      </w:r>
      <w:r w:rsidR="00A16829">
        <w:t>]:</w:t>
      </w:r>
    </w:p>
    <w:p w:rsidR="00E35ACD" w:rsidRDefault="00755FFA" w:rsidP="00EB2129">
      <w:pPr>
        <w:pStyle w:val="BodyText"/>
        <w:spacing w:line="240" w:lineRule="auto"/>
        <w:ind w:left="1440"/>
        <w:jc w:val="both"/>
        <w:rPr>
          <w:b w:val="0"/>
        </w:rPr>
      </w:pPr>
      <w:r w:rsidRPr="000F62ED">
        <w:rPr>
          <w:b w:val="0"/>
        </w:rPr>
        <w:t xml:space="preserve">Security and compliance for customer data and Avista’s </w:t>
      </w:r>
      <w:r w:rsidR="00EB2129">
        <w:rPr>
          <w:b w:val="0"/>
        </w:rPr>
        <w:t xml:space="preserve">natural </w:t>
      </w:r>
      <w:r w:rsidRPr="000F62ED">
        <w:rPr>
          <w:b w:val="0"/>
        </w:rPr>
        <w:t>gas and electric infrastructure is mandatory.  Currently</w:t>
      </w:r>
      <w:r w:rsidR="00EB2129">
        <w:rPr>
          <w:b w:val="0"/>
        </w:rPr>
        <w:t>,</w:t>
      </w:r>
      <w:r w:rsidRPr="000F62ED">
        <w:rPr>
          <w:b w:val="0"/>
        </w:rPr>
        <w:t xml:space="preserve"> Avista does not have any fully dedicated staff to manage its data and network security requirements.  This is a position that will start employment with Avista in September 2009 and </w:t>
      </w:r>
      <w:r w:rsidR="00D97D54">
        <w:rPr>
          <w:b w:val="0"/>
        </w:rPr>
        <w:t>will provide</w:t>
      </w:r>
      <w:r w:rsidRPr="000F62ED">
        <w:rPr>
          <w:b w:val="0"/>
        </w:rPr>
        <w:t xml:space="preserve"> service to improve protection of vulnerable areas in Avista’s network.  The service is scheduled to be turned on in late September after the position is hired and available to monitor the additional required security service.</w:t>
      </w:r>
      <w:r w:rsidR="000F62ED" w:rsidRPr="000F62ED">
        <w:rPr>
          <w:b w:val="0"/>
        </w:rPr>
        <w:t xml:space="preserve"> There are no efficiencies or cost savings attainable for these costs, therefore none have been included.</w:t>
      </w:r>
    </w:p>
    <w:p w:rsidR="002461CD" w:rsidRDefault="002461CD" w:rsidP="00EB2129">
      <w:pPr>
        <w:pStyle w:val="BodyText"/>
        <w:spacing w:line="240" w:lineRule="auto"/>
        <w:ind w:left="1440"/>
        <w:jc w:val="both"/>
        <w:rPr>
          <w:b w:val="0"/>
        </w:rPr>
      </w:pPr>
    </w:p>
    <w:p w:rsidR="002461CD" w:rsidRDefault="002461CD" w:rsidP="00CD3D0C">
      <w:pPr>
        <w:numPr>
          <w:ilvl w:val="0"/>
          <w:numId w:val="5"/>
        </w:numPr>
        <w:ind w:hanging="720"/>
        <w:jc w:val="both"/>
      </w:pPr>
      <w:r w:rsidRPr="001770E6">
        <w:rPr>
          <w:u w:val="single"/>
        </w:rPr>
        <w:t>Reduction in Technology and Electronic Payment Service Providers</w:t>
      </w:r>
      <w:r>
        <w:t xml:space="preserve"> </w:t>
      </w:r>
      <w:r w:rsidR="00CD3D0C">
        <w:t>($200,000):</w:t>
      </w:r>
    </w:p>
    <w:p w:rsidR="002461CD" w:rsidRDefault="002461CD" w:rsidP="002461CD">
      <w:pPr>
        <w:ind w:left="1440"/>
        <w:jc w:val="both"/>
      </w:pPr>
    </w:p>
    <w:p w:rsidR="002461CD" w:rsidRDefault="002461CD" w:rsidP="002461CD">
      <w:pPr>
        <w:ind w:left="1440"/>
        <w:jc w:val="both"/>
      </w:pPr>
      <w:r w:rsidRPr="00755FFA">
        <w:t>In 2009, Avista changed the technology and electronic payment service providers</w:t>
      </w:r>
      <w:r w:rsidR="001770E6">
        <w:t>,</w:t>
      </w:r>
      <w:r w:rsidRPr="00755FFA">
        <w:t xml:space="preserve"> reducing the annual expense for this service by approximately $200,000.  </w:t>
      </w:r>
      <w:r>
        <w:t xml:space="preserve">This savings has been </w:t>
      </w:r>
      <w:r w:rsidR="006279A8">
        <w:t>reflected in</w:t>
      </w:r>
      <w:r>
        <w:t xml:space="preserve"> the </w:t>
      </w:r>
      <w:r w:rsidR="006279A8">
        <w:t>Company’s revised IS adjustment reducing the request in its original filing</w:t>
      </w:r>
      <w:r>
        <w:t xml:space="preserve">. </w:t>
      </w:r>
      <w:r w:rsidRPr="00131BB7">
        <w:t xml:space="preserve">This was removed from the IS budget effective 2009 as the work for migrating to the new platform and vendor was done in 2008. </w:t>
      </w:r>
    </w:p>
    <w:p w:rsidR="002461CD" w:rsidRDefault="002461CD" w:rsidP="00CD3D0C">
      <w:pPr>
        <w:pStyle w:val="BodyText"/>
        <w:spacing w:line="240" w:lineRule="auto"/>
        <w:ind w:left="1440"/>
        <w:jc w:val="both"/>
        <w:rPr>
          <w:b w:val="0"/>
        </w:rPr>
      </w:pPr>
    </w:p>
    <w:p w:rsidR="00EB2129" w:rsidRPr="000F62ED" w:rsidRDefault="00EB2129" w:rsidP="00EB2129">
      <w:pPr>
        <w:pStyle w:val="BodyText"/>
        <w:tabs>
          <w:tab w:val="left" w:pos="720"/>
        </w:tabs>
        <w:spacing w:line="240" w:lineRule="auto"/>
        <w:ind w:firstLine="720"/>
        <w:jc w:val="both"/>
        <w:rPr>
          <w:b w:val="0"/>
          <w:bCs w:val="0"/>
        </w:rPr>
      </w:pPr>
    </w:p>
    <w:p w:rsidR="00EB2129" w:rsidRDefault="00EB2129" w:rsidP="00451222">
      <w:pPr>
        <w:pStyle w:val="Heading2"/>
        <w:tabs>
          <w:tab w:val="clear" w:pos="576"/>
          <w:tab w:val="clear" w:pos="1260"/>
        </w:tabs>
      </w:pPr>
      <w:r w:rsidRPr="00EB2129">
        <w:t>Q.</w:t>
      </w:r>
      <w:r w:rsidRPr="00EB2129">
        <w:tab/>
        <w:t>As noted by staff, one project included in the Com</w:t>
      </w:r>
      <w:r w:rsidR="00FC15CA">
        <w:t>pany</w:t>
      </w:r>
      <w:r w:rsidRPr="00EB2129">
        <w:t>’s direct filing has been delayed until 2010, can you please explain this?</w:t>
      </w:r>
    </w:p>
    <w:p w:rsidR="00451222" w:rsidRDefault="00451222" w:rsidP="00451222"/>
    <w:p w:rsidR="006378A6" w:rsidRDefault="00451222" w:rsidP="00131BB7">
      <w:pPr>
        <w:spacing w:line="480" w:lineRule="auto"/>
        <w:jc w:val="both"/>
      </w:pPr>
      <w:r>
        <w:lastRenderedPageBreak/>
        <w:tab/>
        <w:t>A.</w:t>
      </w:r>
      <w:r>
        <w:tab/>
        <w:t>Yes,</w:t>
      </w:r>
      <w:r w:rsidR="006F3480">
        <w:t xml:space="preserve"> the delayed project is the Work Management </w:t>
      </w:r>
      <w:r w:rsidR="00A16829">
        <w:t>System,</w:t>
      </w:r>
      <w:r w:rsidR="006F3480">
        <w:t xml:space="preserve"> </w:t>
      </w:r>
      <w:r w:rsidR="00A16829">
        <w:t>which</w:t>
      </w:r>
      <w:r w:rsidR="006F3480">
        <w:t xml:space="preserve"> is used to schedule, track and account for customer projects and work activity.  The </w:t>
      </w:r>
      <w:r w:rsidR="004F581D">
        <w:t xml:space="preserve">custom application </w:t>
      </w:r>
      <w:r w:rsidR="006F3480">
        <w:t>system was designed in the early 1990’s and was moved into productio</w:t>
      </w:r>
      <w:r w:rsidR="00DA1E1D">
        <w:t>n around</w:t>
      </w:r>
      <w:r w:rsidR="006378A6">
        <w:t xml:space="preserve"> 1996.  </w:t>
      </w:r>
    </w:p>
    <w:p w:rsidR="006378A6" w:rsidRDefault="004F581D" w:rsidP="00B77717">
      <w:pPr>
        <w:spacing w:line="480" w:lineRule="auto"/>
        <w:ind w:firstLine="720"/>
        <w:jc w:val="both"/>
      </w:pPr>
      <w:r>
        <w:t xml:space="preserve">When replacing </w:t>
      </w:r>
      <w:r w:rsidR="006F3480">
        <w:t xml:space="preserve">applications, Avista determines the business need </w:t>
      </w:r>
      <w:r>
        <w:t>to continue operating the application</w:t>
      </w:r>
      <w:r w:rsidR="006F3480">
        <w:t xml:space="preserve">, the value to its customers, </w:t>
      </w:r>
      <w:r w:rsidR="00FD0E01">
        <w:t>potential cost savings</w:t>
      </w:r>
      <w:r w:rsidR="00DA1E1D">
        <w:t>,</w:t>
      </w:r>
      <w:r w:rsidR="006F3480">
        <w:t xml:space="preserve"> </w:t>
      </w:r>
      <w:r w:rsidR="00DA1E1D">
        <w:t xml:space="preserve">improvement in </w:t>
      </w:r>
      <w:r w:rsidR="006F3480">
        <w:t>business process or processes it currently supports and those it will need to support into the future</w:t>
      </w:r>
      <w:r w:rsidR="001770E6">
        <w:t>,</w:t>
      </w:r>
      <w:r w:rsidR="006F3480">
        <w:t xml:space="preserve"> and </w:t>
      </w:r>
      <w:r w:rsidR="001770E6">
        <w:t>technology life-</w:t>
      </w:r>
      <w:r>
        <w:t>cycle obsolescence</w:t>
      </w:r>
      <w:r w:rsidR="005E3FAB">
        <w:t xml:space="preserve"> of the system</w:t>
      </w:r>
      <w:r w:rsidR="006F3480">
        <w:t xml:space="preserve">.    </w:t>
      </w:r>
    </w:p>
    <w:p w:rsidR="006378A6" w:rsidRDefault="006378A6" w:rsidP="00A16829">
      <w:pPr>
        <w:spacing w:line="480" w:lineRule="auto"/>
        <w:ind w:firstLine="720"/>
        <w:jc w:val="both"/>
      </w:pPr>
      <w:r>
        <w:t xml:space="preserve">Avista has </w:t>
      </w:r>
      <w:r w:rsidR="006F3480">
        <w:t>determined that there is a need to c</w:t>
      </w:r>
      <w:r w:rsidR="004F581D">
        <w:t xml:space="preserve">ontinue with </w:t>
      </w:r>
      <w:r>
        <w:t>a work management application system</w:t>
      </w:r>
      <w:r w:rsidR="005E3FAB">
        <w:t xml:space="preserve"> either through replacement of the technology or a major upgrade of the technology.</w:t>
      </w:r>
    </w:p>
    <w:p w:rsidR="00C53B29" w:rsidRDefault="004F581D" w:rsidP="00B77717">
      <w:pPr>
        <w:spacing w:line="480" w:lineRule="auto"/>
        <w:ind w:firstLine="720"/>
        <w:jc w:val="both"/>
      </w:pPr>
      <w:r>
        <w:t>The delay</w:t>
      </w:r>
      <w:r w:rsidR="00DA1E1D">
        <w:t xml:space="preserve"> from 2009 to 2010 is in identifying</w:t>
      </w:r>
      <w:r>
        <w:t xml:space="preserve"> business process design</w:t>
      </w:r>
      <w:r w:rsidR="00FD0E01">
        <w:t xml:space="preserve"> </w:t>
      </w:r>
      <w:r w:rsidR="00DA1E1D">
        <w:t xml:space="preserve">changes </w:t>
      </w:r>
      <w:r w:rsidR="00A16829">
        <w:t>and potenti</w:t>
      </w:r>
      <w:r w:rsidR="00FD0E01">
        <w:t>al cost savings</w:t>
      </w:r>
      <w:r>
        <w:t>.  Avista wants to ensure that a major system upgrade and/or replacement will deliver a high degree of customer value</w:t>
      </w:r>
      <w:r w:rsidR="008B19A1">
        <w:t>, streamline work processes</w:t>
      </w:r>
      <w:r w:rsidR="00C53B29">
        <w:t xml:space="preserve"> and realize potential cost savings where possible.</w:t>
      </w:r>
      <w:r w:rsidR="008B19A1">
        <w:t xml:space="preserve">  The work in these</w:t>
      </w:r>
      <w:r w:rsidR="00C53B29">
        <w:t xml:space="preserve"> area</w:t>
      </w:r>
      <w:r w:rsidR="008B19A1">
        <w:t>s</w:t>
      </w:r>
      <w:r w:rsidR="00C53B29">
        <w:t xml:space="preserve"> has taken longer than anticipated. </w:t>
      </w:r>
    </w:p>
    <w:p w:rsidR="00EB2129" w:rsidRDefault="004F581D" w:rsidP="00A16829">
      <w:pPr>
        <w:spacing w:line="480" w:lineRule="auto"/>
        <w:ind w:firstLine="576"/>
        <w:jc w:val="both"/>
      </w:pPr>
      <w:r>
        <w:t>Therefore, Avista is delaying the project until the final business process design is complete</w:t>
      </w:r>
      <w:r w:rsidR="001770E6">
        <w:t>,</w:t>
      </w:r>
      <w:r>
        <w:t xml:space="preserve"> which will be in 2010.  A</w:t>
      </w:r>
      <w:r w:rsidR="00962649">
        <w:t xml:space="preserve">t that time, when the project moves ahead, it will most likely be a capital project in 2010 with the associated increase in expenses starting in 2011. </w:t>
      </w:r>
      <w:r w:rsidR="00B77717">
        <w:t>The Company will seek cost recovery for this capital project and its o</w:t>
      </w:r>
      <w:r w:rsidR="001770E6">
        <w:t>n-going expenses in a future rate filing</w:t>
      </w:r>
      <w:r w:rsidR="00B77717">
        <w:t>.</w:t>
      </w:r>
    </w:p>
    <w:p w:rsidR="009A2E49" w:rsidRPr="003C68C5" w:rsidRDefault="009A2E49" w:rsidP="00A16829">
      <w:pPr>
        <w:spacing w:line="480" w:lineRule="auto"/>
        <w:ind w:firstLine="576"/>
        <w:jc w:val="both"/>
        <w:rPr>
          <w:b/>
        </w:rPr>
      </w:pPr>
      <w:r w:rsidRPr="003C68C5">
        <w:rPr>
          <w:b/>
        </w:rPr>
        <w:t>Q.</w:t>
      </w:r>
      <w:r w:rsidRPr="003C68C5">
        <w:rPr>
          <w:b/>
        </w:rPr>
        <w:tab/>
        <w:t xml:space="preserve">Has Avista reflected </w:t>
      </w:r>
      <w:r w:rsidR="001770E6">
        <w:rPr>
          <w:b/>
        </w:rPr>
        <w:t>the</w:t>
      </w:r>
      <w:r w:rsidRPr="003C68C5">
        <w:rPr>
          <w:b/>
        </w:rPr>
        <w:t xml:space="preserve"> “offsets” </w:t>
      </w:r>
      <w:r w:rsidR="001770E6">
        <w:rPr>
          <w:b/>
        </w:rPr>
        <w:t>and other adjustments</w:t>
      </w:r>
      <w:r w:rsidRPr="003C68C5">
        <w:rPr>
          <w:b/>
        </w:rPr>
        <w:t xml:space="preserve"> noted above in its revenue requirement?</w:t>
      </w:r>
    </w:p>
    <w:p w:rsidR="009A2E49" w:rsidRDefault="009A2E49" w:rsidP="00A16829">
      <w:pPr>
        <w:spacing w:line="480" w:lineRule="auto"/>
        <w:ind w:firstLine="576"/>
        <w:jc w:val="both"/>
      </w:pPr>
      <w:r>
        <w:t>A.</w:t>
      </w:r>
      <w:r>
        <w:tab/>
        <w:t xml:space="preserve">Yes it has.  As discussed by Company Witness Ms. Andrews, the Company has revised its original revenue requirement to reflect </w:t>
      </w:r>
      <w:r w:rsidR="001770E6">
        <w:t>the</w:t>
      </w:r>
      <w:r>
        <w:t xml:space="preserve"> $200,000 </w:t>
      </w:r>
      <w:r w:rsidR="001770E6">
        <w:t xml:space="preserve">Reduction in Technology and </w:t>
      </w:r>
      <w:r w:rsidR="001770E6">
        <w:lastRenderedPageBreak/>
        <w:t>Electronic Payment Service Providers expense</w:t>
      </w:r>
      <w:r>
        <w:t xml:space="preserve">, the removal of the Work Management </w:t>
      </w:r>
      <w:r w:rsidR="001770E6">
        <w:t>System</w:t>
      </w:r>
      <w:r>
        <w:t xml:space="preserve"> and </w:t>
      </w:r>
      <w:r w:rsidR="001770E6">
        <w:t>the other offsets described above</w:t>
      </w:r>
      <w:r>
        <w:t xml:space="preserve">. The Company was unable to </w:t>
      </w:r>
      <w:r w:rsidR="001770E6">
        <w:t xml:space="preserve">specifically </w:t>
      </w:r>
      <w:r>
        <w:t>quantify, but to be conservative</w:t>
      </w:r>
      <w:r w:rsidR="002F0610">
        <w:t xml:space="preserve"> (overstate, if anything, the offsets)</w:t>
      </w:r>
      <w:r>
        <w:t xml:space="preserve"> included a 20% reduction of the cost for the new Mobile Dispatch Application and the Wireless Wide-Area Network cost.  The combination of these offsets and the removal of the one </w:t>
      </w:r>
      <w:r w:rsidR="006279A8">
        <w:t>project</w:t>
      </w:r>
      <w:r>
        <w:t xml:space="preserve"> reduced the Company’s original revenue requirement request by $717,000 for Washington electric and $182,000 for Washington natural gas.</w:t>
      </w:r>
    </w:p>
    <w:p w:rsidR="00342364" w:rsidRDefault="00B77717" w:rsidP="00CC51FC">
      <w:pPr>
        <w:pStyle w:val="Heading2"/>
        <w:tabs>
          <w:tab w:val="clear" w:pos="576"/>
          <w:tab w:val="clear" w:pos="1260"/>
        </w:tabs>
        <w:ind w:left="576" w:hanging="576"/>
      </w:pPr>
      <w:r>
        <w:tab/>
      </w:r>
      <w:r w:rsidR="00342364">
        <w:t>Q.</w:t>
      </w:r>
      <w:r w:rsidR="00342364">
        <w:tab/>
        <w:t>Does this conclude your rebuttal testimony?</w:t>
      </w:r>
    </w:p>
    <w:p w:rsidR="00342364" w:rsidRDefault="00342364" w:rsidP="00CC51FC">
      <w:pPr>
        <w:spacing w:line="480" w:lineRule="auto"/>
        <w:ind w:firstLine="576"/>
        <w:jc w:val="both"/>
      </w:pPr>
      <w:r>
        <w:t>A.</w:t>
      </w:r>
      <w:r>
        <w:tab/>
        <w:t>Yes.</w:t>
      </w:r>
    </w:p>
    <w:sectPr w:rsidR="00342364" w:rsidSect="0043541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7B" w:rsidRDefault="00C3217B">
      <w:r>
        <w:separator/>
      </w:r>
    </w:p>
  </w:endnote>
  <w:endnote w:type="continuationSeparator" w:id="0">
    <w:p w:rsidR="00C3217B" w:rsidRDefault="00C32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pPr>
      <w:pStyle w:val="Footer"/>
      <w:tabs>
        <w:tab w:val="clear" w:pos="4320"/>
        <w:tab w:val="clear" w:pos="8640"/>
        <w:tab w:val="left" w:pos="180"/>
        <w:tab w:val="right" w:pos="9360"/>
      </w:tabs>
    </w:pPr>
    <w:r>
      <w:t>Rebuttal Testimony of James M. Kensok</w:t>
    </w:r>
    <w:r>
      <w:tab/>
    </w:r>
  </w:p>
  <w:p w:rsidR="00C3217B" w:rsidRPr="00F12557" w:rsidRDefault="00C3217B">
    <w:pPr>
      <w:pStyle w:val="Footer"/>
      <w:tabs>
        <w:tab w:val="clear" w:pos="4320"/>
        <w:tab w:val="clear" w:pos="8640"/>
        <w:tab w:val="left" w:pos="180"/>
        <w:tab w:val="right" w:pos="9360"/>
      </w:tabs>
      <w:rPr>
        <w:lang w:val="fr-FR"/>
      </w:rPr>
    </w:pPr>
    <w:r w:rsidRPr="00F12557">
      <w:rPr>
        <w:lang w:val="fr-FR"/>
      </w:rPr>
      <w:t>Avista Corporation</w:t>
    </w:r>
  </w:p>
  <w:p w:rsidR="00C3217B" w:rsidRPr="00F12557" w:rsidRDefault="00C3217B">
    <w:pPr>
      <w:pStyle w:val="Footer"/>
      <w:tabs>
        <w:tab w:val="clear" w:pos="4320"/>
        <w:tab w:val="clear" w:pos="8640"/>
        <w:tab w:val="left" w:pos="180"/>
        <w:tab w:val="right" w:pos="9360"/>
      </w:tabs>
      <w:rPr>
        <w:lang w:val="fr-FR"/>
      </w:rPr>
    </w:pPr>
    <w:r w:rsidRPr="00F12557">
      <w:rPr>
        <w:lang w:val="fr-FR"/>
      </w:rPr>
      <w:t>UE-090134, UG-090135 &amp; UG-060518</w:t>
    </w:r>
    <w:r>
      <w:rPr>
        <w:lang w:val="fr-FR"/>
      </w:rPr>
      <w:t xml:space="preserve"> (consolidated)</w:t>
    </w:r>
    <w:r w:rsidRPr="00F12557">
      <w:rPr>
        <w:lang w:val="fr-FR"/>
      </w:rPr>
      <w:tab/>
      <w:t xml:space="preserve">Page </w:t>
    </w:r>
    <w:r w:rsidR="00DF0C2B">
      <w:rPr>
        <w:rStyle w:val="PageNumber"/>
      </w:rPr>
      <w:fldChar w:fldCharType="begin"/>
    </w:r>
    <w:r w:rsidRPr="00F12557">
      <w:rPr>
        <w:rStyle w:val="PageNumber"/>
        <w:lang w:val="fr-FR"/>
      </w:rPr>
      <w:instrText xml:space="preserve"> PAGE </w:instrText>
    </w:r>
    <w:r w:rsidR="00DF0C2B">
      <w:rPr>
        <w:rStyle w:val="PageNumber"/>
      </w:rPr>
      <w:fldChar w:fldCharType="separate"/>
    </w:r>
    <w:r w:rsidR="007D4CAC">
      <w:rPr>
        <w:rStyle w:val="PageNumber"/>
        <w:noProof/>
        <w:lang w:val="fr-FR"/>
      </w:rPr>
      <w:t>5</w:t>
    </w:r>
    <w:r w:rsidR="00DF0C2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pPr>
      <w:pStyle w:val="Footer"/>
      <w:tabs>
        <w:tab w:val="clear" w:pos="4320"/>
        <w:tab w:val="clear" w:pos="8640"/>
        <w:tab w:val="left" w:pos="180"/>
        <w:tab w:val="right" w:pos="9360"/>
      </w:tabs>
    </w:pPr>
    <w:r>
      <w:t>Rebuttal Testimony of James M. Kensok</w:t>
    </w:r>
    <w:r>
      <w:tab/>
    </w:r>
  </w:p>
  <w:p w:rsidR="00C3217B" w:rsidRPr="00F12557" w:rsidRDefault="00C3217B">
    <w:pPr>
      <w:pStyle w:val="Footer"/>
      <w:tabs>
        <w:tab w:val="clear" w:pos="4320"/>
        <w:tab w:val="clear" w:pos="8640"/>
        <w:tab w:val="left" w:pos="180"/>
        <w:tab w:val="right" w:pos="9360"/>
      </w:tabs>
      <w:rPr>
        <w:lang w:val="fr-FR"/>
      </w:rPr>
    </w:pPr>
    <w:r w:rsidRPr="00F12557">
      <w:rPr>
        <w:lang w:val="fr-FR"/>
      </w:rPr>
      <w:t>Avista Corporation</w:t>
    </w:r>
    <w:r w:rsidRPr="00F12557">
      <w:rPr>
        <w:lang w:val="fr-FR"/>
      </w:rPr>
      <w:tab/>
      <w:t xml:space="preserve">Page </w:t>
    </w:r>
    <w:r w:rsidR="00DF0C2B">
      <w:rPr>
        <w:rStyle w:val="PageNumber"/>
      </w:rPr>
      <w:fldChar w:fldCharType="begin"/>
    </w:r>
    <w:r w:rsidRPr="00F12557">
      <w:rPr>
        <w:rStyle w:val="PageNumber"/>
        <w:lang w:val="fr-FR"/>
      </w:rPr>
      <w:instrText xml:space="preserve"> PAGE </w:instrText>
    </w:r>
    <w:r w:rsidR="00DF0C2B">
      <w:rPr>
        <w:rStyle w:val="PageNumber"/>
      </w:rPr>
      <w:fldChar w:fldCharType="separate"/>
    </w:r>
    <w:r w:rsidR="007D4CAC">
      <w:rPr>
        <w:rStyle w:val="PageNumber"/>
        <w:noProof/>
        <w:lang w:val="fr-FR"/>
      </w:rPr>
      <w:t>1</w:t>
    </w:r>
    <w:r w:rsidR="00DF0C2B">
      <w:rPr>
        <w:rStyle w:val="PageNumber"/>
      </w:rPr>
      <w:fldChar w:fldCharType="end"/>
    </w:r>
  </w:p>
  <w:p w:rsidR="00C3217B" w:rsidRPr="00131BB7" w:rsidRDefault="00C3217B">
    <w:pPr>
      <w:pStyle w:val="Footer"/>
    </w:pPr>
    <w:r w:rsidRPr="00131BB7">
      <w:t>Docket No’s. UE-090134, UG-090135 &amp; UG-060518 (consolidated)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7B" w:rsidRDefault="00C3217B">
      <w:r>
        <w:separator/>
      </w:r>
    </w:p>
  </w:footnote>
  <w:footnote w:type="continuationSeparator" w:id="0">
    <w:p w:rsidR="00C3217B" w:rsidRDefault="00C32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pPr>
      <w:pStyle w:val="Header"/>
      <w:jc w:val="right"/>
    </w:pPr>
    <w:r>
      <w:t>Exhibit No. __(JMK-1T)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pPr>
      <w:pStyle w:val="Header"/>
      <w:jc w:val="right"/>
    </w:pPr>
    <w:r>
      <w:t>Exhibit No. ___(JMK-1T)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7B" w:rsidRDefault="00C3217B">
    <w:pPr>
      <w:pStyle w:val="Header"/>
      <w:tabs>
        <w:tab w:val="clear" w:pos="8640"/>
        <w:tab w:val="right" w:pos="9270"/>
      </w:tabs>
    </w:pPr>
    <w:r>
      <w:tab/>
    </w:r>
    <w:r>
      <w:tab/>
      <w:t xml:space="preserve">  Exhibit No. ___(JMK-1T)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01931"/>
    <w:multiLevelType w:val="hybridMultilevel"/>
    <w:tmpl w:val="D5A4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20"/>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rsids>
    <w:rsidRoot w:val="00E51C9B"/>
    <w:rsid w:val="0009034F"/>
    <w:rsid w:val="000F62ED"/>
    <w:rsid w:val="00131BB7"/>
    <w:rsid w:val="0013657E"/>
    <w:rsid w:val="00173553"/>
    <w:rsid w:val="001770E6"/>
    <w:rsid w:val="0019366F"/>
    <w:rsid w:val="001A4928"/>
    <w:rsid w:val="001D409D"/>
    <w:rsid w:val="002461CD"/>
    <w:rsid w:val="002466CE"/>
    <w:rsid w:val="0025714B"/>
    <w:rsid w:val="002B3912"/>
    <w:rsid w:val="002C675D"/>
    <w:rsid w:val="002D4085"/>
    <w:rsid w:val="002F0610"/>
    <w:rsid w:val="00333C01"/>
    <w:rsid w:val="00342364"/>
    <w:rsid w:val="00387F99"/>
    <w:rsid w:val="003C68C5"/>
    <w:rsid w:val="003F4CD5"/>
    <w:rsid w:val="00403ED8"/>
    <w:rsid w:val="004152AC"/>
    <w:rsid w:val="0042694F"/>
    <w:rsid w:val="00435414"/>
    <w:rsid w:val="004466F8"/>
    <w:rsid w:val="00451222"/>
    <w:rsid w:val="0045428C"/>
    <w:rsid w:val="00467038"/>
    <w:rsid w:val="004A1FF8"/>
    <w:rsid w:val="004A28F6"/>
    <w:rsid w:val="004F581D"/>
    <w:rsid w:val="00522397"/>
    <w:rsid w:val="00552240"/>
    <w:rsid w:val="0059453C"/>
    <w:rsid w:val="005A3881"/>
    <w:rsid w:val="005E26FF"/>
    <w:rsid w:val="005E3FAB"/>
    <w:rsid w:val="005F52FA"/>
    <w:rsid w:val="00602644"/>
    <w:rsid w:val="00607724"/>
    <w:rsid w:val="006279A8"/>
    <w:rsid w:val="006378A6"/>
    <w:rsid w:val="0068131C"/>
    <w:rsid w:val="006E554E"/>
    <w:rsid w:val="006F3480"/>
    <w:rsid w:val="007012A2"/>
    <w:rsid w:val="00733F81"/>
    <w:rsid w:val="00755FFA"/>
    <w:rsid w:val="00760673"/>
    <w:rsid w:val="00792716"/>
    <w:rsid w:val="007D0AD1"/>
    <w:rsid w:val="007D4CAC"/>
    <w:rsid w:val="00863138"/>
    <w:rsid w:val="00863B90"/>
    <w:rsid w:val="00877621"/>
    <w:rsid w:val="008B19A1"/>
    <w:rsid w:val="008C23AD"/>
    <w:rsid w:val="008C4CF5"/>
    <w:rsid w:val="008D7554"/>
    <w:rsid w:val="008F078B"/>
    <w:rsid w:val="008F219A"/>
    <w:rsid w:val="00907272"/>
    <w:rsid w:val="00936C01"/>
    <w:rsid w:val="00962649"/>
    <w:rsid w:val="0098081B"/>
    <w:rsid w:val="009A2E49"/>
    <w:rsid w:val="009B495A"/>
    <w:rsid w:val="009B49E0"/>
    <w:rsid w:val="009C1D9A"/>
    <w:rsid w:val="009F34C1"/>
    <w:rsid w:val="00A00D7F"/>
    <w:rsid w:val="00A16829"/>
    <w:rsid w:val="00A9381B"/>
    <w:rsid w:val="00AB75F4"/>
    <w:rsid w:val="00B24C17"/>
    <w:rsid w:val="00B2609B"/>
    <w:rsid w:val="00B26166"/>
    <w:rsid w:val="00B45BB4"/>
    <w:rsid w:val="00B54FD9"/>
    <w:rsid w:val="00B77717"/>
    <w:rsid w:val="00BD000D"/>
    <w:rsid w:val="00C30FB5"/>
    <w:rsid w:val="00C3217B"/>
    <w:rsid w:val="00C53B29"/>
    <w:rsid w:val="00C74020"/>
    <w:rsid w:val="00CC51FC"/>
    <w:rsid w:val="00CD3D0C"/>
    <w:rsid w:val="00D12893"/>
    <w:rsid w:val="00D72C46"/>
    <w:rsid w:val="00D73F71"/>
    <w:rsid w:val="00D97D54"/>
    <w:rsid w:val="00DA1E1D"/>
    <w:rsid w:val="00DB20F7"/>
    <w:rsid w:val="00DD1438"/>
    <w:rsid w:val="00DF0C2B"/>
    <w:rsid w:val="00E35ACD"/>
    <w:rsid w:val="00E51C9B"/>
    <w:rsid w:val="00EB028F"/>
    <w:rsid w:val="00EB2129"/>
    <w:rsid w:val="00F12557"/>
    <w:rsid w:val="00F14489"/>
    <w:rsid w:val="00F55242"/>
    <w:rsid w:val="00F60038"/>
    <w:rsid w:val="00FC15CA"/>
    <w:rsid w:val="00FD0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semiHidden/>
    <w:rsid w:val="00435414"/>
    <w:rPr>
      <w:rFonts w:ascii="Times New Roman" w:hAnsi="Times New Roman" w:cs="Times New Roman"/>
      <w:sz w:val="24"/>
      <w:szCs w:val="24"/>
    </w:rPr>
  </w:style>
  <w:style w:type="character" w:styleId="LineNumber">
    <w:name w:val="line number"/>
    <w:basedOn w:val="DefaultParagraphFont"/>
    <w:semiHidden/>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semiHidden/>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semiHidden/>
    <w:rsid w:val="00435414"/>
    <w:pPr>
      <w:tabs>
        <w:tab w:val="center" w:pos="4320"/>
        <w:tab w:val="right" w:pos="8640"/>
      </w:tabs>
    </w:pPr>
  </w:style>
  <w:style w:type="paragraph" w:styleId="Footer">
    <w:name w:val="footer"/>
    <w:basedOn w:val="Normal"/>
    <w:semiHidden/>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basedOn w:val="Normal"/>
    <w:semiHidden/>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B740EF-DEFF-4A5F-92F3-B2C5D931CC37}"/>
</file>

<file path=customXml/itemProps2.xml><?xml version="1.0" encoding="utf-8"?>
<ds:datastoreItem xmlns:ds="http://schemas.openxmlformats.org/officeDocument/2006/customXml" ds:itemID="{26161DBF-B0F8-49A9-A2E1-72965572F69D}"/>
</file>

<file path=customXml/itemProps3.xml><?xml version="1.0" encoding="utf-8"?>
<ds:datastoreItem xmlns:ds="http://schemas.openxmlformats.org/officeDocument/2006/customXml" ds:itemID="{713144BD-2178-46DE-87F6-BB6A4A412CF5}"/>
</file>

<file path=customXml/itemProps4.xml><?xml version="1.0" encoding="utf-8"?>
<ds:datastoreItem xmlns:ds="http://schemas.openxmlformats.org/officeDocument/2006/customXml" ds:itemID="{92120F80-3E90-4662-8BF4-8B93E4BE221F}"/>
</file>

<file path=docProps/app.xml><?xml version="1.0" encoding="utf-8"?>
<Properties xmlns="http://schemas.openxmlformats.org/officeDocument/2006/extended-properties" xmlns:vt="http://schemas.openxmlformats.org/officeDocument/2006/docPropsVTypes">
  <Template>Normal.dotm</Template>
  <TotalTime>5</TotalTime>
  <Pages>11</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Corp</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Patrick Ehrbar</cp:lastModifiedBy>
  <cp:revision>3</cp:revision>
  <cp:lastPrinted>2009-09-11T02:06:00Z</cp:lastPrinted>
  <dcterms:created xsi:type="dcterms:W3CDTF">2009-09-11T02:16:00Z</dcterms:created>
  <dcterms:modified xsi:type="dcterms:W3CDTF">2009-09-11T15:34:00Z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