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98" w:rsidRPr="00BD4B85" w:rsidRDefault="00D77F98" w:rsidP="0011472A">
      <w:pPr>
        <w:pStyle w:val="BodyText"/>
        <w:tabs>
          <w:tab w:val="left" w:pos="720"/>
          <w:tab w:val="left" w:pos="1440"/>
        </w:tabs>
        <w:spacing w:line="240" w:lineRule="auto"/>
        <w:jc w:val="left"/>
        <w:rPr>
          <w:b w:val="0"/>
          <w:bCs w:val="0"/>
        </w:rPr>
      </w:pPr>
    </w:p>
    <w:p w:rsidR="00D77F98" w:rsidRDefault="00D77F98" w:rsidP="00E310AF">
      <w:pPr>
        <w:pStyle w:val="BodyText"/>
        <w:tabs>
          <w:tab w:val="left" w:pos="720"/>
          <w:tab w:val="left" w:pos="1440"/>
        </w:tabs>
        <w:spacing w:line="240" w:lineRule="auto"/>
        <w:ind w:left="-720"/>
        <w:jc w:val="left"/>
        <w:rPr>
          <w:b w:val="0"/>
          <w:bCs w:val="0"/>
        </w:rPr>
      </w:pPr>
    </w:p>
    <w:p w:rsidR="002B60EC" w:rsidRDefault="002B60EC" w:rsidP="00E310AF">
      <w:pPr>
        <w:pStyle w:val="BodyText"/>
        <w:tabs>
          <w:tab w:val="left" w:pos="720"/>
          <w:tab w:val="left" w:pos="1440"/>
        </w:tabs>
        <w:spacing w:line="240" w:lineRule="auto"/>
        <w:ind w:left="-720"/>
        <w:jc w:val="left"/>
        <w:rPr>
          <w:b w:val="0"/>
          <w:bCs w:val="0"/>
        </w:rPr>
      </w:pPr>
    </w:p>
    <w:p w:rsidR="002B60EC" w:rsidRDefault="002B60EC" w:rsidP="00E310AF">
      <w:pPr>
        <w:pStyle w:val="BodyText"/>
        <w:tabs>
          <w:tab w:val="left" w:pos="720"/>
          <w:tab w:val="left" w:pos="1440"/>
        </w:tabs>
        <w:spacing w:line="240" w:lineRule="auto"/>
        <w:ind w:left="-720"/>
        <w:jc w:val="left"/>
        <w:rPr>
          <w:b w:val="0"/>
          <w:bCs w:val="0"/>
        </w:rPr>
      </w:pPr>
    </w:p>
    <w:p w:rsidR="002B60EC" w:rsidRDefault="002B60EC" w:rsidP="00E310AF">
      <w:pPr>
        <w:pStyle w:val="BodyText"/>
        <w:tabs>
          <w:tab w:val="left" w:pos="720"/>
          <w:tab w:val="left" w:pos="1440"/>
        </w:tabs>
        <w:spacing w:line="240" w:lineRule="auto"/>
        <w:ind w:left="-720"/>
        <w:jc w:val="left"/>
        <w:rPr>
          <w:b w:val="0"/>
          <w:bCs w:val="0"/>
        </w:rPr>
      </w:pPr>
    </w:p>
    <w:p w:rsidR="002B60EC" w:rsidRPr="00BD4B85" w:rsidRDefault="002B60EC" w:rsidP="00E310AF">
      <w:pPr>
        <w:pStyle w:val="BodyText"/>
        <w:tabs>
          <w:tab w:val="left" w:pos="720"/>
          <w:tab w:val="left" w:pos="1440"/>
        </w:tabs>
        <w:spacing w:line="240" w:lineRule="auto"/>
        <w:ind w:left="-720"/>
        <w:jc w:val="left"/>
        <w:rPr>
          <w:b w:val="0"/>
          <w:bCs w:val="0"/>
        </w:rPr>
      </w:pPr>
    </w:p>
    <w:p w:rsidR="00D77F98" w:rsidRPr="00BD4B85" w:rsidRDefault="00D77F98" w:rsidP="00E310AF">
      <w:pPr>
        <w:pStyle w:val="BodyText"/>
        <w:tabs>
          <w:tab w:val="left" w:pos="720"/>
          <w:tab w:val="left" w:pos="1440"/>
          <w:tab w:val="left" w:pos="1710"/>
        </w:tabs>
        <w:spacing w:line="240" w:lineRule="auto"/>
        <w:jc w:val="left"/>
        <w:rPr>
          <w:b w:val="0"/>
          <w:bCs w:val="0"/>
        </w:rPr>
      </w:pPr>
    </w:p>
    <w:p w:rsidR="00D77F98" w:rsidRPr="00BD4B85" w:rsidRDefault="00D77F98" w:rsidP="00E310AF">
      <w:pPr>
        <w:tabs>
          <w:tab w:val="left" w:pos="720"/>
          <w:tab w:val="left" w:pos="1440"/>
        </w:tabs>
      </w:pPr>
    </w:p>
    <w:p w:rsidR="00D77F98" w:rsidRDefault="00D77F98" w:rsidP="00E310AF">
      <w:pPr>
        <w:tabs>
          <w:tab w:val="left" w:pos="720"/>
          <w:tab w:val="left" w:pos="1440"/>
        </w:tabs>
      </w:pPr>
    </w:p>
    <w:p w:rsidR="002B60EC" w:rsidRDefault="002B60EC" w:rsidP="00E310AF">
      <w:pPr>
        <w:tabs>
          <w:tab w:val="left" w:pos="720"/>
          <w:tab w:val="left" w:pos="1440"/>
        </w:tabs>
      </w:pPr>
    </w:p>
    <w:p w:rsidR="002B60EC" w:rsidRPr="00BD4B85" w:rsidRDefault="002B60EC" w:rsidP="00E310AF">
      <w:pPr>
        <w:tabs>
          <w:tab w:val="left" w:pos="720"/>
          <w:tab w:val="left" w:pos="1440"/>
        </w:tabs>
      </w:pPr>
    </w:p>
    <w:p w:rsidR="00D77F98" w:rsidRPr="00BD4B85" w:rsidRDefault="00D77F98" w:rsidP="00E310AF">
      <w:pPr>
        <w:tabs>
          <w:tab w:val="left" w:pos="720"/>
          <w:tab w:val="left" w:pos="1440"/>
        </w:tabs>
      </w:pPr>
    </w:p>
    <w:p w:rsidR="00D77F98" w:rsidRPr="00BD4B85" w:rsidRDefault="00D77F98" w:rsidP="00E310AF">
      <w:pPr>
        <w:pStyle w:val="Header"/>
        <w:tabs>
          <w:tab w:val="clear" w:pos="4320"/>
          <w:tab w:val="clear" w:pos="8640"/>
          <w:tab w:val="left" w:pos="720"/>
          <w:tab w:val="left" w:pos="1440"/>
        </w:tabs>
      </w:pPr>
    </w:p>
    <w:p w:rsidR="00D77F98" w:rsidRPr="00BD4B85" w:rsidRDefault="00D77F98" w:rsidP="00E310AF">
      <w:pPr>
        <w:pStyle w:val="Heading1"/>
        <w:tabs>
          <w:tab w:val="clear" w:pos="720"/>
          <w:tab w:val="clear" w:pos="5040"/>
          <w:tab w:val="clear" w:pos="6480"/>
          <w:tab w:val="clear" w:pos="7920"/>
        </w:tabs>
        <w:jc w:val="center"/>
        <w:rPr>
          <w:b w:val="0"/>
          <w:bCs w:val="0"/>
        </w:rPr>
      </w:pPr>
      <w:r w:rsidRPr="00BC1828">
        <w:rPr>
          <w:b w:val="0"/>
          <w:bCs w:val="0"/>
        </w:rPr>
        <w:t xml:space="preserve">BEFORE THE </w:t>
      </w:r>
      <w:smartTag w:uri="urn:schemas-microsoft-com:office:smarttags" w:element="State">
        <w:smartTag w:uri="urn:schemas-microsoft-com:office:smarttags" w:element="place">
          <w:r w:rsidR="00B25DEB">
            <w:rPr>
              <w:b w:val="0"/>
              <w:bCs w:val="0"/>
            </w:rPr>
            <w:t>WASHINGTON</w:t>
          </w:r>
        </w:smartTag>
      </w:smartTag>
      <w:r w:rsidRPr="00BC1828">
        <w:rPr>
          <w:b w:val="0"/>
          <w:bCs w:val="0"/>
        </w:rPr>
        <w:t xml:space="preserve"> UTILITIES</w:t>
      </w:r>
      <w:r w:rsidRPr="00BD4B85">
        <w:rPr>
          <w:b w:val="0"/>
          <w:bCs w:val="0"/>
        </w:rPr>
        <w:t xml:space="preserve"> AND TRANSPORTATION COMMISSION</w:t>
      </w:r>
    </w:p>
    <w:p w:rsidR="00D77F98" w:rsidRPr="00BD4B85" w:rsidRDefault="00D77F98" w:rsidP="00E310AF">
      <w:pPr>
        <w:tabs>
          <w:tab w:val="left" w:pos="720"/>
          <w:tab w:val="left" w:pos="1440"/>
        </w:tabs>
        <w:suppressAutoHyphens/>
        <w:ind w:firstLine="720"/>
      </w:pPr>
    </w:p>
    <w:p w:rsidR="00D77F98" w:rsidRPr="00BD4B85" w:rsidRDefault="00D77F98" w:rsidP="00E310AF">
      <w:pPr>
        <w:tabs>
          <w:tab w:val="left" w:pos="720"/>
          <w:tab w:val="left" w:pos="1440"/>
        </w:tabs>
        <w:suppressAutoHyphens/>
        <w:ind w:firstLine="720"/>
      </w:pPr>
    </w:p>
    <w:p w:rsidR="006C0B90" w:rsidRPr="00030BF6" w:rsidRDefault="006C0B90" w:rsidP="006C0B90">
      <w:pPr>
        <w:tabs>
          <w:tab w:val="left" w:pos="1260"/>
        </w:tabs>
        <w:jc w:val="center"/>
      </w:pPr>
      <w:r w:rsidRPr="00094AE5">
        <w:t xml:space="preserve">DOCKET NO. </w:t>
      </w:r>
      <w:r w:rsidRPr="00030BF6">
        <w:t>UE-0</w:t>
      </w:r>
      <w:r>
        <w:t>90134</w:t>
      </w:r>
    </w:p>
    <w:p w:rsidR="006C0B90" w:rsidRPr="00030BF6" w:rsidRDefault="006C0B90" w:rsidP="006C0B90">
      <w:pPr>
        <w:tabs>
          <w:tab w:val="left" w:pos="1260"/>
        </w:tabs>
        <w:jc w:val="center"/>
      </w:pPr>
    </w:p>
    <w:p w:rsidR="006C0B90" w:rsidRDefault="006C0B90" w:rsidP="006C0B90">
      <w:pPr>
        <w:tabs>
          <w:tab w:val="left" w:pos="1260"/>
        </w:tabs>
        <w:jc w:val="center"/>
      </w:pPr>
      <w:r w:rsidRPr="00094AE5">
        <w:t xml:space="preserve">DOCKET NO. </w:t>
      </w:r>
      <w:r w:rsidRPr="00030BF6">
        <w:t>UG-</w:t>
      </w:r>
      <w:r>
        <w:t>090135</w:t>
      </w:r>
    </w:p>
    <w:p w:rsidR="006C0B90" w:rsidRDefault="006C0B90" w:rsidP="006C0B90">
      <w:pPr>
        <w:tabs>
          <w:tab w:val="left" w:pos="1260"/>
        </w:tabs>
        <w:jc w:val="center"/>
      </w:pPr>
    </w:p>
    <w:p w:rsidR="006C0B90" w:rsidRDefault="006C0B90" w:rsidP="006C0B90">
      <w:pPr>
        <w:tabs>
          <w:tab w:val="left" w:pos="1260"/>
        </w:tabs>
        <w:jc w:val="center"/>
      </w:pPr>
      <w:r>
        <w:t>DOCKET NO. UG-060518</w:t>
      </w:r>
    </w:p>
    <w:p w:rsidR="00D93770" w:rsidRDefault="00D93770" w:rsidP="006C0B90">
      <w:pPr>
        <w:jc w:val="center"/>
      </w:pPr>
    </w:p>
    <w:p w:rsidR="00D77F98" w:rsidRPr="00BD4B85" w:rsidRDefault="006C0B90" w:rsidP="006C0B90">
      <w:pPr>
        <w:jc w:val="center"/>
      </w:pPr>
      <w:r>
        <w:t>(consolidated)</w:t>
      </w:r>
    </w:p>
    <w:p w:rsidR="00D77F98" w:rsidRPr="00BD4B85" w:rsidRDefault="00D77F98" w:rsidP="00E310AF">
      <w:pPr>
        <w:tabs>
          <w:tab w:val="left" w:pos="720"/>
          <w:tab w:val="left" w:pos="1440"/>
        </w:tabs>
        <w:suppressAutoHyphens/>
        <w:ind w:firstLine="720"/>
      </w:pPr>
    </w:p>
    <w:p w:rsidR="006C0B90" w:rsidRDefault="006C0B90" w:rsidP="00E310AF">
      <w:pPr>
        <w:pStyle w:val="Heading1"/>
        <w:tabs>
          <w:tab w:val="clear" w:pos="720"/>
          <w:tab w:val="clear" w:pos="5040"/>
          <w:tab w:val="clear" w:pos="6480"/>
          <w:tab w:val="clear" w:pos="7920"/>
        </w:tabs>
        <w:jc w:val="center"/>
        <w:rPr>
          <w:b w:val="0"/>
          <w:bCs w:val="0"/>
        </w:rPr>
      </w:pPr>
    </w:p>
    <w:p w:rsidR="006C0B90" w:rsidRDefault="006C0B90" w:rsidP="00E310AF">
      <w:pPr>
        <w:pStyle w:val="Heading1"/>
        <w:tabs>
          <w:tab w:val="clear" w:pos="720"/>
          <w:tab w:val="clear" w:pos="5040"/>
          <w:tab w:val="clear" w:pos="6480"/>
          <w:tab w:val="clear" w:pos="7920"/>
        </w:tabs>
        <w:jc w:val="center"/>
        <w:rPr>
          <w:b w:val="0"/>
          <w:bCs w:val="0"/>
        </w:rPr>
      </w:pPr>
    </w:p>
    <w:p w:rsidR="00D77F98" w:rsidRPr="00BD4B85" w:rsidRDefault="001C05DA" w:rsidP="00E310AF">
      <w:pPr>
        <w:pStyle w:val="Heading1"/>
        <w:tabs>
          <w:tab w:val="clear" w:pos="720"/>
          <w:tab w:val="clear" w:pos="5040"/>
          <w:tab w:val="clear" w:pos="6480"/>
          <w:tab w:val="clear" w:pos="7920"/>
        </w:tabs>
        <w:jc w:val="center"/>
        <w:rPr>
          <w:b w:val="0"/>
          <w:bCs w:val="0"/>
        </w:rPr>
      </w:pPr>
      <w:r>
        <w:rPr>
          <w:b w:val="0"/>
          <w:bCs w:val="0"/>
        </w:rPr>
        <w:t>REBUTTAL</w:t>
      </w:r>
      <w:r w:rsidR="00D77F98" w:rsidRPr="00BD4B85">
        <w:rPr>
          <w:b w:val="0"/>
          <w:bCs w:val="0"/>
        </w:rPr>
        <w:t xml:space="preserve"> TESTIMONY OF</w:t>
      </w:r>
    </w:p>
    <w:p w:rsidR="00D77F98" w:rsidRPr="00BD4B85" w:rsidRDefault="00D77F98" w:rsidP="00E310AF">
      <w:pPr>
        <w:pStyle w:val="Header"/>
        <w:tabs>
          <w:tab w:val="clear" w:pos="8640"/>
          <w:tab w:val="left" w:pos="720"/>
          <w:tab w:val="left" w:pos="1440"/>
          <w:tab w:val="left" w:pos="2520"/>
          <w:tab w:val="left" w:pos="4320"/>
          <w:tab w:val="left" w:pos="5040"/>
        </w:tabs>
        <w:spacing w:line="480" w:lineRule="auto"/>
        <w:jc w:val="center"/>
      </w:pPr>
      <w:r w:rsidRPr="00BD4B85">
        <w:t xml:space="preserve">CLINT </w:t>
      </w:r>
      <w:r w:rsidR="00D5609D">
        <w:t xml:space="preserve">G. </w:t>
      </w:r>
      <w:r w:rsidRPr="00BD4B85">
        <w:t>KALICH</w:t>
      </w:r>
    </w:p>
    <w:p w:rsidR="00D77F98" w:rsidRPr="00BD4B85" w:rsidRDefault="00D77F98" w:rsidP="00E310AF">
      <w:pPr>
        <w:tabs>
          <w:tab w:val="left" w:pos="720"/>
          <w:tab w:val="left" w:pos="1440"/>
        </w:tabs>
        <w:jc w:val="center"/>
      </w:pPr>
      <w:r w:rsidRPr="00BD4B85">
        <w:t>REPRESENTING AVISTA CORPORATION</w:t>
      </w:r>
    </w:p>
    <w:p w:rsidR="00D77F98" w:rsidRDefault="00D77F98" w:rsidP="00E310AF">
      <w:pPr>
        <w:tabs>
          <w:tab w:val="left" w:pos="720"/>
          <w:tab w:val="left" w:pos="1440"/>
        </w:tabs>
      </w:pPr>
    </w:p>
    <w:p w:rsidR="0090058A" w:rsidRDefault="0090058A" w:rsidP="00E310AF">
      <w:pPr>
        <w:tabs>
          <w:tab w:val="left" w:pos="720"/>
          <w:tab w:val="left" w:pos="1440"/>
        </w:tabs>
      </w:pPr>
    </w:p>
    <w:p w:rsidR="00D77F98" w:rsidRPr="00BD4B85" w:rsidRDefault="00D77F98" w:rsidP="00E310AF">
      <w:pPr>
        <w:tabs>
          <w:tab w:val="left" w:pos="720"/>
          <w:tab w:val="left" w:pos="1440"/>
        </w:tabs>
      </w:pPr>
    </w:p>
    <w:p w:rsidR="00D77F98" w:rsidRPr="00BD4B85" w:rsidRDefault="00D77F98" w:rsidP="00E310AF">
      <w:pPr>
        <w:tabs>
          <w:tab w:val="left" w:pos="720"/>
          <w:tab w:val="left" w:pos="1440"/>
        </w:tabs>
      </w:pPr>
    </w:p>
    <w:p w:rsidR="00D77F98" w:rsidRPr="00BD4B85" w:rsidRDefault="00D77F98" w:rsidP="00E310AF">
      <w:pPr>
        <w:tabs>
          <w:tab w:val="left" w:pos="720"/>
          <w:tab w:val="left" w:pos="1440"/>
        </w:tabs>
      </w:pPr>
    </w:p>
    <w:p w:rsidR="00D77F98" w:rsidRPr="00BD4B85" w:rsidRDefault="00D77F98" w:rsidP="00E310AF">
      <w:pPr>
        <w:tabs>
          <w:tab w:val="left" w:pos="720"/>
          <w:tab w:val="left" w:pos="1440"/>
        </w:tabs>
      </w:pPr>
    </w:p>
    <w:p w:rsidR="00D77F98" w:rsidRPr="00BD4B85" w:rsidRDefault="00D77F98" w:rsidP="00E310AF">
      <w:pPr>
        <w:tabs>
          <w:tab w:val="left" w:pos="720"/>
          <w:tab w:val="left" w:pos="1440"/>
        </w:tabs>
        <w:ind w:left="-720"/>
      </w:pPr>
    </w:p>
    <w:p w:rsidR="00D77F98" w:rsidRPr="00BD4B85" w:rsidRDefault="00D77F98" w:rsidP="00E310AF">
      <w:pPr>
        <w:tabs>
          <w:tab w:val="left" w:pos="720"/>
          <w:tab w:val="left" w:pos="1440"/>
        </w:tabs>
        <w:ind w:left="-720"/>
      </w:pPr>
    </w:p>
    <w:p w:rsidR="00D77F98" w:rsidRPr="00BD4B85" w:rsidRDefault="00D77F98" w:rsidP="00E310AF">
      <w:pPr>
        <w:tabs>
          <w:tab w:val="left" w:pos="720"/>
          <w:tab w:val="left" w:pos="1440"/>
        </w:tabs>
        <w:ind w:left="-720"/>
      </w:pPr>
    </w:p>
    <w:p w:rsidR="00D77F98" w:rsidRPr="00BD4B85" w:rsidRDefault="00D77F98" w:rsidP="00E310AF">
      <w:pPr>
        <w:tabs>
          <w:tab w:val="left" w:pos="720"/>
          <w:tab w:val="left" w:pos="1440"/>
        </w:tabs>
        <w:ind w:left="-720"/>
      </w:pPr>
    </w:p>
    <w:p w:rsidR="00D77F98" w:rsidRPr="00BD4B85" w:rsidRDefault="00D77F98" w:rsidP="00E310AF">
      <w:pPr>
        <w:tabs>
          <w:tab w:val="left" w:pos="720"/>
          <w:tab w:val="left" w:pos="1440"/>
        </w:tabs>
        <w:ind w:left="-720"/>
      </w:pPr>
    </w:p>
    <w:p w:rsidR="00D77F98" w:rsidRPr="00BD4B85" w:rsidRDefault="00D77F98" w:rsidP="00E310AF">
      <w:pPr>
        <w:tabs>
          <w:tab w:val="left" w:pos="720"/>
          <w:tab w:val="left" w:pos="1440"/>
        </w:tabs>
        <w:ind w:left="-720"/>
      </w:pPr>
    </w:p>
    <w:p w:rsidR="00D77F98" w:rsidRPr="00BD4B85" w:rsidRDefault="00D77F98">
      <w:pPr>
        <w:tabs>
          <w:tab w:val="left" w:pos="720"/>
          <w:tab w:val="left" w:pos="1440"/>
        </w:tabs>
        <w:sectPr w:rsidR="00D77F98" w:rsidRPr="00BD4B85" w:rsidSect="00D93770">
          <w:headerReference w:type="default" r:id="rId8"/>
          <w:footerReference w:type="default" r:id="rId9"/>
          <w:headerReference w:type="first" r:id="rId10"/>
          <w:footerReference w:type="first" r:id="rId11"/>
          <w:type w:val="continuous"/>
          <w:pgSz w:w="12240" w:h="15840" w:code="1"/>
          <w:pgMar w:top="720" w:right="720" w:bottom="720" w:left="720" w:header="720" w:footer="720" w:gutter="0"/>
          <w:pgBorders w:display="firstPage">
            <w:top w:val="single" w:sz="4" w:space="10" w:color="auto"/>
            <w:left w:val="single" w:sz="4" w:space="10" w:color="auto"/>
            <w:bottom w:val="single" w:sz="4" w:space="10" w:color="auto"/>
            <w:right w:val="single" w:sz="4" w:space="10" w:color="auto"/>
          </w:pgBorders>
          <w:pgNumType w:start="0"/>
          <w:cols w:space="720"/>
          <w:titlePg/>
          <w:docGrid w:linePitch="326"/>
        </w:sectPr>
      </w:pPr>
    </w:p>
    <w:p w:rsidR="00D77F98" w:rsidRPr="002B60EC" w:rsidRDefault="00D77F98">
      <w:pPr>
        <w:pStyle w:val="BodyTextIndent3"/>
        <w:tabs>
          <w:tab w:val="clear" w:pos="1260"/>
          <w:tab w:val="left" w:pos="720"/>
          <w:tab w:val="left" w:pos="1440"/>
        </w:tabs>
        <w:ind w:firstLine="0"/>
        <w:jc w:val="center"/>
        <w:rPr>
          <w:u w:val="single"/>
        </w:rPr>
      </w:pPr>
      <w:r w:rsidRPr="002B60EC">
        <w:rPr>
          <w:u w:val="single"/>
        </w:rPr>
        <w:lastRenderedPageBreak/>
        <w:t>I.  INTRODUCTION</w:t>
      </w:r>
    </w:p>
    <w:p w:rsidR="00D77F98" w:rsidRPr="00BD4B85" w:rsidRDefault="00D77F98" w:rsidP="00D93770">
      <w:pPr>
        <w:pStyle w:val="BodyTextIndent3"/>
        <w:tabs>
          <w:tab w:val="clear" w:pos="1260"/>
          <w:tab w:val="left" w:pos="720"/>
          <w:tab w:val="left" w:pos="1440"/>
        </w:tabs>
      </w:pPr>
      <w:r w:rsidRPr="00BD4B85">
        <w:t>Q.</w:t>
      </w:r>
      <w:r w:rsidRPr="00BD4B85">
        <w:tab/>
        <w:t>Please state your name, the name of your employer, and your business address.</w:t>
      </w:r>
    </w:p>
    <w:p w:rsidR="00D77F98" w:rsidRPr="00BD4B85" w:rsidRDefault="00D77F98" w:rsidP="00D93770">
      <w:pPr>
        <w:tabs>
          <w:tab w:val="left" w:pos="720"/>
          <w:tab w:val="left" w:pos="1440"/>
        </w:tabs>
        <w:spacing w:line="480" w:lineRule="auto"/>
        <w:ind w:firstLine="720"/>
        <w:jc w:val="both"/>
      </w:pPr>
      <w:r w:rsidRPr="00BD4B85">
        <w:t>A.</w:t>
      </w:r>
      <w:r w:rsidRPr="00BD4B85">
        <w:tab/>
        <w:t>My name is Clint Kalich.  I am employed by Avista Corporation at 1411 East Mission Avenue, Spokane, Washington.</w:t>
      </w:r>
      <w:r w:rsidR="0057729B">
        <w:t xml:space="preserve">  </w:t>
      </w:r>
      <w:r w:rsidRPr="00BD4B85">
        <w:t>I am the Manager of Resource Planning &amp; Power Supply Analyses, in the Energy Resources Department of Avista Utilities.</w:t>
      </w:r>
    </w:p>
    <w:p w:rsidR="001C05DA" w:rsidRPr="00DC295D" w:rsidRDefault="001C05DA" w:rsidP="00D93770">
      <w:pPr>
        <w:pStyle w:val="BodyTextIndent3"/>
        <w:rPr>
          <w:iCs/>
        </w:rPr>
      </w:pPr>
      <w:r w:rsidRPr="00DC295D">
        <w:t>Q.</w:t>
      </w:r>
      <w:r w:rsidRPr="00DC295D">
        <w:tab/>
        <w:t>What is the scope of your rebuttal testimony in this proceeding?</w:t>
      </w:r>
    </w:p>
    <w:p w:rsidR="001C05DA" w:rsidRPr="00DC295D" w:rsidRDefault="001C05DA" w:rsidP="00D93770">
      <w:pPr>
        <w:pStyle w:val="BodyTextIndent3"/>
        <w:ind w:right="-173"/>
        <w:rPr>
          <w:b w:val="0"/>
        </w:rPr>
      </w:pPr>
      <w:r w:rsidRPr="00DC295D">
        <w:rPr>
          <w:b w:val="0"/>
        </w:rPr>
        <w:t>A.</w:t>
      </w:r>
      <w:r w:rsidRPr="00DC295D">
        <w:rPr>
          <w:b w:val="0"/>
        </w:rPr>
        <w:tab/>
        <w:t>My rebuttal testimony responds to the Public Counsel Section of the Washington State Attorney General’s Office (Public Counsel</w:t>
      </w:r>
      <w:r w:rsidR="00B56EE9">
        <w:rPr>
          <w:b w:val="0"/>
        </w:rPr>
        <w:t xml:space="preserve"> or PC</w:t>
      </w:r>
      <w:r w:rsidRPr="00DC295D">
        <w:rPr>
          <w:b w:val="0"/>
        </w:rPr>
        <w:t xml:space="preserve">) </w:t>
      </w:r>
      <w:r w:rsidR="0032493A">
        <w:rPr>
          <w:b w:val="0"/>
        </w:rPr>
        <w:t>on t</w:t>
      </w:r>
      <w:r w:rsidR="0057729B">
        <w:rPr>
          <w:b w:val="0"/>
        </w:rPr>
        <w:t>he subject of Lancaster prudence</w:t>
      </w:r>
      <w:r w:rsidR="0032493A">
        <w:rPr>
          <w:b w:val="0"/>
        </w:rPr>
        <w:t>.</w:t>
      </w:r>
    </w:p>
    <w:p w:rsidR="001C05DA" w:rsidRPr="001C05DA" w:rsidRDefault="001C05DA" w:rsidP="00D93770">
      <w:pPr>
        <w:tabs>
          <w:tab w:val="left" w:pos="720"/>
          <w:tab w:val="left" w:pos="1440"/>
        </w:tabs>
        <w:spacing w:line="480" w:lineRule="auto"/>
        <w:ind w:firstLine="720"/>
        <w:jc w:val="both"/>
        <w:rPr>
          <w:b/>
        </w:rPr>
      </w:pPr>
      <w:r w:rsidRPr="001C05DA">
        <w:rPr>
          <w:b/>
        </w:rPr>
        <w:t>Q.</w:t>
      </w:r>
      <w:r w:rsidRPr="001C05DA">
        <w:rPr>
          <w:b/>
        </w:rPr>
        <w:tab/>
        <w:t xml:space="preserve">Please summarize your </w:t>
      </w:r>
      <w:r w:rsidR="00EA0FCF">
        <w:rPr>
          <w:b/>
        </w:rPr>
        <w:t xml:space="preserve">rebuttal </w:t>
      </w:r>
      <w:r w:rsidRPr="001C05DA">
        <w:rPr>
          <w:b/>
        </w:rPr>
        <w:t xml:space="preserve">testimony </w:t>
      </w:r>
      <w:r w:rsidR="0032493A">
        <w:rPr>
          <w:b/>
        </w:rPr>
        <w:t>on Lancaster</w:t>
      </w:r>
      <w:r w:rsidRPr="001C05DA">
        <w:rPr>
          <w:b/>
        </w:rPr>
        <w:t>.</w:t>
      </w:r>
    </w:p>
    <w:p w:rsidR="00B56EE9" w:rsidRDefault="00D77F98" w:rsidP="00D93770">
      <w:pPr>
        <w:tabs>
          <w:tab w:val="left" w:pos="720"/>
          <w:tab w:val="left" w:pos="1440"/>
        </w:tabs>
        <w:spacing w:line="480" w:lineRule="auto"/>
        <w:ind w:firstLine="720"/>
        <w:jc w:val="both"/>
      </w:pPr>
      <w:r w:rsidRPr="00BD4B85">
        <w:t>A.</w:t>
      </w:r>
      <w:r w:rsidRPr="00BD4B85">
        <w:tab/>
      </w:r>
      <w:r w:rsidR="00EA0FCF">
        <w:t xml:space="preserve">I will </w:t>
      </w:r>
      <w:r w:rsidR="009316E1">
        <w:t xml:space="preserve">respond </w:t>
      </w:r>
      <w:r w:rsidR="00BE1045">
        <w:t xml:space="preserve">Public Counsel </w:t>
      </w:r>
      <w:r w:rsidR="0032493A">
        <w:t>witness Woodruff</w:t>
      </w:r>
      <w:r w:rsidR="00EA0FCF">
        <w:t>’s</w:t>
      </w:r>
      <w:r w:rsidR="0032493A">
        <w:t xml:space="preserve"> recommend</w:t>
      </w:r>
      <w:r w:rsidR="00EA0FCF">
        <w:t xml:space="preserve">ation </w:t>
      </w:r>
      <w:r w:rsidR="0032493A">
        <w:t xml:space="preserve">that the Commission </w:t>
      </w:r>
      <w:r w:rsidR="00EA0FCF">
        <w:t xml:space="preserve">disallow </w:t>
      </w:r>
      <w:r w:rsidR="0032493A">
        <w:t>the Lancaster plant</w:t>
      </w:r>
      <w:r w:rsidR="00EA0FCF">
        <w:t xml:space="preserve"> from customer rates. </w:t>
      </w:r>
      <w:r w:rsidR="009316E1">
        <w:t xml:space="preserve"> </w:t>
      </w:r>
      <w:r w:rsidR="00EA0FCF">
        <w:t xml:space="preserve">I will explain how </w:t>
      </w:r>
      <w:r w:rsidR="009316E1">
        <w:t xml:space="preserve">the </w:t>
      </w:r>
      <w:r w:rsidR="009F3E29">
        <w:t>two significant and detailed analyses completed by Avista and a leading i</w:t>
      </w:r>
      <w:r w:rsidR="00EA0FCF">
        <w:t xml:space="preserve">ndustry consultant </w:t>
      </w:r>
      <w:r w:rsidR="009316E1">
        <w:t xml:space="preserve">support the Company’s decision to acquire Lancaster.  </w:t>
      </w:r>
      <w:r w:rsidR="00F104AC">
        <w:t xml:space="preserve">I will show that the Company </w:t>
      </w:r>
      <w:r w:rsidR="00B56EE9">
        <w:t>adequately consider</w:t>
      </w:r>
      <w:r w:rsidR="00F104AC">
        <w:t>ed</w:t>
      </w:r>
      <w:r w:rsidR="00B56EE9">
        <w:t xml:space="preserve"> alternatives to the Lancaster plant</w:t>
      </w:r>
      <w:r w:rsidR="00F104AC">
        <w:t xml:space="preserve"> before its selection</w:t>
      </w:r>
      <w:r w:rsidR="009316E1">
        <w:t>, and</w:t>
      </w:r>
      <w:r w:rsidR="00B56EE9">
        <w:t xml:space="preserve"> </w:t>
      </w:r>
      <w:r w:rsidR="00F104AC">
        <w:t xml:space="preserve">I will revisit the reasons why the Company </w:t>
      </w:r>
      <w:r w:rsidR="009316E1">
        <w:t xml:space="preserve">did not conduct </w:t>
      </w:r>
      <w:r w:rsidR="00B56EE9">
        <w:t>an RFP</w:t>
      </w:r>
      <w:r w:rsidR="00AF39CC">
        <w:t xml:space="preserve"> </w:t>
      </w:r>
      <w:r w:rsidR="00F104AC">
        <w:t>for Lancaster</w:t>
      </w:r>
      <w:r w:rsidR="00AF39CC">
        <w:t>.</w:t>
      </w:r>
    </w:p>
    <w:p w:rsidR="00B56EE9" w:rsidRDefault="00B56EE9" w:rsidP="00D93770">
      <w:pPr>
        <w:tabs>
          <w:tab w:val="left" w:pos="720"/>
          <w:tab w:val="left" w:pos="1440"/>
        </w:tabs>
        <w:spacing w:line="480" w:lineRule="auto"/>
        <w:ind w:firstLine="720"/>
        <w:jc w:val="both"/>
      </w:pPr>
      <w:r>
        <w:t xml:space="preserve">Finally, </w:t>
      </w:r>
      <w:r w:rsidR="00F104AC">
        <w:t xml:space="preserve">I will touch briefly on the necessity of both the natural gas and electricity contracts associated with Lancaster.  </w:t>
      </w:r>
      <w:r w:rsidR="00655C9F">
        <w:t xml:space="preserve">As </w:t>
      </w:r>
      <w:r w:rsidR="00F104AC">
        <w:t xml:space="preserve">will be explained further by </w:t>
      </w:r>
      <w:r w:rsidR="00655C9F">
        <w:t xml:space="preserve">Avista </w:t>
      </w:r>
      <w:r w:rsidR="00F104AC">
        <w:t>rebuttal witness Lafferty</w:t>
      </w:r>
      <w:r w:rsidR="00655C9F">
        <w:t>, t</w:t>
      </w:r>
      <w:r w:rsidR="007643B8">
        <w:t xml:space="preserve">he contracts afford Avista </w:t>
      </w:r>
      <w:r w:rsidR="00655C9F">
        <w:t xml:space="preserve">not only </w:t>
      </w:r>
      <w:r w:rsidR="00F104AC">
        <w:t xml:space="preserve">benefits </w:t>
      </w:r>
      <w:r w:rsidR="00655C9F">
        <w:t xml:space="preserve">to Lancaster, but also important delivery capabilities </w:t>
      </w:r>
      <w:r w:rsidR="00F104AC">
        <w:t xml:space="preserve">for the </w:t>
      </w:r>
      <w:r w:rsidR="007643B8">
        <w:t>Coyote Springs 2 facility.</w:t>
      </w:r>
    </w:p>
    <w:p w:rsidR="00971649" w:rsidRDefault="00AF39CC" w:rsidP="00D93770">
      <w:pPr>
        <w:pStyle w:val="TestBody"/>
        <w:tabs>
          <w:tab w:val="num" w:pos="720"/>
        </w:tabs>
        <w:spacing w:line="480" w:lineRule="auto"/>
        <w:ind w:left="0" w:firstLine="720"/>
        <w:rPr>
          <w:rFonts w:ascii="Times New Roman" w:hAnsi="Times New Roman"/>
        </w:rPr>
      </w:pPr>
      <w:r>
        <w:rPr>
          <w:rFonts w:ascii="Times New Roman" w:hAnsi="Times New Roman"/>
          <w:b/>
        </w:rPr>
        <w:t>Q.</w:t>
      </w:r>
      <w:r>
        <w:rPr>
          <w:rFonts w:ascii="Times New Roman" w:hAnsi="Times New Roman"/>
          <w:b/>
        </w:rPr>
        <w:tab/>
        <w:t>Public Counsel, at various places in its pre-filed testimony, implies that the Lancaster acquisition was imprudent</w:t>
      </w:r>
      <w:r w:rsidR="00AE6D4D">
        <w:rPr>
          <w:rFonts w:ascii="Times New Roman" w:hAnsi="Times New Roman"/>
          <w:b/>
        </w:rPr>
        <w:t>, both for 2010 and overall</w:t>
      </w:r>
      <w:r>
        <w:rPr>
          <w:rFonts w:ascii="Times New Roman" w:hAnsi="Times New Roman"/>
          <w:b/>
        </w:rPr>
        <w:t xml:space="preserve">.  Does the Company have any </w:t>
      </w:r>
      <w:r w:rsidR="00971649">
        <w:rPr>
          <w:rFonts w:ascii="Times New Roman" w:hAnsi="Times New Roman"/>
          <w:b/>
        </w:rPr>
        <w:t xml:space="preserve">initial </w:t>
      </w:r>
      <w:r w:rsidR="005A27B1">
        <w:rPr>
          <w:rFonts w:ascii="Times New Roman" w:hAnsi="Times New Roman"/>
          <w:b/>
        </w:rPr>
        <w:t>observations</w:t>
      </w:r>
      <w:r w:rsidR="00971649">
        <w:rPr>
          <w:rFonts w:ascii="Times New Roman" w:hAnsi="Times New Roman"/>
          <w:b/>
        </w:rPr>
        <w:t xml:space="preserve"> </w:t>
      </w:r>
      <w:r w:rsidR="00BE5FBC">
        <w:rPr>
          <w:rFonts w:ascii="Times New Roman" w:hAnsi="Times New Roman"/>
          <w:b/>
        </w:rPr>
        <w:t xml:space="preserve">on </w:t>
      </w:r>
      <w:r w:rsidR="0062010B">
        <w:rPr>
          <w:rFonts w:ascii="Times New Roman" w:hAnsi="Times New Roman"/>
          <w:b/>
        </w:rPr>
        <w:t>P</w:t>
      </w:r>
      <w:r w:rsidR="005A27B1">
        <w:rPr>
          <w:rFonts w:ascii="Times New Roman" w:hAnsi="Times New Roman"/>
          <w:b/>
        </w:rPr>
        <w:t xml:space="preserve">ublic </w:t>
      </w:r>
      <w:r w:rsidR="0062010B">
        <w:rPr>
          <w:rFonts w:ascii="Times New Roman" w:hAnsi="Times New Roman"/>
          <w:b/>
        </w:rPr>
        <w:t>C</w:t>
      </w:r>
      <w:r w:rsidR="005A27B1">
        <w:rPr>
          <w:rFonts w:ascii="Times New Roman" w:hAnsi="Times New Roman"/>
          <w:b/>
        </w:rPr>
        <w:t>ounsel</w:t>
      </w:r>
      <w:r w:rsidR="0062010B">
        <w:rPr>
          <w:rFonts w:ascii="Times New Roman" w:hAnsi="Times New Roman"/>
          <w:b/>
        </w:rPr>
        <w:t xml:space="preserve">’s assertions on </w:t>
      </w:r>
      <w:r w:rsidR="00655C9F">
        <w:rPr>
          <w:rFonts w:ascii="Times New Roman" w:hAnsi="Times New Roman"/>
          <w:b/>
        </w:rPr>
        <w:t>prudence</w:t>
      </w:r>
      <w:r w:rsidR="00971649">
        <w:rPr>
          <w:rFonts w:ascii="Times New Roman" w:hAnsi="Times New Roman"/>
          <w:b/>
        </w:rPr>
        <w:t>?</w:t>
      </w:r>
    </w:p>
    <w:p w:rsidR="009961E1" w:rsidRDefault="00971649" w:rsidP="00D93770">
      <w:pPr>
        <w:autoSpaceDE/>
        <w:autoSpaceDN/>
        <w:spacing w:line="480" w:lineRule="auto"/>
        <w:jc w:val="both"/>
      </w:pPr>
      <w:r>
        <w:lastRenderedPageBreak/>
        <w:t>A.</w:t>
      </w:r>
      <w:r>
        <w:tab/>
        <w:t>Yes.  The Lancaster acquisition was made after careful review and analysis by Avista</w:t>
      </w:r>
      <w:r w:rsidR="00144510">
        <w:t xml:space="preserve">, and its acquisition was made prudently in a manner that will benefit customers for </w:t>
      </w:r>
      <w:r w:rsidR="005A27B1">
        <w:t xml:space="preserve">many </w:t>
      </w:r>
      <w:r w:rsidR="00144510">
        <w:t>years to come</w:t>
      </w:r>
      <w:r w:rsidR="005A27B1">
        <w:t xml:space="preserve"> relative to another resource a</w:t>
      </w:r>
      <w:r w:rsidR="00655C9F">
        <w:t>lternative</w:t>
      </w:r>
      <w:r>
        <w:t xml:space="preserve">.  The project is one of the least expensive </w:t>
      </w:r>
      <w:proofErr w:type="spellStart"/>
      <w:r>
        <w:t>CCCT</w:t>
      </w:r>
      <w:proofErr w:type="spellEnd"/>
      <w:r>
        <w:t xml:space="preserve"> acquisi</w:t>
      </w:r>
      <w:r w:rsidR="00144510">
        <w:t>tion</w:t>
      </w:r>
      <w:r w:rsidR="006C0B90">
        <w:t>s</w:t>
      </w:r>
      <w:r>
        <w:t xml:space="preserve"> ever made in the Pacific Northwest.  </w:t>
      </w:r>
      <w:r w:rsidR="009961E1">
        <w:t xml:space="preserve">No other northwest utility has procured a </w:t>
      </w:r>
      <w:proofErr w:type="spellStart"/>
      <w:r w:rsidR="009961E1">
        <w:t>CCCT</w:t>
      </w:r>
      <w:proofErr w:type="spellEnd"/>
      <w:r w:rsidR="009961E1">
        <w:t xml:space="preserve"> plant for less money, prior to or after the Lancaster acquisition, as illustrated below in Chart 1 (data are </w:t>
      </w:r>
      <w:r w:rsidR="006C0B90">
        <w:t xml:space="preserve">derived </w:t>
      </w:r>
      <w:r w:rsidR="009961E1">
        <w:t>from Table 2 later in this testimony</w:t>
      </w:r>
      <w:r w:rsidR="006C0B90">
        <w:t>):</w:t>
      </w:r>
    </w:p>
    <w:p w:rsidR="009961E1" w:rsidRDefault="009961E1" w:rsidP="009961E1">
      <w:pPr>
        <w:adjustRightInd w:val="0"/>
        <w:jc w:val="center"/>
        <w:rPr>
          <w:b/>
          <w:bCs/>
        </w:rPr>
      </w:pPr>
      <w:r>
        <w:rPr>
          <w:b/>
          <w:bCs/>
        </w:rPr>
        <w:t>Chart 1</w:t>
      </w:r>
    </w:p>
    <w:p w:rsidR="009961E1" w:rsidRDefault="009961E1" w:rsidP="009961E1">
      <w:pPr>
        <w:adjustRightInd w:val="0"/>
        <w:jc w:val="center"/>
        <w:rPr>
          <w:b/>
          <w:bCs/>
        </w:rPr>
      </w:pPr>
      <w:r>
        <w:rPr>
          <w:b/>
          <w:bCs/>
        </w:rPr>
        <w:t xml:space="preserve">Regional </w:t>
      </w:r>
      <w:proofErr w:type="spellStart"/>
      <w:r>
        <w:rPr>
          <w:b/>
          <w:bCs/>
        </w:rPr>
        <w:t>CCCT</w:t>
      </w:r>
      <w:proofErr w:type="spellEnd"/>
      <w:r>
        <w:rPr>
          <w:b/>
          <w:bCs/>
        </w:rPr>
        <w:t xml:space="preserve"> Projects Acquisitions</w:t>
      </w:r>
    </w:p>
    <w:p w:rsidR="009961E1" w:rsidRDefault="009961E1" w:rsidP="009961E1">
      <w:pPr>
        <w:adjustRightInd w:val="0"/>
        <w:jc w:val="center"/>
        <w:rPr>
          <w:b/>
          <w:bCs/>
        </w:rPr>
      </w:pPr>
      <w:r>
        <w:rPr>
          <w:b/>
          <w:bCs/>
        </w:rPr>
        <w:t>2000 to Present (2010 $/kW)</w:t>
      </w:r>
    </w:p>
    <w:p w:rsidR="009961E1" w:rsidRDefault="006A0A47" w:rsidP="006A0A47">
      <w:pPr>
        <w:pStyle w:val="TestBody"/>
        <w:spacing w:line="480" w:lineRule="auto"/>
        <w:ind w:left="0" w:firstLine="0"/>
        <w:jc w:val="center"/>
        <w:rPr>
          <w:rFonts w:ascii="Times New Roman" w:hAnsi="Times New Roman"/>
        </w:rPr>
      </w:pPr>
      <w:r w:rsidRPr="006A0A47">
        <w:rPr>
          <w:noProof/>
        </w:rPr>
        <w:drawing>
          <wp:inline distT="0" distB="0" distL="0" distR="0">
            <wp:extent cx="5943600" cy="4319059"/>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943600" cy="4319059"/>
                    </a:xfrm>
                    <a:prstGeom prst="rect">
                      <a:avLst/>
                    </a:prstGeom>
                    <a:noFill/>
                    <a:ln w="9525">
                      <a:noFill/>
                      <a:miter lim="800000"/>
                      <a:headEnd/>
                      <a:tailEnd/>
                    </a:ln>
                  </pic:spPr>
                </pic:pic>
              </a:graphicData>
            </a:graphic>
          </wp:inline>
        </w:drawing>
      </w:r>
    </w:p>
    <w:p w:rsidR="00AF39CC" w:rsidRDefault="00971649" w:rsidP="00D93770">
      <w:pPr>
        <w:autoSpaceDE/>
        <w:autoSpaceDN/>
        <w:spacing w:line="480" w:lineRule="auto"/>
        <w:jc w:val="both"/>
      </w:pPr>
      <w:r>
        <w:t>The plant</w:t>
      </w:r>
      <w:r w:rsidR="0062010B">
        <w:t>’s construction</w:t>
      </w:r>
      <w:r>
        <w:t xml:space="preserve"> was contracted for prior to the energy crisis, meaning </w:t>
      </w:r>
      <w:r w:rsidR="0062010B">
        <w:t xml:space="preserve">that </w:t>
      </w:r>
      <w:r>
        <w:t xml:space="preserve">costs were low by </w:t>
      </w:r>
      <w:r w:rsidR="00DF15A5">
        <w:t xml:space="preserve">recent </w:t>
      </w:r>
      <w:r>
        <w:t xml:space="preserve">standards.  </w:t>
      </w:r>
      <w:r w:rsidR="006A0A47">
        <w:t>The benefit of t</w:t>
      </w:r>
      <w:r>
        <w:t>he</w:t>
      </w:r>
      <w:r w:rsidR="00144510">
        <w:t>se</w:t>
      </w:r>
      <w:r>
        <w:t xml:space="preserve"> </w:t>
      </w:r>
      <w:r w:rsidR="00BE5FBC">
        <w:t xml:space="preserve">low costs </w:t>
      </w:r>
      <w:r w:rsidR="006A0A47">
        <w:t xml:space="preserve">will be realized by customers when </w:t>
      </w:r>
      <w:r w:rsidR="00BE5FBC">
        <w:t xml:space="preserve">the </w:t>
      </w:r>
      <w:r>
        <w:t xml:space="preserve">contract </w:t>
      </w:r>
      <w:r w:rsidR="006A0A47">
        <w:t xml:space="preserve">is assigned </w:t>
      </w:r>
      <w:r w:rsidR="00BE5FBC">
        <w:t xml:space="preserve">to Avista Utilities </w:t>
      </w:r>
      <w:r w:rsidRPr="006C0B90">
        <w:rPr>
          <w:u w:val="single"/>
        </w:rPr>
        <w:t>at cost</w:t>
      </w:r>
      <w:r w:rsidR="006A0A47">
        <w:t xml:space="preserve"> beginning on January 1, 2010</w:t>
      </w:r>
      <w:r w:rsidR="00144510">
        <w:t>.</w:t>
      </w:r>
    </w:p>
    <w:p w:rsidR="006D5A00" w:rsidRDefault="00AE6D4D" w:rsidP="006D5A00">
      <w:pPr>
        <w:pStyle w:val="TestBody"/>
        <w:tabs>
          <w:tab w:val="num" w:pos="720"/>
        </w:tabs>
        <w:spacing w:line="480" w:lineRule="auto"/>
        <w:ind w:left="0" w:firstLine="720"/>
        <w:rPr>
          <w:rFonts w:ascii="Times New Roman" w:hAnsi="Times New Roman"/>
        </w:rPr>
      </w:pPr>
      <w:r>
        <w:rPr>
          <w:rFonts w:ascii="Times New Roman" w:hAnsi="Times New Roman"/>
        </w:rPr>
        <w:lastRenderedPageBreak/>
        <w:t xml:space="preserve">Resources rarely come into service on a schedule that perfectly meets a Company’s needs.  </w:t>
      </w:r>
      <w:r w:rsidR="006D5A00">
        <w:rPr>
          <w:rFonts w:ascii="Times New Roman" w:hAnsi="Times New Roman"/>
        </w:rPr>
        <w:t xml:space="preserve">Avista discussed the “lumpiness” of resource acquisitions in its 2007 IRP </w:t>
      </w:r>
      <w:r w:rsidR="006A0A47">
        <w:rPr>
          <w:rFonts w:ascii="Times New Roman" w:hAnsi="Times New Roman"/>
        </w:rPr>
        <w:t>on</w:t>
      </w:r>
      <w:r w:rsidR="006D5A00">
        <w:rPr>
          <w:rFonts w:ascii="Times New Roman" w:hAnsi="Times New Roman"/>
        </w:rPr>
        <w:t xml:space="preserve"> page 8-8. </w:t>
      </w:r>
      <w:r w:rsidR="006D5A00" w:rsidRPr="00AE6D4D">
        <w:rPr>
          <w:rFonts w:ascii="Times New Roman" w:hAnsi="Times New Roman"/>
        </w:rPr>
        <w:t xml:space="preserve"> </w:t>
      </w:r>
      <w:r w:rsidR="006D5A00">
        <w:rPr>
          <w:rFonts w:ascii="Times New Roman" w:hAnsi="Times New Roman"/>
        </w:rPr>
        <w:t>Resource acquisitions must be evaluated over their lifetimes, not against a specific deficit year or set of conditions, especially when an opportunity arises to procure a resource such as Lancaster at a significant discount.</w:t>
      </w:r>
    </w:p>
    <w:p w:rsidR="006D5A00" w:rsidRDefault="006D5A00" w:rsidP="00CB1613">
      <w:pPr>
        <w:pStyle w:val="TestBody"/>
        <w:tabs>
          <w:tab w:val="num" w:pos="720"/>
        </w:tabs>
        <w:spacing w:line="480" w:lineRule="auto"/>
        <w:ind w:left="0" w:firstLine="720"/>
        <w:rPr>
          <w:rFonts w:ascii="Times New Roman" w:hAnsi="Times New Roman"/>
        </w:rPr>
      </w:pPr>
      <w:r>
        <w:rPr>
          <w:rFonts w:ascii="Times New Roman" w:hAnsi="Times New Roman"/>
        </w:rPr>
        <w:t xml:space="preserve">Procuring resources prior to the </w:t>
      </w:r>
      <w:r w:rsidR="006A0A47">
        <w:rPr>
          <w:rFonts w:ascii="Times New Roman" w:hAnsi="Times New Roman"/>
        </w:rPr>
        <w:t xml:space="preserve">precise date on which they are needed </w:t>
      </w:r>
      <w:r>
        <w:rPr>
          <w:rFonts w:ascii="Times New Roman" w:hAnsi="Times New Roman"/>
        </w:rPr>
        <w:t xml:space="preserve">is not unprecedented and it often happens.  The most recent </w:t>
      </w:r>
      <w:r w:rsidR="0062010B">
        <w:rPr>
          <w:rFonts w:ascii="Times New Roman" w:hAnsi="Times New Roman"/>
        </w:rPr>
        <w:t xml:space="preserve">example, </w:t>
      </w:r>
      <w:r>
        <w:rPr>
          <w:rFonts w:ascii="Times New Roman" w:hAnsi="Times New Roman"/>
        </w:rPr>
        <w:t>from</w:t>
      </w:r>
      <w:r w:rsidR="00CB1613">
        <w:rPr>
          <w:rFonts w:ascii="Times New Roman" w:hAnsi="Times New Roman"/>
        </w:rPr>
        <w:t xml:space="preserve"> the </w:t>
      </w:r>
      <w:r w:rsidR="003C6B9F">
        <w:rPr>
          <w:rFonts w:ascii="Times New Roman" w:hAnsi="Times New Roman"/>
        </w:rPr>
        <w:t xml:space="preserve">all-party </w:t>
      </w:r>
      <w:r w:rsidR="00CB1613">
        <w:rPr>
          <w:rFonts w:ascii="Times New Roman" w:hAnsi="Times New Roman"/>
        </w:rPr>
        <w:t xml:space="preserve">settlement agreement </w:t>
      </w:r>
      <w:r w:rsidR="000E5185">
        <w:rPr>
          <w:rFonts w:ascii="Times New Roman" w:hAnsi="Times New Roman"/>
        </w:rPr>
        <w:t xml:space="preserve">in the PacifiCorp case </w:t>
      </w:r>
      <w:r>
        <w:rPr>
          <w:rFonts w:ascii="Times New Roman" w:hAnsi="Times New Roman"/>
        </w:rPr>
        <w:t xml:space="preserve">currently </w:t>
      </w:r>
      <w:r w:rsidR="00CB1613">
        <w:rPr>
          <w:rFonts w:ascii="Times New Roman" w:hAnsi="Times New Roman"/>
        </w:rPr>
        <w:t>before this Commission</w:t>
      </w:r>
      <w:r w:rsidR="003C6B9F">
        <w:rPr>
          <w:rFonts w:ascii="Times New Roman" w:hAnsi="Times New Roman"/>
        </w:rPr>
        <w:t xml:space="preserve"> in Docket No. </w:t>
      </w:r>
      <w:r w:rsidR="003C6B9F" w:rsidRPr="003C6B9F">
        <w:rPr>
          <w:rFonts w:ascii="Times New Roman" w:hAnsi="Times New Roman"/>
        </w:rPr>
        <w:t>UE-090205</w:t>
      </w:r>
      <w:r w:rsidR="003C6B9F">
        <w:rPr>
          <w:rFonts w:ascii="Times New Roman" w:hAnsi="Times New Roman"/>
        </w:rPr>
        <w:t>,</w:t>
      </w:r>
      <w:r w:rsidR="00CB1613">
        <w:rPr>
          <w:rFonts w:ascii="Times New Roman" w:hAnsi="Times New Roman"/>
        </w:rPr>
        <w:t xml:space="preserve"> includes recovery for the recently-acquired Chehalis </w:t>
      </w:r>
      <w:proofErr w:type="spellStart"/>
      <w:r w:rsidR="00CB1613">
        <w:rPr>
          <w:rFonts w:ascii="Times New Roman" w:hAnsi="Times New Roman"/>
        </w:rPr>
        <w:t>CCCT</w:t>
      </w:r>
      <w:proofErr w:type="spellEnd"/>
      <w:r>
        <w:rPr>
          <w:rFonts w:ascii="Times New Roman" w:hAnsi="Times New Roman"/>
        </w:rPr>
        <w:t>.</w:t>
      </w:r>
      <w:r w:rsidR="003C6B9F">
        <w:rPr>
          <w:rFonts w:ascii="Times New Roman" w:hAnsi="Times New Roman"/>
        </w:rPr>
        <w:t xml:space="preserve">  All parties, including Public Counsel, supported </w:t>
      </w:r>
      <w:r>
        <w:rPr>
          <w:rFonts w:ascii="Times New Roman" w:hAnsi="Times New Roman"/>
        </w:rPr>
        <w:t>PacifiCorp</w:t>
      </w:r>
      <w:r w:rsidR="003C6B9F">
        <w:rPr>
          <w:rFonts w:ascii="Times New Roman" w:hAnsi="Times New Roman"/>
        </w:rPr>
        <w:t xml:space="preserve">’s acquisition of this </w:t>
      </w:r>
      <w:r w:rsidR="008C3C6E">
        <w:rPr>
          <w:rFonts w:ascii="Times New Roman" w:hAnsi="Times New Roman"/>
        </w:rPr>
        <w:t>resource nearly four</w:t>
      </w:r>
      <w:r>
        <w:rPr>
          <w:rFonts w:ascii="Times New Roman" w:hAnsi="Times New Roman"/>
        </w:rPr>
        <w:t xml:space="preserve"> years prior to its need</w:t>
      </w:r>
      <w:r w:rsidR="003C6B9F">
        <w:rPr>
          <w:rFonts w:ascii="Times New Roman" w:hAnsi="Times New Roman"/>
        </w:rPr>
        <w:t xml:space="preserve">.  The Chehalis </w:t>
      </w:r>
      <w:proofErr w:type="spellStart"/>
      <w:r w:rsidR="003C6B9F">
        <w:rPr>
          <w:rFonts w:ascii="Times New Roman" w:hAnsi="Times New Roman"/>
        </w:rPr>
        <w:t>CCCT</w:t>
      </w:r>
      <w:proofErr w:type="spellEnd"/>
      <w:r w:rsidR="003C6B9F">
        <w:rPr>
          <w:rFonts w:ascii="Times New Roman" w:hAnsi="Times New Roman"/>
        </w:rPr>
        <w:t xml:space="preserve"> plant cost PacifiCorp 50 percent more than </w:t>
      </w:r>
      <w:r>
        <w:rPr>
          <w:rFonts w:ascii="Times New Roman" w:hAnsi="Times New Roman"/>
        </w:rPr>
        <w:t>Lancaster</w:t>
      </w:r>
      <w:r w:rsidR="003C6B9F">
        <w:rPr>
          <w:rFonts w:ascii="Times New Roman" w:hAnsi="Times New Roman"/>
        </w:rPr>
        <w:t xml:space="preserve"> on an adjusted per-kW basis (See Chart 1</w:t>
      </w:r>
      <w:r w:rsidR="00D93770">
        <w:rPr>
          <w:rFonts w:ascii="Times New Roman" w:hAnsi="Times New Roman"/>
        </w:rPr>
        <w:t xml:space="preserve"> above</w:t>
      </w:r>
      <w:r w:rsidR="003C6B9F">
        <w:rPr>
          <w:rFonts w:ascii="Times New Roman" w:hAnsi="Times New Roman"/>
        </w:rPr>
        <w:t>)</w:t>
      </w:r>
      <w:r>
        <w:rPr>
          <w:rFonts w:ascii="Times New Roman" w:hAnsi="Times New Roman"/>
        </w:rPr>
        <w:t>.</w:t>
      </w:r>
    </w:p>
    <w:p w:rsidR="00B136D3" w:rsidRDefault="005A5DE9" w:rsidP="00CB1613">
      <w:pPr>
        <w:pStyle w:val="TestBody"/>
        <w:tabs>
          <w:tab w:val="num" w:pos="720"/>
        </w:tabs>
        <w:spacing w:line="480" w:lineRule="auto"/>
        <w:ind w:left="0" w:firstLine="720"/>
        <w:rPr>
          <w:rFonts w:ascii="Times New Roman" w:hAnsi="Times New Roman"/>
        </w:rPr>
      </w:pPr>
      <w:r>
        <w:rPr>
          <w:rFonts w:ascii="Times New Roman" w:hAnsi="Times New Roman"/>
        </w:rPr>
        <w:t xml:space="preserve">Lancaster </w:t>
      </w:r>
      <w:r w:rsidR="003C6B9F">
        <w:rPr>
          <w:rFonts w:ascii="Times New Roman" w:hAnsi="Times New Roman"/>
        </w:rPr>
        <w:t xml:space="preserve">should be </w:t>
      </w:r>
      <w:r w:rsidR="00CB1613">
        <w:rPr>
          <w:rFonts w:ascii="Times New Roman" w:hAnsi="Times New Roman"/>
        </w:rPr>
        <w:t xml:space="preserve">viewed </w:t>
      </w:r>
      <w:r w:rsidR="003C6B9F">
        <w:rPr>
          <w:rFonts w:ascii="Times New Roman" w:hAnsi="Times New Roman"/>
        </w:rPr>
        <w:t xml:space="preserve">with the long-term nature of this resource in mind.  It </w:t>
      </w:r>
      <w:r>
        <w:rPr>
          <w:rFonts w:ascii="Times New Roman" w:hAnsi="Times New Roman"/>
        </w:rPr>
        <w:t xml:space="preserve">is a very cost-competitive acquisition.  Absent its purchase, </w:t>
      </w:r>
      <w:r w:rsidR="00184D89">
        <w:rPr>
          <w:rFonts w:ascii="Times New Roman" w:hAnsi="Times New Roman"/>
        </w:rPr>
        <w:t xml:space="preserve">Avista </w:t>
      </w:r>
      <w:r>
        <w:rPr>
          <w:rFonts w:ascii="Times New Roman" w:hAnsi="Times New Roman"/>
        </w:rPr>
        <w:t xml:space="preserve">almost certainly would build </w:t>
      </w:r>
      <w:r w:rsidR="003C6B9F">
        <w:rPr>
          <w:rFonts w:ascii="Times New Roman" w:hAnsi="Times New Roman"/>
        </w:rPr>
        <w:t xml:space="preserve">a new </w:t>
      </w:r>
      <w:proofErr w:type="spellStart"/>
      <w:r w:rsidR="003C6B9F">
        <w:rPr>
          <w:rFonts w:ascii="Times New Roman" w:hAnsi="Times New Roman"/>
        </w:rPr>
        <w:t>CCCT</w:t>
      </w:r>
      <w:proofErr w:type="spellEnd"/>
      <w:r w:rsidR="003C6B9F">
        <w:rPr>
          <w:rFonts w:ascii="Times New Roman" w:hAnsi="Times New Roman"/>
        </w:rPr>
        <w:t xml:space="preserve"> </w:t>
      </w:r>
      <w:r>
        <w:rPr>
          <w:rFonts w:ascii="Times New Roman" w:hAnsi="Times New Roman"/>
        </w:rPr>
        <w:t xml:space="preserve">plant at </w:t>
      </w:r>
      <w:r w:rsidR="003C6B9F">
        <w:rPr>
          <w:rFonts w:ascii="Times New Roman" w:hAnsi="Times New Roman"/>
        </w:rPr>
        <w:t xml:space="preserve">significantly </w:t>
      </w:r>
      <w:r w:rsidR="00184D89">
        <w:rPr>
          <w:rFonts w:ascii="Times New Roman" w:hAnsi="Times New Roman"/>
        </w:rPr>
        <w:t xml:space="preserve">higher </w:t>
      </w:r>
      <w:r>
        <w:rPr>
          <w:rFonts w:ascii="Times New Roman" w:hAnsi="Times New Roman"/>
        </w:rPr>
        <w:t>price</w:t>
      </w:r>
      <w:r w:rsidR="00184D89">
        <w:rPr>
          <w:rFonts w:ascii="Times New Roman" w:hAnsi="Times New Roman"/>
        </w:rPr>
        <w:t>s</w:t>
      </w:r>
      <w:r>
        <w:rPr>
          <w:rFonts w:ascii="Times New Roman" w:hAnsi="Times New Roman"/>
        </w:rPr>
        <w:t>.</w:t>
      </w:r>
      <w:r w:rsidR="00CB1613">
        <w:rPr>
          <w:rFonts w:ascii="Times New Roman" w:hAnsi="Times New Roman"/>
        </w:rPr>
        <w:t xml:space="preserve">  </w:t>
      </w:r>
      <w:r w:rsidR="00B136D3">
        <w:rPr>
          <w:rFonts w:ascii="Times New Roman" w:hAnsi="Times New Roman"/>
        </w:rPr>
        <w:t xml:space="preserve">Avista’s 2007 Integrated Resource Plan estimated new </w:t>
      </w:r>
      <w:proofErr w:type="spellStart"/>
      <w:r w:rsidR="00B136D3">
        <w:rPr>
          <w:rFonts w:ascii="Times New Roman" w:hAnsi="Times New Roman"/>
        </w:rPr>
        <w:t>CCCT</w:t>
      </w:r>
      <w:proofErr w:type="spellEnd"/>
      <w:r w:rsidR="00B136D3">
        <w:rPr>
          <w:rFonts w:ascii="Times New Roman" w:hAnsi="Times New Roman"/>
        </w:rPr>
        <w:t xml:space="preserve"> costs to be $859 per kW in 2010; this estimate is in line with the average northwest utility estimate of $874 per kW (see Table 3 below).</w:t>
      </w:r>
    </w:p>
    <w:p w:rsidR="00CB1613" w:rsidRDefault="00BE5FBC" w:rsidP="00CB1613">
      <w:pPr>
        <w:pStyle w:val="TestBody"/>
        <w:tabs>
          <w:tab w:val="num" w:pos="720"/>
        </w:tabs>
        <w:spacing w:line="480" w:lineRule="auto"/>
        <w:ind w:left="0" w:firstLine="720"/>
        <w:rPr>
          <w:rFonts w:ascii="Times New Roman" w:hAnsi="Times New Roman"/>
        </w:rPr>
      </w:pPr>
      <w:r>
        <w:rPr>
          <w:rFonts w:ascii="Times New Roman" w:hAnsi="Times New Roman"/>
        </w:rPr>
        <w:t xml:space="preserve">Avista performed a detailed analysis of the </w:t>
      </w:r>
      <w:r w:rsidR="00B136D3">
        <w:rPr>
          <w:rFonts w:ascii="Times New Roman" w:hAnsi="Times New Roman"/>
        </w:rPr>
        <w:t xml:space="preserve">Lancaster </w:t>
      </w:r>
      <w:r>
        <w:rPr>
          <w:rFonts w:ascii="Times New Roman" w:hAnsi="Times New Roman"/>
        </w:rPr>
        <w:t xml:space="preserve">project, comparing it to </w:t>
      </w:r>
      <w:r w:rsidR="00B136D3">
        <w:rPr>
          <w:rFonts w:ascii="Times New Roman" w:hAnsi="Times New Roman"/>
        </w:rPr>
        <w:t>g</w:t>
      </w:r>
      <w:r>
        <w:rPr>
          <w:rFonts w:ascii="Times New Roman" w:hAnsi="Times New Roman"/>
        </w:rPr>
        <w:t xml:space="preserve">reenfield (new) and </w:t>
      </w:r>
      <w:proofErr w:type="spellStart"/>
      <w:r w:rsidR="00B136D3">
        <w:rPr>
          <w:rFonts w:ascii="Times New Roman" w:hAnsi="Times New Roman"/>
        </w:rPr>
        <w:t>b</w:t>
      </w:r>
      <w:r>
        <w:rPr>
          <w:rFonts w:ascii="Times New Roman" w:hAnsi="Times New Roman"/>
        </w:rPr>
        <w:t>rownfield</w:t>
      </w:r>
      <w:proofErr w:type="spellEnd"/>
      <w:r>
        <w:rPr>
          <w:rFonts w:ascii="Times New Roman" w:hAnsi="Times New Roman"/>
        </w:rPr>
        <w:t xml:space="preserve"> (</w:t>
      </w:r>
      <w:r w:rsidR="00DF15A5">
        <w:rPr>
          <w:rFonts w:ascii="Times New Roman" w:hAnsi="Times New Roman"/>
        </w:rPr>
        <w:t>existing) plants.  We</w:t>
      </w:r>
      <w:r>
        <w:rPr>
          <w:rFonts w:ascii="Times New Roman" w:hAnsi="Times New Roman"/>
        </w:rPr>
        <w:t xml:space="preserve"> considered the plant as part of </w:t>
      </w:r>
      <w:r w:rsidR="00DF15A5">
        <w:rPr>
          <w:rFonts w:ascii="Times New Roman" w:hAnsi="Times New Roman"/>
        </w:rPr>
        <w:t>our</w:t>
      </w:r>
      <w:r>
        <w:rPr>
          <w:rFonts w:ascii="Times New Roman" w:hAnsi="Times New Roman"/>
        </w:rPr>
        <w:t xml:space="preserve"> 2007 IRP and found the facility was a least-cost acquisition that would reduce customer costs by approximately 2.3 percent </w:t>
      </w:r>
      <w:r w:rsidR="00B136D3">
        <w:rPr>
          <w:rFonts w:ascii="Times New Roman" w:hAnsi="Times New Roman"/>
        </w:rPr>
        <w:t xml:space="preserve">as compared to </w:t>
      </w:r>
      <w:r>
        <w:rPr>
          <w:rFonts w:ascii="Times New Roman" w:hAnsi="Times New Roman"/>
        </w:rPr>
        <w:t xml:space="preserve">a </w:t>
      </w:r>
      <w:proofErr w:type="spellStart"/>
      <w:r>
        <w:rPr>
          <w:rFonts w:ascii="Times New Roman" w:hAnsi="Times New Roman"/>
        </w:rPr>
        <w:t>CCCT</w:t>
      </w:r>
      <w:proofErr w:type="spellEnd"/>
      <w:r>
        <w:rPr>
          <w:rFonts w:ascii="Times New Roman" w:hAnsi="Times New Roman"/>
        </w:rPr>
        <w:t xml:space="preserve"> built in 2011, or $43 million</w:t>
      </w:r>
      <w:r w:rsidR="00B136D3">
        <w:rPr>
          <w:rFonts w:ascii="Times New Roman" w:hAnsi="Times New Roman"/>
        </w:rPr>
        <w:t xml:space="preserve"> over the Lancaster contract </w:t>
      </w:r>
      <w:r w:rsidR="00B136D3">
        <w:rPr>
          <w:rFonts w:ascii="Times New Roman" w:hAnsi="Times New Roman"/>
        </w:rPr>
        <w:lastRenderedPageBreak/>
        <w:t>term</w:t>
      </w:r>
      <w:r>
        <w:rPr>
          <w:rFonts w:ascii="Times New Roman" w:hAnsi="Times New Roman"/>
        </w:rPr>
        <w:t>.</w:t>
      </w:r>
      <w:r>
        <w:rPr>
          <w:rStyle w:val="FootnoteReference"/>
          <w:rFonts w:ascii="Times New Roman" w:hAnsi="Times New Roman"/>
        </w:rPr>
        <w:footnoteReference w:id="1"/>
      </w:r>
      <w:r w:rsidR="00CB1613" w:rsidRPr="00CB1613">
        <w:rPr>
          <w:rFonts w:ascii="Times New Roman" w:hAnsi="Times New Roman"/>
        </w:rPr>
        <w:t xml:space="preserve"> </w:t>
      </w:r>
      <w:r w:rsidR="00CB1613">
        <w:rPr>
          <w:rFonts w:ascii="Times New Roman" w:hAnsi="Times New Roman"/>
        </w:rPr>
        <w:t xml:space="preserve"> </w:t>
      </w:r>
      <w:r w:rsidR="00B136D3">
        <w:rPr>
          <w:rFonts w:ascii="Times New Roman" w:hAnsi="Times New Roman"/>
        </w:rPr>
        <w:t xml:space="preserve">Mr. </w:t>
      </w:r>
      <w:r w:rsidR="00CB1613">
        <w:rPr>
          <w:rFonts w:ascii="Times New Roman" w:hAnsi="Times New Roman"/>
        </w:rPr>
        <w:t xml:space="preserve">Randy Lobb, </w:t>
      </w:r>
      <w:r w:rsidR="0089551A">
        <w:rPr>
          <w:rFonts w:ascii="Times New Roman" w:hAnsi="Times New Roman"/>
        </w:rPr>
        <w:t xml:space="preserve">Idaho </w:t>
      </w:r>
      <w:r w:rsidR="00CB1613">
        <w:rPr>
          <w:rFonts w:ascii="Times New Roman" w:hAnsi="Times New Roman"/>
        </w:rPr>
        <w:t>Utilities</w:t>
      </w:r>
      <w:r w:rsidR="0089551A">
        <w:rPr>
          <w:rFonts w:ascii="Times New Roman" w:hAnsi="Times New Roman"/>
        </w:rPr>
        <w:t xml:space="preserve"> Commission</w:t>
      </w:r>
      <w:r w:rsidR="00CB1613">
        <w:rPr>
          <w:rFonts w:ascii="Times New Roman" w:hAnsi="Times New Roman"/>
        </w:rPr>
        <w:t xml:space="preserve"> Division Administrator</w:t>
      </w:r>
      <w:r w:rsidR="00B136D3">
        <w:rPr>
          <w:rFonts w:ascii="Times New Roman" w:hAnsi="Times New Roman"/>
        </w:rPr>
        <w:t xml:space="preserve">, testified in a 2009 regulatory proceeding </w:t>
      </w:r>
      <w:r w:rsidR="006C0B90">
        <w:rPr>
          <w:rFonts w:ascii="Times New Roman" w:hAnsi="Times New Roman"/>
        </w:rPr>
        <w:t xml:space="preserve">before the Idaho Public Utilities Commission (Docket No. </w:t>
      </w:r>
      <w:proofErr w:type="spellStart"/>
      <w:r w:rsidR="006C0B90">
        <w:rPr>
          <w:rFonts w:ascii="Times New Roman" w:hAnsi="Times New Roman"/>
        </w:rPr>
        <w:t>AVU</w:t>
      </w:r>
      <w:proofErr w:type="spellEnd"/>
      <w:r w:rsidR="006C0B90">
        <w:rPr>
          <w:rFonts w:ascii="Times New Roman" w:hAnsi="Times New Roman"/>
        </w:rPr>
        <w:t xml:space="preserve">-09-01) </w:t>
      </w:r>
      <w:r w:rsidR="00B136D3">
        <w:rPr>
          <w:rFonts w:ascii="Times New Roman" w:hAnsi="Times New Roman"/>
        </w:rPr>
        <w:t xml:space="preserve">that authorized </w:t>
      </w:r>
      <w:r w:rsidR="006C0B90">
        <w:rPr>
          <w:rFonts w:ascii="Times New Roman" w:hAnsi="Times New Roman"/>
        </w:rPr>
        <w:t xml:space="preserve">recovery of </w:t>
      </w:r>
      <w:r w:rsidR="00B136D3">
        <w:rPr>
          <w:rFonts w:ascii="Times New Roman" w:hAnsi="Times New Roman"/>
        </w:rPr>
        <w:t>Lancaster</w:t>
      </w:r>
      <w:r w:rsidR="006C0B90">
        <w:rPr>
          <w:rFonts w:ascii="Times New Roman" w:hAnsi="Times New Roman"/>
        </w:rPr>
        <w:t>’s costs:</w:t>
      </w:r>
    </w:p>
    <w:p w:rsidR="00CB1613" w:rsidRDefault="00CB1613" w:rsidP="00CB1613">
      <w:pPr>
        <w:pStyle w:val="TestBody"/>
        <w:tabs>
          <w:tab w:val="num" w:pos="720"/>
        </w:tabs>
        <w:spacing w:line="240" w:lineRule="auto"/>
        <w:ind w:firstLine="0"/>
        <w:rPr>
          <w:rFonts w:ascii="Times New Roman" w:hAnsi="Times New Roman"/>
        </w:rPr>
      </w:pPr>
      <w:r w:rsidRPr="00184D89">
        <w:rPr>
          <w:rFonts w:ascii="Times New Roman" w:hAnsi="Times New Roman"/>
        </w:rPr>
        <w:t>“</w:t>
      </w:r>
      <w:r w:rsidR="00B136D3">
        <w:rPr>
          <w:rFonts w:ascii="Times New Roman" w:hAnsi="Times New Roman"/>
        </w:rPr>
        <w:t>…</w:t>
      </w:r>
      <w:r w:rsidRPr="00184D89">
        <w:rPr>
          <w:rFonts w:ascii="Times New Roman" w:hAnsi="Times New Roman"/>
        </w:rPr>
        <w:t xml:space="preserve">Avista had a demonstrated need and the Company's internal evaluation and that of an independent third party consultant provided extensive economic analysis of the transaction as compared to other alternatives…the price paid for Lancaster over the life of the Agreement was lower than available </w:t>
      </w:r>
      <w:proofErr w:type="spellStart"/>
      <w:r w:rsidRPr="00184D89">
        <w:rPr>
          <w:rFonts w:ascii="Times New Roman" w:hAnsi="Times New Roman"/>
        </w:rPr>
        <w:t>CCCT</w:t>
      </w:r>
      <w:proofErr w:type="spellEnd"/>
      <w:r w:rsidRPr="00184D89">
        <w:rPr>
          <w:rFonts w:ascii="Times New Roman" w:hAnsi="Times New Roman"/>
        </w:rPr>
        <w:t xml:space="preserve"> alternatives. Moreover, when the price is compared to other more recent combined cycle resource acquisitions in the region, the purchase agreement appears even more valuable and beneficial to ratepayers.”</w:t>
      </w:r>
    </w:p>
    <w:p w:rsidR="006C2EC2" w:rsidRPr="00184D89" w:rsidRDefault="006C2EC2" w:rsidP="00CB1613">
      <w:pPr>
        <w:pStyle w:val="TestBody"/>
        <w:tabs>
          <w:tab w:val="num" w:pos="720"/>
        </w:tabs>
        <w:spacing w:line="240" w:lineRule="auto"/>
        <w:ind w:firstLine="0"/>
        <w:rPr>
          <w:rFonts w:ascii="Times New Roman" w:hAnsi="Times New Roman"/>
        </w:rPr>
      </w:pPr>
    </w:p>
    <w:p w:rsidR="00BE5FBC" w:rsidRDefault="00B136D3">
      <w:pPr>
        <w:pStyle w:val="TestBody"/>
        <w:tabs>
          <w:tab w:val="num" w:pos="720"/>
        </w:tabs>
        <w:spacing w:line="480" w:lineRule="auto"/>
        <w:ind w:left="0" w:firstLine="720"/>
        <w:rPr>
          <w:rFonts w:ascii="Times New Roman" w:hAnsi="Times New Roman"/>
        </w:rPr>
      </w:pPr>
      <w:r>
        <w:rPr>
          <w:rFonts w:ascii="Times New Roman" w:hAnsi="Times New Roman"/>
        </w:rPr>
        <w:t xml:space="preserve">It should be remembered that </w:t>
      </w:r>
      <w:r w:rsidR="006D5A00">
        <w:rPr>
          <w:rFonts w:ascii="Times New Roman" w:hAnsi="Times New Roman"/>
        </w:rPr>
        <w:t xml:space="preserve">Avista </w:t>
      </w:r>
      <w:r w:rsidR="00BE5FBC">
        <w:rPr>
          <w:rFonts w:ascii="Times New Roman" w:hAnsi="Times New Roman"/>
        </w:rPr>
        <w:t xml:space="preserve">hired an </w:t>
      </w:r>
      <w:r w:rsidR="00BE5FBC" w:rsidRPr="00274860">
        <w:rPr>
          <w:rFonts w:ascii="Times New Roman" w:hAnsi="Times New Roman"/>
          <w:u w:val="single"/>
        </w:rPr>
        <w:t>independent</w:t>
      </w:r>
      <w:r w:rsidR="00BE5FBC">
        <w:rPr>
          <w:rFonts w:ascii="Times New Roman" w:hAnsi="Times New Roman"/>
        </w:rPr>
        <w:t xml:space="preserve"> consultant to review the project’s economics relative to other </w:t>
      </w:r>
      <w:r w:rsidR="006D5A00">
        <w:rPr>
          <w:rFonts w:ascii="Times New Roman" w:hAnsi="Times New Roman"/>
        </w:rPr>
        <w:t xml:space="preserve">options </w:t>
      </w:r>
      <w:r w:rsidR="00BE5FBC">
        <w:rPr>
          <w:rFonts w:ascii="Times New Roman" w:hAnsi="Times New Roman"/>
        </w:rPr>
        <w:t>available to the Company</w:t>
      </w:r>
      <w:r>
        <w:rPr>
          <w:rFonts w:ascii="Times New Roman" w:hAnsi="Times New Roman"/>
        </w:rPr>
        <w:t xml:space="preserve"> and to review Avista’s planning methodology</w:t>
      </w:r>
      <w:r w:rsidR="00BE5FBC">
        <w:rPr>
          <w:rFonts w:ascii="Times New Roman" w:hAnsi="Times New Roman"/>
        </w:rPr>
        <w:t xml:space="preserve">.  Though performed from a very different </w:t>
      </w:r>
      <w:r>
        <w:rPr>
          <w:rFonts w:ascii="Times New Roman" w:hAnsi="Times New Roman"/>
        </w:rPr>
        <w:t xml:space="preserve">analytical </w:t>
      </w:r>
      <w:r w:rsidR="00BE5FBC">
        <w:rPr>
          <w:rFonts w:ascii="Times New Roman" w:hAnsi="Times New Roman"/>
        </w:rPr>
        <w:t xml:space="preserve">perspective, the </w:t>
      </w:r>
      <w:r w:rsidR="00274860">
        <w:rPr>
          <w:rFonts w:ascii="Times New Roman" w:hAnsi="Times New Roman"/>
        </w:rPr>
        <w:t xml:space="preserve">conclusion </w:t>
      </w:r>
      <w:r>
        <w:rPr>
          <w:rFonts w:ascii="Times New Roman" w:hAnsi="Times New Roman"/>
        </w:rPr>
        <w:t>was the same—Lancaster provides</w:t>
      </w:r>
      <w:r w:rsidR="00BE5FBC">
        <w:rPr>
          <w:rFonts w:ascii="Times New Roman" w:hAnsi="Times New Roman"/>
        </w:rPr>
        <w:t xml:space="preserve"> significant benefits to the Company relative to other recent acquisitions and new </w:t>
      </w:r>
      <w:proofErr w:type="spellStart"/>
      <w:r w:rsidR="00BE5FBC">
        <w:rPr>
          <w:rFonts w:ascii="Times New Roman" w:hAnsi="Times New Roman"/>
        </w:rPr>
        <w:t>CCCT</w:t>
      </w:r>
      <w:proofErr w:type="spellEnd"/>
      <w:r w:rsidR="00BE5FBC">
        <w:rPr>
          <w:rFonts w:ascii="Times New Roman" w:hAnsi="Times New Roman"/>
        </w:rPr>
        <w:t xml:space="preserve"> plant costs.</w:t>
      </w:r>
      <w:r w:rsidR="00144510">
        <w:rPr>
          <w:rFonts w:ascii="Times New Roman" w:hAnsi="Times New Roman"/>
        </w:rPr>
        <w:t xml:space="preserve">  In addition, the consultant found Avista’s planning methodologies were sound and that they surpass</w:t>
      </w:r>
      <w:r w:rsidR="00274860">
        <w:rPr>
          <w:rFonts w:ascii="Times New Roman" w:hAnsi="Times New Roman"/>
        </w:rPr>
        <w:t>ed</w:t>
      </w:r>
      <w:r w:rsidR="00144510">
        <w:rPr>
          <w:rFonts w:ascii="Times New Roman" w:hAnsi="Times New Roman"/>
        </w:rPr>
        <w:t xml:space="preserve"> many of Avista’s peers.</w:t>
      </w:r>
    </w:p>
    <w:p w:rsidR="00BE5FBC" w:rsidRPr="00971649" w:rsidRDefault="00BE5FBC" w:rsidP="00C8091D">
      <w:pPr>
        <w:pStyle w:val="TestBody"/>
        <w:tabs>
          <w:tab w:val="num" w:pos="720"/>
        </w:tabs>
        <w:spacing w:line="480" w:lineRule="auto"/>
        <w:ind w:left="0"/>
        <w:rPr>
          <w:rFonts w:ascii="Times New Roman" w:hAnsi="Times New Roman"/>
        </w:rPr>
      </w:pPr>
      <w:r>
        <w:rPr>
          <w:rFonts w:ascii="Times New Roman" w:hAnsi="Times New Roman"/>
        </w:rPr>
        <w:t>Finally, Exhibit No. ___(</w:t>
      </w:r>
      <w:proofErr w:type="spellStart"/>
      <w:r>
        <w:rPr>
          <w:rFonts w:ascii="Times New Roman" w:hAnsi="Times New Roman"/>
        </w:rPr>
        <w:t>RLS</w:t>
      </w:r>
      <w:proofErr w:type="spellEnd"/>
      <w:r>
        <w:rPr>
          <w:rFonts w:ascii="Times New Roman" w:hAnsi="Times New Roman"/>
        </w:rPr>
        <w:t xml:space="preserve">-6) </w:t>
      </w:r>
      <w:r w:rsidR="00FC2BF9">
        <w:rPr>
          <w:rFonts w:ascii="Times New Roman" w:hAnsi="Times New Roman"/>
        </w:rPr>
        <w:t xml:space="preserve">of Company Witness Storro </w:t>
      </w:r>
      <w:r>
        <w:rPr>
          <w:rFonts w:ascii="Times New Roman" w:hAnsi="Times New Roman"/>
        </w:rPr>
        <w:t xml:space="preserve">provides a discussion of the key </w:t>
      </w:r>
      <w:r w:rsidR="00655C9F">
        <w:rPr>
          <w:rFonts w:ascii="Times New Roman" w:hAnsi="Times New Roman"/>
        </w:rPr>
        <w:t>prudence</w:t>
      </w:r>
      <w:r>
        <w:rPr>
          <w:rFonts w:ascii="Times New Roman" w:hAnsi="Times New Roman"/>
        </w:rPr>
        <w:t xml:space="preserve"> tests outlined in </w:t>
      </w:r>
      <w:r w:rsidR="00C8091D" w:rsidRPr="00C8091D">
        <w:rPr>
          <w:rFonts w:ascii="Times New Roman" w:hAnsi="Times New Roman"/>
        </w:rPr>
        <w:t>Eleventh Supplemental Order and the</w:t>
      </w:r>
      <w:r w:rsidR="00C8091D">
        <w:rPr>
          <w:rFonts w:ascii="Times New Roman" w:hAnsi="Times New Roman"/>
        </w:rPr>
        <w:t xml:space="preserve"> </w:t>
      </w:r>
      <w:r w:rsidR="00C8091D" w:rsidRPr="00C8091D">
        <w:rPr>
          <w:rFonts w:ascii="Times New Roman" w:hAnsi="Times New Roman"/>
        </w:rPr>
        <w:t>Nineteenth Supplemental Order</w:t>
      </w:r>
      <w:r w:rsidR="00C8091D">
        <w:rPr>
          <w:rFonts w:ascii="Times New Roman" w:hAnsi="Times New Roman"/>
        </w:rPr>
        <w:t>,</w:t>
      </w:r>
      <w:r w:rsidR="00C8091D" w:rsidRPr="00C8091D">
        <w:rPr>
          <w:rFonts w:ascii="Times New Roman" w:hAnsi="Times New Roman"/>
        </w:rPr>
        <w:t xml:space="preserve"> both in Docket No. UE-920433</w:t>
      </w:r>
      <w:r w:rsidR="00C8091D">
        <w:rPr>
          <w:rFonts w:ascii="Times New Roman" w:hAnsi="Times New Roman"/>
        </w:rPr>
        <w:t>.</w:t>
      </w:r>
      <w:r w:rsidR="00144510">
        <w:rPr>
          <w:rFonts w:ascii="Times New Roman" w:hAnsi="Times New Roman"/>
        </w:rPr>
        <w:t xml:space="preserve">  The Exhibit explains that Lancaster </w:t>
      </w:r>
      <w:r w:rsidR="00C8091D">
        <w:rPr>
          <w:rFonts w:ascii="Times New Roman" w:hAnsi="Times New Roman"/>
        </w:rPr>
        <w:t xml:space="preserve">meets each </w:t>
      </w:r>
      <w:r w:rsidR="00274860">
        <w:rPr>
          <w:rFonts w:ascii="Times New Roman" w:hAnsi="Times New Roman"/>
        </w:rPr>
        <w:t xml:space="preserve">test </w:t>
      </w:r>
      <w:r w:rsidR="00C8091D">
        <w:rPr>
          <w:rFonts w:ascii="Times New Roman" w:hAnsi="Times New Roman"/>
        </w:rPr>
        <w:t xml:space="preserve">of </w:t>
      </w:r>
      <w:r w:rsidR="00655C9F">
        <w:rPr>
          <w:rFonts w:ascii="Times New Roman" w:hAnsi="Times New Roman"/>
        </w:rPr>
        <w:t>prudence</w:t>
      </w:r>
      <w:r w:rsidR="00274860">
        <w:rPr>
          <w:rFonts w:ascii="Times New Roman" w:hAnsi="Times New Roman"/>
        </w:rPr>
        <w:t xml:space="preserve">  It was a prudent decision when made and remains so today</w:t>
      </w:r>
      <w:r w:rsidR="00C8091D">
        <w:rPr>
          <w:rFonts w:ascii="Times New Roman" w:hAnsi="Times New Roman"/>
        </w:rPr>
        <w:t xml:space="preserve">.  It </w:t>
      </w:r>
      <w:r w:rsidR="00144510">
        <w:rPr>
          <w:rFonts w:ascii="Times New Roman" w:hAnsi="Times New Roman"/>
        </w:rPr>
        <w:t>is needed for utility service</w:t>
      </w:r>
      <w:r w:rsidR="00C8091D">
        <w:rPr>
          <w:rFonts w:ascii="Times New Roman" w:hAnsi="Times New Roman"/>
        </w:rPr>
        <w:t xml:space="preserve"> and</w:t>
      </w:r>
      <w:r w:rsidR="00144510">
        <w:rPr>
          <w:rFonts w:ascii="Times New Roman" w:hAnsi="Times New Roman"/>
        </w:rPr>
        <w:t xml:space="preserve"> is cost-effective, among other points.</w:t>
      </w:r>
    </w:p>
    <w:p w:rsidR="00B951DF" w:rsidRPr="00A8057F" w:rsidRDefault="00B951DF" w:rsidP="00D25132">
      <w:pPr>
        <w:pStyle w:val="TestBody"/>
        <w:tabs>
          <w:tab w:val="num" w:pos="720"/>
        </w:tabs>
        <w:spacing w:line="480" w:lineRule="auto"/>
        <w:ind w:left="0" w:firstLine="720"/>
        <w:rPr>
          <w:rFonts w:ascii="Times New Roman" w:hAnsi="Times New Roman"/>
          <w:b/>
        </w:rPr>
      </w:pPr>
      <w:r w:rsidRPr="00A8057F">
        <w:rPr>
          <w:rFonts w:ascii="Times New Roman" w:hAnsi="Times New Roman"/>
          <w:b/>
        </w:rPr>
        <w:t>Q.</w:t>
      </w:r>
      <w:r w:rsidRPr="00A8057F">
        <w:rPr>
          <w:rFonts w:ascii="Times New Roman" w:hAnsi="Times New Roman"/>
          <w:b/>
        </w:rPr>
        <w:tab/>
        <w:t>Public Counsel</w:t>
      </w:r>
      <w:r w:rsidR="00A8057F" w:rsidRPr="00A8057F">
        <w:rPr>
          <w:rFonts w:ascii="Times New Roman" w:hAnsi="Times New Roman"/>
          <w:b/>
        </w:rPr>
        <w:t>, beginning</w:t>
      </w:r>
      <w:r w:rsidRPr="00A8057F">
        <w:rPr>
          <w:rFonts w:ascii="Times New Roman" w:hAnsi="Times New Roman"/>
          <w:b/>
        </w:rPr>
        <w:t xml:space="preserve"> </w:t>
      </w:r>
      <w:r w:rsidR="00A8057F" w:rsidRPr="00A8057F">
        <w:rPr>
          <w:rFonts w:ascii="Times New Roman" w:hAnsi="Times New Roman"/>
          <w:b/>
        </w:rPr>
        <w:t>at page 11 line 21</w:t>
      </w:r>
      <w:r w:rsidR="00D25132">
        <w:rPr>
          <w:rFonts w:ascii="Times New Roman" w:hAnsi="Times New Roman"/>
          <w:b/>
        </w:rPr>
        <w:t xml:space="preserve"> of Mr. Woodruff’s testimony</w:t>
      </w:r>
      <w:r w:rsidR="00A8057F" w:rsidRPr="00A8057F">
        <w:rPr>
          <w:rFonts w:ascii="Times New Roman" w:hAnsi="Times New Roman"/>
          <w:b/>
        </w:rPr>
        <w:t xml:space="preserve">, </w:t>
      </w:r>
      <w:r w:rsidR="00D25132">
        <w:rPr>
          <w:rFonts w:ascii="Times New Roman" w:hAnsi="Times New Roman"/>
          <w:b/>
        </w:rPr>
        <w:t xml:space="preserve">argues </w:t>
      </w:r>
      <w:r w:rsidR="00A8057F" w:rsidRPr="00A8057F">
        <w:rPr>
          <w:rFonts w:ascii="Times New Roman" w:hAnsi="Times New Roman"/>
          <w:b/>
        </w:rPr>
        <w:t xml:space="preserve">that the Company must make a transaction based on </w:t>
      </w:r>
      <w:r w:rsidR="000E5185">
        <w:rPr>
          <w:rFonts w:ascii="Times New Roman" w:hAnsi="Times New Roman"/>
          <w:b/>
        </w:rPr>
        <w:t>the lower of cost or market.  Will</w:t>
      </w:r>
      <w:r w:rsidR="00A8057F" w:rsidRPr="00A8057F">
        <w:rPr>
          <w:rFonts w:ascii="Times New Roman" w:hAnsi="Times New Roman"/>
          <w:b/>
        </w:rPr>
        <w:t xml:space="preserve"> the Lancaster plant </w:t>
      </w:r>
      <w:r w:rsidR="000E5185">
        <w:rPr>
          <w:rFonts w:ascii="Times New Roman" w:hAnsi="Times New Roman"/>
          <w:b/>
        </w:rPr>
        <w:t xml:space="preserve">be </w:t>
      </w:r>
      <w:r w:rsidR="00A8057F" w:rsidRPr="00A8057F">
        <w:rPr>
          <w:rFonts w:ascii="Times New Roman" w:hAnsi="Times New Roman"/>
          <w:b/>
        </w:rPr>
        <w:t>acquired at cost?</w:t>
      </w:r>
    </w:p>
    <w:p w:rsidR="00A8057F" w:rsidRDefault="00A8057F">
      <w:pPr>
        <w:pStyle w:val="TestBody"/>
        <w:tabs>
          <w:tab w:val="num" w:pos="720"/>
        </w:tabs>
        <w:spacing w:line="480" w:lineRule="auto"/>
        <w:ind w:left="0" w:firstLine="720"/>
        <w:rPr>
          <w:rFonts w:ascii="Times New Roman" w:hAnsi="Times New Roman"/>
        </w:rPr>
      </w:pPr>
      <w:r>
        <w:rPr>
          <w:rFonts w:ascii="Times New Roman" w:hAnsi="Times New Roman"/>
        </w:rPr>
        <w:lastRenderedPageBreak/>
        <w:t>A.</w:t>
      </w:r>
      <w:r>
        <w:rPr>
          <w:rFonts w:ascii="Times New Roman" w:hAnsi="Times New Roman"/>
        </w:rPr>
        <w:tab/>
        <w:t xml:space="preserve">Yes.  Avista </w:t>
      </w:r>
      <w:r w:rsidR="000E5185">
        <w:rPr>
          <w:rFonts w:ascii="Times New Roman" w:hAnsi="Times New Roman"/>
        </w:rPr>
        <w:t>will acquire</w:t>
      </w:r>
      <w:r>
        <w:rPr>
          <w:rFonts w:ascii="Times New Roman" w:hAnsi="Times New Roman"/>
        </w:rPr>
        <w:t xml:space="preserve"> Lancaster at cost.  The contracts </w:t>
      </w:r>
      <w:r w:rsidR="000E5185">
        <w:rPr>
          <w:rFonts w:ascii="Times New Roman" w:hAnsi="Times New Roman"/>
        </w:rPr>
        <w:t xml:space="preserve">will be provided </w:t>
      </w:r>
      <w:r>
        <w:rPr>
          <w:rFonts w:ascii="Times New Roman" w:hAnsi="Times New Roman"/>
        </w:rPr>
        <w:t>to Avista utility customers at cost</w:t>
      </w:r>
      <w:r w:rsidR="007E75E7">
        <w:rPr>
          <w:rFonts w:ascii="Times New Roman" w:hAnsi="Times New Roman"/>
        </w:rPr>
        <w:t xml:space="preserve"> without any markups</w:t>
      </w:r>
      <w:r>
        <w:rPr>
          <w:rFonts w:ascii="Times New Roman" w:hAnsi="Times New Roman"/>
        </w:rPr>
        <w:t>.</w:t>
      </w:r>
    </w:p>
    <w:p w:rsidR="00A8057F" w:rsidRPr="00A8057F" w:rsidRDefault="000E5185">
      <w:pPr>
        <w:pStyle w:val="TestBody"/>
        <w:tabs>
          <w:tab w:val="num" w:pos="720"/>
        </w:tabs>
        <w:spacing w:line="480" w:lineRule="auto"/>
        <w:ind w:left="0" w:firstLine="720"/>
        <w:rPr>
          <w:rFonts w:ascii="Times New Roman" w:hAnsi="Times New Roman"/>
          <w:b/>
        </w:rPr>
      </w:pPr>
      <w:r>
        <w:rPr>
          <w:rFonts w:ascii="Times New Roman" w:hAnsi="Times New Roman"/>
          <w:b/>
        </w:rPr>
        <w:t>Q.</w:t>
      </w:r>
      <w:r>
        <w:rPr>
          <w:rFonts w:ascii="Times New Roman" w:hAnsi="Times New Roman"/>
          <w:b/>
        </w:rPr>
        <w:tab/>
        <w:t>Will</w:t>
      </w:r>
      <w:r w:rsidR="00A8057F" w:rsidRPr="00A8057F">
        <w:rPr>
          <w:rFonts w:ascii="Times New Roman" w:hAnsi="Times New Roman"/>
          <w:b/>
        </w:rPr>
        <w:t xml:space="preserve"> the Lancaster acquisition </w:t>
      </w:r>
      <w:r>
        <w:rPr>
          <w:rFonts w:ascii="Times New Roman" w:hAnsi="Times New Roman"/>
          <w:b/>
        </w:rPr>
        <w:t xml:space="preserve">come to utility customers </w:t>
      </w:r>
      <w:r w:rsidR="00A8057F" w:rsidRPr="00A8057F">
        <w:rPr>
          <w:rFonts w:ascii="Times New Roman" w:hAnsi="Times New Roman"/>
          <w:b/>
        </w:rPr>
        <w:t>at a price above market value?</w:t>
      </w:r>
    </w:p>
    <w:p w:rsidR="00A8057F" w:rsidRDefault="00A8057F">
      <w:pPr>
        <w:pStyle w:val="TestBody"/>
        <w:tabs>
          <w:tab w:val="num" w:pos="720"/>
        </w:tabs>
        <w:spacing w:line="480" w:lineRule="auto"/>
        <w:ind w:left="0" w:firstLine="720"/>
        <w:rPr>
          <w:rFonts w:ascii="Times New Roman" w:hAnsi="Times New Roman"/>
        </w:rPr>
      </w:pPr>
      <w:r>
        <w:rPr>
          <w:rFonts w:ascii="Times New Roman" w:hAnsi="Times New Roman"/>
        </w:rPr>
        <w:t>A.</w:t>
      </w:r>
      <w:r>
        <w:rPr>
          <w:rFonts w:ascii="Times New Roman" w:hAnsi="Times New Roman"/>
        </w:rPr>
        <w:tab/>
        <w:t xml:space="preserve">No.  As clearly demonstrated in Company Witness </w:t>
      </w:r>
      <w:proofErr w:type="spellStart"/>
      <w:r>
        <w:rPr>
          <w:rFonts w:ascii="Times New Roman" w:hAnsi="Times New Roman"/>
        </w:rPr>
        <w:t>Storro’s</w:t>
      </w:r>
      <w:proofErr w:type="spellEnd"/>
      <w:r>
        <w:rPr>
          <w:rFonts w:ascii="Times New Roman" w:hAnsi="Times New Roman"/>
        </w:rPr>
        <w:t xml:space="preserve"> pre-filed direct testimony, </w:t>
      </w:r>
      <w:r w:rsidR="00D25132">
        <w:rPr>
          <w:rFonts w:ascii="Times New Roman" w:hAnsi="Times New Roman"/>
        </w:rPr>
        <w:t xml:space="preserve">and in further illustrations contained herein, </w:t>
      </w:r>
      <w:r>
        <w:rPr>
          <w:rFonts w:ascii="Times New Roman" w:hAnsi="Times New Roman"/>
        </w:rPr>
        <w:t xml:space="preserve">the Lancaster plant was acquired at a price </w:t>
      </w:r>
      <w:r w:rsidR="00274860">
        <w:rPr>
          <w:rFonts w:ascii="Times New Roman" w:hAnsi="Times New Roman"/>
        </w:rPr>
        <w:t xml:space="preserve">substantially </w:t>
      </w:r>
      <w:r>
        <w:rPr>
          <w:rFonts w:ascii="Times New Roman" w:hAnsi="Times New Roman"/>
        </w:rPr>
        <w:t xml:space="preserve">below other </w:t>
      </w:r>
      <w:r w:rsidR="00433E81">
        <w:rPr>
          <w:rFonts w:ascii="Times New Roman" w:hAnsi="Times New Roman"/>
        </w:rPr>
        <w:t xml:space="preserve">market </w:t>
      </w:r>
      <w:r>
        <w:rPr>
          <w:rFonts w:ascii="Times New Roman" w:hAnsi="Times New Roman"/>
        </w:rPr>
        <w:t xml:space="preserve">transactions </w:t>
      </w:r>
      <w:r w:rsidR="007E75E7">
        <w:rPr>
          <w:rFonts w:ascii="Times New Roman" w:hAnsi="Times New Roman"/>
        </w:rPr>
        <w:t>from</w:t>
      </w:r>
      <w:r>
        <w:rPr>
          <w:rFonts w:ascii="Times New Roman" w:hAnsi="Times New Roman"/>
        </w:rPr>
        <w:t xml:space="preserve"> that period</w:t>
      </w:r>
      <w:r w:rsidR="000E5185">
        <w:rPr>
          <w:rFonts w:ascii="Times New Roman" w:hAnsi="Times New Roman"/>
        </w:rPr>
        <w:t>, and since that period</w:t>
      </w:r>
      <w:r>
        <w:rPr>
          <w:rFonts w:ascii="Times New Roman" w:hAnsi="Times New Roman"/>
        </w:rPr>
        <w:t>.  Table 8</w:t>
      </w:r>
      <w:r w:rsidR="00274860">
        <w:rPr>
          <w:rFonts w:ascii="Times New Roman" w:hAnsi="Times New Roman"/>
        </w:rPr>
        <w:t xml:space="preserve">, excerpted </w:t>
      </w:r>
      <w:r>
        <w:rPr>
          <w:rFonts w:ascii="Times New Roman" w:hAnsi="Times New Roman"/>
        </w:rPr>
        <w:t xml:space="preserve">from Witness </w:t>
      </w:r>
      <w:proofErr w:type="spellStart"/>
      <w:r>
        <w:rPr>
          <w:rFonts w:ascii="Times New Roman" w:hAnsi="Times New Roman"/>
        </w:rPr>
        <w:t>Storro’s</w:t>
      </w:r>
      <w:proofErr w:type="spellEnd"/>
      <w:r>
        <w:rPr>
          <w:rFonts w:ascii="Times New Roman" w:hAnsi="Times New Roman"/>
        </w:rPr>
        <w:t xml:space="preserve"> pre-filed testimony Exhibit No. ___ (</w:t>
      </w:r>
      <w:proofErr w:type="spellStart"/>
      <w:r>
        <w:rPr>
          <w:rFonts w:ascii="Times New Roman" w:hAnsi="Times New Roman"/>
        </w:rPr>
        <w:t>RLS</w:t>
      </w:r>
      <w:proofErr w:type="spellEnd"/>
      <w:r>
        <w:rPr>
          <w:rFonts w:ascii="Times New Roman" w:hAnsi="Times New Roman"/>
        </w:rPr>
        <w:t>-6)</w:t>
      </w:r>
      <w:r w:rsidR="00274860">
        <w:rPr>
          <w:rFonts w:ascii="Times New Roman" w:hAnsi="Times New Roman"/>
        </w:rPr>
        <w:t>,</w:t>
      </w:r>
      <w:r>
        <w:rPr>
          <w:rFonts w:ascii="Times New Roman" w:hAnsi="Times New Roman"/>
        </w:rPr>
        <w:t xml:space="preserve"> is worth revisiting here.</w:t>
      </w:r>
    </w:p>
    <w:p w:rsidR="00443156" w:rsidRDefault="00443156" w:rsidP="00433E81">
      <w:pPr>
        <w:adjustRightInd w:val="0"/>
        <w:jc w:val="center"/>
        <w:rPr>
          <w:b/>
          <w:bCs/>
        </w:rPr>
      </w:pPr>
      <w:r>
        <w:rPr>
          <w:b/>
          <w:bCs/>
        </w:rPr>
        <w:t>Table 1</w:t>
      </w:r>
    </w:p>
    <w:p w:rsidR="00A8057F" w:rsidRDefault="00A8057F" w:rsidP="00433E81">
      <w:pPr>
        <w:adjustRightInd w:val="0"/>
        <w:jc w:val="center"/>
        <w:rPr>
          <w:b/>
          <w:bCs/>
        </w:rPr>
      </w:pPr>
      <w:r>
        <w:rPr>
          <w:b/>
          <w:bCs/>
        </w:rPr>
        <w:t xml:space="preserve">Lancaster Levelized Cost vs. Other Regional </w:t>
      </w:r>
      <w:proofErr w:type="spellStart"/>
      <w:r>
        <w:rPr>
          <w:b/>
          <w:bCs/>
        </w:rPr>
        <w:t>CCCT</w:t>
      </w:r>
      <w:proofErr w:type="spellEnd"/>
      <w:r>
        <w:rPr>
          <w:b/>
          <w:bCs/>
        </w:rPr>
        <w:t xml:space="preserve"> Projects Plant</w:t>
      </w:r>
    </w:p>
    <w:p w:rsidR="00A8057F" w:rsidRDefault="00A8057F" w:rsidP="00433E81">
      <w:pPr>
        <w:adjustRightInd w:val="0"/>
        <w:jc w:val="center"/>
        <w:rPr>
          <w:b/>
          <w:bCs/>
        </w:rPr>
      </w:pPr>
      <w:r>
        <w:rPr>
          <w:b/>
          <w:bCs/>
        </w:rPr>
        <w:t>Levelized Cost (2010-2026) $/MWh</w:t>
      </w:r>
    </w:p>
    <w:p w:rsidR="00A8057F" w:rsidRDefault="00A8057F" w:rsidP="00433E81">
      <w:pPr>
        <w:adjustRightInd w:val="0"/>
        <w:jc w:val="center"/>
        <w:rPr>
          <w:b/>
          <w:bCs/>
        </w:rPr>
      </w:pPr>
    </w:p>
    <w:tbl>
      <w:tblPr>
        <w:tblStyle w:val="TableGrid"/>
        <w:tblW w:w="0" w:type="auto"/>
        <w:jc w:val="center"/>
        <w:tblLook w:val="04A0"/>
      </w:tblPr>
      <w:tblGrid>
        <w:gridCol w:w="2003"/>
        <w:gridCol w:w="876"/>
      </w:tblGrid>
      <w:tr w:rsidR="00A8057F" w:rsidTr="00433E81">
        <w:trPr>
          <w:jc w:val="center"/>
        </w:trPr>
        <w:tc>
          <w:tcPr>
            <w:tcW w:w="2003" w:type="dxa"/>
          </w:tcPr>
          <w:p w:rsidR="00A8057F" w:rsidRDefault="00A8057F" w:rsidP="00A8057F">
            <w:pPr>
              <w:adjustRightInd w:val="0"/>
              <w:rPr>
                <w:b/>
                <w:bCs/>
              </w:rPr>
            </w:pPr>
            <w:r>
              <w:t>Coyote Springs 2</w:t>
            </w:r>
          </w:p>
        </w:tc>
        <w:tc>
          <w:tcPr>
            <w:tcW w:w="876" w:type="dxa"/>
          </w:tcPr>
          <w:p w:rsidR="00A8057F" w:rsidRPr="00A8057F" w:rsidRDefault="00A8057F" w:rsidP="00A8057F">
            <w:pPr>
              <w:adjustRightInd w:val="0"/>
              <w:rPr>
                <w:bCs/>
              </w:rPr>
            </w:pPr>
            <w:r w:rsidRPr="00A8057F">
              <w:rPr>
                <w:bCs/>
              </w:rPr>
              <w:t>78.37</w:t>
            </w:r>
          </w:p>
        </w:tc>
      </w:tr>
      <w:tr w:rsidR="00A8057F" w:rsidTr="00433E81">
        <w:trPr>
          <w:jc w:val="center"/>
        </w:trPr>
        <w:tc>
          <w:tcPr>
            <w:tcW w:w="2003" w:type="dxa"/>
          </w:tcPr>
          <w:p w:rsidR="00A8057F" w:rsidRDefault="00A8057F" w:rsidP="00A8057F">
            <w:pPr>
              <w:adjustRightInd w:val="0"/>
              <w:rPr>
                <w:b/>
                <w:bCs/>
              </w:rPr>
            </w:pPr>
            <w:r>
              <w:t>Goldendale</w:t>
            </w:r>
          </w:p>
        </w:tc>
        <w:tc>
          <w:tcPr>
            <w:tcW w:w="876" w:type="dxa"/>
          </w:tcPr>
          <w:p w:rsidR="00A8057F" w:rsidRPr="00A8057F" w:rsidRDefault="00A8057F" w:rsidP="00A8057F">
            <w:pPr>
              <w:adjustRightInd w:val="0"/>
              <w:rPr>
                <w:bCs/>
              </w:rPr>
            </w:pPr>
            <w:r w:rsidRPr="00A8057F">
              <w:rPr>
                <w:bCs/>
              </w:rPr>
              <w:t>97.72</w:t>
            </w:r>
          </w:p>
        </w:tc>
      </w:tr>
      <w:tr w:rsidR="00A8057F" w:rsidTr="00433E81">
        <w:trPr>
          <w:jc w:val="center"/>
        </w:trPr>
        <w:tc>
          <w:tcPr>
            <w:tcW w:w="2003" w:type="dxa"/>
          </w:tcPr>
          <w:p w:rsidR="00A8057F" w:rsidRDefault="00A8057F" w:rsidP="00A8057F">
            <w:pPr>
              <w:adjustRightInd w:val="0"/>
              <w:rPr>
                <w:b/>
                <w:bCs/>
              </w:rPr>
            </w:pPr>
            <w:r>
              <w:t>Port Westward</w:t>
            </w:r>
          </w:p>
        </w:tc>
        <w:tc>
          <w:tcPr>
            <w:tcW w:w="876" w:type="dxa"/>
          </w:tcPr>
          <w:p w:rsidR="00A8057F" w:rsidRPr="00A8057F" w:rsidRDefault="00A8057F" w:rsidP="00A8057F">
            <w:pPr>
              <w:adjustRightInd w:val="0"/>
              <w:rPr>
                <w:bCs/>
              </w:rPr>
            </w:pPr>
            <w:r w:rsidRPr="00A8057F">
              <w:rPr>
                <w:bCs/>
              </w:rPr>
              <w:t>92.80</w:t>
            </w:r>
          </w:p>
        </w:tc>
      </w:tr>
      <w:tr w:rsidR="00A8057F" w:rsidTr="00433E81">
        <w:trPr>
          <w:jc w:val="center"/>
        </w:trPr>
        <w:tc>
          <w:tcPr>
            <w:tcW w:w="2003" w:type="dxa"/>
          </w:tcPr>
          <w:p w:rsidR="00A8057F" w:rsidRDefault="00A8057F" w:rsidP="00A8057F">
            <w:pPr>
              <w:adjustRightInd w:val="0"/>
              <w:rPr>
                <w:b/>
                <w:bCs/>
              </w:rPr>
            </w:pPr>
            <w:r>
              <w:t>Lancaster</w:t>
            </w:r>
          </w:p>
        </w:tc>
        <w:tc>
          <w:tcPr>
            <w:tcW w:w="876" w:type="dxa"/>
          </w:tcPr>
          <w:p w:rsidR="00A8057F" w:rsidRPr="00A8057F" w:rsidRDefault="00A8057F" w:rsidP="00A8057F">
            <w:pPr>
              <w:adjustRightInd w:val="0"/>
              <w:rPr>
                <w:bCs/>
              </w:rPr>
            </w:pPr>
            <w:r w:rsidRPr="00A8057F">
              <w:rPr>
                <w:bCs/>
              </w:rPr>
              <w:t>79.37</w:t>
            </w:r>
          </w:p>
        </w:tc>
      </w:tr>
    </w:tbl>
    <w:p w:rsidR="00A8057F" w:rsidRDefault="00A8057F">
      <w:pPr>
        <w:pStyle w:val="TestBody"/>
        <w:tabs>
          <w:tab w:val="num" w:pos="720"/>
        </w:tabs>
        <w:spacing w:line="480" w:lineRule="auto"/>
        <w:ind w:left="0" w:firstLine="720"/>
        <w:rPr>
          <w:rFonts w:ascii="Times New Roman" w:hAnsi="Times New Roman"/>
          <w:b/>
        </w:rPr>
      </w:pPr>
    </w:p>
    <w:p w:rsidR="007E75E7" w:rsidRPr="007E75E7" w:rsidRDefault="007E75E7">
      <w:pPr>
        <w:pStyle w:val="TestBody"/>
        <w:tabs>
          <w:tab w:val="num" w:pos="720"/>
        </w:tabs>
        <w:spacing w:line="480" w:lineRule="auto"/>
        <w:ind w:left="0" w:firstLine="720"/>
        <w:rPr>
          <w:rFonts w:ascii="Times New Roman" w:hAnsi="Times New Roman"/>
        </w:rPr>
      </w:pPr>
      <w:r>
        <w:rPr>
          <w:rFonts w:ascii="Times New Roman" w:hAnsi="Times New Roman"/>
        </w:rPr>
        <w:t>Further</w:t>
      </w:r>
      <w:r w:rsidR="00274860">
        <w:rPr>
          <w:rFonts w:ascii="Times New Roman" w:hAnsi="Times New Roman"/>
        </w:rPr>
        <w:t>more</w:t>
      </w:r>
      <w:r>
        <w:rPr>
          <w:rFonts w:ascii="Times New Roman" w:hAnsi="Times New Roman"/>
        </w:rPr>
        <w:t>, market conditions since the acquisition prove out the value of the contract.  Prices have only continued to increase</w:t>
      </w:r>
      <w:r w:rsidR="00D25132">
        <w:rPr>
          <w:rFonts w:ascii="Times New Roman" w:hAnsi="Times New Roman"/>
        </w:rPr>
        <w:t xml:space="preserve">, as explained </w:t>
      </w:r>
      <w:r w:rsidR="000E5185">
        <w:rPr>
          <w:rFonts w:ascii="Times New Roman" w:hAnsi="Times New Roman"/>
        </w:rPr>
        <w:t>below</w:t>
      </w:r>
      <w:r>
        <w:rPr>
          <w:rFonts w:ascii="Times New Roman" w:hAnsi="Times New Roman"/>
        </w:rPr>
        <w:t>.</w:t>
      </w:r>
    </w:p>
    <w:p w:rsidR="00433E81" w:rsidRDefault="00433E81">
      <w:pPr>
        <w:pStyle w:val="TestBody"/>
        <w:tabs>
          <w:tab w:val="num" w:pos="720"/>
        </w:tabs>
        <w:spacing w:line="480" w:lineRule="auto"/>
        <w:ind w:left="0" w:firstLine="720"/>
        <w:rPr>
          <w:rFonts w:ascii="Times New Roman" w:hAnsi="Times New Roman"/>
        </w:rPr>
      </w:pPr>
      <w:r>
        <w:rPr>
          <w:rFonts w:ascii="Times New Roman" w:hAnsi="Times New Roman"/>
          <w:b/>
        </w:rPr>
        <w:t>Q.</w:t>
      </w:r>
      <w:r>
        <w:rPr>
          <w:rFonts w:ascii="Times New Roman" w:hAnsi="Times New Roman"/>
          <w:b/>
        </w:rPr>
        <w:tab/>
        <w:t>Are there other transactions that demonstrate the market value of Lancaster?</w:t>
      </w:r>
    </w:p>
    <w:p w:rsidR="00433E81" w:rsidRDefault="00433E81">
      <w:pPr>
        <w:pStyle w:val="TestBody"/>
        <w:tabs>
          <w:tab w:val="num" w:pos="720"/>
        </w:tabs>
        <w:spacing w:line="480" w:lineRule="auto"/>
        <w:ind w:left="0" w:firstLine="720"/>
        <w:rPr>
          <w:rFonts w:ascii="Times New Roman" w:hAnsi="Times New Roman"/>
        </w:rPr>
      </w:pPr>
      <w:r>
        <w:rPr>
          <w:rFonts w:ascii="Times New Roman" w:hAnsi="Times New Roman"/>
        </w:rPr>
        <w:t>A.</w:t>
      </w:r>
      <w:r>
        <w:rPr>
          <w:rFonts w:ascii="Times New Roman" w:hAnsi="Times New Roman"/>
        </w:rPr>
        <w:tab/>
        <w:t>Yes.  The following table details recent acquisition prices for combined-cycle gas-fired plants in the Northwest</w:t>
      </w:r>
      <w:r w:rsidR="00D25132">
        <w:rPr>
          <w:rFonts w:ascii="Times New Roman" w:hAnsi="Times New Roman"/>
        </w:rPr>
        <w:t xml:space="preserve"> with similar operating characteristics</w:t>
      </w:r>
      <w:r>
        <w:rPr>
          <w:rFonts w:ascii="Times New Roman" w:hAnsi="Times New Roman"/>
        </w:rPr>
        <w:t>.  As the table demonstrates, Lancaster is the least expensive</w:t>
      </w:r>
      <w:r w:rsidR="00D25132">
        <w:rPr>
          <w:rFonts w:ascii="Times New Roman" w:hAnsi="Times New Roman"/>
        </w:rPr>
        <w:t xml:space="preserve"> save for Avista’s 2004 re-acquisition of the second half of Coyote Springs 2, and well below the $865</w:t>
      </w:r>
      <w:r w:rsidR="00335816">
        <w:rPr>
          <w:rFonts w:ascii="Times New Roman" w:hAnsi="Times New Roman"/>
        </w:rPr>
        <w:t xml:space="preserve"> per kW average cost</w:t>
      </w:r>
      <w:r>
        <w:rPr>
          <w:rFonts w:ascii="Times New Roman" w:hAnsi="Times New Roman"/>
        </w:rPr>
        <w:t>.</w:t>
      </w:r>
    </w:p>
    <w:p w:rsidR="00274860" w:rsidRDefault="00274860" w:rsidP="009303F1">
      <w:pPr>
        <w:autoSpaceDE/>
        <w:autoSpaceDN/>
        <w:jc w:val="center"/>
        <w:rPr>
          <w:b/>
          <w:bCs/>
        </w:rPr>
      </w:pPr>
    </w:p>
    <w:p w:rsidR="00443156" w:rsidRDefault="009316E1" w:rsidP="009303F1">
      <w:pPr>
        <w:autoSpaceDE/>
        <w:autoSpaceDN/>
        <w:jc w:val="center"/>
        <w:rPr>
          <w:b/>
          <w:bCs/>
        </w:rPr>
      </w:pPr>
      <w:r>
        <w:rPr>
          <w:b/>
          <w:bCs/>
        </w:rPr>
        <w:lastRenderedPageBreak/>
        <w:t>T</w:t>
      </w:r>
      <w:r w:rsidR="00443156">
        <w:rPr>
          <w:b/>
          <w:bCs/>
        </w:rPr>
        <w:t>able 2</w:t>
      </w:r>
    </w:p>
    <w:p w:rsidR="009961E1" w:rsidRDefault="00433E81" w:rsidP="00433E81">
      <w:pPr>
        <w:adjustRightInd w:val="0"/>
        <w:jc w:val="center"/>
        <w:rPr>
          <w:b/>
          <w:bCs/>
        </w:rPr>
      </w:pPr>
      <w:r>
        <w:rPr>
          <w:b/>
          <w:bCs/>
        </w:rPr>
        <w:t xml:space="preserve">Regional </w:t>
      </w:r>
      <w:proofErr w:type="spellStart"/>
      <w:r>
        <w:rPr>
          <w:b/>
          <w:bCs/>
        </w:rPr>
        <w:t>CCCT</w:t>
      </w:r>
      <w:proofErr w:type="spellEnd"/>
      <w:r>
        <w:rPr>
          <w:b/>
          <w:bCs/>
        </w:rPr>
        <w:t xml:space="preserve"> Projects Acquisitions</w:t>
      </w:r>
    </w:p>
    <w:p w:rsidR="00433E81" w:rsidRDefault="009961E1" w:rsidP="00433E81">
      <w:pPr>
        <w:adjustRightInd w:val="0"/>
        <w:jc w:val="center"/>
        <w:rPr>
          <w:b/>
          <w:bCs/>
        </w:rPr>
      </w:pPr>
      <w:r>
        <w:rPr>
          <w:b/>
          <w:bCs/>
        </w:rPr>
        <w:t xml:space="preserve">2000 to Present </w:t>
      </w:r>
      <w:r w:rsidR="00000EE1">
        <w:rPr>
          <w:b/>
          <w:bCs/>
        </w:rPr>
        <w:t>($/kW)</w:t>
      </w:r>
    </w:p>
    <w:p w:rsidR="00000EE1" w:rsidRDefault="00000EE1" w:rsidP="00433E81">
      <w:pPr>
        <w:adjustRightInd w:val="0"/>
        <w:jc w:val="center"/>
        <w:rPr>
          <w:b/>
          <w:bCs/>
        </w:rPr>
      </w:pPr>
    </w:p>
    <w:tbl>
      <w:tblPr>
        <w:tblStyle w:val="TableGrid"/>
        <w:tblW w:w="8065" w:type="dxa"/>
        <w:jc w:val="center"/>
        <w:tblLook w:val="04A0"/>
      </w:tblPr>
      <w:tblGrid>
        <w:gridCol w:w="3053"/>
        <w:gridCol w:w="723"/>
        <w:gridCol w:w="773"/>
        <w:gridCol w:w="905"/>
        <w:gridCol w:w="1484"/>
        <w:gridCol w:w="1127"/>
      </w:tblGrid>
      <w:tr w:rsidR="00195EAB" w:rsidTr="00195EAB">
        <w:trPr>
          <w:jc w:val="center"/>
        </w:trPr>
        <w:tc>
          <w:tcPr>
            <w:tcW w:w="3053" w:type="dxa"/>
            <w:vAlign w:val="bottom"/>
          </w:tcPr>
          <w:p w:rsidR="00000EE1" w:rsidRPr="00000EE1" w:rsidRDefault="00000EE1" w:rsidP="00000EE1">
            <w:pPr>
              <w:jc w:val="center"/>
              <w:rPr>
                <w:b/>
                <w:color w:val="000000"/>
              </w:rPr>
            </w:pPr>
            <w:r w:rsidRPr="00000EE1">
              <w:rPr>
                <w:b/>
                <w:color w:val="000000"/>
              </w:rPr>
              <w:t>Plant</w:t>
            </w:r>
          </w:p>
        </w:tc>
        <w:tc>
          <w:tcPr>
            <w:tcW w:w="723" w:type="dxa"/>
            <w:vAlign w:val="bottom"/>
          </w:tcPr>
          <w:p w:rsidR="00000EE1" w:rsidRPr="00000EE1" w:rsidRDefault="00000EE1" w:rsidP="00000EE1">
            <w:pPr>
              <w:jc w:val="center"/>
              <w:rPr>
                <w:b/>
                <w:color w:val="000000"/>
              </w:rPr>
            </w:pPr>
            <w:r w:rsidRPr="00000EE1">
              <w:rPr>
                <w:b/>
                <w:color w:val="000000"/>
              </w:rPr>
              <w:t>Year</w:t>
            </w:r>
          </w:p>
        </w:tc>
        <w:tc>
          <w:tcPr>
            <w:tcW w:w="773" w:type="dxa"/>
            <w:vAlign w:val="bottom"/>
          </w:tcPr>
          <w:p w:rsidR="00000EE1" w:rsidRPr="00000EE1" w:rsidRDefault="00000EE1" w:rsidP="00000EE1">
            <w:pPr>
              <w:jc w:val="center"/>
              <w:rPr>
                <w:b/>
                <w:color w:val="000000"/>
              </w:rPr>
            </w:pPr>
            <w:r w:rsidRPr="00000EE1">
              <w:rPr>
                <w:b/>
                <w:color w:val="000000"/>
              </w:rPr>
              <w:t>Cost</w:t>
            </w:r>
          </w:p>
        </w:tc>
        <w:tc>
          <w:tcPr>
            <w:tcW w:w="905" w:type="dxa"/>
            <w:vAlign w:val="bottom"/>
          </w:tcPr>
          <w:p w:rsidR="00000EE1" w:rsidRPr="00000EE1" w:rsidRDefault="00000EE1" w:rsidP="00000EE1">
            <w:pPr>
              <w:jc w:val="center"/>
              <w:rPr>
                <w:b/>
                <w:color w:val="000000"/>
              </w:rPr>
            </w:pPr>
            <w:r w:rsidRPr="00000EE1">
              <w:rPr>
                <w:b/>
                <w:color w:val="000000"/>
              </w:rPr>
              <w:t>2010 Cost</w:t>
            </w:r>
            <w:r w:rsidR="00195EAB">
              <w:rPr>
                <w:b/>
                <w:color w:val="000000"/>
              </w:rPr>
              <w:t xml:space="preserve"> *</w:t>
            </w:r>
          </w:p>
        </w:tc>
        <w:tc>
          <w:tcPr>
            <w:tcW w:w="1484" w:type="dxa"/>
            <w:vAlign w:val="bottom"/>
          </w:tcPr>
          <w:p w:rsidR="00000EE1" w:rsidRPr="00000EE1" w:rsidRDefault="00000EE1" w:rsidP="00000EE1">
            <w:pPr>
              <w:jc w:val="center"/>
              <w:rPr>
                <w:b/>
                <w:color w:val="000000"/>
              </w:rPr>
            </w:pPr>
            <w:r w:rsidRPr="00000EE1">
              <w:rPr>
                <w:b/>
                <w:color w:val="000000"/>
              </w:rPr>
              <w:t>WA Gas Tax Adj.</w:t>
            </w:r>
            <w:r w:rsidR="00195EAB">
              <w:rPr>
                <w:b/>
                <w:color w:val="000000"/>
              </w:rPr>
              <w:t xml:space="preserve"> **</w:t>
            </w:r>
          </w:p>
        </w:tc>
        <w:tc>
          <w:tcPr>
            <w:tcW w:w="1127" w:type="dxa"/>
            <w:vAlign w:val="bottom"/>
          </w:tcPr>
          <w:p w:rsidR="00000EE1" w:rsidRPr="00000EE1" w:rsidRDefault="00000EE1" w:rsidP="00000EE1">
            <w:pPr>
              <w:jc w:val="center"/>
              <w:rPr>
                <w:b/>
                <w:color w:val="000000"/>
              </w:rPr>
            </w:pPr>
            <w:r w:rsidRPr="00000EE1">
              <w:rPr>
                <w:b/>
                <w:color w:val="000000"/>
              </w:rPr>
              <w:t>Net 2010 Cost</w:t>
            </w:r>
          </w:p>
        </w:tc>
      </w:tr>
      <w:tr w:rsidR="00AA4436" w:rsidTr="00A25D1A">
        <w:trPr>
          <w:jc w:val="center"/>
        </w:trPr>
        <w:tc>
          <w:tcPr>
            <w:tcW w:w="3053" w:type="dxa"/>
            <w:vAlign w:val="bottom"/>
          </w:tcPr>
          <w:p w:rsidR="00AA4436" w:rsidRPr="00000EE1" w:rsidRDefault="00AA4436">
            <w:pPr>
              <w:rPr>
                <w:color w:val="000000"/>
              </w:rPr>
            </w:pPr>
            <w:r w:rsidRPr="00000EE1">
              <w:rPr>
                <w:color w:val="000000"/>
              </w:rPr>
              <w:t>Coyote Springs 2</w:t>
            </w:r>
          </w:p>
        </w:tc>
        <w:tc>
          <w:tcPr>
            <w:tcW w:w="723" w:type="dxa"/>
            <w:vAlign w:val="bottom"/>
          </w:tcPr>
          <w:p w:rsidR="00AA4436" w:rsidRPr="00000EE1" w:rsidRDefault="00AA4436">
            <w:pPr>
              <w:jc w:val="right"/>
              <w:rPr>
                <w:color w:val="000000"/>
              </w:rPr>
            </w:pPr>
            <w:r w:rsidRPr="00000EE1">
              <w:rPr>
                <w:color w:val="000000"/>
              </w:rPr>
              <w:t>2000</w:t>
            </w:r>
          </w:p>
        </w:tc>
        <w:tc>
          <w:tcPr>
            <w:tcW w:w="773" w:type="dxa"/>
            <w:vAlign w:val="bottom"/>
          </w:tcPr>
          <w:p w:rsidR="00AA4436" w:rsidRPr="00000EE1" w:rsidRDefault="00AA4436" w:rsidP="00000EE1">
            <w:pPr>
              <w:jc w:val="right"/>
              <w:rPr>
                <w:color w:val="000000"/>
              </w:rPr>
            </w:pPr>
            <w:r w:rsidRPr="00000EE1">
              <w:rPr>
                <w:color w:val="000000"/>
              </w:rPr>
              <w:t xml:space="preserve">668 </w:t>
            </w:r>
          </w:p>
        </w:tc>
        <w:tc>
          <w:tcPr>
            <w:tcW w:w="905" w:type="dxa"/>
            <w:vAlign w:val="bottom"/>
          </w:tcPr>
          <w:p w:rsidR="00AA4436" w:rsidRPr="00000EE1" w:rsidRDefault="00AA4436" w:rsidP="00000EE1">
            <w:pPr>
              <w:jc w:val="right"/>
              <w:rPr>
                <w:color w:val="000000"/>
              </w:rPr>
            </w:pPr>
            <w:r w:rsidRPr="00000EE1">
              <w:rPr>
                <w:color w:val="000000"/>
              </w:rPr>
              <w:t xml:space="preserve">898 </w:t>
            </w:r>
          </w:p>
        </w:tc>
        <w:tc>
          <w:tcPr>
            <w:tcW w:w="1484" w:type="dxa"/>
          </w:tcPr>
          <w:p w:rsidR="00AA4436" w:rsidRPr="00C102BD" w:rsidRDefault="00AA4436" w:rsidP="00AA4436">
            <w:pPr>
              <w:jc w:val="right"/>
            </w:pPr>
            <w:r w:rsidRPr="00C102BD">
              <w:t xml:space="preserve"> -   </w:t>
            </w:r>
          </w:p>
        </w:tc>
        <w:tc>
          <w:tcPr>
            <w:tcW w:w="1127" w:type="dxa"/>
          </w:tcPr>
          <w:p w:rsidR="00AA4436" w:rsidRPr="00C102BD" w:rsidRDefault="00AA4436" w:rsidP="00AA4436">
            <w:pPr>
              <w:jc w:val="right"/>
            </w:pPr>
            <w:r w:rsidRPr="00C102BD">
              <w:t xml:space="preserve"> 898 </w:t>
            </w:r>
          </w:p>
        </w:tc>
      </w:tr>
      <w:tr w:rsidR="00AA4436" w:rsidTr="00A25D1A">
        <w:trPr>
          <w:jc w:val="center"/>
        </w:trPr>
        <w:tc>
          <w:tcPr>
            <w:tcW w:w="3053" w:type="dxa"/>
            <w:vAlign w:val="bottom"/>
          </w:tcPr>
          <w:p w:rsidR="00AA4436" w:rsidRPr="00000EE1" w:rsidRDefault="00AA4436">
            <w:pPr>
              <w:rPr>
                <w:color w:val="000000"/>
              </w:rPr>
            </w:pPr>
            <w:r w:rsidRPr="00000EE1">
              <w:rPr>
                <w:color w:val="000000"/>
              </w:rPr>
              <w:t>Coyote Springs 2 (2nd Half)</w:t>
            </w:r>
          </w:p>
        </w:tc>
        <w:tc>
          <w:tcPr>
            <w:tcW w:w="723" w:type="dxa"/>
            <w:vAlign w:val="bottom"/>
          </w:tcPr>
          <w:p w:rsidR="00AA4436" w:rsidRPr="00000EE1" w:rsidRDefault="00AA4436">
            <w:pPr>
              <w:jc w:val="right"/>
              <w:rPr>
                <w:color w:val="000000"/>
              </w:rPr>
            </w:pPr>
            <w:r w:rsidRPr="00000EE1">
              <w:rPr>
                <w:color w:val="000000"/>
              </w:rPr>
              <w:t>2004</w:t>
            </w:r>
          </w:p>
        </w:tc>
        <w:tc>
          <w:tcPr>
            <w:tcW w:w="773" w:type="dxa"/>
            <w:vAlign w:val="bottom"/>
          </w:tcPr>
          <w:p w:rsidR="00AA4436" w:rsidRPr="00000EE1" w:rsidRDefault="00AA4436" w:rsidP="00000EE1">
            <w:pPr>
              <w:jc w:val="right"/>
              <w:rPr>
                <w:color w:val="000000"/>
              </w:rPr>
            </w:pPr>
            <w:r w:rsidRPr="00000EE1">
              <w:rPr>
                <w:color w:val="000000"/>
              </w:rPr>
              <w:t xml:space="preserve">446 </w:t>
            </w:r>
          </w:p>
        </w:tc>
        <w:tc>
          <w:tcPr>
            <w:tcW w:w="905" w:type="dxa"/>
            <w:vAlign w:val="bottom"/>
          </w:tcPr>
          <w:p w:rsidR="00AA4436" w:rsidRPr="00000EE1" w:rsidRDefault="00AA4436" w:rsidP="00000EE1">
            <w:pPr>
              <w:jc w:val="right"/>
              <w:rPr>
                <w:color w:val="000000"/>
              </w:rPr>
            </w:pPr>
            <w:r w:rsidRPr="00000EE1">
              <w:rPr>
                <w:color w:val="000000"/>
              </w:rPr>
              <w:t xml:space="preserve">533 </w:t>
            </w:r>
          </w:p>
        </w:tc>
        <w:tc>
          <w:tcPr>
            <w:tcW w:w="1484" w:type="dxa"/>
          </w:tcPr>
          <w:p w:rsidR="00AA4436" w:rsidRPr="00C102BD" w:rsidRDefault="00AA4436" w:rsidP="00AA4436">
            <w:pPr>
              <w:jc w:val="right"/>
            </w:pPr>
            <w:r w:rsidRPr="00C102BD">
              <w:t xml:space="preserve"> -   </w:t>
            </w:r>
          </w:p>
        </w:tc>
        <w:tc>
          <w:tcPr>
            <w:tcW w:w="1127" w:type="dxa"/>
          </w:tcPr>
          <w:p w:rsidR="00AA4436" w:rsidRPr="00C102BD" w:rsidRDefault="00AA4436" w:rsidP="00AA4436">
            <w:pPr>
              <w:jc w:val="right"/>
            </w:pPr>
            <w:r w:rsidRPr="00C102BD">
              <w:t xml:space="preserve"> 533 </w:t>
            </w:r>
          </w:p>
        </w:tc>
      </w:tr>
      <w:tr w:rsidR="00AA4436" w:rsidTr="00A25D1A">
        <w:trPr>
          <w:jc w:val="center"/>
        </w:trPr>
        <w:tc>
          <w:tcPr>
            <w:tcW w:w="3053" w:type="dxa"/>
            <w:vAlign w:val="bottom"/>
          </w:tcPr>
          <w:p w:rsidR="00AA4436" w:rsidRPr="00000EE1" w:rsidRDefault="00AA4436">
            <w:pPr>
              <w:rPr>
                <w:color w:val="000000"/>
              </w:rPr>
            </w:pPr>
            <w:r w:rsidRPr="00000EE1">
              <w:rPr>
                <w:color w:val="000000"/>
              </w:rPr>
              <w:t>Goldendale</w:t>
            </w:r>
          </w:p>
        </w:tc>
        <w:tc>
          <w:tcPr>
            <w:tcW w:w="723" w:type="dxa"/>
            <w:vAlign w:val="bottom"/>
          </w:tcPr>
          <w:p w:rsidR="00AA4436" w:rsidRPr="00000EE1" w:rsidRDefault="00AA4436">
            <w:pPr>
              <w:jc w:val="right"/>
              <w:rPr>
                <w:color w:val="000000"/>
              </w:rPr>
            </w:pPr>
            <w:r w:rsidRPr="00000EE1">
              <w:rPr>
                <w:color w:val="000000"/>
              </w:rPr>
              <w:t>2006</w:t>
            </w:r>
          </w:p>
        </w:tc>
        <w:tc>
          <w:tcPr>
            <w:tcW w:w="773" w:type="dxa"/>
            <w:vAlign w:val="bottom"/>
          </w:tcPr>
          <w:p w:rsidR="00AA4436" w:rsidRPr="00000EE1" w:rsidRDefault="00AA4436" w:rsidP="00000EE1">
            <w:pPr>
              <w:jc w:val="right"/>
              <w:rPr>
                <w:color w:val="000000"/>
              </w:rPr>
            </w:pPr>
            <w:r w:rsidRPr="00000EE1">
              <w:rPr>
                <w:color w:val="000000"/>
              </w:rPr>
              <w:t xml:space="preserve">480 </w:t>
            </w:r>
          </w:p>
        </w:tc>
        <w:tc>
          <w:tcPr>
            <w:tcW w:w="905" w:type="dxa"/>
            <w:vAlign w:val="bottom"/>
          </w:tcPr>
          <w:p w:rsidR="00AA4436" w:rsidRPr="00000EE1" w:rsidRDefault="00AA4436" w:rsidP="00000EE1">
            <w:pPr>
              <w:jc w:val="right"/>
              <w:rPr>
                <w:color w:val="000000"/>
              </w:rPr>
            </w:pPr>
            <w:r w:rsidRPr="00000EE1">
              <w:rPr>
                <w:color w:val="000000"/>
              </w:rPr>
              <w:t xml:space="preserve">540 </w:t>
            </w:r>
          </w:p>
        </w:tc>
        <w:tc>
          <w:tcPr>
            <w:tcW w:w="1484" w:type="dxa"/>
          </w:tcPr>
          <w:p w:rsidR="00AA4436" w:rsidRPr="00C102BD" w:rsidRDefault="00AA4436" w:rsidP="00AA4436">
            <w:pPr>
              <w:jc w:val="right"/>
            </w:pPr>
            <w:r w:rsidRPr="00C102BD">
              <w:t xml:space="preserve"> 255 </w:t>
            </w:r>
          </w:p>
        </w:tc>
        <w:tc>
          <w:tcPr>
            <w:tcW w:w="1127" w:type="dxa"/>
          </w:tcPr>
          <w:p w:rsidR="00AA4436" w:rsidRPr="00C102BD" w:rsidRDefault="00AA4436" w:rsidP="00AA4436">
            <w:pPr>
              <w:jc w:val="right"/>
            </w:pPr>
            <w:r w:rsidRPr="00C102BD">
              <w:t xml:space="preserve"> 795 </w:t>
            </w:r>
          </w:p>
        </w:tc>
      </w:tr>
      <w:tr w:rsidR="00AA4436" w:rsidTr="00A25D1A">
        <w:trPr>
          <w:jc w:val="center"/>
        </w:trPr>
        <w:tc>
          <w:tcPr>
            <w:tcW w:w="3053" w:type="dxa"/>
            <w:vAlign w:val="bottom"/>
          </w:tcPr>
          <w:p w:rsidR="00AA4436" w:rsidRPr="00000EE1" w:rsidRDefault="00AA4436">
            <w:pPr>
              <w:rPr>
                <w:color w:val="000000"/>
              </w:rPr>
            </w:pPr>
            <w:r w:rsidRPr="00000EE1">
              <w:rPr>
                <w:color w:val="000000"/>
              </w:rPr>
              <w:t>Mint Farm</w:t>
            </w:r>
          </w:p>
        </w:tc>
        <w:tc>
          <w:tcPr>
            <w:tcW w:w="723" w:type="dxa"/>
            <w:vAlign w:val="bottom"/>
          </w:tcPr>
          <w:p w:rsidR="00AA4436" w:rsidRPr="00000EE1" w:rsidRDefault="00AA4436">
            <w:pPr>
              <w:jc w:val="right"/>
              <w:rPr>
                <w:color w:val="000000"/>
              </w:rPr>
            </w:pPr>
            <w:r w:rsidRPr="00000EE1">
              <w:rPr>
                <w:color w:val="000000"/>
              </w:rPr>
              <w:t>2008</w:t>
            </w:r>
          </w:p>
        </w:tc>
        <w:tc>
          <w:tcPr>
            <w:tcW w:w="773" w:type="dxa"/>
            <w:vAlign w:val="bottom"/>
          </w:tcPr>
          <w:p w:rsidR="00AA4436" w:rsidRPr="00000EE1" w:rsidRDefault="00AA4436" w:rsidP="00000EE1">
            <w:pPr>
              <w:jc w:val="right"/>
              <w:rPr>
                <w:color w:val="000000"/>
              </w:rPr>
            </w:pPr>
            <w:r w:rsidRPr="00000EE1">
              <w:rPr>
                <w:color w:val="000000"/>
              </w:rPr>
              <w:t xml:space="preserve">876 </w:t>
            </w:r>
          </w:p>
        </w:tc>
        <w:tc>
          <w:tcPr>
            <w:tcW w:w="905" w:type="dxa"/>
            <w:vAlign w:val="bottom"/>
          </w:tcPr>
          <w:p w:rsidR="00AA4436" w:rsidRPr="00000EE1" w:rsidRDefault="00AA4436" w:rsidP="00000EE1">
            <w:pPr>
              <w:jc w:val="right"/>
              <w:rPr>
                <w:color w:val="000000"/>
              </w:rPr>
            </w:pPr>
            <w:r w:rsidRPr="00000EE1">
              <w:rPr>
                <w:color w:val="000000"/>
              </w:rPr>
              <w:t xml:space="preserve">929 </w:t>
            </w:r>
          </w:p>
        </w:tc>
        <w:tc>
          <w:tcPr>
            <w:tcW w:w="1484" w:type="dxa"/>
          </w:tcPr>
          <w:p w:rsidR="00AA4436" w:rsidRPr="00C102BD" w:rsidRDefault="00AA4436" w:rsidP="00AA4436">
            <w:pPr>
              <w:jc w:val="right"/>
            </w:pPr>
            <w:r w:rsidRPr="00C102BD">
              <w:t xml:space="preserve"> 255 </w:t>
            </w:r>
          </w:p>
        </w:tc>
        <w:tc>
          <w:tcPr>
            <w:tcW w:w="1127" w:type="dxa"/>
          </w:tcPr>
          <w:p w:rsidR="00AA4436" w:rsidRPr="00C102BD" w:rsidRDefault="00AA4436" w:rsidP="00AA4436">
            <w:pPr>
              <w:jc w:val="right"/>
            </w:pPr>
            <w:r w:rsidRPr="00C102BD">
              <w:t xml:space="preserve"> 1,184 </w:t>
            </w:r>
          </w:p>
        </w:tc>
      </w:tr>
      <w:tr w:rsidR="00AA4436" w:rsidTr="00A25D1A">
        <w:trPr>
          <w:jc w:val="center"/>
        </w:trPr>
        <w:tc>
          <w:tcPr>
            <w:tcW w:w="3053" w:type="dxa"/>
            <w:vAlign w:val="bottom"/>
          </w:tcPr>
          <w:p w:rsidR="00AA4436" w:rsidRPr="00000EE1" w:rsidRDefault="00AA4436">
            <w:pPr>
              <w:rPr>
                <w:color w:val="000000"/>
              </w:rPr>
            </w:pPr>
            <w:r w:rsidRPr="00000EE1">
              <w:rPr>
                <w:color w:val="000000"/>
              </w:rPr>
              <w:t>Chehalis</w:t>
            </w:r>
          </w:p>
        </w:tc>
        <w:tc>
          <w:tcPr>
            <w:tcW w:w="723" w:type="dxa"/>
            <w:vAlign w:val="bottom"/>
          </w:tcPr>
          <w:p w:rsidR="00AA4436" w:rsidRPr="00000EE1" w:rsidRDefault="00AA4436">
            <w:pPr>
              <w:jc w:val="right"/>
              <w:rPr>
                <w:color w:val="000000"/>
              </w:rPr>
            </w:pPr>
            <w:r w:rsidRPr="00000EE1">
              <w:rPr>
                <w:color w:val="000000"/>
              </w:rPr>
              <w:t>2008</w:t>
            </w:r>
          </w:p>
        </w:tc>
        <w:tc>
          <w:tcPr>
            <w:tcW w:w="773" w:type="dxa"/>
            <w:vAlign w:val="bottom"/>
          </w:tcPr>
          <w:p w:rsidR="00AA4436" w:rsidRPr="00000EE1" w:rsidRDefault="00AA4436" w:rsidP="00000EE1">
            <w:pPr>
              <w:jc w:val="right"/>
              <w:rPr>
                <w:color w:val="000000"/>
              </w:rPr>
            </w:pPr>
            <w:r w:rsidRPr="00000EE1">
              <w:rPr>
                <w:color w:val="000000"/>
              </w:rPr>
              <w:t xml:space="preserve">592 </w:t>
            </w:r>
          </w:p>
        </w:tc>
        <w:tc>
          <w:tcPr>
            <w:tcW w:w="905" w:type="dxa"/>
            <w:vAlign w:val="bottom"/>
          </w:tcPr>
          <w:p w:rsidR="00AA4436" w:rsidRPr="00000EE1" w:rsidRDefault="00AA4436" w:rsidP="00000EE1">
            <w:pPr>
              <w:jc w:val="right"/>
              <w:rPr>
                <w:color w:val="000000"/>
              </w:rPr>
            </w:pPr>
            <w:r w:rsidRPr="00000EE1">
              <w:rPr>
                <w:color w:val="000000"/>
              </w:rPr>
              <w:t xml:space="preserve">628 </w:t>
            </w:r>
          </w:p>
        </w:tc>
        <w:tc>
          <w:tcPr>
            <w:tcW w:w="1484" w:type="dxa"/>
          </w:tcPr>
          <w:p w:rsidR="00AA4436" w:rsidRPr="00C102BD" w:rsidRDefault="00AA4436" w:rsidP="00AA4436">
            <w:pPr>
              <w:jc w:val="right"/>
            </w:pPr>
            <w:r w:rsidRPr="00C102BD">
              <w:t xml:space="preserve"> 255 </w:t>
            </w:r>
          </w:p>
        </w:tc>
        <w:tc>
          <w:tcPr>
            <w:tcW w:w="1127" w:type="dxa"/>
          </w:tcPr>
          <w:p w:rsidR="00AA4436" w:rsidRPr="00C102BD" w:rsidRDefault="00AA4436" w:rsidP="00AA4436">
            <w:pPr>
              <w:jc w:val="right"/>
            </w:pPr>
            <w:r w:rsidRPr="00C102BD">
              <w:t xml:space="preserve"> 883 </w:t>
            </w:r>
          </w:p>
        </w:tc>
      </w:tr>
      <w:tr w:rsidR="00AA4436" w:rsidTr="00A25D1A">
        <w:trPr>
          <w:jc w:val="center"/>
        </w:trPr>
        <w:tc>
          <w:tcPr>
            <w:tcW w:w="3053" w:type="dxa"/>
            <w:vAlign w:val="bottom"/>
          </w:tcPr>
          <w:p w:rsidR="00AA4436" w:rsidRPr="00000EE1" w:rsidRDefault="00AA4436">
            <w:pPr>
              <w:rPr>
                <w:color w:val="000000"/>
              </w:rPr>
            </w:pPr>
            <w:r w:rsidRPr="00000EE1">
              <w:rPr>
                <w:color w:val="000000"/>
              </w:rPr>
              <w:t>Langley Gulch</w:t>
            </w:r>
          </w:p>
        </w:tc>
        <w:tc>
          <w:tcPr>
            <w:tcW w:w="723" w:type="dxa"/>
            <w:vAlign w:val="bottom"/>
          </w:tcPr>
          <w:p w:rsidR="00AA4436" w:rsidRPr="00000EE1" w:rsidRDefault="00AA4436">
            <w:pPr>
              <w:jc w:val="right"/>
              <w:rPr>
                <w:color w:val="000000"/>
              </w:rPr>
            </w:pPr>
            <w:r w:rsidRPr="00000EE1">
              <w:rPr>
                <w:color w:val="000000"/>
              </w:rPr>
              <w:t>2010</w:t>
            </w:r>
          </w:p>
        </w:tc>
        <w:tc>
          <w:tcPr>
            <w:tcW w:w="773" w:type="dxa"/>
            <w:vAlign w:val="bottom"/>
          </w:tcPr>
          <w:p w:rsidR="00AA4436" w:rsidRPr="00000EE1" w:rsidRDefault="00AA4436" w:rsidP="00000EE1">
            <w:pPr>
              <w:jc w:val="right"/>
              <w:rPr>
                <w:color w:val="000000"/>
              </w:rPr>
            </w:pPr>
            <w:r w:rsidRPr="00000EE1">
              <w:rPr>
                <w:color w:val="000000"/>
              </w:rPr>
              <w:t xml:space="preserve">1,295 </w:t>
            </w:r>
          </w:p>
        </w:tc>
        <w:tc>
          <w:tcPr>
            <w:tcW w:w="905" w:type="dxa"/>
            <w:vAlign w:val="bottom"/>
          </w:tcPr>
          <w:p w:rsidR="00AA4436" w:rsidRPr="00000EE1" w:rsidRDefault="00AA4436" w:rsidP="00000EE1">
            <w:pPr>
              <w:jc w:val="right"/>
              <w:rPr>
                <w:color w:val="000000"/>
              </w:rPr>
            </w:pPr>
            <w:r w:rsidRPr="00000EE1">
              <w:rPr>
                <w:color w:val="000000"/>
              </w:rPr>
              <w:t xml:space="preserve">1,295 </w:t>
            </w:r>
          </w:p>
        </w:tc>
        <w:tc>
          <w:tcPr>
            <w:tcW w:w="1484" w:type="dxa"/>
          </w:tcPr>
          <w:p w:rsidR="00AA4436" w:rsidRPr="00C102BD" w:rsidRDefault="00AA4436" w:rsidP="00AA4436">
            <w:pPr>
              <w:jc w:val="right"/>
            </w:pPr>
            <w:r w:rsidRPr="00C102BD">
              <w:t xml:space="preserve"> -   </w:t>
            </w:r>
          </w:p>
        </w:tc>
        <w:tc>
          <w:tcPr>
            <w:tcW w:w="1127" w:type="dxa"/>
          </w:tcPr>
          <w:p w:rsidR="00AA4436" w:rsidRPr="00C102BD" w:rsidRDefault="00AA4436" w:rsidP="00AA4436">
            <w:pPr>
              <w:jc w:val="right"/>
            </w:pPr>
            <w:r w:rsidRPr="00C102BD">
              <w:t xml:space="preserve"> 1,295 </w:t>
            </w:r>
          </w:p>
        </w:tc>
      </w:tr>
      <w:tr w:rsidR="00AA4436" w:rsidTr="00A25D1A">
        <w:trPr>
          <w:jc w:val="center"/>
        </w:trPr>
        <w:tc>
          <w:tcPr>
            <w:tcW w:w="3053" w:type="dxa"/>
            <w:vAlign w:val="bottom"/>
          </w:tcPr>
          <w:p w:rsidR="00AA4436" w:rsidRPr="00000EE1" w:rsidRDefault="00AA4436">
            <w:pPr>
              <w:rPr>
                <w:color w:val="000000"/>
              </w:rPr>
            </w:pPr>
            <w:r w:rsidRPr="00000EE1">
              <w:rPr>
                <w:color w:val="000000"/>
              </w:rPr>
              <w:t>Port Westward</w:t>
            </w:r>
          </w:p>
        </w:tc>
        <w:tc>
          <w:tcPr>
            <w:tcW w:w="723" w:type="dxa"/>
            <w:vAlign w:val="bottom"/>
          </w:tcPr>
          <w:p w:rsidR="00AA4436" w:rsidRPr="00000EE1" w:rsidRDefault="00AA4436">
            <w:pPr>
              <w:jc w:val="right"/>
              <w:rPr>
                <w:color w:val="000000"/>
              </w:rPr>
            </w:pPr>
            <w:r w:rsidRPr="00000EE1">
              <w:rPr>
                <w:color w:val="000000"/>
              </w:rPr>
              <w:t>2007</w:t>
            </w:r>
          </w:p>
        </w:tc>
        <w:tc>
          <w:tcPr>
            <w:tcW w:w="773" w:type="dxa"/>
            <w:vAlign w:val="bottom"/>
          </w:tcPr>
          <w:p w:rsidR="00AA4436" w:rsidRPr="00000EE1" w:rsidRDefault="00AA4436" w:rsidP="00000EE1">
            <w:pPr>
              <w:jc w:val="right"/>
              <w:rPr>
                <w:color w:val="000000"/>
              </w:rPr>
            </w:pPr>
            <w:r w:rsidRPr="00000EE1">
              <w:rPr>
                <w:color w:val="000000"/>
              </w:rPr>
              <w:t xml:space="preserve">718 </w:t>
            </w:r>
          </w:p>
        </w:tc>
        <w:tc>
          <w:tcPr>
            <w:tcW w:w="905" w:type="dxa"/>
            <w:vAlign w:val="bottom"/>
          </w:tcPr>
          <w:p w:rsidR="00AA4436" w:rsidRPr="00000EE1" w:rsidRDefault="00AA4436" w:rsidP="00000EE1">
            <w:pPr>
              <w:jc w:val="right"/>
              <w:rPr>
                <w:color w:val="000000"/>
              </w:rPr>
            </w:pPr>
            <w:r w:rsidRPr="00000EE1">
              <w:rPr>
                <w:color w:val="000000"/>
              </w:rPr>
              <w:t xml:space="preserve">785 </w:t>
            </w:r>
          </w:p>
        </w:tc>
        <w:tc>
          <w:tcPr>
            <w:tcW w:w="1484" w:type="dxa"/>
          </w:tcPr>
          <w:p w:rsidR="00AA4436" w:rsidRPr="00C102BD" w:rsidRDefault="00AA4436" w:rsidP="00AA4436">
            <w:pPr>
              <w:jc w:val="right"/>
            </w:pPr>
            <w:r w:rsidRPr="00C102BD">
              <w:t xml:space="preserve"> -   </w:t>
            </w:r>
          </w:p>
        </w:tc>
        <w:tc>
          <w:tcPr>
            <w:tcW w:w="1127" w:type="dxa"/>
          </w:tcPr>
          <w:p w:rsidR="00AA4436" w:rsidRPr="00C102BD" w:rsidRDefault="00AA4436" w:rsidP="00AA4436">
            <w:pPr>
              <w:jc w:val="right"/>
            </w:pPr>
            <w:r w:rsidRPr="00C102BD">
              <w:t xml:space="preserve"> 785 </w:t>
            </w:r>
          </w:p>
        </w:tc>
      </w:tr>
      <w:tr w:rsidR="00AA4436" w:rsidTr="00A25D1A">
        <w:trPr>
          <w:jc w:val="center"/>
        </w:trPr>
        <w:tc>
          <w:tcPr>
            <w:tcW w:w="3053" w:type="dxa"/>
            <w:vAlign w:val="bottom"/>
          </w:tcPr>
          <w:p w:rsidR="00AA4436" w:rsidRPr="00274860" w:rsidRDefault="00AA4436">
            <w:pPr>
              <w:rPr>
                <w:b/>
                <w:color w:val="000000"/>
              </w:rPr>
            </w:pPr>
            <w:r w:rsidRPr="00274860">
              <w:rPr>
                <w:b/>
                <w:color w:val="000000"/>
              </w:rPr>
              <w:t>Lancaster</w:t>
            </w:r>
          </w:p>
        </w:tc>
        <w:tc>
          <w:tcPr>
            <w:tcW w:w="723" w:type="dxa"/>
            <w:vAlign w:val="bottom"/>
          </w:tcPr>
          <w:p w:rsidR="00AA4436" w:rsidRPr="00274860" w:rsidRDefault="00AA4436">
            <w:pPr>
              <w:jc w:val="right"/>
              <w:rPr>
                <w:b/>
                <w:color w:val="000000"/>
              </w:rPr>
            </w:pPr>
            <w:r w:rsidRPr="00274860">
              <w:rPr>
                <w:b/>
                <w:color w:val="000000"/>
              </w:rPr>
              <w:t>2010</w:t>
            </w:r>
          </w:p>
        </w:tc>
        <w:tc>
          <w:tcPr>
            <w:tcW w:w="773" w:type="dxa"/>
            <w:vAlign w:val="bottom"/>
          </w:tcPr>
          <w:p w:rsidR="00AA4436" w:rsidRPr="00274860" w:rsidRDefault="00AA4436" w:rsidP="00000EE1">
            <w:pPr>
              <w:jc w:val="right"/>
              <w:rPr>
                <w:b/>
                <w:color w:val="000000"/>
              </w:rPr>
            </w:pPr>
            <w:r w:rsidRPr="00274860">
              <w:rPr>
                <w:b/>
                <w:color w:val="000000"/>
              </w:rPr>
              <w:t xml:space="preserve">550 </w:t>
            </w:r>
          </w:p>
        </w:tc>
        <w:tc>
          <w:tcPr>
            <w:tcW w:w="905" w:type="dxa"/>
            <w:vAlign w:val="bottom"/>
          </w:tcPr>
          <w:p w:rsidR="00AA4436" w:rsidRPr="00274860" w:rsidRDefault="00AA4436" w:rsidP="00000EE1">
            <w:pPr>
              <w:jc w:val="right"/>
              <w:rPr>
                <w:b/>
                <w:color w:val="000000"/>
              </w:rPr>
            </w:pPr>
            <w:r w:rsidRPr="00274860">
              <w:rPr>
                <w:b/>
                <w:color w:val="000000"/>
              </w:rPr>
              <w:t xml:space="preserve">550 </w:t>
            </w:r>
          </w:p>
        </w:tc>
        <w:tc>
          <w:tcPr>
            <w:tcW w:w="1484" w:type="dxa"/>
          </w:tcPr>
          <w:p w:rsidR="00AA4436" w:rsidRPr="00274860" w:rsidRDefault="00AA4436" w:rsidP="00AA4436">
            <w:pPr>
              <w:jc w:val="right"/>
              <w:rPr>
                <w:b/>
              </w:rPr>
            </w:pPr>
            <w:r w:rsidRPr="00274860">
              <w:rPr>
                <w:b/>
              </w:rPr>
              <w:t xml:space="preserve"> -   </w:t>
            </w:r>
          </w:p>
        </w:tc>
        <w:tc>
          <w:tcPr>
            <w:tcW w:w="1127" w:type="dxa"/>
          </w:tcPr>
          <w:p w:rsidR="00AA4436" w:rsidRPr="00274860" w:rsidRDefault="00AA4436" w:rsidP="00AA4436">
            <w:pPr>
              <w:jc w:val="right"/>
              <w:rPr>
                <w:b/>
              </w:rPr>
            </w:pPr>
            <w:r w:rsidRPr="00274860">
              <w:rPr>
                <w:b/>
              </w:rPr>
              <w:t xml:space="preserve"> 550 </w:t>
            </w:r>
          </w:p>
        </w:tc>
      </w:tr>
      <w:tr w:rsidR="00AA4436" w:rsidTr="00A25D1A">
        <w:trPr>
          <w:jc w:val="center"/>
        </w:trPr>
        <w:tc>
          <w:tcPr>
            <w:tcW w:w="3053" w:type="dxa"/>
            <w:vAlign w:val="bottom"/>
          </w:tcPr>
          <w:p w:rsidR="00AA4436" w:rsidRPr="00274860" w:rsidRDefault="00AA4436" w:rsidP="00D25132">
            <w:pPr>
              <w:spacing w:before="60" w:after="60"/>
              <w:rPr>
                <w:b/>
                <w:color w:val="000000"/>
              </w:rPr>
            </w:pPr>
            <w:r w:rsidRPr="00274860">
              <w:rPr>
                <w:b/>
                <w:color w:val="000000"/>
              </w:rPr>
              <w:t>Average</w:t>
            </w:r>
          </w:p>
        </w:tc>
        <w:tc>
          <w:tcPr>
            <w:tcW w:w="723" w:type="dxa"/>
            <w:vAlign w:val="bottom"/>
          </w:tcPr>
          <w:p w:rsidR="00AA4436" w:rsidRPr="00274860" w:rsidRDefault="00AA4436" w:rsidP="00D25132">
            <w:pPr>
              <w:spacing w:before="60" w:after="60"/>
              <w:rPr>
                <w:b/>
                <w:color w:val="000000"/>
              </w:rPr>
            </w:pPr>
          </w:p>
        </w:tc>
        <w:tc>
          <w:tcPr>
            <w:tcW w:w="773" w:type="dxa"/>
            <w:vAlign w:val="bottom"/>
          </w:tcPr>
          <w:p w:rsidR="00AA4436" w:rsidRPr="00274860" w:rsidRDefault="00AA4436" w:rsidP="00D25132">
            <w:pPr>
              <w:spacing w:before="60" w:after="60"/>
              <w:jc w:val="right"/>
              <w:rPr>
                <w:b/>
                <w:color w:val="000000"/>
              </w:rPr>
            </w:pPr>
          </w:p>
        </w:tc>
        <w:tc>
          <w:tcPr>
            <w:tcW w:w="905" w:type="dxa"/>
            <w:vAlign w:val="bottom"/>
          </w:tcPr>
          <w:p w:rsidR="00AA4436" w:rsidRPr="00274860" w:rsidRDefault="00AA4436" w:rsidP="00D25132">
            <w:pPr>
              <w:spacing w:before="60" w:after="60"/>
              <w:jc w:val="right"/>
              <w:rPr>
                <w:b/>
                <w:color w:val="000000"/>
              </w:rPr>
            </w:pPr>
          </w:p>
        </w:tc>
        <w:tc>
          <w:tcPr>
            <w:tcW w:w="1484" w:type="dxa"/>
          </w:tcPr>
          <w:p w:rsidR="00AA4436" w:rsidRPr="00274860" w:rsidRDefault="00AA4436" w:rsidP="00D25132">
            <w:pPr>
              <w:spacing w:before="60" w:after="60"/>
              <w:jc w:val="right"/>
              <w:rPr>
                <w:b/>
              </w:rPr>
            </w:pPr>
          </w:p>
        </w:tc>
        <w:tc>
          <w:tcPr>
            <w:tcW w:w="1127" w:type="dxa"/>
          </w:tcPr>
          <w:p w:rsidR="00AA4436" w:rsidRPr="00274860" w:rsidRDefault="00AA4436" w:rsidP="00D25132">
            <w:pPr>
              <w:spacing w:before="60" w:after="60"/>
              <w:jc w:val="right"/>
              <w:rPr>
                <w:b/>
              </w:rPr>
            </w:pPr>
            <w:r w:rsidRPr="00274860">
              <w:rPr>
                <w:b/>
              </w:rPr>
              <w:t xml:space="preserve"> 865 </w:t>
            </w:r>
          </w:p>
        </w:tc>
      </w:tr>
    </w:tbl>
    <w:p w:rsidR="00335816" w:rsidRDefault="00335816" w:rsidP="00195EAB">
      <w:pPr>
        <w:pStyle w:val="TestBody"/>
        <w:spacing w:line="240" w:lineRule="auto"/>
        <w:ind w:firstLine="0"/>
        <w:rPr>
          <w:rFonts w:ascii="Times New Roman" w:hAnsi="Times New Roman"/>
          <w:sz w:val="20"/>
          <w:szCs w:val="20"/>
        </w:rPr>
      </w:pPr>
      <w:r w:rsidRPr="007722AF">
        <w:rPr>
          <w:rFonts w:ascii="Times New Roman" w:hAnsi="Times New Roman"/>
          <w:sz w:val="20"/>
          <w:szCs w:val="20"/>
        </w:rPr>
        <w:t>* escalated at 3% per year from year of estimate to 2010</w:t>
      </w:r>
    </w:p>
    <w:p w:rsidR="00195EAB" w:rsidRPr="007722AF" w:rsidRDefault="00195EAB" w:rsidP="00335816">
      <w:pPr>
        <w:pStyle w:val="TestBody"/>
        <w:spacing w:line="480" w:lineRule="auto"/>
        <w:ind w:firstLine="0"/>
        <w:rPr>
          <w:rFonts w:ascii="Times New Roman" w:hAnsi="Times New Roman"/>
          <w:sz w:val="20"/>
          <w:szCs w:val="20"/>
        </w:rPr>
      </w:pPr>
      <w:r>
        <w:rPr>
          <w:rFonts w:ascii="Times New Roman" w:hAnsi="Times New Roman"/>
          <w:sz w:val="20"/>
          <w:szCs w:val="20"/>
        </w:rPr>
        <w:t xml:space="preserve">** reflects present value </w:t>
      </w:r>
      <w:r w:rsidR="007E75E7">
        <w:rPr>
          <w:rFonts w:ascii="Times New Roman" w:hAnsi="Times New Roman"/>
          <w:sz w:val="20"/>
          <w:szCs w:val="20"/>
        </w:rPr>
        <w:t xml:space="preserve">cost </w:t>
      </w:r>
      <w:r>
        <w:rPr>
          <w:rFonts w:ascii="Times New Roman" w:hAnsi="Times New Roman"/>
          <w:sz w:val="20"/>
          <w:szCs w:val="20"/>
        </w:rPr>
        <w:t>of WA state gas tax</w:t>
      </w:r>
      <w:r w:rsidR="007E75E7">
        <w:rPr>
          <w:rFonts w:ascii="Times New Roman" w:hAnsi="Times New Roman"/>
          <w:sz w:val="20"/>
          <w:szCs w:val="20"/>
        </w:rPr>
        <w:t xml:space="preserve"> cost attributable to Washington-located </w:t>
      </w:r>
      <w:proofErr w:type="spellStart"/>
      <w:r w:rsidR="007E75E7">
        <w:rPr>
          <w:rFonts w:ascii="Times New Roman" w:hAnsi="Times New Roman"/>
          <w:sz w:val="20"/>
          <w:szCs w:val="20"/>
        </w:rPr>
        <w:t>CCCT</w:t>
      </w:r>
      <w:proofErr w:type="spellEnd"/>
      <w:r w:rsidR="007E75E7">
        <w:rPr>
          <w:rFonts w:ascii="Times New Roman" w:hAnsi="Times New Roman"/>
          <w:sz w:val="20"/>
          <w:szCs w:val="20"/>
        </w:rPr>
        <w:t xml:space="preserve"> plants</w:t>
      </w:r>
    </w:p>
    <w:p w:rsidR="00000EE1" w:rsidRDefault="00000EE1">
      <w:pPr>
        <w:pStyle w:val="TestBody"/>
        <w:tabs>
          <w:tab w:val="num" w:pos="720"/>
        </w:tabs>
        <w:spacing w:line="480" w:lineRule="auto"/>
        <w:ind w:left="0" w:firstLine="720"/>
        <w:rPr>
          <w:rFonts w:ascii="Times New Roman" w:hAnsi="Times New Roman"/>
        </w:rPr>
      </w:pPr>
      <w:r>
        <w:rPr>
          <w:rFonts w:ascii="Times New Roman" w:hAnsi="Times New Roman"/>
        </w:rPr>
        <w:t>Two adjustments were made to the data</w:t>
      </w:r>
      <w:r w:rsidR="00D25132">
        <w:rPr>
          <w:rFonts w:ascii="Times New Roman" w:hAnsi="Times New Roman"/>
        </w:rPr>
        <w:t xml:space="preserve"> in Table 2</w:t>
      </w:r>
      <w:r>
        <w:rPr>
          <w:rFonts w:ascii="Times New Roman" w:hAnsi="Times New Roman"/>
        </w:rPr>
        <w:t>.  First, each transaction price was adjusted to 2010 dollars from the year of its acquisition</w:t>
      </w:r>
      <w:r w:rsidR="00D25132">
        <w:rPr>
          <w:rFonts w:ascii="Times New Roman" w:hAnsi="Times New Roman"/>
        </w:rPr>
        <w:t xml:space="preserve"> to make a level comparison between the plants</w:t>
      </w:r>
      <w:r>
        <w:rPr>
          <w:rFonts w:ascii="Times New Roman" w:hAnsi="Times New Roman"/>
        </w:rPr>
        <w:t xml:space="preserve">.  Second, each Washington-based plant </w:t>
      </w:r>
      <w:r w:rsidR="00D25132">
        <w:rPr>
          <w:rFonts w:ascii="Times New Roman" w:hAnsi="Times New Roman"/>
        </w:rPr>
        <w:t xml:space="preserve">incurs a usage tax of nearly 4 percent that plants located in Idaho and Oregon do not.  </w:t>
      </w:r>
      <w:r w:rsidR="00274860">
        <w:rPr>
          <w:rFonts w:ascii="Times New Roman" w:hAnsi="Times New Roman"/>
        </w:rPr>
        <w:t>Accordingly, it is necessary to adjust t</w:t>
      </w:r>
      <w:r>
        <w:rPr>
          <w:rFonts w:ascii="Times New Roman" w:hAnsi="Times New Roman"/>
        </w:rPr>
        <w:t>he price</w:t>
      </w:r>
      <w:r w:rsidR="00D25132">
        <w:rPr>
          <w:rFonts w:ascii="Times New Roman" w:hAnsi="Times New Roman"/>
        </w:rPr>
        <w:t>s</w:t>
      </w:r>
      <w:r>
        <w:rPr>
          <w:rFonts w:ascii="Times New Roman" w:hAnsi="Times New Roman"/>
        </w:rPr>
        <w:t xml:space="preserve"> </w:t>
      </w:r>
      <w:r w:rsidR="00D25132">
        <w:rPr>
          <w:rFonts w:ascii="Times New Roman" w:hAnsi="Times New Roman"/>
        </w:rPr>
        <w:t xml:space="preserve">of Washington-based plants </w:t>
      </w:r>
      <w:r>
        <w:rPr>
          <w:rFonts w:ascii="Times New Roman" w:hAnsi="Times New Roman"/>
        </w:rPr>
        <w:t>by $</w:t>
      </w:r>
      <w:r w:rsidR="00AA4436">
        <w:rPr>
          <w:rFonts w:ascii="Times New Roman" w:hAnsi="Times New Roman"/>
        </w:rPr>
        <w:t>255</w:t>
      </w:r>
      <w:r>
        <w:rPr>
          <w:rFonts w:ascii="Times New Roman" w:hAnsi="Times New Roman"/>
        </w:rPr>
        <w:t xml:space="preserve"> per kW to reflect th</w:t>
      </w:r>
      <w:r w:rsidR="00D25132">
        <w:rPr>
          <w:rFonts w:ascii="Times New Roman" w:hAnsi="Times New Roman"/>
        </w:rPr>
        <w:t>is cost</w:t>
      </w:r>
      <w:r>
        <w:rPr>
          <w:rFonts w:ascii="Times New Roman" w:hAnsi="Times New Roman"/>
        </w:rPr>
        <w:t>.</w:t>
      </w:r>
    </w:p>
    <w:p w:rsidR="005E1D44" w:rsidRPr="005E1D44" w:rsidRDefault="005E1D44">
      <w:pPr>
        <w:pStyle w:val="TestBody"/>
        <w:tabs>
          <w:tab w:val="num" w:pos="720"/>
        </w:tabs>
        <w:spacing w:line="480" w:lineRule="auto"/>
        <w:ind w:left="0" w:firstLine="720"/>
        <w:rPr>
          <w:rFonts w:ascii="Times New Roman" w:hAnsi="Times New Roman"/>
          <w:b/>
        </w:rPr>
      </w:pPr>
      <w:r w:rsidRPr="005E1D44">
        <w:rPr>
          <w:rFonts w:ascii="Times New Roman" w:hAnsi="Times New Roman"/>
          <w:b/>
        </w:rPr>
        <w:t>Q.</w:t>
      </w:r>
      <w:r w:rsidRPr="005E1D44">
        <w:rPr>
          <w:rFonts w:ascii="Times New Roman" w:hAnsi="Times New Roman"/>
          <w:b/>
        </w:rPr>
        <w:tab/>
        <w:t xml:space="preserve">What were regional planning entities estimating the cost of </w:t>
      </w:r>
      <w:proofErr w:type="spellStart"/>
      <w:r w:rsidRPr="005E1D44">
        <w:rPr>
          <w:rFonts w:ascii="Times New Roman" w:hAnsi="Times New Roman"/>
          <w:b/>
        </w:rPr>
        <w:t>CCCTs</w:t>
      </w:r>
      <w:proofErr w:type="spellEnd"/>
      <w:r w:rsidRPr="005E1D44">
        <w:rPr>
          <w:rFonts w:ascii="Times New Roman" w:hAnsi="Times New Roman"/>
          <w:b/>
        </w:rPr>
        <w:t xml:space="preserve"> to be at the time of the Lancaster acquisition?</w:t>
      </w:r>
    </w:p>
    <w:p w:rsidR="00E80104" w:rsidRDefault="005E1D44">
      <w:pPr>
        <w:pStyle w:val="TestBody"/>
        <w:tabs>
          <w:tab w:val="num" w:pos="720"/>
        </w:tabs>
        <w:spacing w:line="480" w:lineRule="auto"/>
        <w:ind w:left="0" w:firstLine="720"/>
        <w:rPr>
          <w:rFonts w:ascii="Times New Roman" w:hAnsi="Times New Roman"/>
        </w:rPr>
      </w:pPr>
      <w:r>
        <w:rPr>
          <w:rFonts w:ascii="Times New Roman" w:hAnsi="Times New Roman"/>
        </w:rPr>
        <w:t>A.</w:t>
      </w:r>
      <w:r>
        <w:rPr>
          <w:rFonts w:ascii="Times New Roman" w:hAnsi="Times New Roman"/>
        </w:rPr>
        <w:tab/>
      </w:r>
      <w:proofErr w:type="spellStart"/>
      <w:r w:rsidR="009E33EB">
        <w:rPr>
          <w:rFonts w:ascii="Times New Roman" w:hAnsi="Times New Roman"/>
        </w:rPr>
        <w:t>IRPs</w:t>
      </w:r>
      <w:proofErr w:type="spellEnd"/>
      <w:r w:rsidR="00790F77">
        <w:rPr>
          <w:rFonts w:ascii="Times New Roman" w:hAnsi="Times New Roman"/>
        </w:rPr>
        <w:t xml:space="preserve"> from other regional utilities</w:t>
      </w:r>
      <w:r w:rsidR="009E33EB">
        <w:rPr>
          <w:rFonts w:ascii="Times New Roman" w:hAnsi="Times New Roman"/>
        </w:rPr>
        <w:t xml:space="preserve">, </w:t>
      </w:r>
      <w:r>
        <w:rPr>
          <w:rFonts w:ascii="Times New Roman" w:hAnsi="Times New Roman"/>
        </w:rPr>
        <w:t xml:space="preserve">and the </w:t>
      </w:r>
      <w:r w:rsidR="009E33EB">
        <w:rPr>
          <w:rFonts w:ascii="Times New Roman" w:hAnsi="Times New Roman"/>
        </w:rPr>
        <w:t>Northwest Power and Conservation</w:t>
      </w:r>
      <w:r>
        <w:rPr>
          <w:rFonts w:ascii="Times New Roman" w:hAnsi="Times New Roman"/>
        </w:rPr>
        <w:t xml:space="preserve"> Council data available at the time of the Lancaster acquisition</w:t>
      </w:r>
      <w:r w:rsidR="00790F77">
        <w:rPr>
          <w:rFonts w:ascii="Times New Roman" w:hAnsi="Times New Roman"/>
        </w:rPr>
        <w:t>,</w:t>
      </w:r>
      <w:r>
        <w:rPr>
          <w:rFonts w:ascii="Times New Roman" w:hAnsi="Times New Roman"/>
        </w:rPr>
        <w:t xml:space="preserve"> estimated </w:t>
      </w:r>
      <w:r w:rsidR="003949A6">
        <w:rPr>
          <w:rFonts w:ascii="Times New Roman" w:hAnsi="Times New Roman"/>
        </w:rPr>
        <w:t xml:space="preserve">the cost of </w:t>
      </w:r>
      <w:r w:rsidR="009E33EB">
        <w:rPr>
          <w:rFonts w:ascii="Times New Roman" w:hAnsi="Times New Roman"/>
        </w:rPr>
        <w:t xml:space="preserve">new </w:t>
      </w:r>
      <w:proofErr w:type="spellStart"/>
      <w:r w:rsidR="009E33EB">
        <w:rPr>
          <w:rFonts w:ascii="Times New Roman" w:hAnsi="Times New Roman"/>
        </w:rPr>
        <w:t>CCCT</w:t>
      </w:r>
      <w:proofErr w:type="spellEnd"/>
      <w:r w:rsidR="009E33EB">
        <w:rPr>
          <w:rFonts w:ascii="Times New Roman" w:hAnsi="Times New Roman"/>
        </w:rPr>
        <w:t xml:space="preserve"> plant</w:t>
      </w:r>
      <w:r>
        <w:rPr>
          <w:rFonts w:ascii="Times New Roman" w:hAnsi="Times New Roman"/>
        </w:rPr>
        <w:t>s</w:t>
      </w:r>
      <w:r w:rsidR="009E33EB">
        <w:rPr>
          <w:rFonts w:ascii="Times New Roman" w:hAnsi="Times New Roman"/>
        </w:rPr>
        <w:t xml:space="preserve"> greatly above the price of the Lancaster contract.  </w:t>
      </w:r>
      <w:r w:rsidR="00790F77">
        <w:rPr>
          <w:rFonts w:ascii="Times New Roman" w:hAnsi="Times New Roman"/>
        </w:rPr>
        <w:t>T</w:t>
      </w:r>
      <w:r w:rsidR="009E33EB">
        <w:rPr>
          <w:rFonts w:ascii="Times New Roman" w:hAnsi="Times New Roman"/>
        </w:rPr>
        <w:t xml:space="preserve">able </w:t>
      </w:r>
      <w:r w:rsidR="00790F77">
        <w:rPr>
          <w:rFonts w:ascii="Times New Roman" w:hAnsi="Times New Roman"/>
        </w:rPr>
        <w:t xml:space="preserve">3 </w:t>
      </w:r>
      <w:r w:rsidR="009E33EB">
        <w:rPr>
          <w:rFonts w:ascii="Times New Roman" w:hAnsi="Times New Roman"/>
        </w:rPr>
        <w:t xml:space="preserve">describes these </w:t>
      </w:r>
      <w:proofErr w:type="spellStart"/>
      <w:r w:rsidR="00790F77">
        <w:rPr>
          <w:rFonts w:ascii="Times New Roman" w:hAnsi="Times New Roman"/>
        </w:rPr>
        <w:t>CCCT</w:t>
      </w:r>
      <w:proofErr w:type="spellEnd"/>
      <w:r w:rsidR="00790F77">
        <w:rPr>
          <w:rFonts w:ascii="Times New Roman" w:hAnsi="Times New Roman"/>
        </w:rPr>
        <w:t xml:space="preserve"> cost </w:t>
      </w:r>
      <w:r w:rsidR="009E33EB">
        <w:rPr>
          <w:rFonts w:ascii="Times New Roman" w:hAnsi="Times New Roman"/>
        </w:rPr>
        <w:t>estimates.</w:t>
      </w:r>
    </w:p>
    <w:p w:rsidR="00274860" w:rsidRDefault="00274860" w:rsidP="008D4C01">
      <w:pPr>
        <w:autoSpaceDE/>
        <w:autoSpaceDN/>
        <w:jc w:val="center"/>
        <w:rPr>
          <w:b/>
          <w:bCs/>
        </w:rPr>
      </w:pPr>
    </w:p>
    <w:p w:rsidR="00274860" w:rsidRDefault="00274860" w:rsidP="008D4C01">
      <w:pPr>
        <w:autoSpaceDE/>
        <w:autoSpaceDN/>
        <w:jc w:val="center"/>
        <w:rPr>
          <w:b/>
          <w:bCs/>
        </w:rPr>
      </w:pPr>
    </w:p>
    <w:p w:rsidR="00274860" w:rsidRDefault="00274860" w:rsidP="008D4C01">
      <w:pPr>
        <w:autoSpaceDE/>
        <w:autoSpaceDN/>
        <w:jc w:val="center"/>
        <w:rPr>
          <w:b/>
          <w:bCs/>
        </w:rPr>
      </w:pPr>
    </w:p>
    <w:p w:rsidR="00274860" w:rsidRDefault="00274860" w:rsidP="008D4C01">
      <w:pPr>
        <w:autoSpaceDE/>
        <w:autoSpaceDN/>
        <w:jc w:val="center"/>
        <w:rPr>
          <w:b/>
          <w:bCs/>
        </w:rPr>
      </w:pPr>
    </w:p>
    <w:p w:rsidR="00274860" w:rsidRDefault="00274860" w:rsidP="008D4C01">
      <w:pPr>
        <w:autoSpaceDE/>
        <w:autoSpaceDN/>
        <w:jc w:val="center"/>
        <w:rPr>
          <w:b/>
          <w:bCs/>
        </w:rPr>
      </w:pPr>
    </w:p>
    <w:p w:rsidR="00443156" w:rsidRDefault="00443156" w:rsidP="008D4C01">
      <w:pPr>
        <w:autoSpaceDE/>
        <w:autoSpaceDN/>
        <w:jc w:val="center"/>
        <w:rPr>
          <w:b/>
          <w:bCs/>
        </w:rPr>
      </w:pPr>
      <w:r>
        <w:rPr>
          <w:b/>
          <w:bCs/>
        </w:rPr>
        <w:lastRenderedPageBreak/>
        <w:t>Table 3</w:t>
      </w:r>
    </w:p>
    <w:p w:rsidR="007722AF" w:rsidRDefault="007722AF" w:rsidP="007722AF">
      <w:pPr>
        <w:adjustRightInd w:val="0"/>
        <w:jc w:val="center"/>
        <w:rPr>
          <w:b/>
          <w:bCs/>
        </w:rPr>
      </w:pPr>
      <w:r>
        <w:rPr>
          <w:b/>
          <w:bCs/>
        </w:rPr>
        <w:t xml:space="preserve">Regional </w:t>
      </w:r>
      <w:proofErr w:type="spellStart"/>
      <w:r>
        <w:rPr>
          <w:b/>
          <w:bCs/>
        </w:rPr>
        <w:t>CCCT</w:t>
      </w:r>
      <w:proofErr w:type="spellEnd"/>
      <w:r>
        <w:rPr>
          <w:b/>
          <w:bCs/>
        </w:rPr>
        <w:t xml:space="preserve"> Projects Cost Assumptions</w:t>
      </w:r>
    </w:p>
    <w:p w:rsidR="00BC4F32" w:rsidRDefault="00BC4F32" w:rsidP="007722AF">
      <w:pPr>
        <w:adjustRightInd w:val="0"/>
        <w:jc w:val="center"/>
        <w:rPr>
          <w:b/>
          <w:bCs/>
        </w:rPr>
      </w:pPr>
    </w:p>
    <w:tbl>
      <w:tblPr>
        <w:tblStyle w:val="TableGrid"/>
        <w:tblW w:w="6679" w:type="dxa"/>
        <w:jc w:val="center"/>
        <w:tblLook w:val="04A0"/>
      </w:tblPr>
      <w:tblGrid>
        <w:gridCol w:w="2718"/>
        <w:gridCol w:w="755"/>
        <w:gridCol w:w="1243"/>
        <w:gridCol w:w="1963"/>
      </w:tblGrid>
      <w:tr w:rsidR="007722AF" w:rsidRPr="00BC4F32" w:rsidTr="00BC4F32">
        <w:trPr>
          <w:jc w:val="center"/>
        </w:trPr>
        <w:tc>
          <w:tcPr>
            <w:tcW w:w="2718" w:type="dxa"/>
          </w:tcPr>
          <w:p w:rsidR="007722AF" w:rsidRPr="00BC4F32" w:rsidRDefault="007722AF" w:rsidP="007722AF">
            <w:pPr>
              <w:adjustRightInd w:val="0"/>
              <w:jc w:val="center"/>
              <w:rPr>
                <w:b/>
                <w:bCs/>
              </w:rPr>
            </w:pPr>
            <w:r w:rsidRPr="00BC4F32">
              <w:rPr>
                <w:b/>
                <w:bCs/>
              </w:rPr>
              <w:t>Source</w:t>
            </w:r>
          </w:p>
        </w:tc>
        <w:tc>
          <w:tcPr>
            <w:tcW w:w="755" w:type="dxa"/>
          </w:tcPr>
          <w:p w:rsidR="007722AF" w:rsidRPr="00BC4F32" w:rsidRDefault="007722AF" w:rsidP="007722AF">
            <w:pPr>
              <w:adjustRightInd w:val="0"/>
              <w:jc w:val="center"/>
              <w:rPr>
                <w:b/>
                <w:bCs/>
              </w:rPr>
            </w:pPr>
            <w:r w:rsidRPr="00BC4F32">
              <w:rPr>
                <w:b/>
                <w:bCs/>
              </w:rPr>
              <w:t>Year</w:t>
            </w:r>
          </w:p>
        </w:tc>
        <w:tc>
          <w:tcPr>
            <w:tcW w:w="1243" w:type="dxa"/>
          </w:tcPr>
          <w:p w:rsidR="007722AF" w:rsidRPr="00BC4F32" w:rsidRDefault="007722AF" w:rsidP="007722AF">
            <w:pPr>
              <w:adjustRightInd w:val="0"/>
              <w:jc w:val="center"/>
              <w:rPr>
                <w:b/>
                <w:bCs/>
              </w:rPr>
            </w:pPr>
            <w:r w:rsidRPr="00BC4F32">
              <w:rPr>
                <w:b/>
                <w:bCs/>
              </w:rPr>
              <w:t>Estimate</w:t>
            </w:r>
          </w:p>
        </w:tc>
        <w:tc>
          <w:tcPr>
            <w:tcW w:w="1963" w:type="dxa"/>
          </w:tcPr>
          <w:p w:rsidR="007722AF" w:rsidRPr="00BC4F32" w:rsidRDefault="007722AF" w:rsidP="00BC4F32">
            <w:pPr>
              <w:adjustRightInd w:val="0"/>
              <w:jc w:val="center"/>
              <w:rPr>
                <w:b/>
                <w:bCs/>
              </w:rPr>
            </w:pPr>
            <w:r w:rsidRPr="00BC4F32">
              <w:rPr>
                <w:b/>
                <w:bCs/>
              </w:rPr>
              <w:t xml:space="preserve">2010 </w:t>
            </w:r>
            <w:r w:rsidR="00BC4F32">
              <w:rPr>
                <w:b/>
                <w:bCs/>
              </w:rPr>
              <w:t>Escalated</w:t>
            </w:r>
            <w:r w:rsidRPr="00BC4F32">
              <w:rPr>
                <w:b/>
                <w:bCs/>
              </w:rPr>
              <w:t xml:space="preserve"> *</w:t>
            </w:r>
          </w:p>
        </w:tc>
      </w:tr>
      <w:tr w:rsidR="00BC4F32" w:rsidRPr="00BC4F32" w:rsidTr="00BC4F32">
        <w:trPr>
          <w:jc w:val="center"/>
        </w:trPr>
        <w:tc>
          <w:tcPr>
            <w:tcW w:w="2718" w:type="dxa"/>
            <w:vAlign w:val="bottom"/>
          </w:tcPr>
          <w:p w:rsidR="00BC4F32" w:rsidRPr="00BC4F32" w:rsidRDefault="00BC4F32">
            <w:pPr>
              <w:rPr>
                <w:color w:val="000000"/>
              </w:rPr>
            </w:pPr>
            <w:r w:rsidRPr="00BC4F32">
              <w:rPr>
                <w:color w:val="000000"/>
              </w:rPr>
              <w:t>Avista</w:t>
            </w:r>
          </w:p>
        </w:tc>
        <w:tc>
          <w:tcPr>
            <w:tcW w:w="755" w:type="dxa"/>
            <w:vAlign w:val="bottom"/>
          </w:tcPr>
          <w:p w:rsidR="00BC4F32" w:rsidRPr="00BC4F32" w:rsidRDefault="00BC4F32">
            <w:pPr>
              <w:rPr>
                <w:color w:val="000000"/>
              </w:rPr>
            </w:pPr>
            <w:r w:rsidRPr="00BC4F32">
              <w:rPr>
                <w:color w:val="000000"/>
              </w:rPr>
              <w:t>2007</w:t>
            </w:r>
          </w:p>
        </w:tc>
        <w:tc>
          <w:tcPr>
            <w:tcW w:w="1243" w:type="dxa"/>
            <w:vAlign w:val="bottom"/>
          </w:tcPr>
          <w:p w:rsidR="00BC4F32" w:rsidRPr="00BC4F32" w:rsidRDefault="00BC4F32">
            <w:pPr>
              <w:jc w:val="right"/>
              <w:rPr>
                <w:color w:val="000000"/>
              </w:rPr>
            </w:pPr>
            <w:r w:rsidRPr="00BC4F32">
              <w:rPr>
                <w:color w:val="000000"/>
              </w:rPr>
              <w:t>786</w:t>
            </w:r>
          </w:p>
        </w:tc>
        <w:tc>
          <w:tcPr>
            <w:tcW w:w="1963" w:type="dxa"/>
            <w:vAlign w:val="bottom"/>
          </w:tcPr>
          <w:p w:rsidR="00BC4F32" w:rsidRPr="00BC4F32" w:rsidRDefault="00BC4F32" w:rsidP="00BC4F32">
            <w:pPr>
              <w:jc w:val="right"/>
              <w:rPr>
                <w:color w:val="000000"/>
              </w:rPr>
            </w:pPr>
            <w:r w:rsidRPr="00BC4F32">
              <w:rPr>
                <w:color w:val="000000"/>
              </w:rPr>
              <w:t xml:space="preserve">            859 </w:t>
            </w:r>
          </w:p>
        </w:tc>
      </w:tr>
      <w:tr w:rsidR="00BC4F32" w:rsidRPr="00BC4F32" w:rsidTr="00BC4F32">
        <w:trPr>
          <w:jc w:val="center"/>
        </w:trPr>
        <w:tc>
          <w:tcPr>
            <w:tcW w:w="2718" w:type="dxa"/>
            <w:vAlign w:val="bottom"/>
          </w:tcPr>
          <w:p w:rsidR="00BC4F32" w:rsidRPr="00BC4F32" w:rsidRDefault="00BC4F32">
            <w:pPr>
              <w:rPr>
                <w:color w:val="000000"/>
              </w:rPr>
            </w:pPr>
            <w:r w:rsidRPr="00BC4F32">
              <w:rPr>
                <w:color w:val="000000"/>
              </w:rPr>
              <w:t>Idaho Power</w:t>
            </w:r>
          </w:p>
        </w:tc>
        <w:tc>
          <w:tcPr>
            <w:tcW w:w="755" w:type="dxa"/>
            <w:vAlign w:val="bottom"/>
          </w:tcPr>
          <w:p w:rsidR="00BC4F32" w:rsidRPr="00BC4F32" w:rsidRDefault="00BC4F32">
            <w:pPr>
              <w:rPr>
                <w:color w:val="000000"/>
              </w:rPr>
            </w:pPr>
            <w:r w:rsidRPr="00BC4F32">
              <w:rPr>
                <w:color w:val="000000"/>
              </w:rPr>
              <w:t>2006</w:t>
            </w:r>
          </w:p>
        </w:tc>
        <w:tc>
          <w:tcPr>
            <w:tcW w:w="1243" w:type="dxa"/>
            <w:vAlign w:val="bottom"/>
          </w:tcPr>
          <w:p w:rsidR="00BC4F32" w:rsidRPr="00BC4F32" w:rsidRDefault="00BC4F32">
            <w:pPr>
              <w:jc w:val="right"/>
              <w:rPr>
                <w:color w:val="000000"/>
              </w:rPr>
            </w:pPr>
            <w:r w:rsidRPr="00BC4F32">
              <w:rPr>
                <w:color w:val="000000"/>
              </w:rPr>
              <w:t>693</w:t>
            </w:r>
          </w:p>
        </w:tc>
        <w:tc>
          <w:tcPr>
            <w:tcW w:w="1963" w:type="dxa"/>
            <w:vAlign w:val="bottom"/>
          </w:tcPr>
          <w:p w:rsidR="00BC4F32" w:rsidRPr="00BC4F32" w:rsidRDefault="00BC4F32" w:rsidP="00BC4F32">
            <w:pPr>
              <w:jc w:val="right"/>
              <w:rPr>
                <w:color w:val="000000"/>
              </w:rPr>
            </w:pPr>
            <w:r w:rsidRPr="00BC4F32">
              <w:rPr>
                <w:color w:val="000000"/>
              </w:rPr>
              <w:t xml:space="preserve">            780 </w:t>
            </w:r>
          </w:p>
        </w:tc>
      </w:tr>
      <w:tr w:rsidR="00BC4F32" w:rsidRPr="00BC4F32" w:rsidTr="00BC4F32">
        <w:trPr>
          <w:jc w:val="center"/>
        </w:trPr>
        <w:tc>
          <w:tcPr>
            <w:tcW w:w="2718" w:type="dxa"/>
            <w:vAlign w:val="bottom"/>
          </w:tcPr>
          <w:p w:rsidR="00BC4F32" w:rsidRPr="00BC4F32" w:rsidRDefault="00BC4F32">
            <w:pPr>
              <w:rPr>
                <w:color w:val="000000"/>
              </w:rPr>
            </w:pPr>
            <w:r w:rsidRPr="00BC4F32">
              <w:rPr>
                <w:color w:val="000000"/>
              </w:rPr>
              <w:t>Portland General Electric</w:t>
            </w:r>
          </w:p>
        </w:tc>
        <w:tc>
          <w:tcPr>
            <w:tcW w:w="755" w:type="dxa"/>
            <w:vAlign w:val="bottom"/>
          </w:tcPr>
          <w:p w:rsidR="00BC4F32" w:rsidRPr="00BC4F32" w:rsidRDefault="00BC4F32">
            <w:pPr>
              <w:rPr>
                <w:color w:val="000000"/>
              </w:rPr>
            </w:pPr>
            <w:r w:rsidRPr="00BC4F32">
              <w:rPr>
                <w:color w:val="000000"/>
              </w:rPr>
              <w:t>2006</w:t>
            </w:r>
          </w:p>
        </w:tc>
        <w:tc>
          <w:tcPr>
            <w:tcW w:w="1243" w:type="dxa"/>
            <w:vAlign w:val="bottom"/>
          </w:tcPr>
          <w:p w:rsidR="00BC4F32" w:rsidRPr="00BC4F32" w:rsidRDefault="00BC4F32">
            <w:pPr>
              <w:jc w:val="right"/>
              <w:rPr>
                <w:color w:val="000000"/>
              </w:rPr>
            </w:pPr>
            <w:r w:rsidRPr="00BC4F32">
              <w:rPr>
                <w:color w:val="000000"/>
              </w:rPr>
              <w:t>710</w:t>
            </w:r>
          </w:p>
        </w:tc>
        <w:tc>
          <w:tcPr>
            <w:tcW w:w="1963" w:type="dxa"/>
            <w:vAlign w:val="bottom"/>
          </w:tcPr>
          <w:p w:rsidR="00BC4F32" w:rsidRPr="00BC4F32" w:rsidRDefault="00BC4F32" w:rsidP="00BC4F32">
            <w:pPr>
              <w:jc w:val="right"/>
              <w:rPr>
                <w:color w:val="000000"/>
              </w:rPr>
            </w:pPr>
            <w:r w:rsidRPr="00BC4F32">
              <w:rPr>
                <w:color w:val="000000"/>
              </w:rPr>
              <w:t xml:space="preserve">            799 </w:t>
            </w:r>
          </w:p>
        </w:tc>
      </w:tr>
      <w:tr w:rsidR="00BC4F32" w:rsidRPr="00BC4F32" w:rsidTr="00BC4F32">
        <w:trPr>
          <w:jc w:val="center"/>
        </w:trPr>
        <w:tc>
          <w:tcPr>
            <w:tcW w:w="2718" w:type="dxa"/>
            <w:vAlign w:val="bottom"/>
          </w:tcPr>
          <w:p w:rsidR="00BC4F32" w:rsidRPr="00BC4F32" w:rsidRDefault="00BC4F32">
            <w:pPr>
              <w:rPr>
                <w:color w:val="000000"/>
              </w:rPr>
            </w:pPr>
            <w:r w:rsidRPr="00BC4F32">
              <w:rPr>
                <w:color w:val="000000"/>
              </w:rPr>
              <w:t>PacifiCorp</w:t>
            </w:r>
          </w:p>
        </w:tc>
        <w:tc>
          <w:tcPr>
            <w:tcW w:w="755" w:type="dxa"/>
            <w:vAlign w:val="bottom"/>
          </w:tcPr>
          <w:p w:rsidR="00BC4F32" w:rsidRPr="00BC4F32" w:rsidRDefault="00BC4F32">
            <w:pPr>
              <w:rPr>
                <w:color w:val="000000"/>
              </w:rPr>
            </w:pPr>
            <w:r w:rsidRPr="00BC4F32">
              <w:rPr>
                <w:color w:val="000000"/>
              </w:rPr>
              <w:t>2006</w:t>
            </w:r>
          </w:p>
        </w:tc>
        <w:tc>
          <w:tcPr>
            <w:tcW w:w="1243" w:type="dxa"/>
            <w:vAlign w:val="bottom"/>
          </w:tcPr>
          <w:p w:rsidR="00BC4F32" w:rsidRPr="00BC4F32" w:rsidRDefault="00BC4F32">
            <w:pPr>
              <w:jc w:val="right"/>
              <w:rPr>
                <w:color w:val="000000"/>
              </w:rPr>
            </w:pPr>
            <w:r w:rsidRPr="00BC4F32">
              <w:rPr>
                <w:color w:val="000000"/>
              </w:rPr>
              <w:t>814</w:t>
            </w:r>
          </w:p>
        </w:tc>
        <w:tc>
          <w:tcPr>
            <w:tcW w:w="1963" w:type="dxa"/>
            <w:vAlign w:val="bottom"/>
          </w:tcPr>
          <w:p w:rsidR="00BC4F32" w:rsidRPr="00BC4F32" w:rsidRDefault="00BC4F32" w:rsidP="00BC4F32">
            <w:pPr>
              <w:jc w:val="right"/>
              <w:rPr>
                <w:color w:val="000000"/>
              </w:rPr>
            </w:pPr>
            <w:r w:rsidRPr="00BC4F32">
              <w:rPr>
                <w:color w:val="000000"/>
              </w:rPr>
              <w:t xml:space="preserve">            916 </w:t>
            </w:r>
          </w:p>
        </w:tc>
      </w:tr>
      <w:tr w:rsidR="00BC4F32" w:rsidRPr="00BC4F32" w:rsidTr="00BC4F32">
        <w:trPr>
          <w:jc w:val="center"/>
        </w:trPr>
        <w:tc>
          <w:tcPr>
            <w:tcW w:w="2718" w:type="dxa"/>
            <w:vAlign w:val="bottom"/>
          </w:tcPr>
          <w:p w:rsidR="00BC4F32" w:rsidRPr="00BC4F32" w:rsidRDefault="00BC4F32">
            <w:pPr>
              <w:rPr>
                <w:color w:val="000000"/>
              </w:rPr>
            </w:pPr>
            <w:r w:rsidRPr="00BC4F32">
              <w:rPr>
                <w:color w:val="000000"/>
              </w:rPr>
              <w:t>Puget Sound Energy</w:t>
            </w:r>
          </w:p>
        </w:tc>
        <w:tc>
          <w:tcPr>
            <w:tcW w:w="755" w:type="dxa"/>
            <w:vAlign w:val="bottom"/>
          </w:tcPr>
          <w:p w:rsidR="00BC4F32" w:rsidRPr="00BC4F32" w:rsidRDefault="00BC4F32">
            <w:pPr>
              <w:rPr>
                <w:color w:val="000000"/>
              </w:rPr>
            </w:pPr>
            <w:r w:rsidRPr="00BC4F32">
              <w:rPr>
                <w:color w:val="000000"/>
              </w:rPr>
              <w:t>2006</w:t>
            </w:r>
          </w:p>
        </w:tc>
        <w:tc>
          <w:tcPr>
            <w:tcW w:w="1243" w:type="dxa"/>
            <w:vAlign w:val="bottom"/>
          </w:tcPr>
          <w:p w:rsidR="00BC4F32" w:rsidRPr="00BC4F32" w:rsidRDefault="00BC4F32">
            <w:pPr>
              <w:jc w:val="right"/>
              <w:rPr>
                <w:color w:val="000000"/>
              </w:rPr>
            </w:pPr>
            <w:r w:rsidRPr="00BC4F32">
              <w:rPr>
                <w:color w:val="000000"/>
              </w:rPr>
              <w:t>1050</w:t>
            </w:r>
          </w:p>
        </w:tc>
        <w:tc>
          <w:tcPr>
            <w:tcW w:w="1963" w:type="dxa"/>
            <w:vAlign w:val="bottom"/>
          </w:tcPr>
          <w:p w:rsidR="00BC4F32" w:rsidRPr="00BC4F32" w:rsidRDefault="00BC4F32" w:rsidP="00BC4F32">
            <w:pPr>
              <w:jc w:val="right"/>
              <w:rPr>
                <w:color w:val="000000"/>
              </w:rPr>
            </w:pPr>
            <w:r w:rsidRPr="00BC4F32">
              <w:rPr>
                <w:color w:val="000000"/>
              </w:rPr>
              <w:t xml:space="preserve">         1,182 </w:t>
            </w:r>
          </w:p>
        </w:tc>
      </w:tr>
      <w:tr w:rsidR="00BC4F32" w:rsidRPr="00BC4F32" w:rsidTr="00BC4F32">
        <w:trPr>
          <w:jc w:val="center"/>
        </w:trPr>
        <w:tc>
          <w:tcPr>
            <w:tcW w:w="2718" w:type="dxa"/>
            <w:vAlign w:val="bottom"/>
          </w:tcPr>
          <w:p w:rsidR="00BC4F32" w:rsidRPr="00BC4F32" w:rsidRDefault="00BC4F32">
            <w:pPr>
              <w:rPr>
                <w:color w:val="000000"/>
              </w:rPr>
            </w:pPr>
            <w:r w:rsidRPr="00BC4F32">
              <w:rPr>
                <w:color w:val="000000"/>
              </w:rPr>
              <w:t>Power Council</w:t>
            </w:r>
          </w:p>
        </w:tc>
        <w:tc>
          <w:tcPr>
            <w:tcW w:w="755" w:type="dxa"/>
            <w:vAlign w:val="bottom"/>
          </w:tcPr>
          <w:p w:rsidR="00BC4F32" w:rsidRPr="00BC4F32" w:rsidRDefault="00BC4F32">
            <w:pPr>
              <w:rPr>
                <w:color w:val="000000"/>
              </w:rPr>
            </w:pPr>
            <w:r w:rsidRPr="00BC4F32">
              <w:rPr>
                <w:color w:val="000000"/>
              </w:rPr>
              <w:t>2000</w:t>
            </w:r>
          </w:p>
        </w:tc>
        <w:tc>
          <w:tcPr>
            <w:tcW w:w="1243" w:type="dxa"/>
            <w:vAlign w:val="bottom"/>
          </w:tcPr>
          <w:p w:rsidR="00BC4F32" w:rsidRPr="00BC4F32" w:rsidRDefault="00BC4F32">
            <w:pPr>
              <w:jc w:val="right"/>
              <w:rPr>
                <w:color w:val="000000"/>
              </w:rPr>
            </w:pPr>
            <w:r w:rsidRPr="00BC4F32">
              <w:rPr>
                <w:color w:val="000000"/>
              </w:rPr>
              <w:t>525</w:t>
            </w:r>
          </w:p>
        </w:tc>
        <w:tc>
          <w:tcPr>
            <w:tcW w:w="1963" w:type="dxa"/>
            <w:vAlign w:val="bottom"/>
          </w:tcPr>
          <w:p w:rsidR="00BC4F32" w:rsidRPr="00BC4F32" w:rsidRDefault="00BC4F32" w:rsidP="00BC4F32">
            <w:pPr>
              <w:jc w:val="right"/>
              <w:rPr>
                <w:color w:val="000000"/>
              </w:rPr>
            </w:pPr>
            <w:r w:rsidRPr="00BC4F32">
              <w:rPr>
                <w:color w:val="000000"/>
              </w:rPr>
              <w:t xml:space="preserve">            706 </w:t>
            </w:r>
          </w:p>
        </w:tc>
      </w:tr>
      <w:tr w:rsidR="00BC4F32" w:rsidRPr="00BC4F32" w:rsidTr="00BC4F32">
        <w:trPr>
          <w:jc w:val="center"/>
        </w:trPr>
        <w:tc>
          <w:tcPr>
            <w:tcW w:w="2718" w:type="dxa"/>
            <w:vAlign w:val="bottom"/>
          </w:tcPr>
          <w:p w:rsidR="00BC4F32" w:rsidRPr="00BC4F32" w:rsidRDefault="00BC4F32">
            <w:pPr>
              <w:rPr>
                <w:color w:val="000000"/>
              </w:rPr>
            </w:pPr>
            <w:r w:rsidRPr="00BC4F32">
              <w:rPr>
                <w:color w:val="000000"/>
              </w:rPr>
              <w:t>Average</w:t>
            </w:r>
          </w:p>
        </w:tc>
        <w:tc>
          <w:tcPr>
            <w:tcW w:w="755" w:type="dxa"/>
            <w:vAlign w:val="bottom"/>
          </w:tcPr>
          <w:p w:rsidR="00BC4F32" w:rsidRPr="00BC4F32" w:rsidRDefault="00BC4F32">
            <w:pPr>
              <w:rPr>
                <w:color w:val="000000"/>
              </w:rPr>
            </w:pPr>
          </w:p>
        </w:tc>
        <w:tc>
          <w:tcPr>
            <w:tcW w:w="1243" w:type="dxa"/>
            <w:vAlign w:val="bottom"/>
          </w:tcPr>
          <w:p w:rsidR="00BC4F32" w:rsidRPr="00BC4F32" w:rsidRDefault="00BC4F32">
            <w:pPr>
              <w:rPr>
                <w:color w:val="000000"/>
              </w:rPr>
            </w:pPr>
          </w:p>
        </w:tc>
        <w:tc>
          <w:tcPr>
            <w:tcW w:w="1963" w:type="dxa"/>
            <w:vAlign w:val="bottom"/>
          </w:tcPr>
          <w:p w:rsidR="00BC4F32" w:rsidRPr="00BC4F32" w:rsidRDefault="00BC4F32" w:rsidP="00BC4F32">
            <w:pPr>
              <w:jc w:val="right"/>
              <w:rPr>
                <w:color w:val="000000"/>
              </w:rPr>
            </w:pPr>
            <w:r w:rsidRPr="00BC4F32">
              <w:rPr>
                <w:color w:val="000000"/>
              </w:rPr>
              <w:t xml:space="preserve">            874 </w:t>
            </w:r>
          </w:p>
        </w:tc>
      </w:tr>
    </w:tbl>
    <w:p w:rsidR="009E33EB" w:rsidRPr="007722AF" w:rsidRDefault="00335816" w:rsidP="007722AF">
      <w:pPr>
        <w:pStyle w:val="TestBody"/>
        <w:spacing w:line="480" w:lineRule="auto"/>
        <w:ind w:left="0" w:firstLine="0"/>
        <w:rPr>
          <w:rFonts w:ascii="Times New Roman" w:hAnsi="Times New Roman"/>
          <w:sz w:val="20"/>
          <w:szCs w:val="20"/>
        </w:rPr>
      </w:pPr>
      <w:r>
        <w:rPr>
          <w:rFonts w:ascii="Times New Roman" w:hAnsi="Times New Roman"/>
          <w:sz w:val="20"/>
          <w:szCs w:val="20"/>
        </w:rPr>
        <w:tab/>
      </w:r>
      <w:r w:rsidR="007722AF" w:rsidRPr="007722AF">
        <w:rPr>
          <w:rFonts w:ascii="Times New Roman" w:hAnsi="Times New Roman"/>
          <w:sz w:val="20"/>
          <w:szCs w:val="20"/>
        </w:rPr>
        <w:tab/>
        <w:t>* estimate escalated at 3% per year from year of estimate to 2010</w:t>
      </w:r>
    </w:p>
    <w:p w:rsidR="009E33EB" w:rsidRDefault="007722AF">
      <w:pPr>
        <w:pStyle w:val="TestBody"/>
        <w:tabs>
          <w:tab w:val="num" w:pos="720"/>
        </w:tabs>
        <w:spacing w:line="480" w:lineRule="auto"/>
        <w:ind w:left="0" w:firstLine="720"/>
        <w:rPr>
          <w:rFonts w:ascii="Times New Roman" w:hAnsi="Times New Roman"/>
        </w:rPr>
      </w:pPr>
      <w:r>
        <w:rPr>
          <w:rFonts w:ascii="Times New Roman" w:hAnsi="Times New Roman"/>
        </w:rPr>
        <w:t xml:space="preserve">As the table explains, Avista estimated in its 2007 IRP that gas-fired generation would </w:t>
      </w:r>
      <w:r w:rsidR="00790F77">
        <w:rPr>
          <w:rFonts w:ascii="Times New Roman" w:hAnsi="Times New Roman"/>
        </w:rPr>
        <w:t>cost</w:t>
      </w:r>
      <w:r>
        <w:rPr>
          <w:rFonts w:ascii="Times New Roman" w:hAnsi="Times New Roman"/>
        </w:rPr>
        <w:t xml:space="preserve"> $786 per kW for a plant installed in 2007.  </w:t>
      </w:r>
      <w:r w:rsidR="00BC4F32">
        <w:rPr>
          <w:rFonts w:ascii="Times New Roman" w:hAnsi="Times New Roman"/>
        </w:rPr>
        <w:t>In 2010</w:t>
      </w:r>
      <w:r w:rsidR="000E5185">
        <w:rPr>
          <w:rFonts w:ascii="Times New Roman" w:hAnsi="Times New Roman"/>
        </w:rPr>
        <w:t xml:space="preserve"> </w:t>
      </w:r>
      <w:r w:rsidR="00BC4F32">
        <w:rPr>
          <w:rFonts w:ascii="Times New Roman" w:hAnsi="Times New Roman"/>
        </w:rPr>
        <w:t xml:space="preserve">the escalated cost is $859 per kW.  The range of costs </w:t>
      </w:r>
      <w:r w:rsidR="00F204DD">
        <w:rPr>
          <w:rFonts w:ascii="Times New Roman" w:hAnsi="Times New Roman"/>
        </w:rPr>
        <w:t xml:space="preserve">across that table </w:t>
      </w:r>
      <w:r w:rsidR="00BC4F32">
        <w:rPr>
          <w:rFonts w:ascii="Times New Roman" w:hAnsi="Times New Roman"/>
        </w:rPr>
        <w:t xml:space="preserve">is from a low of about $700 per kW to nearly $1,200 per kW, for an average of $874 per kW.  The Lancaster plant has an equivalent price of approximately $550 per kW, </w:t>
      </w:r>
      <w:r w:rsidR="005E1D44">
        <w:rPr>
          <w:rFonts w:ascii="Times New Roman" w:hAnsi="Times New Roman"/>
        </w:rPr>
        <w:t xml:space="preserve">meaning that a new </w:t>
      </w:r>
      <w:proofErr w:type="spellStart"/>
      <w:r w:rsidR="00790F77">
        <w:rPr>
          <w:rFonts w:ascii="Times New Roman" w:hAnsi="Times New Roman"/>
        </w:rPr>
        <w:t>CCCT</w:t>
      </w:r>
      <w:proofErr w:type="spellEnd"/>
      <w:r w:rsidR="00790F77">
        <w:rPr>
          <w:rFonts w:ascii="Times New Roman" w:hAnsi="Times New Roman"/>
        </w:rPr>
        <w:t xml:space="preserve"> </w:t>
      </w:r>
      <w:r w:rsidR="005E1D44">
        <w:rPr>
          <w:rFonts w:ascii="Times New Roman" w:hAnsi="Times New Roman"/>
        </w:rPr>
        <w:t>plant was expected to cost approximately 50</w:t>
      </w:r>
      <w:r w:rsidR="00790F77">
        <w:rPr>
          <w:rFonts w:ascii="Times New Roman" w:hAnsi="Times New Roman"/>
        </w:rPr>
        <w:t xml:space="preserve"> percent</w:t>
      </w:r>
      <w:r w:rsidR="005E1D44">
        <w:rPr>
          <w:rFonts w:ascii="Times New Roman" w:hAnsi="Times New Roman"/>
        </w:rPr>
        <w:t xml:space="preserve"> more than Lancaster on a per-kW basis.</w:t>
      </w:r>
    </w:p>
    <w:p w:rsidR="005E1D44" w:rsidRPr="005E1D44" w:rsidRDefault="005E1D44">
      <w:pPr>
        <w:pStyle w:val="TestBody"/>
        <w:tabs>
          <w:tab w:val="num" w:pos="720"/>
        </w:tabs>
        <w:spacing w:line="480" w:lineRule="auto"/>
        <w:ind w:left="0" w:firstLine="720"/>
        <w:rPr>
          <w:rFonts w:ascii="Times New Roman" w:hAnsi="Times New Roman"/>
          <w:b/>
        </w:rPr>
      </w:pPr>
      <w:r w:rsidRPr="005E1D44">
        <w:rPr>
          <w:rFonts w:ascii="Times New Roman" w:hAnsi="Times New Roman"/>
          <w:b/>
        </w:rPr>
        <w:t>Q.</w:t>
      </w:r>
      <w:r w:rsidRPr="005E1D44">
        <w:rPr>
          <w:rFonts w:ascii="Times New Roman" w:hAnsi="Times New Roman"/>
          <w:b/>
        </w:rPr>
        <w:tab/>
      </w:r>
      <w:r w:rsidR="00274860">
        <w:rPr>
          <w:rFonts w:ascii="Times New Roman" w:hAnsi="Times New Roman"/>
          <w:b/>
        </w:rPr>
        <w:t>What were the costs of recently-</w:t>
      </w:r>
      <w:r w:rsidRPr="005E1D44">
        <w:rPr>
          <w:rFonts w:ascii="Times New Roman" w:hAnsi="Times New Roman"/>
          <w:b/>
        </w:rPr>
        <w:t xml:space="preserve">acquired </w:t>
      </w:r>
      <w:proofErr w:type="spellStart"/>
      <w:r w:rsidRPr="005E1D44">
        <w:rPr>
          <w:rFonts w:ascii="Times New Roman" w:hAnsi="Times New Roman"/>
          <w:b/>
        </w:rPr>
        <w:t>CCCT</w:t>
      </w:r>
      <w:proofErr w:type="spellEnd"/>
      <w:r w:rsidRPr="005E1D44">
        <w:rPr>
          <w:rFonts w:ascii="Times New Roman" w:hAnsi="Times New Roman"/>
          <w:b/>
        </w:rPr>
        <w:t xml:space="preserve"> plants at the time of the Lancaster acquisition?</w:t>
      </w:r>
    </w:p>
    <w:p w:rsidR="005E1D44" w:rsidRDefault="005E1D44">
      <w:pPr>
        <w:pStyle w:val="TestBody"/>
        <w:tabs>
          <w:tab w:val="num" w:pos="720"/>
        </w:tabs>
        <w:spacing w:line="480" w:lineRule="auto"/>
        <w:ind w:left="0" w:firstLine="720"/>
        <w:rPr>
          <w:rFonts w:ascii="Times New Roman" w:hAnsi="Times New Roman"/>
        </w:rPr>
      </w:pPr>
      <w:r>
        <w:rPr>
          <w:rFonts w:ascii="Times New Roman" w:hAnsi="Times New Roman"/>
        </w:rPr>
        <w:t>A.</w:t>
      </w:r>
      <w:r>
        <w:rPr>
          <w:rFonts w:ascii="Times New Roman" w:hAnsi="Times New Roman"/>
        </w:rPr>
        <w:tab/>
        <w:t xml:space="preserve">As detailed in the Company’s direct case, three </w:t>
      </w:r>
      <w:proofErr w:type="spellStart"/>
      <w:r>
        <w:rPr>
          <w:rFonts w:ascii="Times New Roman" w:hAnsi="Times New Roman"/>
        </w:rPr>
        <w:t>CCCT</w:t>
      </w:r>
      <w:proofErr w:type="spellEnd"/>
      <w:r>
        <w:rPr>
          <w:rFonts w:ascii="Times New Roman" w:hAnsi="Times New Roman"/>
        </w:rPr>
        <w:t xml:space="preserve"> plants </w:t>
      </w:r>
      <w:r w:rsidR="00874CCF">
        <w:rPr>
          <w:rFonts w:ascii="Times New Roman" w:hAnsi="Times New Roman"/>
        </w:rPr>
        <w:t xml:space="preserve">were </w:t>
      </w:r>
      <w:r>
        <w:rPr>
          <w:rFonts w:ascii="Times New Roman" w:hAnsi="Times New Roman"/>
        </w:rPr>
        <w:t>brought into utility service shortly before the Lancaster acquisition timeframe:  Coyote Springs 2 (</w:t>
      </w:r>
      <w:r w:rsidR="00874CCF">
        <w:rPr>
          <w:rFonts w:ascii="Times New Roman" w:hAnsi="Times New Roman"/>
        </w:rPr>
        <w:t xml:space="preserve">2004, </w:t>
      </w:r>
      <w:r>
        <w:rPr>
          <w:rFonts w:ascii="Times New Roman" w:hAnsi="Times New Roman"/>
        </w:rPr>
        <w:t>Avista), Goldendale (</w:t>
      </w:r>
      <w:r w:rsidR="00874CCF">
        <w:rPr>
          <w:rFonts w:ascii="Times New Roman" w:hAnsi="Times New Roman"/>
        </w:rPr>
        <w:t xml:space="preserve">2006, </w:t>
      </w:r>
      <w:r>
        <w:rPr>
          <w:rFonts w:ascii="Times New Roman" w:hAnsi="Times New Roman"/>
        </w:rPr>
        <w:t>P</w:t>
      </w:r>
      <w:r w:rsidR="00874CCF">
        <w:rPr>
          <w:rFonts w:ascii="Times New Roman" w:hAnsi="Times New Roman"/>
        </w:rPr>
        <w:t>uget Sound Energy</w:t>
      </w:r>
      <w:r>
        <w:rPr>
          <w:rFonts w:ascii="Times New Roman" w:hAnsi="Times New Roman"/>
        </w:rPr>
        <w:t>), and Port Westward (</w:t>
      </w:r>
      <w:r w:rsidR="00874CCF">
        <w:rPr>
          <w:rFonts w:ascii="Times New Roman" w:hAnsi="Times New Roman"/>
        </w:rPr>
        <w:t>2007, Portland General Electric</w:t>
      </w:r>
      <w:r>
        <w:rPr>
          <w:rFonts w:ascii="Times New Roman" w:hAnsi="Times New Roman"/>
        </w:rPr>
        <w:t xml:space="preserve">).  </w:t>
      </w:r>
      <w:r w:rsidR="00443156">
        <w:rPr>
          <w:rFonts w:ascii="Times New Roman" w:hAnsi="Times New Roman"/>
        </w:rPr>
        <w:t xml:space="preserve">Each </w:t>
      </w:r>
      <w:r w:rsidR="00874CCF">
        <w:rPr>
          <w:rFonts w:ascii="Times New Roman" w:hAnsi="Times New Roman"/>
        </w:rPr>
        <w:t xml:space="preserve">is </w:t>
      </w:r>
      <w:r w:rsidR="00443156">
        <w:rPr>
          <w:rFonts w:ascii="Times New Roman" w:hAnsi="Times New Roman"/>
        </w:rPr>
        <w:t xml:space="preserve">detailed in Table 2 above.  </w:t>
      </w:r>
      <w:r>
        <w:rPr>
          <w:rFonts w:ascii="Times New Roman" w:hAnsi="Times New Roman"/>
        </w:rPr>
        <w:t>These plants</w:t>
      </w:r>
      <w:r w:rsidR="00443156">
        <w:rPr>
          <w:rFonts w:ascii="Times New Roman" w:hAnsi="Times New Roman"/>
        </w:rPr>
        <w:t>, in 2010 dollars,</w:t>
      </w:r>
      <w:r>
        <w:rPr>
          <w:rFonts w:ascii="Times New Roman" w:hAnsi="Times New Roman"/>
        </w:rPr>
        <w:t xml:space="preserve"> were purchased for</w:t>
      </w:r>
      <w:r w:rsidR="00443156">
        <w:rPr>
          <w:rFonts w:ascii="Times New Roman" w:hAnsi="Times New Roman"/>
        </w:rPr>
        <w:t xml:space="preserve"> $533, </w:t>
      </w:r>
      <w:r w:rsidR="00AA4436">
        <w:rPr>
          <w:rFonts w:ascii="Times New Roman" w:hAnsi="Times New Roman"/>
        </w:rPr>
        <w:t>$795</w:t>
      </w:r>
      <w:r w:rsidR="00443156">
        <w:rPr>
          <w:rFonts w:ascii="Times New Roman" w:hAnsi="Times New Roman"/>
        </w:rPr>
        <w:t>, and $785 per kW, respectively.</w:t>
      </w:r>
    </w:p>
    <w:p w:rsidR="00790F77" w:rsidRDefault="00790F77">
      <w:pPr>
        <w:pStyle w:val="TestBody"/>
        <w:tabs>
          <w:tab w:val="num" w:pos="720"/>
        </w:tabs>
        <w:spacing w:line="480" w:lineRule="auto"/>
        <w:ind w:left="0" w:firstLine="720"/>
        <w:rPr>
          <w:rFonts w:ascii="Times New Roman" w:hAnsi="Times New Roman"/>
        </w:rPr>
      </w:pPr>
      <w:r>
        <w:rPr>
          <w:rFonts w:ascii="Times New Roman" w:hAnsi="Times New Roman"/>
          <w:b/>
        </w:rPr>
        <w:t>Q.</w:t>
      </w:r>
      <w:r>
        <w:rPr>
          <w:rFonts w:ascii="Times New Roman" w:hAnsi="Times New Roman"/>
          <w:b/>
        </w:rPr>
        <w:tab/>
        <w:t xml:space="preserve">Did the Company view these transactions as representative of the </w:t>
      </w:r>
      <w:proofErr w:type="spellStart"/>
      <w:r>
        <w:rPr>
          <w:rFonts w:ascii="Times New Roman" w:hAnsi="Times New Roman"/>
          <w:b/>
        </w:rPr>
        <w:t>CCCT</w:t>
      </w:r>
      <w:proofErr w:type="spellEnd"/>
      <w:r>
        <w:rPr>
          <w:rFonts w:ascii="Times New Roman" w:hAnsi="Times New Roman"/>
          <w:b/>
        </w:rPr>
        <w:t xml:space="preserve"> market at that time?</w:t>
      </w:r>
    </w:p>
    <w:p w:rsidR="00790F77" w:rsidRPr="00790F77" w:rsidRDefault="00790F77">
      <w:pPr>
        <w:pStyle w:val="TestBody"/>
        <w:tabs>
          <w:tab w:val="num" w:pos="720"/>
        </w:tabs>
        <w:spacing w:line="480" w:lineRule="auto"/>
        <w:ind w:left="0" w:firstLine="720"/>
        <w:rPr>
          <w:rFonts w:ascii="Times New Roman" w:hAnsi="Times New Roman"/>
        </w:rPr>
      </w:pPr>
      <w:r>
        <w:rPr>
          <w:rFonts w:ascii="Times New Roman" w:hAnsi="Times New Roman"/>
        </w:rPr>
        <w:lastRenderedPageBreak/>
        <w:t>A.</w:t>
      </w:r>
      <w:r>
        <w:rPr>
          <w:rFonts w:ascii="Times New Roman" w:hAnsi="Times New Roman"/>
        </w:rPr>
        <w:tab/>
        <w:t xml:space="preserve">Yes.  </w:t>
      </w:r>
      <w:r w:rsidR="006E67BA">
        <w:rPr>
          <w:rFonts w:ascii="Times New Roman" w:hAnsi="Times New Roman"/>
        </w:rPr>
        <w:t xml:space="preserve">These transactions represented recent </w:t>
      </w:r>
      <w:proofErr w:type="spellStart"/>
      <w:r w:rsidR="006E67BA">
        <w:rPr>
          <w:rFonts w:ascii="Times New Roman" w:hAnsi="Times New Roman"/>
        </w:rPr>
        <w:t>CCCT</w:t>
      </w:r>
      <w:proofErr w:type="spellEnd"/>
      <w:r w:rsidR="006E67BA">
        <w:rPr>
          <w:rFonts w:ascii="Times New Roman" w:hAnsi="Times New Roman"/>
        </w:rPr>
        <w:t xml:space="preserve"> transactions, both for green</w:t>
      </w:r>
      <w:r w:rsidR="00274860">
        <w:rPr>
          <w:rFonts w:ascii="Times New Roman" w:hAnsi="Times New Roman"/>
        </w:rPr>
        <w:t>-</w:t>
      </w:r>
      <w:r w:rsidR="006E67BA">
        <w:rPr>
          <w:rFonts w:ascii="Times New Roman" w:hAnsi="Times New Roman"/>
        </w:rPr>
        <w:t xml:space="preserve">field and </w:t>
      </w:r>
      <w:proofErr w:type="spellStart"/>
      <w:r w:rsidR="006E67BA">
        <w:rPr>
          <w:rFonts w:ascii="Times New Roman" w:hAnsi="Times New Roman"/>
        </w:rPr>
        <w:t>brownfield</w:t>
      </w:r>
      <w:proofErr w:type="spellEnd"/>
      <w:r w:rsidR="006E67BA">
        <w:rPr>
          <w:rFonts w:ascii="Times New Roman" w:hAnsi="Times New Roman"/>
        </w:rPr>
        <w:t xml:space="preserve"> projects.</w:t>
      </w:r>
    </w:p>
    <w:p w:rsidR="00286B8C" w:rsidRDefault="00286B8C" w:rsidP="008A2913">
      <w:pPr>
        <w:pStyle w:val="TestBody"/>
        <w:tabs>
          <w:tab w:val="num" w:pos="720"/>
        </w:tabs>
        <w:spacing w:line="480" w:lineRule="auto"/>
        <w:ind w:left="0" w:firstLine="720"/>
        <w:rPr>
          <w:rFonts w:ascii="Times New Roman" w:hAnsi="Times New Roman"/>
        </w:rPr>
      </w:pPr>
      <w:r>
        <w:rPr>
          <w:rFonts w:ascii="Times New Roman" w:hAnsi="Times New Roman"/>
          <w:b/>
        </w:rPr>
        <w:t>Q.</w:t>
      </w:r>
      <w:r>
        <w:rPr>
          <w:rFonts w:ascii="Times New Roman" w:hAnsi="Times New Roman"/>
          <w:b/>
        </w:rPr>
        <w:tab/>
        <w:t>At page 10, line 3, Mr. Woodruff st</w:t>
      </w:r>
      <w:r w:rsidR="00F204DD">
        <w:rPr>
          <w:rFonts w:ascii="Times New Roman" w:hAnsi="Times New Roman"/>
          <w:b/>
        </w:rPr>
        <w:t>ates that “Avista made no credible</w:t>
      </w:r>
      <w:r>
        <w:rPr>
          <w:rFonts w:ascii="Times New Roman" w:hAnsi="Times New Roman"/>
          <w:b/>
        </w:rPr>
        <w:t xml:space="preserve"> effort to assess ‘what other purchases are available’ in the market that could provide similar value…”  Does the Company agree?</w:t>
      </w:r>
    </w:p>
    <w:p w:rsidR="00286B8C" w:rsidRPr="00286B8C" w:rsidRDefault="00286B8C" w:rsidP="008A2913">
      <w:pPr>
        <w:pStyle w:val="TestBody"/>
        <w:tabs>
          <w:tab w:val="num" w:pos="720"/>
        </w:tabs>
        <w:spacing w:line="480" w:lineRule="auto"/>
        <w:ind w:left="0" w:firstLine="720"/>
        <w:rPr>
          <w:rFonts w:ascii="Times New Roman" w:hAnsi="Times New Roman"/>
        </w:rPr>
      </w:pPr>
      <w:r>
        <w:rPr>
          <w:rFonts w:ascii="Times New Roman" w:hAnsi="Times New Roman"/>
        </w:rPr>
        <w:t>A.</w:t>
      </w:r>
      <w:r>
        <w:rPr>
          <w:rFonts w:ascii="Times New Roman" w:hAnsi="Times New Roman"/>
        </w:rPr>
        <w:tab/>
        <w:t xml:space="preserve">No.  As explained in </w:t>
      </w:r>
      <w:r w:rsidR="00274860">
        <w:rPr>
          <w:rFonts w:ascii="Times New Roman" w:hAnsi="Times New Roman"/>
        </w:rPr>
        <w:t xml:space="preserve">our direct and </w:t>
      </w:r>
      <w:r>
        <w:rPr>
          <w:rFonts w:ascii="Times New Roman" w:hAnsi="Times New Roman"/>
        </w:rPr>
        <w:t xml:space="preserve">this rebuttal testimony, the Company made an extensive effort to </w:t>
      </w:r>
      <w:r w:rsidR="00274860">
        <w:rPr>
          <w:rFonts w:ascii="Times New Roman" w:hAnsi="Times New Roman"/>
        </w:rPr>
        <w:t xml:space="preserve">assess </w:t>
      </w:r>
      <w:r>
        <w:rPr>
          <w:rFonts w:ascii="Times New Roman" w:hAnsi="Times New Roman"/>
        </w:rPr>
        <w:t xml:space="preserve">the marketplace and </w:t>
      </w:r>
      <w:r w:rsidR="00274860">
        <w:rPr>
          <w:rFonts w:ascii="Times New Roman" w:hAnsi="Times New Roman"/>
        </w:rPr>
        <w:t xml:space="preserve">determine </w:t>
      </w:r>
      <w:r>
        <w:rPr>
          <w:rFonts w:ascii="Times New Roman" w:hAnsi="Times New Roman"/>
        </w:rPr>
        <w:t xml:space="preserve">what other purchases might be available, including long-term contracts and existing and new </w:t>
      </w:r>
      <w:proofErr w:type="spellStart"/>
      <w:r>
        <w:rPr>
          <w:rFonts w:ascii="Times New Roman" w:hAnsi="Times New Roman"/>
        </w:rPr>
        <w:t>CCCT</w:t>
      </w:r>
      <w:proofErr w:type="spellEnd"/>
      <w:r>
        <w:rPr>
          <w:rFonts w:ascii="Times New Roman" w:hAnsi="Times New Roman"/>
        </w:rPr>
        <w:t xml:space="preserve"> plants.  Market surveys and regional planning estimates were used to supplement the Company’s overall knowledge of the resources available in the northwest marketplace.</w:t>
      </w:r>
    </w:p>
    <w:p w:rsidR="00274860" w:rsidRDefault="00274860" w:rsidP="00274860">
      <w:pPr>
        <w:pStyle w:val="TestBody"/>
        <w:tabs>
          <w:tab w:val="num" w:pos="720"/>
        </w:tabs>
        <w:spacing w:line="480" w:lineRule="auto"/>
        <w:ind w:left="0" w:firstLine="720"/>
        <w:rPr>
          <w:rFonts w:ascii="Times New Roman" w:hAnsi="Times New Roman"/>
          <w:b/>
        </w:rPr>
      </w:pPr>
      <w:r w:rsidRPr="00E80104">
        <w:rPr>
          <w:rFonts w:ascii="Times New Roman" w:hAnsi="Times New Roman"/>
          <w:b/>
        </w:rPr>
        <w:t>Q.</w:t>
      </w:r>
      <w:r w:rsidRPr="00E80104">
        <w:rPr>
          <w:rFonts w:ascii="Times New Roman" w:hAnsi="Times New Roman"/>
          <w:b/>
        </w:rPr>
        <w:tab/>
      </w:r>
      <w:r>
        <w:rPr>
          <w:rFonts w:ascii="Times New Roman" w:hAnsi="Times New Roman"/>
          <w:b/>
        </w:rPr>
        <w:t xml:space="preserve">Did </w:t>
      </w:r>
      <w:r w:rsidRPr="00E80104">
        <w:rPr>
          <w:rFonts w:ascii="Times New Roman" w:hAnsi="Times New Roman"/>
          <w:b/>
        </w:rPr>
        <w:t>Public Counsel assert that Avista violated Commission policies by not issuing an RFP.</w:t>
      </w:r>
    </w:p>
    <w:p w:rsidR="00274860" w:rsidRDefault="00274860" w:rsidP="00274860">
      <w:pPr>
        <w:pStyle w:val="TestBody"/>
        <w:tabs>
          <w:tab w:val="num" w:pos="720"/>
        </w:tabs>
        <w:spacing w:line="480" w:lineRule="auto"/>
        <w:ind w:left="0" w:firstLine="720"/>
        <w:rPr>
          <w:rFonts w:ascii="Times New Roman" w:hAnsi="Times New Roman"/>
        </w:rPr>
      </w:pPr>
      <w:r>
        <w:rPr>
          <w:rFonts w:ascii="Times New Roman" w:hAnsi="Times New Roman"/>
        </w:rPr>
        <w:t>A.</w:t>
      </w:r>
      <w:r>
        <w:rPr>
          <w:rFonts w:ascii="Times New Roman" w:hAnsi="Times New Roman"/>
        </w:rPr>
        <w:tab/>
        <w:t>Yes.  Public Counsel Witness Woodruff argues at line 9 on page 12 that Avista “appears to violate this [WAC 480-107] policy” by not issuing an RFP before agreeing to acquire Lancaster.</w:t>
      </w:r>
    </w:p>
    <w:p w:rsidR="00274860" w:rsidRPr="00E80104" w:rsidRDefault="00274860" w:rsidP="00274860">
      <w:pPr>
        <w:pStyle w:val="TestBody"/>
        <w:tabs>
          <w:tab w:val="num" w:pos="720"/>
        </w:tabs>
        <w:spacing w:line="480" w:lineRule="auto"/>
        <w:ind w:left="0" w:firstLine="720"/>
        <w:rPr>
          <w:rFonts w:ascii="Times New Roman" w:hAnsi="Times New Roman"/>
          <w:b/>
        </w:rPr>
      </w:pPr>
      <w:r>
        <w:rPr>
          <w:rFonts w:ascii="Times New Roman" w:hAnsi="Times New Roman"/>
          <w:b/>
        </w:rPr>
        <w:t>Q.</w:t>
      </w:r>
      <w:r>
        <w:rPr>
          <w:rFonts w:ascii="Times New Roman" w:hAnsi="Times New Roman"/>
          <w:b/>
        </w:rPr>
        <w:tab/>
        <w:t>Did Avista violate WAC 480-107 when acquiring Lancaster?</w:t>
      </w:r>
    </w:p>
    <w:p w:rsidR="00274860" w:rsidRPr="009E33EB" w:rsidRDefault="00274860" w:rsidP="00274860">
      <w:pPr>
        <w:pStyle w:val="TestBody"/>
        <w:tabs>
          <w:tab w:val="num" w:pos="720"/>
        </w:tabs>
        <w:spacing w:line="480" w:lineRule="auto"/>
        <w:ind w:left="0" w:firstLine="720"/>
        <w:rPr>
          <w:rFonts w:ascii="Times New Roman" w:hAnsi="Times New Roman"/>
        </w:rPr>
      </w:pPr>
      <w:r w:rsidRPr="009E33EB">
        <w:rPr>
          <w:rFonts w:ascii="Times New Roman" w:hAnsi="Times New Roman"/>
        </w:rPr>
        <w:t>A.</w:t>
      </w:r>
      <w:r w:rsidRPr="009E33EB">
        <w:rPr>
          <w:rFonts w:ascii="Times New Roman" w:hAnsi="Times New Roman"/>
        </w:rPr>
        <w:tab/>
      </w:r>
      <w:r>
        <w:rPr>
          <w:rFonts w:ascii="Times New Roman" w:hAnsi="Times New Roman"/>
        </w:rPr>
        <w:t xml:space="preserve">No.  WAC Chapter 480-107 requires the issuance of an RFP after the publication of an Integrated Resource Plan (IRP) identifying a resource deficiency </w:t>
      </w:r>
      <w:r w:rsidRPr="00274860">
        <w:rPr>
          <w:rFonts w:ascii="Times New Roman" w:hAnsi="Times New Roman"/>
          <w:u w:val="single"/>
        </w:rPr>
        <w:t>within three years</w:t>
      </w:r>
      <w:r>
        <w:rPr>
          <w:rFonts w:ascii="Times New Roman" w:hAnsi="Times New Roman"/>
        </w:rPr>
        <w:t xml:space="preserve"> of its publication.  At the time of the IRP filing, Avista’s resource need even absent Lancaster was further into the future than three years.  Therefore, Avista did not violate WAC 480-107.</w:t>
      </w:r>
    </w:p>
    <w:p w:rsidR="00274860" w:rsidRPr="00E80104" w:rsidRDefault="00274860" w:rsidP="00274860">
      <w:pPr>
        <w:pStyle w:val="TestBody"/>
        <w:tabs>
          <w:tab w:val="num" w:pos="720"/>
        </w:tabs>
        <w:spacing w:line="480" w:lineRule="auto"/>
        <w:ind w:left="0" w:firstLine="720"/>
        <w:rPr>
          <w:rFonts w:ascii="Times New Roman" w:hAnsi="Times New Roman"/>
          <w:b/>
        </w:rPr>
      </w:pPr>
      <w:r>
        <w:rPr>
          <w:rFonts w:ascii="Times New Roman" w:hAnsi="Times New Roman"/>
          <w:b/>
        </w:rPr>
        <w:t>Q.</w:t>
      </w:r>
      <w:r>
        <w:rPr>
          <w:rFonts w:ascii="Times New Roman" w:hAnsi="Times New Roman"/>
          <w:b/>
        </w:rPr>
        <w:tab/>
        <w:t>Why did Avista not issue an RFP for Lancaster?</w:t>
      </w:r>
    </w:p>
    <w:p w:rsidR="00274860" w:rsidRDefault="00274860" w:rsidP="00274860">
      <w:pPr>
        <w:pStyle w:val="TestBody"/>
        <w:tabs>
          <w:tab w:val="num" w:pos="720"/>
        </w:tabs>
        <w:spacing w:line="480" w:lineRule="auto"/>
        <w:ind w:left="0" w:firstLine="720"/>
        <w:rPr>
          <w:rFonts w:ascii="Times New Roman" w:hAnsi="Times New Roman"/>
        </w:rPr>
      </w:pPr>
      <w:r w:rsidRPr="009E33EB">
        <w:rPr>
          <w:rFonts w:ascii="Times New Roman" w:hAnsi="Times New Roman"/>
        </w:rPr>
        <w:t>A.</w:t>
      </w:r>
      <w:r w:rsidRPr="009E33EB">
        <w:rPr>
          <w:rFonts w:ascii="Times New Roman" w:hAnsi="Times New Roman"/>
        </w:rPr>
        <w:tab/>
      </w:r>
      <w:r>
        <w:rPr>
          <w:rFonts w:ascii="Times New Roman" w:hAnsi="Times New Roman"/>
        </w:rPr>
        <w:t xml:space="preserve">The Company’s 2007 IRP identified the need for more than 300 MW of gas-fired </w:t>
      </w:r>
      <w:proofErr w:type="spellStart"/>
      <w:r>
        <w:rPr>
          <w:rFonts w:ascii="Times New Roman" w:hAnsi="Times New Roman"/>
        </w:rPr>
        <w:t>CCCT</w:t>
      </w:r>
      <w:proofErr w:type="spellEnd"/>
      <w:r>
        <w:rPr>
          <w:rFonts w:ascii="Times New Roman" w:hAnsi="Times New Roman"/>
        </w:rPr>
        <w:t xml:space="preserve"> generation in the 2011 timeframe.  The IRP work, and all information in the marketplace, </w:t>
      </w:r>
      <w:r>
        <w:rPr>
          <w:rFonts w:ascii="Times New Roman" w:hAnsi="Times New Roman"/>
        </w:rPr>
        <w:lastRenderedPageBreak/>
        <w:t xml:space="preserve">indicated the price of Lancaster was very attractive relative to other options.  First, regional planning documents showed the cost of new </w:t>
      </w:r>
      <w:proofErr w:type="spellStart"/>
      <w:r>
        <w:rPr>
          <w:rFonts w:ascii="Times New Roman" w:hAnsi="Times New Roman"/>
        </w:rPr>
        <w:t>CCCT</w:t>
      </w:r>
      <w:proofErr w:type="spellEnd"/>
      <w:r>
        <w:rPr>
          <w:rFonts w:ascii="Times New Roman" w:hAnsi="Times New Roman"/>
        </w:rPr>
        <w:t xml:space="preserve"> plants to be 50% more than Lancaster.  Second, there were a number of </w:t>
      </w:r>
      <w:proofErr w:type="spellStart"/>
      <w:r>
        <w:rPr>
          <w:rFonts w:ascii="Times New Roman" w:hAnsi="Times New Roman"/>
        </w:rPr>
        <w:t>CCCT</w:t>
      </w:r>
      <w:proofErr w:type="spellEnd"/>
      <w:r>
        <w:rPr>
          <w:rFonts w:ascii="Times New Roman" w:hAnsi="Times New Roman"/>
        </w:rPr>
        <w:t xml:space="preserve"> acquisitions made around the time of the decision, and Lancaster was at the low end of the acquisition prices.  Third, there were very few </w:t>
      </w:r>
      <w:proofErr w:type="spellStart"/>
      <w:r>
        <w:rPr>
          <w:rFonts w:ascii="Times New Roman" w:hAnsi="Times New Roman"/>
        </w:rPr>
        <w:t>CCCT</w:t>
      </w:r>
      <w:proofErr w:type="spellEnd"/>
      <w:r>
        <w:rPr>
          <w:rFonts w:ascii="Times New Roman" w:hAnsi="Times New Roman"/>
        </w:rPr>
        <w:t xml:space="preserve"> plants not already owned by a utility company or under long-term contracts, and there were no such plants available for acquisition.</w:t>
      </w:r>
    </w:p>
    <w:p w:rsidR="006C0B90" w:rsidRPr="00BD4B85" w:rsidRDefault="006C0B90" w:rsidP="006C0B90">
      <w:pPr>
        <w:pStyle w:val="TestBody"/>
        <w:tabs>
          <w:tab w:val="num" w:pos="720"/>
        </w:tabs>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r>
      <w:r>
        <w:rPr>
          <w:rFonts w:ascii="Times New Roman" w:hAnsi="Times New Roman"/>
          <w:b/>
          <w:bCs/>
        </w:rPr>
        <w:t>Beginning on page 11, line 1, of Mr. Woodruff’s pre-filed testimony, Public Counsel states that the Lancaster acquisition was an affiliate transaction specifically barred by settlement stipulation establishing the Company’s Energy Recovery Mechanism (Settlement Stipulation).  Does the Company agree</w:t>
      </w:r>
      <w:r w:rsidRPr="00BD4B85">
        <w:rPr>
          <w:rFonts w:ascii="Times New Roman" w:hAnsi="Times New Roman"/>
          <w:b/>
          <w:bCs/>
        </w:rPr>
        <w:t>?</w:t>
      </w:r>
    </w:p>
    <w:p w:rsidR="006C0B90" w:rsidRDefault="006C0B90" w:rsidP="006C0B90">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r>
      <w:r>
        <w:rPr>
          <w:rFonts w:ascii="Times New Roman" w:hAnsi="Times New Roman"/>
        </w:rPr>
        <w:t>No.  The Lancaster acquisition does not run afoul of the Settlement Stipulation reached in Docket No. UE-011595 which states in part:</w:t>
      </w:r>
    </w:p>
    <w:p w:rsidR="006C0B90" w:rsidRDefault="006C0B90" w:rsidP="006C0B90">
      <w:pPr>
        <w:pStyle w:val="TestBody"/>
        <w:tabs>
          <w:tab w:val="num" w:pos="720"/>
        </w:tabs>
        <w:spacing w:line="240" w:lineRule="auto"/>
        <w:ind w:firstLine="0"/>
        <w:rPr>
          <w:rFonts w:ascii="Times New Roman" w:hAnsi="Times New Roman"/>
        </w:rPr>
      </w:pPr>
      <w:r>
        <w:rPr>
          <w:rFonts w:ascii="Times New Roman" w:hAnsi="Times New Roman"/>
        </w:rPr>
        <w:t xml:space="preserve">The company agrees that it will not enter into electric or natural gas </w:t>
      </w:r>
      <w:r w:rsidRPr="00D93770">
        <w:rPr>
          <w:rFonts w:ascii="Times New Roman" w:hAnsi="Times New Roman"/>
          <w:u w:val="single"/>
        </w:rPr>
        <w:t>commodity</w:t>
      </w:r>
      <w:r>
        <w:rPr>
          <w:rFonts w:ascii="Times New Roman" w:hAnsi="Times New Roman"/>
        </w:rPr>
        <w:t xml:space="preserve"> </w:t>
      </w:r>
      <w:r w:rsidRPr="00D93770">
        <w:rPr>
          <w:rFonts w:ascii="Times New Roman" w:hAnsi="Times New Roman"/>
          <w:u w:val="single"/>
        </w:rPr>
        <w:t>transactions</w:t>
      </w:r>
      <w:r>
        <w:rPr>
          <w:rFonts w:ascii="Times New Roman" w:hAnsi="Times New Roman"/>
        </w:rPr>
        <w:t xml:space="preserve"> with Avista Energy related to Avista Utilities’ electric operations until the Energy Cost Deferral Balance carries a net credit balance.  This </w:t>
      </w:r>
      <w:r w:rsidR="00D93770">
        <w:rPr>
          <w:rFonts w:ascii="Times New Roman" w:hAnsi="Times New Roman"/>
        </w:rPr>
        <w:t>provision</w:t>
      </w:r>
      <w:r>
        <w:rPr>
          <w:rFonts w:ascii="Times New Roman" w:hAnsi="Times New Roman"/>
        </w:rPr>
        <w:t xml:space="preserve"> does not preclude transactions between the two companies related to Avista Utilities’ natural gas distribution business.</w:t>
      </w:r>
    </w:p>
    <w:p w:rsidR="006C0B90" w:rsidRDefault="006C0B90" w:rsidP="006C0B90">
      <w:pPr>
        <w:pStyle w:val="TestBody"/>
        <w:tabs>
          <w:tab w:val="num" w:pos="720"/>
        </w:tabs>
        <w:spacing w:line="480" w:lineRule="auto"/>
        <w:ind w:left="0" w:firstLine="720"/>
        <w:rPr>
          <w:rFonts w:ascii="Times New Roman" w:hAnsi="Times New Roman"/>
        </w:rPr>
      </w:pPr>
    </w:p>
    <w:p w:rsidR="006C0B90" w:rsidRDefault="006C0B90" w:rsidP="006C0B90">
      <w:pPr>
        <w:pStyle w:val="TestBody"/>
        <w:tabs>
          <w:tab w:val="num" w:pos="720"/>
        </w:tabs>
        <w:spacing w:line="480" w:lineRule="auto"/>
        <w:ind w:left="0" w:firstLine="720"/>
        <w:rPr>
          <w:rFonts w:ascii="Times New Roman" w:hAnsi="Times New Roman"/>
        </w:rPr>
      </w:pPr>
      <w:r>
        <w:rPr>
          <w:rFonts w:ascii="Times New Roman" w:hAnsi="Times New Roman"/>
        </w:rPr>
        <w:t xml:space="preserve">This language addresses electric and natural gas </w:t>
      </w:r>
      <w:r w:rsidRPr="00B951DF">
        <w:rPr>
          <w:rFonts w:ascii="Times New Roman" w:hAnsi="Times New Roman"/>
          <w:i/>
        </w:rPr>
        <w:t>commodity transactions</w:t>
      </w:r>
      <w:r>
        <w:rPr>
          <w:rFonts w:ascii="Times New Roman" w:hAnsi="Times New Roman"/>
        </w:rPr>
        <w:t xml:space="preserve"> with Avista Energy, which were at issue in that proceeding.  The Lancaster plant is not a commodity and it clearly is not a purchase of natural gas or electricity.  The gas plant allows the conversion of one commodity (natural gas) into another (electricity).  There were no electricity or natural gas transactions associated with the purchase, with Avista Energy or any other entity.  The transaction therefore falls outside the limitations of the ERM Settlement Stipulation.</w:t>
      </w:r>
    </w:p>
    <w:p w:rsidR="006C0B90" w:rsidRDefault="006C0B90" w:rsidP="006C0B90">
      <w:pPr>
        <w:tabs>
          <w:tab w:val="left" w:pos="720"/>
          <w:tab w:val="left" w:pos="1440"/>
        </w:tabs>
        <w:spacing w:line="480" w:lineRule="auto"/>
        <w:ind w:firstLine="720"/>
        <w:jc w:val="both"/>
      </w:pPr>
      <w:r>
        <w:lastRenderedPageBreak/>
        <w:t xml:space="preserve">In summary, PC misinterprets the Settlement Stipulation establishing the Company’s Energy Recovery Mechanism (ERM).  Specifically, it mistakenly uses language intended to apply to </w:t>
      </w:r>
      <w:r>
        <w:rPr>
          <w:i/>
        </w:rPr>
        <w:t>commodity transactions</w:t>
      </w:r>
      <w:r>
        <w:t xml:space="preserve"> to support its case to disallow a portion or all of Lancaster</w:t>
      </w:r>
      <w:r w:rsidRPr="00FF2FE4">
        <w:rPr>
          <w:i/>
        </w:rPr>
        <w:t>.</w:t>
      </w:r>
      <w:r>
        <w:t xml:space="preserve">  The plant is not a commodity transaction; it is a contract for the operation of a gas-fired generation facility.</w:t>
      </w:r>
    </w:p>
    <w:p w:rsidR="009316E1" w:rsidRDefault="009316E1" w:rsidP="009316E1">
      <w:pPr>
        <w:tabs>
          <w:tab w:val="left" w:pos="720"/>
          <w:tab w:val="left" w:pos="1440"/>
        </w:tabs>
        <w:spacing w:line="480" w:lineRule="auto"/>
        <w:ind w:firstLine="720"/>
        <w:jc w:val="both"/>
      </w:pPr>
      <w:r>
        <w:rPr>
          <w:b/>
        </w:rPr>
        <w:t>Q.</w:t>
      </w:r>
      <w:r>
        <w:rPr>
          <w:b/>
        </w:rPr>
        <w:tab/>
        <w:t xml:space="preserve">Have other parties to this proceeding that were signatories to the Settlement Stipulation Mr. Woodruff is quoting from taken </w:t>
      </w:r>
      <w:r w:rsidR="008C3C6E">
        <w:rPr>
          <w:b/>
        </w:rPr>
        <w:t xml:space="preserve">the position </w:t>
      </w:r>
      <w:r>
        <w:rPr>
          <w:b/>
        </w:rPr>
        <w:t>that it violated the Settlement Stipulation?</w:t>
      </w:r>
    </w:p>
    <w:p w:rsidR="009316E1" w:rsidRPr="009303F1" w:rsidRDefault="009316E1" w:rsidP="009316E1">
      <w:pPr>
        <w:tabs>
          <w:tab w:val="left" w:pos="720"/>
          <w:tab w:val="left" w:pos="1440"/>
        </w:tabs>
        <w:spacing w:line="480" w:lineRule="auto"/>
        <w:ind w:firstLine="720"/>
        <w:jc w:val="both"/>
        <w:rPr>
          <w:b/>
        </w:rPr>
      </w:pPr>
      <w:r>
        <w:t>A.</w:t>
      </w:r>
      <w:r>
        <w:tab/>
        <w:t xml:space="preserve">No.  No other party in this proceeding, </w:t>
      </w:r>
      <w:r w:rsidR="008C3C6E">
        <w:t xml:space="preserve">some </w:t>
      </w:r>
      <w:r>
        <w:t>whom were signatories to that agreement, has submitted testimony asserting that either 1) the Lancaster acquisition is a commodity transaction or 2) its acquisition violated the Settlement Stipulation.</w:t>
      </w:r>
    </w:p>
    <w:p w:rsidR="009316E1" w:rsidRPr="00B951DF" w:rsidRDefault="009316E1" w:rsidP="009316E1">
      <w:pPr>
        <w:pStyle w:val="TestBody"/>
        <w:tabs>
          <w:tab w:val="num" w:pos="720"/>
        </w:tabs>
        <w:spacing w:line="480" w:lineRule="auto"/>
        <w:ind w:left="0" w:firstLine="720"/>
        <w:rPr>
          <w:rFonts w:ascii="Times New Roman" w:hAnsi="Times New Roman"/>
          <w:b/>
        </w:rPr>
      </w:pPr>
      <w:r w:rsidRPr="00B951DF">
        <w:rPr>
          <w:rFonts w:ascii="Times New Roman" w:hAnsi="Times New Roman"/>
          <w:b/>
        </w:rPr>
        <w:t>Q.</w:t>
      </w:r>
      <w:r w:rsidRPr="00B951DF">
        <w:rPr>
          <w:rFonts w:ascii="Times New Roman" w:hAnsi="Times New Roman"/>
          <w:b/>
        </w:rPr>
        <w:tab/>
      </w:r>
      <w:r>
        <w:rPr>
          <w:rFonts w:ascii="Times New Roman" w:hAnsi="Times New Roman"/>
          <w:b/>
        </w:rPr>
        <w:t xml:space="preserve">At page 11, </w:t>
      </w:r>
      <w:r w:rsidRPr="00B951DF">
        <w:rPr>
          <w:rFonts w:ascii="Times New Roman" w:hAnsi="Times New Roman"/>
          <w:b/>
        </w:rPr>
        <w:t xml:space="preserve">Public Counsel </w:t>
      </w:r>
      <w:r>
        <w:rPr>
          <w:rFonts w:ascii="Times New Roman" w:hAnsi="Times New Roman"/>
          <w:b/>
        </w:rPr>
        <w:t xml:space="preserve">also </w:t>
      </w:r>
      <w:r w:rsidRPr="00B951DF">
        <w:rPr>
          <w:rFonts w:ascii="Times New Roman" w:hAnsi="Times New Roman"/>
          <w:b/>
        </w:rPr>
        <w:t xml:space="preserve">implies that a 2007 data request in Docket No. UE-070804 supports their contention that Avista at the time agreed that a transaction like Lancaster would be prevented under the Settlement Stipulation.  Did the Company’s response to </w:t>
      </w:r>
      <w:r>
        <w:rPr>
          <w:rFonts w:ascii="Times New Roman" w:hAnsi="Times New Roman"/>
          <w:b/>
        </w:rPr>
        <w:t>D</w:t>
      </w:r>
      <w:r w:rsidRPr="00B951DF">
        <w:rPr>
          <w:rFonts w:ascii="Times New Roman" w:hAnsi="Times New Roman"/>
          <w:b/>
        </w:rPr>
        <w:t xml:space="preserve">ata </w:t>
      </w:r>
      <w:r>
        <w:rPr>
          <w:rFonts w:ascii="Times New Roman" w:hAnsi="Times New Roman"/>
          <w:b/>
        </w:rPr>
        <w:t>R</w:t>
      </w:r>
      <w:r w:rsidRPr="00B951DF">
        <w:rPr>
          <w:rFonts w:ascii="Times New Roman" w:hAnsi="Times New Roman"/>
          <w:b/>
        </w:rPr>
        <w:t>equest 206 cited by PC state that a transaction like Lancaster would be prevented by the Settlement Stipulation?</w:t>
      </w:r>
    </w:p>
    <w:p w:rsidR="009316E1" w:rsidRDefault="009316E1" w:rsidP="009316E1">
      <w:pPr>
        <w:pStyle w:val="TestBody"/>
        <w:tabs>
          <w:tab w:val="num" w:pos="720"/>
        </w:tabs>
        <w:spacing w:line="480" w:lineRule="auto"/>
        <w:ind w:left="0" w:firstLine="720"/>
        <w:rPr>
          <w:rFonts w:ascii="Times New Roman" w:hAnsi="Times New Roman"/>
        </w:rPr>
      </w:pPr>
      <w:r>
        <w:rPr>
          <w:rFonts w:ascii="Times New Roman" w:hAnsi="Times New Roman"/>
        </w:rPr>
        <w:t>A.</w:t>
      </w:r>
      <w:r>
        <w:rPr>
          <w:rFonts w:ascii="Times New Roman" w:hAnsi="Times New Roman"/>
        </w:rPr>
        <w:tab/>
        <w:t xml:space="preserve">No.  The data response only reiterated the language preventing </w:t>
      </w:r>
      <w:r>
        <w:rPr>
          <w:rFonts w:ascii="Times New Roman" w:hAnsi="Times New Roman"/>
          <w:i/>
        </w:rPr>
        <w:t>commodity</w:t>
      </w:r>
      <w:r>
        <w:rPr>
          <w:rFonts w:ascii="Times New Roman" w:hAnsi="Times New Roman"/>
        </w:rPr>
        <w:t xml:space="preserve"> transactions.  There was no language in the Settlement Stipulation that would prevent the assignment of Lancaster to Avista Utilities.</w:t>
      </w:r>
    </w:p>
    <w:p w:rsidR="008A2913" w:rsidRDefault="008A2913" w:rsidP="008A2913">
      <w:pPr>
        <w:pStyle w:val="TestBody"/>
        <w:tabs>
          <w:tab w:val="num" w:pos="720"/>
        </w:tabs>
        <w:spacing w:line="480" w:lineRule="auto"/>
        <w:ind w:left="0" w:firstLine="720"/>
        <w:rPr>
          <w:rFonts w:ascii="Times New Roman" w:hAnsi="Times New Roman"/>
        </w:rPr>
      </w:pPr>
      <w:r>
        <w:rPr>
          <w:rFonts w:ascii="Times New Roman" w:hAnsi="Times New Roman"/>
          <w:b/>
        </w:rPr>
        <w:t>Q.</w:t>
      </w:r>
      <w:r>
        <w:rPr>
          <w:rFonts w:ascii="Times New Roman" w:hAnsi="Times New Roman"/>
          <w:b/>
        </w:rPr>
        <w:tab/>
      </w:r>
      <w:r w:rsidR="006E67BA">
        <w:rPr>
          <w:rFonts w:ascii="Times New Roman" w:hAnsi="Times New Roman"/>
          <w:b/>
        </w:rPr>
        <w:t xml:space="preserve">At page 17, line 11, of </w:t>
      </w:r>
      <w:r>
        <w:rPr>
          <w:rFonts w:ascii="Times New Roman" w:hAnsi="Times New Roman"/>
          <w:b/>
        </w:rPr>
        <w:t>Public Counsel</w:t>
      </w:r>
      <w:r w:rsidR="0089551A">
        <w:rPr>
          <w:rFonts w:ascii="Times New Roman" w:hAnsi="Times New Roman"/>
          <w:b/>
        </w:rPr>
        <w:t xml:space="preserve"> </w:t>
      </w:r>
      <w:r w:rsidR="006E67BA">
        <w:rPr>
          <w:rFonts w:ascii="Times New Roman" w:hAnsi="Times New Roman"/>
          <w:b/>
        </w:rPr>
        <w:t>Witness Woodruff’s pre-filed testimony he states tha</w:t>
      </w:r>
      <w:r w:rsidR="000E5185">
        <w:rPr>
          <w:rFonts w:ascii="Times New Roman" w:hAnsi="Times New Roman"/>
          <w:b/>
        </w:rPr>
        <w:t>t Avista’s Lancaster analysis is</w:t>
      </w:r>
      <w:r w:rsidR="006E67BA">
        <w:rPr>
          <w:rFonts w:ascii="Times New Roman" w:hAnsi="Times New Roman"/>
          <w:b/>
        </w:rPr>
        <w:t xml:space="preserve"> flawed</w:t>
      </w:r>
      <w:r w:rsidR="00286B8C">
        <w:rPr>
          <w:rFonts w:ascii="Times New Roman" w:hAnsi="Times New Roman"/>
          <w:b/>
        </w:rPr>
        <w:t xml:space="preserve"> and doesn’t provide a sound </w:t>
      </w:r>
      <w:r w:rsidR="00F204DD">
        <w:rPr>
          <w:rFonts w:ascii="Times New Roman" w:hAnsi="Times New Roman"/>
          <w:b/>
        </w:rPr>
        <w:t>basis for the Commission to make</w:t>
      </w:r>
      <w:r w:rsidR="00286B8C">
        <w:rPr>
          <w:rFonts w:ascii="Times New Roman" w:hAnsi="Times New Roman"/>
          <w:b/>
        </w:rPr>
        <w:t xml:space="preserve"> its decision</w:t>
      </w:r>
      <w:r w:rsidR="006E67BA">
        <w:rPr>
          <w:rFonts w:ascii="Times New Roman" w:hAnsi="Times New Roman"/>
          <w:b/>
        </w:rPr>
        <w:t>.</w:t>
      </w:r>
      <w:r w:rsidR="0089551A">
        <w:rPr>
          <w:rFonts w:ascii="Times New Roman" w:hAnsi="Times New Roman"/>
          <w:b/>
        </w:rPr>
        <w:t xml:space="preserve"> </w:t>
      </w:r>
      <w:r w:rsidR="006E67BA">
        <w:rPr>
          <w:rFonts w:ascii="Times New Roman" w:hAnsi="Times New Roman"/>
          <w:b/>
        </w:rPr>
        <w:t xml:space="preserve"> </w:t>
      </w:r>
      <w:r w:rsidR="0089551A">
        <w:rPr>
          <w:rFonts w:ascii="Times New Roman" w:hAnsi="Times New Roman"/>
          <w:b/>
        </w:rPr>
        <w:t>Does the Company concur?</w:t>
      </w:r>
    </w:p>
    <w:p w:rsidR="0089551A" w:rsidRDefault="0089551A" w:rsidP="008A2913">
      <w:pPr>
        <w:pStyle w:val="TestBody"/>
        <w:tabs>
          <w:tab w:val="num" w:pos="720"/>
        </w:tabs>
        <w:spacing w:line="480" w:lineRule="auto"/>
        <w:ind w:left="0" w:firstLine="720"/>
        <w:rPr>
          <w:rFonts w:ascii="Times New Roman" w:hAnsi="Times New Roman"/>
        </w:rPr>
      </w:pPr>
      <w:r>
        <w:rPr>
          <w:rFonts w:ascii="Times New Roman" w:hAnsi="Times New Roman"/>
        </w:rPr>
        <w:lastRenderedPageBreak/>
        <w:t>A.</w:t>
      </w:r>
      <w:r>
        <w:rPr>
          <w:rFonts w:ascii="Times New Roman" w:hAnsi="Times New Roman"/>
        </w:rPr>
        <w:tab/>
        <w:t xml:space="preserve">No.  </w:t>
      </w:r>
      <w:r w:rsidR="00286B8C">
        <w:rPr>
          <w:rFonts w:ascii="Times New Roman" w:hAnsi="Times New Roman"/>
        </w:rPr>
        <w:t xml:space="preserve">The analysis performed for the Lancaster acquisition was extensive and showed clearly that Lancaster is needed and is the best choice for customers.  </w:t>
      </w:r>
      <w:r>
        <w:rPr>
          <w:rFonts w:ascii="Times New Roman" w:hAnsi="Times New Roman"/>
        </w:rPr>
        <w:t xml:space="preserve">Public Counsel </w:t>
      </w:r>
      <w:r w:rsidR="006E67BA">
        <w:rPr>
          <w:rFonts w:ascii="Times New Roman" w:hAnsi="Times New Roman"/>
        </w:rPr>
        <w:t xml:space="preserve">Witness Woodruff </w:t>
      </w:r>
      <w:r>
        <w:rPr>
          <w:rFonts w:ascii="Times New Roman" w:hAnsi="Times New Roman"/>
        </w:rPr>
        <w:t>points to “two chief concerns” with the analysis</w:t>
      </w:r>
      <w:r w:rsidR="006E67BA">
        <w:rPr>
          <w:rFonts w:ascii="Times New Roman" w:hAnsi="Times New Roman"/>
        </w:rPr>
        <w:t xml:space="preserve"> b</w:t>
      </w:r>
      <w:r w:rsidR="00F204DD">
        <w:rPr>
          <w:rFonts w:ascii="Times New Roman" w:hAnsi="Times New Roman"/>
        </w:rPr>
        <w:t>eginning at line 10 of page 18 in</w:t>
      </w:r>
      <w:r w:rsidR="006E67BA">
        <w:rPr>
          <w:rFonts w:ascii="Times New Roman" w:hAnsi="Times New Roman"/>
        </w:rPr>
        <w:t xml:space="preserve"> his pre-fil</w:t>
      </w:r>
      <w:r w:rsidR="00F204DD">
        <w:rPr>
          <w:rFonts w:ascii="Times New Roman" w:hAnsi="Times New Roman"/>
        </w:rPr>
        <w:t>e</w:t>
      </w:r>
      <w:r w:rsidR="006E67BA">
        <w:rPr>
          <w:rFonts w:ascii="Times New Roman" w:hAnsi="Times New Roman"/>
        </w:rPr>
        <w:t>d direct testimony</w:t>
      </w:r>
      <w:r>
        <w:rPr>
          <w:rFonts w:ascii="Times New Roman" w:hAnsi="Times New Roman"/>
        </w:rPr>
        <w:t xml:space="preserve">.  The first is </w:t>
      </w:r>
      <w:r w:rsidR="006E67BA">
        <w:rPr>
          <w:rFonts w:ascii="Times New Roman" w:hAnsi="Times New Roman"/>
        </w:rPr>
        <w:t>his</w:t>
      </w:r>
      <w:r>
        <w:rPr>
          <w:rFonts w:ascii="Times New Roman" w:hAnsi="Times New Roman"/>
        </w:rPr>
        <w:t xml:space="preserve"> belief that Avista does not require the Lancaster facility to meet its load requirements.  The second </w:t>
      </w:r>
      <w:r w:rsidR="0078148F">
        <w:rPr>
          <w:rFonts w:ascii="Times New Roman" w:hAnsi="Times New Roman"/>
        </w:rPr>
        <w:t>is</w:t>
      </w:r>
      <w:r>
        <w:rPr>
          <w:rFonts w:ascii="Times New Roman" w:hAnsi="Times New Roman"/>
        </w:rPr>
        <w:t xml:space="preserve"> that Avista relied on public data and what </w:t>
      </w:r>
      <w:r w:rsidR="0078148F">
        <w:rPr>
          <w:rFonts w:ascii="Times New Roman" w:hAnsi="Times New Roman"/>
        </w:rPr>
        <w:t>Mr. Woodruff describes</w:t>
      </w:r>
      <w:r>
        <w:rPr>
          <w:rFonts w:ascii="Times New Roman" w:hAnsi="Times New Roman"/>
        </w:rPr>
        <w:t xml:space="preserve"> as “hypothetical” estimates of </w:t>
      </w:r>
      <w:proofErr w:type="spellStart"/>
      <w:r>
        <w:rPr>
          <w:rFonts w:ascii="Times New Roman" w:hAnsi="Times New Roman"/>
        </w:rPr>
        <w:t>CCCT</w:t>
      </w:r>
      <w:proofErr w:type="spellEnd"/>
      <w:r>
        <w:rPr>
          <w:rFonts w:ascii="Times New Roman" w:hAnsi="Times New Roman"/>
        </w:rPr>
        <w:t xml:space="preserve"> costs instead of issuing an RFP.</w:t>
      </w:r>
    </w:p>
    <w:p w:rsidR="0089551A" w:rsidRDefault="0089551A" w:rsidP="00D93770">
      <w:pPr>
        <w:pStyle w:val="TestBody"/>
        <w:tabs>
          <w:tab w:val="num" w:pos="720"/>
        </w:tabs>
        <w:spacing w:line="480" w:lineRule="auto"/>
        <w:ind w:left="0" w:firstLine="720"/>
        <w:rPr>
          <w:rFonts w:ascii="Times New Roman" w:hAnsi="Times New Roman"/>
        </w:rPr>
      </w:pPr>
      <w:r>
        <w:rPr>
          <w:rFonts w:ascii="Times New Roman" w:hAnsi="Times New Roman"/>
          <w:b/>
        </w:rPr>
        <w:t>Q.</w:t>
      </w:r>
      <w:r>
        <w:rPr>
          <w:rFonts w:ascii="Times New Roman" w:hAnsi="Times New Roman"/>
          <w:b/>
        </w:rPr>
        <w:tab/>
      </w:r>
      <w:r w:rsidR="0078148F">
        <w:rPr>
          <w:rFonts w:ascii="Times New Roman" w:hAnsi="Times New Roman"/>
          <w:b/>
        </w:rPr>
        <w:t xml:space="preserve">Does </w:t>
      </w:r>
      <w:r>
        <w:rPr>
          <w:rFonts w:ascii="Times New Roman" w:hAnsi="Times New Roman"/>
          <w:b/>
        </w:rPr>
        <w:t xml:space="preserve">Avista </w:t>
      </w:r>
      <w:r w:rsidR="0078148F">
        <w:rPr>
          <w:rFonts w:ascii="Times New Roman" w:hAnsi="Times New Roman"/>
          <w:b/>
        </w:rPr>
        <w:t xml:space="preserve">need </w:t>
      </w:r>
      <w:r>
        <w:rPr>
          <w:rFonts w:ascii="Times New Roman" w:hAnsi="Times New Roman"/>
          <w:b/>
        </w:rPr>
        <w:t xml:space="preserve">Lancaster </w:t>
      </w:r>
      <w:r w:rsidR="0078148F">
        <w:rPr>
          <w:rFonts w:ascii="Times New Roman" w:hAnsi="Times New Roman"/>
          <w:b/>
        </w:rPr>
        <w:t xml:space="preserve">to meet </w:t>
      </w:r>
      <w:r w:rsidR="006D5385">
        <w:rPr>
          <w:rFonts w:ascii="Times New Roman" w:hAnsi="Times New Roman"/>
          <w:b/>
        </w:rPr>
        <w:t>customer</w:t>
      </w:r>
      <w:r w:rsidR="0078148F">
        <w:rPr>
          <w:rFonts w:ascii="Times New Roman" w:hAnsi="Times New Roman"/>
          <w:b/>
        </w:rPr>
        <w:t xml:space="preserve"> load</w:t>
      </w:r>
      <w:r w:rsidR="006D5385">
        <w:rPr>
          <w:rFonts w:ascii="Times New Roman" w:hAnsi="Times New Roman"/>
          <w:b/>
        </w:rPr>
        <w:t>s</w:t>
      </w:r>
      <w:r>
        <w:rPr>
          <w:rFonts w:ascii="Times New Roman" w:hAnsi="Times New Roman"/>
          <w:b/>
        </w:rPr>
        <w:t>?</w:t>
      </w:r>
    </w:p>
    <w:p w:rsidR="0089551A" w:rsidRDefault="0089551A" w:rsidP="00D93770">
      <w:pPr>
        <w:autoSpaceDE/>
        <w:autoSpaceDN/>
        <w:spacing w:line="480" w:lineRule="auto"/>
        <w:jc w:val="both"/>
      </w:pPr>
      <w:r>
        <w:tab/>
        <w:t>A.</w:t>
      </w:r>
      <w:r>
        <w:tab/>
      </w:r>
      <w:r w:rsidR="0078148F">
        <w:t xml:space="preserve">Yes.  </w:t>
      </w:r>
      <w:r>
        <w:t xml:space="preserve">As explained in Company Witness </w:t>
      </w:r>
      <w:proofErr w:type="spellStart"/>
      <w:r>
        <w:t>Storro’s</w:t>
      </w:r>
      <w:proofErr w:type="spellEnd"/>
      <w:r>
        <w:t xml:space="preserve"> pre-filed testimony, the decision to acquire Lancaster</w:t>
      </w:r>
      <w:r w:rsidR="0078148F">
        <w:t xml:space="preserve"> was based on Avista’s 2007 IRP showing that </w:t>
      </w:r>
      <w:r>
        <w:t xml:space="preserve">Avista enters a deficit period in 2011 on an annual basis absent the Lancaster plant.  The Company </w:t>
      </w:r>
      <w:r w:rsidR="0078148F">
        <w:t xml:space="preserve">also </w:t>
      </w:r>
      <w:r>
        <w:t>would be deficit in all quarters of 2010 except the second</w:t>
      </w:r>
      <w:r w:rsidR="0078148F">
        <w:t xml:space="preserve"> quarter</w:t>
      </w:r>
      <w:r>
        <w:t>, the traditional hydro runoff period</w:t>
      </w:r>
      <w:r w:rsidR="0078148F">
        <w:t xml:space="preserve"> when the entire region experiences high</w:t>
      </w:r>
      <w:r w:rsidR="000E5185">
        <w:t>er</w:t>
      </w:r>
      <w:r w:rsidR="0078148F">
        <w:t xml:space="preserve"> levels of hydro generation</w:t>
      </w:r>
      <w:r>
        <w:t xml:space="preserve">.  Even </w:t>
      </w:r>
      <w:r w:rsidR="0078148F">
        <w:t xml:space="preserve">if </w:t>
      </w:r>
      <w:r>
        <w:t>Avista agree</w:t>
      </w:r>
      <w:r w:rsidR="0078148F">
        <w:t>d</w:t>
      </w:r>
      <w:r>
        <w:t xml:space="preserve"> that it should ignore its 2010 deficits as </w:t>
      </w:r>
      <w:r w:rsidR="0078148F">
        <w:t xml:space="preserve">suggested </w:t>
      </w:r>
      <w:r>
        <w:t xml:space="preserve">by </w:t>
      </w:r>
      <w:r w:rsidR="0078148F">
        <w:t>Witness Woodruff</w:t>
      </w:r>
      <w:r>
        <w:t xml:space="preserve">, </w:t>
      </w:r>
      <w:r w:rsidR="00274860">
        <w:t xml:space="preserve">it is well to remember that </w:t>
      </w:r>
      <w:r>
        <w:t xml:space="preserve">resource acquisitions </w:t>
      </w:r>
      <w:r w:rsidR="0078148F">
        <w:t xml:space="preserve">by Avista or other utilities </w:t>
      </w:r>
      <w:r>
        <w:t xml:space="preserve">rarely occur </w:t>
      </w:r>
      <w:r w:rsidR="0078148F">
        <w:t>at the precise date they are needed</w:t>
      </w:r>
      <w:r>
        <w:t>.</w:t>
      </w:r>
      <w:r w:rsidR="00D91A7C">
        <w:t xml:space="preserve">  The bottom line is that Avista will </w:t>
      </w:r>
      <w:r w:rsidR="0078148F">
        <w:t xml:space="preserve">in fact use Lancaster to </w:t>
      </w:r>
      <w:r w:rsidR="00D91A7C">
        <w:t xml:space="preserve">serve </w:t>
      </w:r>
      <w:r w:rsidR="0078148F">
        <w:t xml:space="preserve">customer </w:t>
      </w:r>
      <w:r w:rsidR="00D91A7C">
        <w:t>loads in early 2010</w:t>
      </w:r>
      <w:r w:rsidR="008C3C6E">
        <w:t>, as well as the subsequent years.</w:t>
      </w:r>
    </w:p>
    <w:p w:rsidR="00D91A7C" w:rsidRDefault="00D91A7C" w:rsidP="00D93770">
      <w:pPr>
        <w:autoSpaceDE/>
        <w:autoSpaceDN/>
        <w:spacing w:line="480" w:lineRule="auto"/>
        <w:jc w:val="both"/>
      </w:pPr>
      <w:r>
        <w:rPr>
          <w:b/>
        </w:rPr>
        <w:tab/>
        <w:t>Q.</w:t>
      </w:r>
      <w:r>
        <w:rPr>
          <w:b/>
        </w:rPr>
        <w:tab/>
        <w:t xml:space="preserve">How does the Company respond to </w:t>
      </w:r>
      <w:r w:rsidR="006D5385">
        <w:rPr>
          <w:b/>
        </w:rPr>
        <w:t xml:space="preserve">Mr. </w:t>
      </w:r>
      <w:proofErr w:type="spellStart"/>
      <w:r w:rsidR="006D5385">
        <w:rPr>
          <w:b/>
        </w:rPr>
        <w:t>Woodruffs</w:t>
      </w:r>
      <w:r>
        <w:rPr>
          <w:b/>
        </w:rPr>
        <w:t>’s</w:t>
      </w:r>
      <w:proofErr w:type="spellEnd"/>
      <w:r>
        <w:rPr>
          <w:b/>
        </w:rPr>
        <w:t xml:space="preserve"> concern</w:t>
      </w:r>
      <w:r w:rsidR="000638D0">
        <w:rPr>
          <w:b/>
        </w:rPr>
        <w:t>, illustrated</w:t>
      </w:r>
      <w:r>
        <w:rPr>
          <w:b/>
        </w:rPr>
        <w:t xml:space="preserve"> </w:t>
      </w:r>
      <w:r w:rsidR="000638D0">
        <w:rPr>
          <w:b/>
        </w:rPr>
        <w:t xml:space="preserve">on page 19, line 3 of his pre-filed direct testimony, </w:t>
      </w:r>
      <w:r>
        <w:rPr>
          <w:b/>
        </w:rPr>
        <w:t xml:space="preserve">that Lancaster was </w:t>
      </w:r>
      <w:r w:rsidR="000638D0">
        <w:rPr>
          <w:b/>
        </w:rPr>
        <w:t xml:space="preserve">evaluated using </w:t>
      </w:r>
      <w:r>
        <w:rPr>
          <w:b/>
        </w:rPr>
        <w:t xml:space="preserve">actual </w:t>
      </w:r>
      <w:r w:rsidR="006D5385">
        <w:rPr>
          <w:b/>
        </w:rPr>
        <w:t xml:space="preserve">market </w:t>
      </w:r>
      <w:r>
        <w:rPr>
          <w:b/>
        </w:rPr>
        <w:t xml:space="preserve">transactions and regional planning estimates for </w:t>
      </w:r>
      <w:proofErr w:type="spellStart"/>
      <w:r>
        <w:rPr>
          <w:b/>
        </w:rPr>
        <w:t>CCCT</w:t>
      </w:r>
      <w:proofErr w:type="spellEnd"/>
      <w:r>
        <w:rPr>
          <w:b/>
        </w:rPr>
        <w:t xml:space="preserve"> plants</w:t>
      </w:r>
      <w:r w:rsidR="006D5385">
        <w:rPr>
          <w:b/>
        </w:rPr>
        <w:t xml:space="preserve"> and not RFP results</w:t>
      </w:r>
      <w:r>
        <w:rPr>
          <w:b/>
        </w:rPr>
        <w:t>?</w:t>
      </w:r>
    </w:p>
    <w:p w:rsidR="00E5649D" w:rsidRDefault="00D91A7C" w:rsidP="00D93770">
      <w:pPr>
        <w:autoSpaceDE/>
        <w:autoSpaceDN/>
        <w:spacing w:line="480" w:lineRule="auto"/>
        <w:jc w:val="both"/>
      </w:pPr>
      <w:r>
        <w:tab/>
        <w:t>A.</w:t>
      </w:r>
      <w:r>
        <w:tab/>
        <w:t xml:space="preserve">The Company’s approach to evaluating the Lancaster facility followed </w:t>
      </w:r>
      <w:r w:rsidR="000638D0">
        <w:t xml:space="preserve">standard </w:t>
      </w:r>
      <w:r>
        <w:t xml:space="preserve">industry </w:t>
      </w:r>
      <w:r w:rsidR="000638D0">
        <w:t>practices</w:t>
      </w:r>
      <w:r>
        <w:t xml:space="preserve">.  It is reasonable to </w:t>
      </w:r>
      <w:r w:rsidR="000638D0">
        <w:t xml:space="preserve">compare </w:t>
      </w:r>
      <w:r>
        <w:t xml:space="preserve">the costs of building new plants </w:t>
      </w:r>
      <w:r w:rsidR="000638D0">
        <w:t xml:space="preserve">with </w:t>
      </w:r>
      <w:r>
        <w:t xml:space="preserve">the cost of </w:t>
      </w:r>
      <w:r>
        <w:lastRenderedPageBreak/>
        <w:t xml:space="preserve">purchasing </w:t>
      </w:r>
      <w:r w:rsidR="000638D0">
        <w:t xml:space="preserve">existing </w:t>
      </w:r>
      <w:r>
        <w:t xml:space="preserve">plants when evaluating a new resource option.  The Company relied not only on its estimates of the costs of new </w:t>
      </w:r>
      <w:proofErr w:type="spellStart"/>
      <w:r>
        <w:t>CCCT</w:t>
      </w:r>
      <w:proofErr w:type="spellEnd"/>
      <w:r>
        <w:t xml:space="preserve"> plants, but on the professional work of other </w:t>
      </w:r>
      <w:r w:rsidR="000638D0">
        <w:t>n</w:t>
      </w:r>
      <w:r>
        <w:t>orthwest utilities and the Northwest Power and Conservation Council</w:t>
      </w:r>
      <w:r w:rsidR="000E5185">
        <w:t>, as well as an assessment of the marketplace for other resource options, such as a long</w:t>
      </w:r>
      <w:r w:rsidR="00E5649D">
        <w:t>-term power purchase</w:t>
      </w:r>
      <w:r>
        <w:t>.</w:t>
      </w:r>
    </w:p>
    <w:p w:rsidR="00D91A7C" w:rsidRDefault="00D91A7C" w:rsidP="00D93770">
      <w:pPr>
        <w:autoSpaceDE/>
        <w:autoSpaceDN/>
        <w:spacing w:line="480" w:lineRule="auto"/>
        <w:jc w:val="both"/>
      </w:pPr>
      <w:r>
        <w:tab/>
      </w:r>
      <w:r>
        <w:rPr>
          <w:b/>
        </w:rPr>
        <w:t>Q.</w:t>
      </w:r>
      <w:r>
        <w:rPr>
          <w:b/>
        </w:rPr>
        <w:tab/>
        <w:t>Have conditions since the time of the Lancaster acquisition decision borne out the validity of the Company’s analyses?</w:t>
      </w:r>
    </w:p>
    <w:p w:rsidR="00D91A7C" w:rsidRDefault="00D91A7C" w:rsidP="00D93770">
      <w:pPr>
        <w:autoSpaceDE/>
        <w:autoSpaceDN/>
        <w:spacing w:line="480" w:lineRule="auto"/>
        <w:jc w:val="both"/>
      </w:pPr>
      <w:r>
        <w:tab/>
        <w:t>A.</w:t>
      </w:r>
      <w:r>
        <w:tab/>
        <w:t xml:space="preserve">Yes.  </w:t>
      </w:r>
      <w:r w:rsidR="00E5649D">
        <w:t xml:space="preserve">Although the determination of prudence should be based on information available at the time the decision was made, I will note that since </w:t>
      </w:r>
      <w:r>
        <w:t>the Lancaster acquisition the validity of our analysis</w:t>
      </w:r>
      <w:r w:rsidR="000638D0">
        <w:t>—</w:t>
      </w:r>
      <w:r>
        <w:t>that Lancaster was an inexpensive</w:t>
      </w:r>
      <w:r w:rsidR="00F204DD">
        <w:t xml:space="preserve"> resource relative to g</w:t>
      </w:r>
      <w:r>
        <w:t>r</w:t>
      </w:r>
      <w:r w:rsidR="000638D0">
        <w:t xml:space="preserve">eenfield and </w:t>
      </w:r>
      <w:proofErr w:type="spellStart"/>
      <w:r w:rsidR="00F204DD">
        <w:t>b</w:t>
      </w:r>
      <w:r w:rsidR="000638D0">
        <w:t>rownfield</w:t>
      </w:r>
      <w:proofErr w:type="spellEnd"/>
      <w:r w:rsidR="000638D0">
        <w:t xml:space="preserve"> options—</w:t>
      </w:r>
      <w:r>
        <w:t>has</w:t>
      </w:r>
      <w:r w:rsidR="00A83A95">
        <w:t xml:space="preserve"> become </w:t>
      </w:r>
      <w:r w:rsidR="000638D0">
        <w:t xml:space="preserve">even more </w:t>
      </w:r>
      <w:r w:rsidR="00A83A95">
        <w:t xml:space="preserve">evident.  Averaging post-Lancaster project costs from Table 2 </w:t>
      </w:r>
      <w:r w:rsidR="000638D0">
        <w:t xml:space="preserve">above </w:t>
      </w:r>
      <w:r w:rsidR="00A83A95">
        <w:t>indicates an average cost of $1,121 per kW</w:t>
      </w:r>
      <w:r w:rsidR="00274860">
        <w:t>—i.e.,</w:t>
      </w:r>
      <w:r w:rsidR="00A83A95">
        <w:t xml:space="preserve"> </w:t>
      </w:r>
      <w:r w:rsidR="000638D0" w:rsidRPr="00274860">
        <w:rPr>
          <w:u w:val="single"/>
        </w:rPr>
        <w:t>more than twice</w:t>
      </w:r>
      <w:r w:rsidR="000638D0">
        <w:t xml:space="preserve"> </w:t>
      </w:r>
      <w:r w:rsidR="00A83A95">
        <w:t>the cost of Lancaster.</w:t>
      </w:r>
    </w:p>
    <w:p w:rsidR="008D4C01" w:rsidRDefault="008D4C01" w:rsidP="00D93770">
      <w:pPr>
        <w:autoSpaceDE/>
        <w:autoSpaceDN/>
        <w:spacing w:line="480" w:lineRule="auto"/>
        <w:ind w:firstLine="720"/>
        <w:jc w:val="both"/>
        <w:rPr>
          <w:b/>
        </w:rPr>
      </w:pPr>
      <w:r>
        <w:rPr>
          <w:b/>
        </w:rPr>
        <w:t>Q.</w:t>
      </w:r>
      <w:r>
        <w:rPr>
          <w:b/>
        </w:rPr>
        <w:tab/>
        <w:t>Has Witness Woodruff taken issue with the conclusions of the Company’s 2007 Integrated Resource Plan?</w:t>
      </w:r>
    </w:p>
    <w:p w:rsidR="008D4C01" w:rsidRPr="008D4C01" w:rsidRDefault="008D4C01" w:rsidP="00D93770">
      <w:pPr>
        <w:autoSpaceDE/>
        <w:autoSpaceDN/>
        <w:spacing w:line="480" w:lineRule="auto"/>
        <w:ind w:firstLine="720"/>
        <w:jc w:val="both"/>
      </w:pPr>
      <w:r w:rsidRPr="008D4C01">
        <w:t>A.</w:t>
      </w:r>
      <w:r w:rsidRPr="008D4C01">
        <w:tab/>
      </w:r>
      <w:r>
        <w:t xml:space="preserve">No.  Mr. Woodruff has not challenged the conclusions of the 2007 IRP, and specifically that the 2007 IRP found that a gas-fired </w:t>
      </w:r>
      <w:proofErr w:type="spellStart"/>
      <w:r>
        <w:t>CCCT</w:t>
      </w:r>
      <w:proofErr w:type="spellEnd"/>
      <w:r>
        <w:t xml:space="preserve"> is the best acquisition for the Company to meet its load deficiencies.</w:t>
      </w:r>
    </w:p>
    <w:p w:rsidR="008D4C01" w:rsidRDefault="008D4C01" w:rsidP="00D93770">
      <w:pPr>
        <w:autoSpaceDE/>
        <w:autoSpaceDN/>
        <w:spacing w:line="480" w:lineRule="auto"/>
        <w:ind w:firstLine="720"/>
        <w:jc w:val="both"/>
      </w:pPr>
      <w:r>
        <w:rPr>
          <w:b/>
        </w:rPr>
        <w:t>Q.</w:t>
      </w:r>
      <w:r>
        <w:rPr>
          <w:b/>
        </w:rPr>
        <w:tab/>
        <w:t xml:space="preserve">Has Witness Woodruff provided any evidence showing that the Company could have acquired a </w:t>
      </w:r>
      <w:proofErr w:type="spellStart"/>
      <w:r>
        <w:rPr>
          <w:b/>
        </w:rPr>
        <w:t>CCCT</w:t>
      </w:r>
      <w:proofErr w:type="spellEnd"/>
      <w:r>
        <w:rPr>
          <w:b/>
        </w:rPr>
        <w:t xml:space="preserve"> resource at a cost below Lancaster?</w:t>
      </w:r>
    </w:p>
    <w:p w:rsidR="008D4C01" w:rsidRPr="008D4C01" w:rsidRDefault="008D4C01" w:rsidP="00D93770">
      <w:pPr>
        <w:autoSpaceDE/>
        <w:autoSpaceDN/>
        <w:spacing w:line="480" w:lineRule="auto"/>
        <w:ind w:firstLine="720"/>
        <w:jc w:val="both"/>
      </w:pPr>
      <w:r>
        <w:t>A.</w:t>
      </w:r>
      <w:r>
        <w:tab/>
        <w:t xml:space="preserve">No.  He has in no instance provided any facts to back his </w:t>
      </w:r>
      <w:r w:rsidR="00274860">
        <w:t xml:space="preserve">speculation </w:t>
      </w:r>
      <w:r>
        <w:t xml:space="preserve">that the Company could have made another purchase at lower cost, or obtained a better price through the issuance of a competitive solicitation.  </w:t>
      </w:r>
      <w:r w:rsidR="00274860">
        <w:t>To the contrary</w:t>
      </w:r>
      <w:r>
        <w:t>, all evidence in the marketplace, both up to and since the Lancaster decision, shows that the plant is the least-cost acquisition for Avista.</w:t>
      </w:r>
    </w:p>
    <w:p w:rsidR="00306060" w:rsidRDefault="00306060" w:rsidP="00D93770">
      <w:pPr>
        <w:autoSpaceDE/>
        <w:autoSpaceDN/>
        <w:spacing w:line="480" w:lineRule="auto"/>
        <w:ind w:firstLine="720"/>
        <w:jc w:val="both"/>
      </w:pPr>
      <w:r>
        <w:rPr>
          <w:b/>
        </w:rPr>
        <w:lastRenderedPageBreak/>
        <w:t>Q.</w:t>
      </w:r>
      <w:r>
        <w:rPr>
          <w:b/>
        </w:rPr>
        <w:tab/>
      </w:r>
      <w:r w:rsidR="00023672">
        <w:rPr>
          <w:b/>
        </w:rPr>
        <w:t>Mr. Woodruff, at page 21</w:t>
      </w:r>
      <w:r w:rsidR="000638D0">
        <w:rPr>
          <w:b/>
        </w:rPr>
        <w:t xml:space="preserve">, line </w:t>
      </w:r>
      <w:r w:rsidR="00023672">
        <w:rPr>
          <w:b/>
        </w:rPr>
        <w:t>8</w:t>
      </w:r>
      <w:r w:rsidR="000638D0">
        <w:rPr>
          <w:b/>
        </w:rPr>
        <w:t xml:space="preserve"> of his pre-filed direct testimony </w:t>
      </w:r>
      <w:r w:rsidR="0037590A">
        <w:rPr>
          <w:b/>
        </w:rPr>
        <w:t xml:space="preserve">expresses concern with a purported difference between the results of Avista’s Lancaster evaluation and that of Thorndike </w:t>
      </w:r>
      <w:r w:rsidR="00F6484C">
        <w:rPr>
          <w:b/>
        </w:rPr>
        <w:t xml:space="preserve">Landing </w:t>
      </w:r>
      <w:r w:rsidR="0037590A">
        <w:rPr>
          <w:b/>
        </w:rPr>
        <w:t>Consulting</w:t>
      </w:r>
      <w:r w:rsidR="00F6484C">
        <w:rPr>
          <w:b/>
        </w:rPr>
        <w:t xml:space="preserve"> (Thorndike)</w:t>
      </w:r>
      <w:r w:rsidR="0037590A">
        <w:rPr>
          <w:b/>
        </w:rPr>
        <w:t xml:space="preserve">.  </w:t>
      </w:r>
      <w:r w:rsidR="000638D0">
        <w:rPr>
          <w:b/>
        </w:rPr>
        <w:t>Would you comment</w:t>
      </w:r>
      <w:r w:rsidR="0037590A">
        <w:rPr>
          <w:b/>
        </w:rPr>
        <w:t>?</w:t>
      </w:r>
    </w:p>
    <w:p w:rsidR="0037590A" w:rsidRDefault="0037590A" w:rsidP="00D93770">
      <w:pPr>
        <w:autoSpaceDE/>
        <w:autoSpaceDN/>
        <w:spacing w:line="480" w:lineRule="auto"/>
        <w:ind w:firstLine="720"/>
        <w:jc w:val="both"/>
      </w:pPr>
      <w:r>
        <w:t>A.</w:t>
      </w:r>
      <w:r>
        <w:tab/>
      </w:r>
      <w:r w:rsidR="000638D0">
        <w:t>Yes</w:t>
      </w:r>
      <w:r>
        <w:t xml:space="preserve">.  </w:t>
      </w:r>
      <w:r w:rsidR="000638D0">
        <w:t>He</w:t>
      </w:r>
      <w:r>
        <w:t xml:space="preserve"> identifies three assumptions that </w:t>
      </w:r>
      <w:r w:rsidR="000638D0">
        <w:t>differ between the Thorndike and Avista analyses</w:t>
      </w:r>
      <w:r w:rsidR="00023672">
        <w:t xml:space="preserve"> relating to capacity revenues, electricity transmission and gas transportation. </w:t>
      </w:r>
      <w:r w:rsidR="000638D0">
        <w:t xml:space="preserve">  </w:t>
      </w:r>
      <w:r w:rsidR="00D93770">
        <w:t xml:space="preserve">Mr. Woodruff, however, </w:t>
      </w:r>
      <w:r w:rsidR="0017588D">
        <w:t xml:space="preserve">drew incorrect inferences </w:t>
      </w:r>
      <w:r w:rsidR="00D93770">
        <w:t>from these</w:t>
      </w:r>
      <w:r w:rsidR="0017588D">
        <w:t xml:space="preserve"> assumption</w:t>
      </w:r>
      <w:r w:rsidR="00023672">
        <w:t>s</w:t>
      </w:r>
      <w:r>
        <w:t>.</w:t>
      </w:r>
    </w:p>
    <w:p w:rsidR="0037590A" w:rsidRDefault="0037590A" w:rsidP="00D93770">
      <w:pPr>
        <w:autoSpaceDE/>
        <w:autoSpaceDN/>
        <w:spacing w:line="480" w:lineRule="auto"/>
        <w:ind w:firstLine="720"/>
        <w:jc w:val="both"/>
      </w:pPr>
      <w:r>
        <w:rPr>
          <w:b/>
        </w:rPr>
        <w:t>Q.</w:t>
      </w:r>
      <w:r>
        <w:rPr>
          <w:b/>
        </w:rPr>
        <w:tab/>
        <w:t>What is the first assumption</w:t>
      </w:r>
      <w:r w:rsidR="0017588D">
        <w:rPr>
          <w:b/>
        </w:rPr>
        <w:t xml:space="preserve"> Mr. Woodruff makes</w:t>
      </w:r>
      <w:r>
        <w:rPr>
          <w:b/>
        </w:rPr>
        <w:t xml:space="preserve">, and how did </w:t>
      </w:r>
      <w:r w:rsidR="0017588D">
        <w:rPr>
          <w:b/>
        </w:rPr>
        <w:t xml:space="preserve">he </w:t>
      </w:r>
      <w:r>
        <w:rPr>
          <w:b/>
        </w:rPr>
        <w:t>misinterpret it?</w:t>
      </w:r>
    </w:p>
    <w:p w:rsidR="00023672" w:rsidRDefault="0037590A" w:rsidP="00D93770">
      <w:pPr>
        <w:autoSpaceDE/>
        <w:autoSpaceDN/>
        <w:spacing w:line="480" w:lineRule="auto"/>
        <w:ind w:firstLine="720"/>
        <w:jc w:val="both"/>
      </w:pPr>
      <w:r>
        <w:t>A.</w:t>
      </w:r>
      <w:r>
        <w:tab/>
      </w:r>
      <w:r w:rsidR="0017588D">
        <w:t xml:space="preserve">On line 12 of page 21 of his pre-filed direct testimony, Mr. Woodruff </w:t>
      </w:r>
      <w:r w:rsidR="00F6484C">
        <w:t>explains that Avista’s filing does not reflect the capacity value estimated by Thorndike in its Lancaster evaluation.</w:t>
      </w:r>
      <w:r w:rsidR="00023672">
        <w:t xml:space="preserve">  But </w:t>
      </w:r>
      <w:r w:rsidR="00F6484C">
        <w:t xml:space="preserve">Thorndike explains on page 10 of its report (Exhibit </w:t>
      </w:r>
      <w:proofErr w:type="spellStart"/>
      <w:r w:rsidR="00F6484C">
        <w:t>RLS</w:t>
      </w:r>
      <w:proofErr w:type="spellEnd"/>
      <w:r w:rsidR="00F6484C">
        <w:t>-5)</w:t>
      </w:r>
      <w:r w:rsidR="00023672">
        <w:t xml:space="preserve"> that</w:t>
      </w:r>
      <w:r w:rsidR="00F6484C">
        <w:t xml:space="preserve"> capacity </w:t>
      </w:r>
      <w:r w:rsidR="00F97EF4">
        <w:t xml:space="preserve">values are </w:t>
      </w:r>
      <w:r w:rsidR="00F6484C">
        <w:t>based on:  (a) supply and demand dynamics, (b) new build economics, and (c) derived energy margins</w:t>
      </w:r>
      <w:r w:rsidR="00023672">
        <w:t>.  In the final analysis Avista has an obligation to meet the needs of its customers, including the provision of adequate reserve margins.</w:t>
      </w:r>
    </w:p>
    <w:p w:rsidR="00F97EF4" w:rsidRDefault="00F97EF4" w:rsidP="00D93770">
      <w:pPr>
        <w:autoSpaceDE/>
        <w:autoSpaceDN/>
        <w:spacing w:line="480" w:lineRule="auto"/>
        <w:ind w:firstLine="720"/>
        <w:jc w:val="both"/>
      </w:pPr>
      <w:r>
        <w:rPr>
          <w:b/>
        </w:rPr>
        <w:t>Q.</w:t>
      </w:r>
      <w:r>
        <w:rPr>
          <w:b/>
        </w:rPr>
        <w:tab/>
      </w:r>
      <w:r w:rsidR="00023672">
        <w:rPr>
          <w:b/>
        </w:rPr>
        <w:t>Would you explain what you mean</w:t>
      </w:r>
      <w:r>
        <w:rPr>
          <w:b/>
        </w:rPr>
        <w:t>?</w:t>
      </w:r>
    </w:p>
    <w:p w:rsidR="00F97EF4" w:rsidRDefault="00F97EF4" w:rsidP="00D93770">
      <w:pPr>
        <w:autoSpaceDE/>
        <w:autoSpaceDN/>
        <w:spacing w:line="480" w:lineRule="auto"/>
        <w:ind w:firstLine="720"/>
        <w:jc w:val="both"/>
      </w:pPr>
      <w:r>
        <w:t>A.</w:t>
      </w:r>
      <w:r>
        <w:tab/>
        <w:t xml:space="preserve">Utilities </w:t>
      </w:r>
      <w:r w:rsidR="00E5649D">
        <w:t xml:space="preserve">have an obligation to serve their customers and </w:t>
      </w:r>
      <w:r>
        <w:t xml:space="preserve">are expected to construct resources to meet </w:t>
      </w:r>
      <w:r w:rsidR="00E5649D">
        <w:t xml:space="preserve">demands </w:t>
      </w:r>
      <w:r>
        <w:t xml:space="preserve">during adverse conditions, including extreme weather and resource operations.  To ensure a reliable system under practically all conditions, utilities </w:t>
      </w:r>
      <w:r w:rsidR="00E5649D">
        <w:t xml:space="preserve">must </w:t>
      </w:r>
      <w:r>
        <w:t>procure resource</w:t>
      </w:r>
      <w:r w:rsidR="00E5649D">
        <w:t xml:space="preserve">s that have the capability to deliver dependable capacity when called upon, including </w:t>
      </w:r>
      <w:r>
        <w:t>operating and planning reserves.</w:t>
      </w:r>
    </w:p>
    <w:p w:rsidR="00F97EF4" w:rsidRDefault="00F97EF4" w:rsidP="00D93770">
      <w:pPr>
        <w:autoSpaceDE/>
        <w:autoSpaceDN/>
        <w:spacing w:line="480" w:lineRule="auto"/>
        <w:ind w:firstLine="720"/>
        <w:jc w:val="both"/>
      </w:pPr>
      <w:r>
        <w:t xml:space="preserve">For example, Avista carries approximately a 15 percent planning reserve margin.  This means that under normal weather conditions it would have a surplus generating capability of 15 </w:t>
      </w:r>
      <w:r>
        <w:lastRenderedPageBreak/>
        <w:t>percent during its peak operating hours in the winter and summer.  The surplus would be larger during other periods of the year.</w:t>
      </w:r>
    </w:p>
    <w:p w:rsidR="00E5649D" w:rsidRDefault="00F97EF4" w:rsidP="00D93770">
      <w:pPr>
        <w:autoSpaceDE/>
        <w:autoSpaceDN/>
        <w:spacing w:line="480" w:lineRule="auto"/>
        <w:ind w:firstLine="720"/>
        <w:jc w:val="both"/>
      </w:pPr>
      <w:r>
        <w:t xml:space="preserve">This surplus depresses wholesale prices below what they would otherwise be in a more traditional market where supply and demand </w:t>
      </w:r>
      <w:r w:rsidR="00E5649D">
        <w:t xml:space="preserve">may be more in balance.  If a non-utility owner of a firm energy resource, such as a </w:t>
      </w:r>
      <w:proofErr w:type="spellStart"/>
      <w:r w:rsidR="00E5649D">
        <w:t>CCCT</w:t>
      </w:r>
      <w:proofErr w:type="spellEnd"/>
      <w:r w:rsidR="00E5649D">
        <w:t>, were to sell firm energy into this surplus wholesale market, the owner would not recover the total ownership and operating costs of the plant, but would receive revenues more in line with its variable operating costs.  In the Pacific Northwest</w:t>
      </w:r>
      <w:r w:rsidR="00023672">
        <w:t>,</w:t>
      </w:r>
      <w:r w:rsidR="00E5649D">
        <w:t xml:space="preserve"> natural gas generation is </w:t>
      </w:r>
      <w:r w:rsidR="00023672">
        <w:t xml:space="preserve">sold </w:t>
      </w:r>
      <w:r w:rsidR="00E5649D">
        <w:t xml:space="preserve">on the margin a major portion of the time, which means the wholesale market price for power is set a majority of the time based on the variable costs of operating a </w:t>
      </w:r>
      <w:proofErr w:type="spellStart"/>
      <w:r w:rsidR="00E5649D">
        <w:t>CCCT</w:t>
      </w:r>
      <w:proofErr w:type="spellEnd"/>
      <w:r w:rsidR="00E5649D">
        <w:t>.</w:t>
      </w:r>
    </w:p>
    <w:p w:rsidR="00F97EF4" w:rsidRDefault="00F97EF4" w:rsidP="00D93770">
      <w:pPr>
        <w:autoSpaceDE/>
        <w:autoSpaceDN/>
        <w:spacing w:line="480" w:lineRule="auto"/>
        <w:ind w:firstLine="720"/>
        <w:jc w:val="both"/>
      </w:pPr>
      <w:r>
        <w:rPr>
          <w:b/>
        </w:rPr>
        <w:t>Q.</w:t>
      </w:r>
      <w:r>
        <w:rPr>
          <w:b/>
        </w:rPr>
        <w:tab/>
        <w:t>Are there other costs or values that fall under the definition of capacity revenues?</w:t>
      </w:r>
    </w:p>
    <w:p w:rsidR="00F97EF4" w:rsidRDefault="00F97EF4" w:rsidP="00D93770">
      <w:pPr>
        <w:autoSpaceDE/>
        <w:autoSpaceDN/>
        <w:spacing w:line="480" w:lineRule="auto"/>
        <w:ind w:firstLine="720"/>
        <w:jc w:val="both"/>
      </w:pPr>
      <w:r>
        <w:t>A.</w:t>
      </w:r>
      <w:r>
        <w:tab/>
        <w:t>Yes.</w:t>
      </w:r>
      <w:r w:rsidR="00E5649D">
        <w:t xml:space="preserve">  G</w:t>
      </w:r>
      <w:r w:rsidR="0017588D">
        <w:t xml:space="preserve">eneration </w:t>
      </w:r>
      <w:r>
        <w:t xml:space="preserve">assets </w:t>
      </w:r>
      <w:r w:rsidR="00E5649D">
        <w:t xml:space="preserve">with firm natural gas and electricity delivery capabilities </w:t>
      </w:r>
      <w:r>
        <w:t>protect utility customers to varying degrees against market price volatility.  In other words, where large price run</w:t>
      </w:r>
      <w:r w:rsidR="00023672">
        <w:t>-</w:t>
      </w:r>
      <w:r>
        <w:t>ups occur</w:t>
      </w:r>
      <w:r w:rsidR="00023672">
        <w:t>,</w:t>
      </w:r>
      <w:r w:rsidR="00A25D1A">
        <w:t xml:space="preserve"> the generation asset cost becomes much less expensive than the wholesale marketplace and reduces customers’ exposure to the rising costs.</w:t>
      </w:r>
      <w:r w:rsidR="0017588D">
        <w:t xml:space="preserve">  </w:t>
      </w:r>
      <w:r w:rsidR="00E5649D">
        <w:t>As an example, g</w:t>
      </w:r>
      <w:r w:rsidR="0017588D">
        <w:t>as plants during the 2000-01 Energy Crisis provided large savings relative to purchasing electricity in the wholesale marketplace.</w:t>
      </w:r>
    </w:p>
    <w:p w:rsidR="00A25D1A" w:rsidRDefault="00A25D1A" w:rsidP="00D93770">
      <w:pPr>
        <w:autoSpaceDE/>
        <w:autoSpaceDN/>
        <w:spacing w:line="480" w:lineRule="auto"/>
        <w:ind w:firstLine="720"/>
        <w:jc w:val="both"/>
      </w:pPr>
      <w:r>
        <w:rPr>
          <w:b/>
        </w:rPr>
        <w:t>Q.</w:t>
      </w:r>
      <w:r>
        <w:rPr>
          <w:b/>
        </w:rPr>
        <w:tab/>
      </w:r>
      <w:r w:rsidR="00E5649D">
        <w:rPr>
          <w:b/>
        </w:rPr>
        <w:t>At page 21, line 13, Mr. Woodruff in his pre-filed direct testimony references a $17 million capacity benefit calculated in the Thorndike study.  S</w:t>
      </w:r>
      <w:r>
        <w:rPr>
          <w:b/>
        </w:rPr>
        <w:t>hould</w:t>
      </w:r>
      <w:r w:rsidR="00E5649D">
        <w:rPr>
          <w:b/>
        </w:rPr>
        <w:t xml:space="preserve"> </w:t>
      </w:r>
      <w:r>
        <w:rPr>
          <w:b/>
        </w:rPr>
        <w:t xml:space="preserve">this </w:t>
      </w:r>
      <w:r w:rsidR="00E5649D">
        <w:rPr>
          <w:b/>
        </w:rPr>
        <w:t xml:space="preserve">benefit </w:t>
      </w:r>
      <w:r>
        <w:rPr>
          <w:b/>
        </w:rPr>
        <w:t>be built into utility rates?</w:t>
      </w:r>
    </w:p>
    <w:p w:rsidR="008A2913" w:rsidRDefault="00A25D1A" w:rsidP="00D93770">
      <w:pPr>
        <w:autoSpaceDE/>
        <w:autoSpaceDN/>
        <w:spacing w:line="480" w:lineRule="auto"/>
        <w:ind w:firstLine="720"/>
        <w:jc w:val="both"/>
      </w:pPr>
      <w:r>
        <w:t>A.</w:t>
      </w:r>
      <w:r>
        <w:tab/>
      </w:r>
      <w:r w:rsidR="00E5649D">
        <w:t>It essentially is.</w:t>
      </w:r>
      <w:r>
        <w:t xml:space="preserve"> </w:t>
      </w:r>
      <w:r w:rsidR="00E5649D">
        <w:t xml:space="preserve"> </w:t>
      </w:r>
      <w:r>
        <w:t xml:space="preserve">If the marketplace has adequate resources to meet peak demand periods </w:t>
      </w:r>
      <w:r w:rsidR="0017588D">
        <w:t>because it carries</w:t>
      </w:r>
      <w:r>
        <w:t xml:space="preserve"> </w:t>
      </w:r>
      <w:r w:rsidR="0017588D">
        <w:t>a planning margin</w:t>
      </w:r>
      <w:r w:rsidR="0006624B">
        <w:t>,</w:t>
      </w:r>
      <w:r>
        <w:t xml:space="preserve"> </w:t>
      </w:r>
      <w:r w:rsidR="00E5649D">
        <w:t xml:space="preserve">wholesale electricity </w:t>
      </w:r>
      <w:r>
        <w:t xml:space="preserve">prices </w:t>
      </w:r>
      <w:r w:rsidR="00023672">
        <w:t xml:space="preserve">will be relatively </w:t>
      </w:r>
      <w:r>
        <w:t>low</w:t>
      </w:r>
      <w:r w:rsidR="00023672">
        <w:t>er</w:t>
      </w:r>
      <w:r>
        <w:t xml:space="preserve"> </w:t>
      </w:r>
      <w:r>
        <w:lastRenderedPageBreak/>
        <w:t xml:space="preserve">on average and </w:t>
      </w:r>
      <w:r w:rsidR="00E5649D">
        <w:t>below the total cost to own and operate a firm resource.</w:t>
      </w:r>
      <w:r>
        <w:t xml:space="preserve">  But if planning margins are not </w:t>
      </w:r>
      <w:r w:rsidR="00023672">
        <w:t>maintained in the marketplace as a whole</w:t>
      </w:r>
      <w:r>
        <w:t xml:space="preserve">, prices in the wholesale marketplace skyrocket.  </w:t>
      </w:r>
      <w:r w:rsidR="00F916B1">
        <w:t>B</w:t>
      </w:r>
      <w:r>
        <w:t>y building to a planning margin</w:t>
      </w:r>
      <w:r w:rsidR="00B81410">
        <w:t>,</w:t>
      </w:r>
      <w:r>
        <w:t xml:space="preserve"> </w:t>
      </w:r>
      <w:r w:rsidR="008C3C6E">
        <w:t xml:space="preserve">more </w:t>
      </w:r>
      <w:r>
        <w:t xml:space="preserve">volatile markets </w:t>
      </w:r>
      <w:r w:rsidR="00B81410">
        <w:t xml:space="preserve">and higher prices to customers </w:t>
      </w:r>
      <w:r>
        <w:t>are avoided.</w:t>
      </w:r>
    </w:p>
    <w:p w:rsidR="0006624B" w:rsidRDefault="0006624B" w:rsidP="00D93770">
      <w:pPr>
        <w:autoSpaceDE/>
        <w:autoSpaceDN/>
        <w:spacing w:line="480" w:lineRule="auto"/>
        <w:ind w:firstLine="720"/>
        <w:jc w:val="both"/>
        <w:rPr>
          <w:b/>
        </w:rPr>
      </w:pPr>
      <w:r>
        <w:rPr>
          <w:b/>
        </w:rPr>
        <w:t>Q.</w:t>
      </w:r>
      <w:r>
        <w:rPr>
          <w:b/>
        </w:rPr>
        <w:tab/>
      </w:r>
      <w:r w:rsidR="00EA0FCF">
        <w:rPr>
          <w:b/>
        </w:rPr>
        <w:t>Do you have any comments on Mr. Woodruff’s assumption on the BPA transmission associated with Lancaster?</w:t>
      </w:r>
    </w:p>
    <w:p w:rsidR="0006624B" w:rsidRPr="0006624B" w:rsidRDefault="0006624B" w:rsidP="00D93770">
      <w:pPr>
        <w:autoSpaceDE/>
        <w:autoSpaceDN/>
        <w:spacing w:line="480" w:lineRule="auto"/>
        <w:ind w:firstLine="720"/>
        <w:jc w:val="both"/>
      </w:pPr>
      <w:r w:rsidRPr="0006624B">
        <w:t>A.</w:t>
      </w:r>
      <w:r w:rsidRPr="0006624B">
        <w:tab/>
      </w:r>
      <w:r w:rsidR="00EA0FCF">
        <w:t xml:space="preserve">Yes.  </w:t>
      </w:r>
      <w:r w:rsidR="00F916B1">
        <w:t xml:space="preserve">At line 17 of page 21 of his pre-filed direct testimony, Mr. Woodruff </w:t>
      </w:r>
      <w:r>
        <w:t xml:space="preserve">assumes that the Company will remarket the majority of the BPA transmission associated with the Lancaster plant in 2010.  </w:t>
      </w:r>
      <w:r w:rsidR="00F916B1">
        <w:t>He</w:t>
      </w:r>
      <w:r>
        <w:t xml:space="preserve"> fails to acknowledge that the Lancaster plant will operate for many years into the future</w:t>
      </w:r>
      <w:r w:rsidR="00F916B1">
        <w:t>, and that the Company will remarket transmission in varying quantities during those years</w:t>
      </w:r>
      <w:r>
        <w:t xml:space="preserve">.  Presently the Company is working to integrate the Lancaster plant into its system.  As explained by Company </w:t>
      </w:r>
      <w:r w:rsidR="009C0C19">
        <w:t xml:space="preserve">Rebuttal </w:t>
      </w:r>
      <w:r>
        <w:t xml:space="preserve">Witness Lafferty in his rebuttal testimony, Avista is working with the Bonneville Power Administration to interconnect the plant directly to Avista’s system.  Once this occurs the transmission </w:t>
      </w:r>
      <w:r w:rsidR="00F916B1">
        <w:t xml:space="preserve">agreements </w:t>
      </w:r>
      <w:r>
        <w:t xml:space="preserve">will no longer be necessary during most operating conditions </w:t>
      </w:r>
      <w:r w:rsidR="009B3779">
        <w:t xml:space="preserve">for the plant, </w:t>
      </w:r>
      <w:r>
        <w:t xml:space="preserve">and </w:t>
      </w:r>
      <w:r w:rsidR="009B3779">
        <w:t xml:space="preserve">that transmission </w:t>
      </w:r>
      <w:r>
        <w:t xml:space="preserve">can </w:t>
      </w:r>
      <w:r w:rsidR="00023672">
        <w:t xml:space="preserve">then </w:t>
      </w:r>
      <w:r>
        <w:t xml:space="preserve">be remarketed or used to optimize the operation of other utility assets.  </w:t>
      </w:r>
      <w:r w:rsidR="009C0C19">
        <w:t>But until that time</w:t>
      </w:r>
      <w:r w:rsidR="00023672">
        <w:t>,</w:t>
      </w:r>
      <w:r w:rsidR="009C0C19">
        <w:t xml:space="preserve"> BPA transmission will be essential to deliver Lancaster output to Avista customers.  </w:t>
      </w:r>
      <w:r>
        <w:t xml:space="preserve">The assumption </w:t>
      </w:r>
      <w:r w:rsidR="00023672">
        <w:t xml:space="preserve">that Avista can remarket </w:t>
      </w:r>
      <w:r>
        <w:t>three-quarter</w:t>
      </w:r>
      <w:r w:rsidR="00023672">
        <w:t>s</w:t>
      </w:r>
      <w:r>
        <w:t xml:space="preserve"> </w:t>
      </w:r>
      <w:r w:rsidR="00023672">
        <w:t xml:space="preserve">of its </w:t>
      </w:r>
      <w:r>
        <w:t>transmission capacity was based on the long-</w:t>
      </w:r>
      <w:r w:rsidR="009C0C19">
        <w:t>term operation of the plant</w:t>
      </w:r>
      <w:r w:rsidR="00023672">
        <w:t xml:space="preserve"> over 17 years</w:t>
      </w:r>
      <w:r w:rsidR="009C0C19">
        <w:t xml:space="preserve">, not </w:t>
      </w:r>
      <w:r w:rsidR="00023672">
        <w:t xml:space="preserve">just </w:t>
      </w:r>
      <w:r w:rsidR="009C0C19">
        <w:t>for calendar year 2010</w:t>
      </w:r>
      <w:r w:rsidR="00F916B1">
        <w:t>.</w:t>
      </w:r>
    </w:p>
    <w:p w:rsidR="00F916B1" w:rsidRDefault="009C0C19" w:rsidP="00D93770">
      <w:pPr>
        <w:autoSpaceDE/>
        <w:autoSpaceDN/>
        <w:spacing w:line="480" w:lineRule="auto"/>
        <w:ind w:firstLine="720"/>
        <w:jc w:val="both"/>
        <w:rPr>
          <w:b/>
        </w:rPr>
      </w:pPr>
      <w:r>
        <w:rPr>
          <w:b/>
        </w:rPr>
        <w:t>Q.</w:t>
      </w:r>
      <w:r>
        <w:rPr>
          <w:b/>
        </w:rPr>
        <w:tab/>
      </w:r>
      <w:r w:rsidR="00EA0FCF">
        <w:rPr>
          <w:b/>
        </w:rPr>
        <w:t>Do you have any comments on Mr. Woodruff’s assumption regarding natural gas transportation for Lancaster?</w:t>
      </w:r>
    </w:p>
    <w:p w:rsidR="00023672" w:rsidRDefault="00F916B1" w:rsidP="00D93770">
      <w:pPr>
        <w:autoSpaceDE/>
        <w:autoSpaceDN/>
        <w:spacing w:line="480" w:lineRule="auto"/>
        <w:ind w:firstLine="720"/>
        <w:jc w:val="both"/>
      </w:pPr>
      <w:r w:rsidRPr="009C0C19">
        <w:t xml:space="preserve"> </w:t>
      </w:r>
      <w:r w:rsidR="009C0C19" w:rsidRPr="009C0C19">
        <w:t>A.</w:t>
      </w:r>
      <w:r w:rsidR="009C0C19" w:rsidRPr="009C0C19">
        <w:tab/>
      </w:r>
      <w:r w:rsidR="00EA0FCF">
        <w:t xml:space="preserve">Yes.  </w:t>
      </w:r>
      <w:r>
        <w:t xml:space="preserve">On page </w:t>
      </w:r>
      <w:r w:rsidR="00825328">
        <w:t>32</w:t>
      </w:r>
      <w:r>
        <w:t xml:space="preserve"> at line </w:t>
      </w:r>
      <w:r w:rsidR="00825328">
        <w:t>9</w:t>
      </w:r>
      <w:r>
        <w:t xml:space="preserve"> Mr. Woodruff </w:t>
      </w:r>
      <w:r w:rsidR="00825328">
        <w:t xml:space="preserve">states that the gas transportation contract quantities exceed Lancaster’s maximum gas demand by 20 percent.  This is not correct.  </w:t>
      </w:r>
      <w:r w:rsidR="009C0C19">
        <w:lastRenderedPageBreak/>
        <w:t>Company Rebuttal Witness Lafferty will further detail the importance of thi</w:t>
      </w:r>
      <w:r w:rsidR="00825328">
        <w:t>s gas transportation capacity</w:t>
      </w:r>
      <w:r w:rsidR="009B3779">
        <w:t xml:space="preserve">, and how the plant </w:t>
      </w:r>
      <w:r w:rsidR="00023672" w:rsidRPr="00023672">
        <w:t>needs</w:t>
      </w:r>
      <w:r w:rsidR="00023672">
        <w:t xml:space="preserve"> </w:t>
      </w:r>
      <w:r w:rsidR="009B3779" w:rsidRPr="00023672">
        <w:t>the</w:t>
      </w:r>
      <w:r w:rsidR="009B3779">
        <w:t xml:space="preserve"> entire contracted capacity during critical peak demand periods</w:t>
      </w:r>
      <w:r w:rsidR="00023672">
        <w:t>.</w:t>
      </w:r>
    </w:p>
    <w:p w:rsidR="00023672" w:rsidRDefault="00023672" w:rsidP="00D93770">
      <w:pPr>
        <w:autoSpaceDE/>
        <w:autoSpaceDN/>
        <w:spacing w:line="480" w:lineRule="auto"/>
        <w:ind w:firstLine="720"/>
        <w:jc w:val="both"/>
      </w:pPr>
      <w:r>
        <w:rPr>
          <w:b/>
        </w:rPr>
        <w:t>Q.</w:t>
      </w:r>
      <w:r>
        <w:rPr>
          <w:b/>
        </w:rPr>
        <w:tab/>
        <w:t>Are the BPA transmission and gas transportation contracts integral to the operation of Lancaster?</w:t>
      </w:r>
    </w:p>
    <w:p w:rsidR="00023672" w:rsidRDefault="00023672" w:rsidP="00D93770">
      <w:pPr>
        <w:autoSpaceDE/>
        <w:autoSpaceDN/>
        <w:spacing w:line="480" w:lineRule="auto"/>
        <w:ind w:firstLine="720"/>
        <w:jc w:val="both"/>
      </w:pPr>
      <w:r>
        <w:t>A.</w:t>
      </w:r>
      <w:r>
        <w:tab/>
        <w:t>Yes, they are, as further explained by Company Witness Lafferty in his rebuttal testimony.  They are essential components of the overall Lancaster arrangement, and have been included in Avista’s assessment of the overall project economics which compare very favorably to any other alternative.  Were the Commission to disallow all or a portion of the costs associated with these arrangements, as suggested by Public Counsel, the Company would need to examine other alternatives for Lancaster, rather than dedicating it for the benefit of its ratepayers.</w:t>
      </w:r>
    </w:p>
    <w:p w:rsidR="00825328" w:rsidRDefault="00825328" w:rsidP="00D93770">
      <w:pPr>
        <w:autoSpaceDE/>
        <w:autoSpaceDN/>
        <w:spacing w:line="480" w:lineRule="auto"/>
        <w:ind w:firstLine="720"/>
        <w:jc w:val="both"/>
      </w:pPr>
      <w:r>
        <w:rPr>
          <w:b/>
        </w:rPr>
        <w:t>Q.</w:t>
      </w:r>
      <w:r>
        <w:rPr>
          <w:b/>
        </w:rPr>
        <w:tab/>
        <w:t>At line 14 of page 22 of Mr. Woodruff’s pre-filed direct testimony he shows a table summarizing his three concerns, and how they add up to the “bulk of the $22.4 million difference between Avista and TL [Thorndike Landing] estimates of Contracts-related cash flows.”  Does the Company wish to comment on this?</w:t>
      </w:r>
    </w:p>
    <w:p w:rsidR="00825328" w:rsidRPr="00825328" w:rsidRDefault="00825328" w:rsidP="00D93770">
      <w:pPr>
        <w:autoSpaceDE/>
        <w:autoSpaceDN/>
        <w:spacing w:line="480" w:lineRule="auto"/>
        <w:ind w:firstLine="720"/>
        <w:jc w:val="both"/>
      </w:pPr>
      <w:r>
        <w:t>A.</w:t>
      </w:r>
      <w:r>
        <w:tab/>
        <w:t xml:space="preserve">Yes.  The fact that Mr. Woodruff’s adjustments add up </w:t>
      </w:r>
      <w:r w:rsidR="009B3779">
        <w:t xml:space="preserve">substantially </w:t>
      </w:r>
      <w:r>
        <w:t xml:space="preserve">to the difference between Avista and Thorndike’s cash flow difference in 2010 is simply coincidence.  The Avista analysis was a comparison of what it would cost to procure a </w:t>
      </w:r>
      <w:proofErr w:type="spellStart"/>
      <w:r>
        <w:t>CCCT</w:t>
      </w:r>
      <w:proofErr w:type="spellEnd"/>
      <w:r>
        <w:t xml:space="preserve"> plant.  It ignored the market value of the plant entirely since the Company’s 2007 IRP concluded that a </w:t>
      </w:r>
      <w:proofErr w:type="spellStart"/>
      <w:r>
        <w:t>CCCT</w:t>
      </w:r>
      <w:proofErr w:type="spellEnd"/>
      <w:r>
        <w:t xml:space="preserve"> was the right resource choice.  Avista’s result showed that Lancaster was a good choice relative to a new or existing gas-fired </w:t>
      </w:r>
      <w:proofErr w:type="spellStart"/>
      <w:r>
        <w:t>CCCT</w:t>
      </w:r>
      <w:proofErr w:type="spellEnd"/>
      <w:r>
        <w:t>.  Thorndike’s analysis took a completely different approach, explicitly modeling the market value of Lancaster in the wholesale marketplace, including capacity value.</w:t>
      </w:r>
    </w:p>
    <w:p w:rsidR="007B3093" w:rsidRDefault="007B3093" w:rsidP="00D93770">
      <w:pPr>
        <w:autoSpaceDE/>
        <w:autoSpaceDN/>
        <w:spacing w:line="480" w:lineRule="auto"/>
        <w:ind w:firstLine="720"/>
        <w:jc w:val="both"/>
      </w:pPr>
      <w:r>
        <w:rPr>
          <w:b/>
        </w:rPr>
        <w:lastRenderedPageBreak/>
        <w:t>Q.</w:t>
      </w:r>
      <w:r>
        <w:rPr>
          <w:b/>
        </w:rPr>
        <w:tab/>
        <w:t xml:space="preserve">Public Counsel </w:t>
      </w:r>
      <w:r w:rsidR="00825328">
        <w:rPr>
          <w:b/>
        </w:rPr>
        <w:t xml:space="preserve">witness Woodruff takes issue with Thorndike’s use of high and low gas price cases.  </w:t>
      </w:r>
      <w:r>
        <w:rPr>
          <w:b/>
        </w:rPr>
        <w:t>Does the Company wish to comment on t</w:t>
      </w:r>
      <w:r w:rsidR="009B3779">
        <w:rPr>
          <w:b/>
        </w:rPr>
        <w:t>his</w:t>
      </w:r>
      <w:r w:rsidR="00EA0FCF">
        <w:rPr>
          <w:b/>
        </w:rPr>
        <w:t xml:space="preserve"> testimony</w:t>
      </w:r>
      <w:r>
        <w:rPr>
          <w:b/>
        </w:rPr>
        <w:t>?</w:t>
      </w:r>
    </w:p>
    <w:p w:rsidR="008700EA" w:rsidRDefault="007B3093" w:rsidP="00D93770">
      <w:pPr>
        <w:autoSpaceDE/>
        <w:autoSpaceDN/>
        <w:spacing w:line="480" w:lineRule="auto"/>
        <w:jc w:val="both"/>
      </w:pPr>
      <w:r>
        <w:tab/>
        <w:t>A.</w:t>
      </w:r>
      <w:r>
        <w:tab/>
        <w:t>Yes.</w:t>
      </w:r>
      <w:r w:rsidR="00ED3602">
        <w:t xml:space="preserve">  </w:t>
      </w:r>
      <w:r w:rsidR="00825328">
        <w:t xml:space="preserve">Beginning on page </w:t>
      </w:r>
      <w:r w:rsidR="008700EA">
        <w:t xml:space="preserve">23 of his testimony, </w:t>
      </w:r>
      <w:r w:rsidR="00825328">
        <w:t xml:space="preserve">Mr. Woodruff </w:t>
      </w:r>
      <w:r w:rsidR="00143E49">
        <w:t>expresses</w:t>
      </w:r>
      <w:r w:rsidR="00ED3602">
        <w:t xml:space="preserve"> </w:t>
      </w:r>
      <w:r w:rsidR="008700EA">
        <w:t>his</w:t>
      </w:r>
      <w:r w:rsidR="00ED3602">
        <w:t xml:space="preserve"> concerns with the independent analysis prepared by Thorndike, specifically in reference to the consulting firm’s low and high gas price cases.  </w:t>
      </w:r>
      <w:r w:rsidR="00143E49">
        <w:t xml:space="preserve">He surmises that both </w:t>
      </w:r>
      <w:r w:rsidR="00ED3602">
        <w:t xml:space="preserve">Thorndike and Avista </w:t>
      </w:r>
      <w:r w:rsidR="00143E49">
        <w:t xml:space="preserve">fail to recognize </w:t>
      </w:r>
      <w:r w:rsidR="00ED3602">
        <w:t>the significance of varying natural gas prices</w:t>
      </w:r>
      <w:r w:rsidR="00143E49">
        <w:t>,</w:t>
      </w:r>
      <w:r w:rsidR="00ED3602">
        <w:t xml:space="preserve"> when in fact we both do.  The </w:t>
      </w:r>
      <w:r w:rsidR="009B3779">
        <w:t xml:space="preserve">real </w:t>
      </w:r>
      <w:r w:rsidR="00ED3602">
        <w:t xml:space="preserve">question, </w:t>
      </w:r>
      <w:r w:rsidR="00143E49">
        <w:t xml:space="preserve">however, is the </w:t>
      </w:r>
      <w:r w:rsidR="008700EA">
        <w:t xml:space="preserve">one that Public Counsel </w:t>
      </w:r>
      <w:r w:rsidR="009B3779">
        <w:t xml:space="preserve">fails to </w:t>
      </w:r>
      <w:r w:rsidR="00143E49">
        <w:t>address:</w:t>
      </w:r>
      <w:r w:rsidR="008700EA">
        <w:t xml:space="preserve"> </w:t>
      </w:r>
      <w:r w:rsidR="00ED3602" w:rsidRPr="00143E49">
        <w:rPr>
          <w:u w:val="single"/>
        </w:rPr>
        <w:t xml:space="preserve">whether or not </w:t>
      </w:r>
      <w:r w:rsidR="008700EA" w:rsidRPr="00143E49">
        <w:rPr>
          <w:u w:val="single"/>
        </w:rPr>
        <w:t xml:space="preserve">varying natural gas prices </w:t>
      </w:r>
      <w:r w:rsidR="00ED3602" w:rsidRPr="00143E49">
        <w:rPr>
          <w:u w:val="single"/>
        </w:rPr>
        <w:t>would change the resource acquisition decision.</w:t>
      </w:r>
      <w:r w:rsidR="00ED3602">
        <w:t xml:space="preserve">  </w:t>
      </w:r>
      <w:r w:rsidR="00143E49">
        <w:t>It would not.  Avista based</w:t>
      </w:r>
      <w:r w:rsidR="00ED3602">
        <w:t xml:space="preserve"> its opinions on a robust planning process</w:t>
      </w:r>
      <w:r w:rsidR="00143E49">
        <w:t>,</w:t>
      </w:r>
      <w:r w:rsidR="00ED3602">
        <w:t xml:space="preserve"> culminating </w:t>
      </w:r>
      <w:r w:rsidR="00143E49">
        <w:t>with</w:t>
      </w:r>
      <w:r w:rsidR="00ED3602">
        <w:t xml:space="preserve"> its IRP documents.  The IRP, through an evaluation of 250 Monte Carlo scenarios, found gas </w:t>
      </w:r>
      <w:proofErr w:type="spellStart"/>
      <w:r w:rsidR="00ED3602">
        <w:t>CCCT</w:t>
      </w:r>
      <w:proofErr w:type="spellEnd"/>
      <w:r w:rsidR="00ED3602">
        <w:t xml:space="preserve"> plants as the preferred next resource for Avista.  A year or multiple years of varying natural gas prices would not affect this decision</w:t>
      </w:r>
      <w:r w:rsidR="008700EA">
        <w:t xml:space="preserve"> because the 250 Monte Carlo scenarios in Avista’s 2007 IRP include a range of high and low gas prices</w:t>
      </w:r>
      <w:r w:rsidR="00ED3602">
        <w:t>.</w:t>
      </w:r>
    </w:p>
    <w:p w:rsidR="00286B8C" w:rsidRDefault="00286B8C" w:rsidP="00D93770">
      <w:pPr>
        <w:pStyle w:val="TestBody"/>
        <w:tabs>
          <w:tab w:val="num" w:pos="720"/>
        </w:tabs>
        <w:spacing w:line="480" w:lineRule="auto"/>
        <w:ind w:left="0" w:firstLine="720"/>
        <w:rPr>
          <w:rFonts w:ascii="Times New Roman" w:hAnsi="Times New Roman"/>
          <w:b/>
        </w:rPr>
      </w:pPr>
      <w:r w:rsidRPr="00286B8C">
        <w:rPr>
          <w:rFonts w:ascii="Times New Roman" w:hAnsi="Times New Roman"/>
          <w:b/>
        </w:rPr>
        <w:t>Q.</w:t>
      </w:r>
      <w:r w:rsidRPr="00286B8C">
        <w:rPr>
          <w:rFonts w:ascii="Times New Roman" w:hAnsi="Times New Roman"/>
          <w:b/>
        </w:rPr>
        <w:tab/>
      </w:r>
      <w:r>
        <w:rPr>
          <w:rFonts w:ascii="Times New Roman" w:hAnsi="Times New Roman"/>
          <w:b/>
        </w:rPr>
        <w:t>On page 27 of his pre-filed direct testimony Mr. Woodruff, at line 22 states that Lancaster “…may not have positive value to Avista Utilities if current ‘low’ gas prices persist into the future.”  Is Mr. Woodruff correct in this assessment?</w:t>
      </w:r>
    </w:p>
    <w:p w:rsidR="00286B8C" w:rsidRDefault="00286B8C" w:rsidP="00D93770">
      <w:pPr>
        <w:autoSpaceDE/>
        <w:autoSpaceDN/>
        <w:spacing w:line="480" w:lineRule="auto"/>
        <w:ind w:firstLine="720"/>
        <w:jc w:val="both"/>
      </w:pPr>
      <w:r>
        <w:t>A.</w:t>
      </w:r>
      <w:r>
        <w:tab/>
      </w:r>
      <w:r w:rsidR="00B24A07">
        <w:t xml:space="preserve">No.  </w:t>
      </w:r>
      <w:r>
        <w:t xml:space="preserve">Mr. Woodruff’s concern over today’s low natural gas price is entirely misplaced.  Low natural gas prices </w:t>
      </w:r>
      <w:r w:rsidR="009B3779">
        <w:t xml:space="preserve">are </w:t>
      </w:r>
      <w:r>
        <w:t>a b</w:t>
      </w:r>
      <w:r w:rsidR="00143E49">
        <w:t>enefit</w:t>
      </w:r>
      <w:r>
        <w:t xml:space="preserve"> to customers, providing generation from a </w:t>
      </w:r>
      <w:proofErr w:type="spellStart"/>
      <w:r>
        <w:t>CCCT</w:t>
      </w:r>
      <w:proofErr w:type="spellEnd"/>
      <w:r>
        <w:t xml:space="preserve"> at a cost well below that anticipated in regional planning documents</w:t>
      </w:r>
      <w:r w:rsidR="00143E49">
        <w:t>,</w:t>
      </w:r>
      <w:r w:rsidR="009B3779">
        <w:t xml:space="preserve"> including Avista’s</w:t>
      </w:r>
      <w:r>
        <w:t>.  It is as if Mr. Woodruff believes that low</w:t>
      </w:r>
      <w:r w:rsidR="009B3779">
        <w:t>er</w:t>
      </w:r>
      <w:r>
        <w:t xml:space="preserve">-cost </w:t>
      </w:r>
      <w:r w:rsidR="009B3779">
        <w:t xml:space="preserve">sources of electricity </w:t>
      </w:r>
      <w:r>
        <w:t xml:space="preserve">will </w:t>
      </w:r>
      <w:r w:rsidR="00143E49">
        <w:t xml:space="preserve">somehow </w:t>
      </w:r>
      <w:r>
        <w:t>appear to serve growing customer loads in the eve</w:t>
      </w:r>
      <w:r w:rsidR="004617BC">
        <w:t>nt of low natural gas prices</w:t>
      </w:r>
      <w:r w:rsidR="00E67E6C">
        <w:t>,</w:t>
      </w:r>
      <w:r w:rsidR="00143E49">
        <w:t xml:space="preserve"> and yet he identifies none</w:t>
      </w:r>
      <w:r w:rsidR="004617BC">
        <w:t xml:space="preserve">.  To the contrary, gas-fired generation plants will continue to be built at costs much higher than Lancaster.  Avista will need to build a new </w:t>
      </w:r>
      <w:proofErr w:type="spellStart"/>
      <w:r w:rsidR="004617BC">
        <w:t>CCCT</w:t>
      </w:r>
      <w:proofErr w:type="spellEnd"/>
      <w:r w:rsidR="004617BC">
        <w:t xml:space="preserve"> to ensure its customer’s needs are met in a </w:t>
      </w:r>
      <w:r w:rsidR="004617BC">
        <w:lastRenderedPageBreak/>
        <w:t>cost-effective and reliable manner</w:t>
      </w:r>
      <w:r w:rsidR="00E67E6C">
        <w:t xml:space="preserve"> consistent with its IRP</w:t>
      </w:r>
      <w:r w:rsidR="004617BC">
        <w:t xml:space="preserve">.  The only impact low gas prices will have on Lancaster and, by extension Avista customers, is </w:t>
      </w:r>
      <w:r w:rsidR="00E67E6C">
        <w:t>to lower utility bills below what they would otherwise be.</w:t>
      </w:r>
    </w:p>
    <w:p w:rsidR="00B241DC" w:rsidRDefault="00B241DC" w:rsidP="00D93770">
      <w:pPr>
        <w:pStyle w:val="TestBody"/>
        <w:tabs>
          <w:tab w:val="num" w:pos="720"/>
        </w:tabs>
        <w:spacing w:line="480" w:lineRule="auto"/>
        <w:ind w:left="0" w:firstLine="720"/>
        <w:rPr>
          <w:rFonts w:ascii="Times New Roman" w:hAnsi="Times New Roman"/>
        </w:rPr>
      </w:pPr>
      <w:r>
        <w:rPr>
          <w:rFonts w:ascii="Times New Roman" w:hAnsi="Times New Roman"/>
          <w:b/>
        </w:rPr>
        <w:t>Q.</w:t>
      </w:r>
      <w:r>
        <w:rPr>
          <w:rFonts w:ascii="Times New Roman" w:hAnsi="Times New Roman"/>
          <w:b/>
        </w:rPr>
        <w:tab/>
        <w:t>Based on Avista’s review of the pre-fil</w:t>
      </w:r>
      <w:r w:rsidR="009B3779">
        <w:rPr>
          <w:rFonts w:ascii="Times New Roman" w:hAnsi="Times New Roman"/>
          <w:b/>
        </w:rPr>
        <w:t xml:space="preserve">ed testimony of Public Counsel </w:t>
      </w:r>
      <w:r w:rsidR="00EA0FCF">
        <w:rPr>
          <w:rFonts w:ascii="Times New Roman" w:hAnsi="Times New Roman"/>
          <w:b/>
        </w:rPr>
        <w:t xml:space="preserve">related to Lancaster, </w:t>
      </w:r>
      <w:r>
        <w:rPr>
          <w:rFonts w:ascii="Times New Roman" w:hAnsi="Times New Roman"/>
          <w:b/>
        </w:rPr>
        <w:t xml:space="preserve">should this Commission adopt the recommended disallowances proposed by </w:t>
      </w:r>
      <w:r w:rsidR="00EA0FCF">
        <w:rPr>
          <w:rFonts w:ascii="Times New Roman" w:hAnsi="Times New Roman"/>
          <w:b/>
        </w:rPr>
        <w:t>Mr. Woodruff</w:t>
      </w:r>
      <w:r>
        <w:rPr>
          <w:rFonts w:ascii="Times New Roman" w:hAnsi="Times New Roman"/>
          <w:b/>
        </w:rPr>
        <w:t>?</w:t>
      </w:r>
    </w:p>
    <w:p w:rsidR="00B241DC" w:rsidRPr="00B241DC" w:rsidRDefault="00B241DC" w:rsidP="00D93770">
      <w:pPr>
        <w:pStyle w:val="TestBody"/>
        <w:tabs>
          <w:tab w:val="num" w:pos="720"/>
        </w:tabs>
        <w:spacing w:line="480" w:lineRule="auto"/>
        <w:ind w:left="0" w:firstLine="720"/>
        <w:rPr>
          <w:rFonts w:ascii="Times New Roman" w:hAnsi="Times New Roman"/>
        </w:rPr>
      </w:pPr>
      <w:r>
        <w:rPr>
          <w:rFonts w:ascii="Times New Roman" w:hAnsi="Times New Roman"/>
        </w:rPr>
        <w:t>A.</w:t>
      </w:r>
      <w:r>
        <w:rPr>
          <w:rFonts w:ascii="Times New Roman" w:hAnsi="Times New Roman"/>
        </w:rPr>
        <w:tab/>
        <w:t>No.  As detailed in this testimony, and that of Company Witness Lafferty, the Lancaster acquisition was made at a very favorable price.  The Company relied on robust analyses, including the 2007 Integrated Resource Plan and a</w:t>
      </w:r>
      <w:r w:rsidR="008700EA">
        <w:rPr>
          <w:rFonts w:ascii="Times New Roman" w:hAnsi="Times New Roman"/>
        </w:rPr>
        <w:t xml:space="preserve">n independent </w:t>
      </w:r>
      <w:r>
        <w:rPr>
          <w:rFonts w:ascii="Times New Roman" w:hAnsi="Times New Roman"/>
        </w:rPr>
        <w:t>evaluation of Lancaster relative to other feasible options</w:t>
      </w:r>
      <w:r w:rsidR="008700EA">
        <w:rPr>
          <w:rFonts w:ascii="Times New Roman" w:hAnsi="Times New Roman"/>
        </w:rPr>
        <w:t>.  The</w:t>
      </w:r>
      <w:r w:rsidR="006C2EC2">
        <w:rPr>
          <w:rFonts w:ascii="Times New Roman" w:hAnsi="Times New Roman"/>
        </w:rPr>
        <w:t xml:space="preserve"> </w:t>
      </w:r>
      <w:r w:rsidR="008700EA">
        <w:rPr>
          <w:rFonts w:ascii="Times New Roman" w:hAnsi="Times New Roman"/>
        </w:rPr>
        <w:t>third</w:t>
      </w:r>
      <w:r w:rsidR="006C2EC2">
        <w:rPr>
          <w:rFonts w:ascii="Times New Roman" w:hAnsi="Times New Roman"/>
        </w:rPr>
        <w:t xml:space="preserve"> party independent evaluation confirmed </w:t>
      </w:r>
      <w:r w:rsidR="008700EA">
        <w:rPr>
          <w:rFonts w:ascii="Times New Roman" w:hAnsi="Times New Roman"/>
        </w:rPr>
        <w:t>the validity of Avista’s decision</w:t>
      </w:r>
      <w:r w:rsidR="006C2EC2">
        <w:rPr>
          <w:rFonts w:ascii="Times New Roman" w:hAnsi="Times New Roman"/>
        </w:rPr>
        <w:t xml:space="preserve">.  Absent Lancaster, Avista would </w:t>
      </w:r>
      <w:r w:rsidR="00E67E6C">
        <w:rPr>
          <w:rFonts w:ascii="Times New Roman" w:hAnsi="Times New Roman"/>
        </w:rPr>
        <w:t xml:space="preserve">still </w:t>
      </w:r>
      <w:r w:rsidR="006C2EC2">
        <w:rPr>
          <w:rFonts w:ascii="Times New Roman" w:hAnsi="Times New Roman"/>
        </w:rPr>
        <w:t xml:space="preserve">need to build another </w:t>
      </w:r>
      <w:proofErr w:type="spellStart"/>
      <w:r w:rsidR="006C2EC2">
        <w:rPr>
          <w:rFonts w:ascii="Times New Roman" w:hAnsi="Times New Roman"/>
        </w:rPr>
        <w:t>CCCT</w:t>
      </w:r>
      <w:proofErr w:type="spellEnd"/>
      <w:r w:rsidR="006C2EC2">
        <w:rPr>
          <w:rFonts w:ascii="Times New Roman" w:hAnsi="Times New Roman"/>
        </w:rPr>
        <w:t xml:space="preserve"> plant to serve its needs, almost certainly at a cost premium of 50 percent or more.</w:t>
      </w:r>
      <w:r w:rsidR="008700EA">
        <w:rPr>
          <w:rFonts w:ascii="Times New Roman" w:hAnsi="Times New Roman"/>
        </w:rPr>
        <w:t xml:space="preserve">  This would not be in the long-term interests of customers.</w:t>
      </w:r>
    </w:p>
    <w:p w:rsidR="004A3E3B" w:rsidRPr="00B241DC" w:rsidRDefault="004A3E3B" w:rsidP="00D93770">
      <w:pPr>
        <w:autoSpaceDE/>
        <w:autoSpaceDN/>
        <w:spacing w:line="480" w:lineRule="auto"/>
        <w:ind w:left="720"/>
        <w:jc w:val="both"/>
        <w:rPr>
          <w:rStyle w:val="LineNumber"/>
          <w:b/>
        </w:rPr>
      </w:pPr>
      <w:r w:rsidRPr="00B241DC">
        <w:rPr>
          <w:rStyle w:val="LineNumber"/>
          <w:b/>
        </w:rPr>
        <w:t xml:space="preserve">Q. </w:t>
      </w:r>
      <w:r w:rsidRPr="00B241DC">
        <w:rPr>
          <w:rStyle w:val="LineNumber"/>
          <w:b/>
        </w:rPr>
        <w:tab/>
        <w:t xml:space="preserve">Does this conclude your </w:t>
      </w:r>
      <w:r w:rsidR="00B241DC">
        <w:rPr>
          <w:rStyle w:val="LineNumber"/>
          <w:b/>
        </w:rPr>
        <w:t xml:space="preserve">rebuttal </w:t>
      </w:r>
      <w:r w:rsidRPr="00B241DC">
        <w:rPr>
          <w:rStyle w:val="LineNumber"/>
          <w:b/>
        </w:rPr>
        <w:t>testimony?</w:t>
      </w:r>
    </w:p>
    <w:p w:rsidR="001A1A76" w:rsidRPr="00696359" w:rsidRDefault="004A3E3B" w:rsidP="00D93770">
      <w:pPr>
        <w:pStyle w:val="BodyTextIndent3"/>
        <w:tabs>
          <w:tab w:val="clear" w:pos="1260"/>
        </w:tabs>
        <w:rPr>
          <w:rStyle w:val="LineNumber"/>
          <w:b w:val="0"/>
          <w:bCs w:val="0"/>
        </w:rPr>
      </w:pPr>
      <w:r w:rsidRPr="00BD4B85">
        <w:rPr>
          <w:rStyle w:val="LineNumber"/>
          <w:b w:val="0"/>
          <w:bCs w:val="0"/>
        </w:rPr>
        <w:t>A.</w:t>
      </w:r>
      <w:r w:rsidRPr="00BD4B85">
        <w:rPr>
          <w:rStyle w:val="LineNumber"/>
          <w:b w:val="0"/>
          <w:bCs w:val="0"/>
        </w:rPr>
        <w:tab/>
        <w:t>Yes, it does.</w:t>
      </w:r>
    </w:p>
    <w:sectPr w:rsidR="001A1A76" w:rsidRPr="00696359" w:rsidSect="00831D2C">
      <w:headerReference w:type="default" r:id="rId13"/>
      <w:pgSz w:w="12240" w:h="15840" w:code="1"/>
      <w:pgMar w:top="1440" w:right="1008" w:bottom="1800" w:left="1872" w:header="720" w:footer="576" w:gutter="0"/>
      <w:lnNumType w:countBy="1" w:distance="576"/>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E71" w:rsidRDefault="00137E71">
      <w:r>
        <w:separator/>
      </w:r>
    </w:p>
  </w:endnote>
  <w:endnote w:type="continuationSeparator" w:id="0">
    <w:p w:rsidR="00137E71" w:rsidRDefault="00137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72" w:rsidRDefault="00023672" w:rsidP="00084F18">
    <w:pPr>
      <w:pStyle w:val="Footer"/>
      <w:framePr w:wrap="auto" w:vAnchor="text" w:hAnchor="page" w:x="10582" w:y="-49"/>
      <w:ind w:right="-60" w:hanging="90"/>
      <w:rPr>
        <w:rStyle w:val="PageNumber"/>
      </w:rPr>
    </w:pPr>
  </w:p>
  <w:p w:rsidR="00D93770" w:rsidRDefault="00D93770" w:rsidP="00D93770">
    <w:pPr>
      <w:pStyle w:val="Footer"/>
      <w:tabs>
        <w:tab w:val="clear" w:pos="4320"/>
        <w:tab w:val="clear" w:pos="8640"/>
        <w:tab w:val="left" w:pos="180"/>
        <w:tab w:val="right" w:pos="9360"/>
      </w:tabs>
    </w:pPr>
    <w:r>
      <w:t>Rebuttal Testimony of Clint G. Kalich</w:t>
    </w:r>
    <w:r>
      <w:tab/>
    </w:r>
  </w:p>
  <w:p w:rsidR="00D93770" w:rsidRDefault="00D93770" w:rsidP="00D93770">
    <w:pPr>
      <w:pStyle w:val="Footer"/>
      <w:tabs>
        <w:tab w:val="clear" w:pos="4320"/>
        <w:tab w:val="clear" w:pos="8640"/>
        <w:tab w:val="left" w:pos="180"/>
        <w:tab w:val="right" w:pos="9360"/>
      </w:tabs>
    </w:pPr>
    <w:r>
      <w:t>Avista Corporation</w:t>
    </w:r>
    <w:r>
      <w:tab/>
      <w:t xml:space="preserve">Page </w:t>
    </w:r>
    <w:r>
      <w:rPr>
        <w:rStyle w:val="PageNumber"/>
      </w:rPr>
      <w:fldChar w:fldCharType="begin"/>
    </w:r>
    <w:r>
      <w:rPr>
        <w:rStyle w:val="PageNumber"/>
      </w:rPr>
      <w:instrText xml:space="preserve"> PAGE </w:instrText>
    </w:r>
    <w:r>
      <w:rPr>
        <w:rStyle w:val="PageNumber"/>
      </w:rPr>
      <w:fldChar w:fldCharType="separate"/>
    </w:r>
    <w:r w:rsidR="00F82B24">
      <w:rPr>
        <w:rStyle w:val="PageNumber"/>
        <w:noProof/>
      </w:rPr>
      <w:t>13</w:t>
    </w:r>
    <w:r>
      <w:rPr>
        <w:rStyle w:val="PageNumber"/>
      </w:rPr>
      <w:fldChar w:fldCharType="end"/>
    </w:r>
  </w:p>
  <w:p w:rsidR="00D93770" w:rsidRDefault="00D93770" w:rsidP="00D93770">
    <w:pPr>
      <w:pStyle w:val="Footer"/>
    </w:pPr>
    <w:r>
      <w:t>Docket No’s. UE-090134, UG-090135 &amp; UG-060518 (consolidated)</w:t>
    </w:r>
  </w:p>
  <w:p w:rsidR="00023672" w:rsidRDefault="00023672" w:rsidP="00D93770">
    <w:pPr>
      <w:pStyle w:val="Footer"/>
      <w:tabs>
        <w:tab w:val="clear" w:pos="4320"/>
        <w:tab w:val="clear" w:pos="8640"/>
        <w:tab w:val="right" w:pos="9540"/>
      </w:tabs>
      <w:ind w:right="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72" w:rsidRDefault="00023672">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E71" w:rsidRDefault="00137E71">
      <w:r>
        <w:separator/>
      </w:r>
    </w:p>
  </w:footnote>
  <w:footnote w:type="continuationSeparator" w:id="0">
    <w:p w:rsidR="00137E71" w:rsidRDefault="00137E71">
      <w:r>
        <w:continuationSeparator/>
      </w:r>
    </w:p>
  </w:footnote>
  <w:footnote w:id="1">
    <w:p w:rsidR="00023672" w:rsidRDefault="00023672">
      <w:pPr>
        <w:pStyle w:val="FootnoteText"/>
      </w:pPr>
      <w:r>
        <w:rPr>
          <w:rStyle w:val="FootnoteReference"/>
        </w:rPr>
        <w:footnoteRef/>
      </w:r>
      <w:r>
        <w:t xml:space="preserve"> The 2007 IRP had a typographical error on page 8-27 stating that Lancaster would lower costs by 6 percent.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72" w:rsidRDefault="00023672" w:rsidP="00BA1F0F">
    <w:pPr>
      <w:pStyle w:val="Header"/>
      <w:jc w:val="right"/>
    </w:pPr>
    <w:r>
      <w:t>Exhibit No. ___(</w:t>
    </w:r>
    <w:proofErr w:type="spellStart"/>
    <w:r>
      <w:t>CGK-1T</w:t>
    </w:r>
    <w:proofErr w:type="spellEnd"/>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72" w:rsidRDefault="00023672" w:rsidP="00D93770">
    <w:pPr>
      <w:pStyle w:val="Header"/>
      <w:tabs>
        <w:tab w:val="clear" w:pos="8640"/>
        <w:tab w:val="right" w:pos="10710"/>
      </w:tabs>
      <w:ind w:right="-360"/>
    </w:pPr>
    <w:r>
      <w:t xml:space="preserve">                                                                                                     </w:t>
    </w:r>
    <w:r w:rsidR="00D93770">
      <w:t xml:space="preserve">           </w:t>
    </w:r>
    <w:r w:rsidR="00D93770">
      <w:tab/>
      <w:t>Exhibit No. ___(</w:t>
    </w:r>
    <w:proofErr w:type="spellStart"/>
    <w:r w:rsidR="00D93770">
      <w:t>CGK-4</w:t>
    </w:r>
    <w:r>
      <w:t>T</w:t>
    </w:r>
    <w:proofErr w:type="spellEnd"/>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72" w:rsidRPr="004B593F" w:rsidRDefault="00D93770" w:rsidP="004B593F">
    <w:pPr>
      <w:pStyle w:val="Header"/>
      <w:jc w:val="right"/>
    </w:pPr>
    <w:r>
      <w:t>Exhibit No. ___(</w:t>
    </w:r>
    <w:proofErr w:type="spellStart"/>
    <w:r>
      <w:t>CGK-4</w:t>
    </w:r>
    <w:r w:rsidR="00023672">
      <w:t>T</w:t>
    </w:r>
    <w:proofErr w:type="spellEnd"/>
    <w:r w:rsidR="00023672">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C648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41EC7"/>
    <w:multiLevelType w:val="hybridMultilevel"/>
    <w:tmpl w:val="671E77AC"/>
    <w:lvl w:ilvl="0" w:tplc="BF7A4BE8">
      <w:start w:val="20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644F95"/>
    <w:multiLevelType w:val="singleLevel"/>
    <w:tmpl w:val="78F4CD3E"/>
    <w:lvl w:ilvl="0">
      <w:start w:val="17"/>
      <w:numFmt w:val="upperLetter"/>
      <w:lvlText w:val="%1."/>
      <w:lvlJc w:val="left"/>
      <w:pPr>
        <w:tabs>
          <w:tab w:val="num" w:pos="1260"/>
        </w:tabs>
        <w:ind w:left="1260" w:hanging="540"/>
      </w:pPr>
      <w:rPr>
        <w:rFonts w:hint="default"/>
      </w:rPr>
    </w:lvl>
  </w:abstractNum>
  <w:abstractNum w:abstractNumId="3">
    <w:nsid w:val="283067E6"/>
    <w:multiLevelType w:val="hybridMultilevel"/>
    <w:tmpl w:val="47D077AC"/>
    <w:lvl w:ilvl="0" w:tplc="32C65FB0">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A746975"/>
    <w:multiLevelType w:val="hybridMultilevel"/>
    <w:tmpl w:val="28DE45D4"/>
    <w:lvl w:ilvl="0" w:tplc="423A260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233E7D"/>
    <w:multiLevelType w:val="hybridMultilevel"/>
    <w:tmpl w:val="B06E02BA"/>
    <w:lvl w:ilvl="0" w:tplc="1D106096">
      <w:start w:val="20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5C4DD5"/>
    <w:multiLevelType w:val="hybridMultilevel"/>
    <w:tmpl w:val="AFF60C30"/>
    <w:lvl w:ilvl="0" w:tplc="484298EA">
      <w:start w:val="17"/>
      <w:numFmt w:val="upperLetter"/>
      <w:lvlText w:val="%1."/>
      <w:lvlJc w:val="left"/>
      <w:pPr>
        <w:tabs>
          <w:tab w:val="num" w:pos="7920"/>
        </w:tabs>
        <w:ind w:left="7920" w:hanging="72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7">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cs="Times New Roman" w:hint="default"/>
      </w:rPr>
    </w:lvl>
  </w:abstractNum>
  <w:abstractNum w:abstractNumId="8">
    <w:nsid w:val="473E497A"/>
    <w:multiLevelType w:val="hybridMultilevel"/>
    <w:tmpl w:val="4AC03FE2"/>
    <w:lvl w:ilvl="0" w:tplc="63F4F99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3B33BD"/>
    <w:multiLevelType w:val="hybridMultilevel"/>
    <w:tmpl w:val="3A7E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954F2B"/>
    <w:multiLevelType w:val="hybridMultilevel"/>
    <w:tmpl w:val="8D06AAD6"/>
    <w:lvl w:ilvl="0" w:tplc="7FB25EC2">
      <w:start w:val="17"/>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30934C2"/>
    <w:multiLevelType w:val="hybridMultilevel"/>
    <w:tmpl w:val="EEEC8F38"/>
    <w:lvl w:ilvl="0" w:tplc="0D34E078">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6A00448"/>
    <w:multiLevelType w:val="hybridMultilevel"/>
    <w:tmpl w:val="345C2A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8BE4C6A"/>
    <w:multiLevelType w:val="hybridMultilevel"/>
    <w:tmpl w:val="9B2ED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7C3AFB"/>
    <w:multiLevelType w:val="hybridMultilevel"/>
    <w:tmpl w:val="8E221294"/>
    <w:lvl w:ilvl="0" w:tplc="F9C81666">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B837B89"/>
    <w:multiLevelType w:val="hybridMultilevel"/>
    <w:tmpl w:val="7CB0E80C"/>
    <w:lvl w:ilvl="0" w:tplc="009A8D5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4751C20"/>
    <w:multiLevelType w:val="hybridMultilevel"/>
    <w:tmpl w:val="8FB6A182"/>
    <w:lvl w:ilvl="0" w:tplc="78141FC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E9632DD"/>
    <w:multiLevelType w:val="hybridMultilevel"/>
    <w:tmpl w:val="52086F00"/>
    <w:lvl w:ilvl="0" w:tplc="2C680BFE">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488444C"/>
    <w:multiLevelType w:val="hybridMultilevel"/>
    <w:tmpl w:val="D70A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E61EC2"/>
    <w:multiLevelType w:val="hybridMultilevel"/>
    <w:tmpl w:val="6B7275A2"/>
    <w:lvl w:ilvl="0" w:tplc="15E658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A816956"/>
    <w:multiLevelType w:val="hybridMultilevel"/>
    <w:tmpl w:val="9002435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nsid w:val="7A8C2E01"/>
    <w:multiLevelType w:val="hybridMultilevel"/>
    <w:tmpl w:val="371A3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042EAC"/>
    <w:multiLevelType w:val="hybridMultilevel"/>
    <w:tmpl w:val="2426255E"/>
    <w:lvl w:ilvl="0" w:tplc="112C038A">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2"/>
  </w:num>
  <w:num w:numId="3">
    <w:abstractNumId w:val="2"/>
  </w:num>
  <w:num w:numId="4">
    <w:abstractNumId w:val="0"/>
  </w:num>
  <w:num w:numId="5">
    <w:abstractNumId w:val="10"/>
  </w:num>
  <w:num w:numId="6">
    <w:abstractNumId w:val="18"/>
  </w:num>
  <w:num w:numId="7">
    <w:abstractNumId w:val="21"/>
  </w:num>
  <w:num w:numId="8">
    <w:abstractNumId w:val="11"/>
  </w:num>
  <w:num w:numId="9">
    <w:abstractNumId w:val="20"/>
  </w:num>
  <w:num w:numId="10">
    <w:abstractNumId w:val="3"/>
  </w:num>
  <w:num w:numId="11">
    <w:abstractNumId w:val="8"/>
  </w:num>
  <w:num w:numId="12">
    <w:abstractNumId w:val="14"/>
  </w:num>
  <w:num w:numId="13">
    <w:abstractNumId w:val="22"/>
  </w:num>
  <w:num w:numId="14">
    <w:abstractNumId w:val="6"/>
  </w:num>
  <w:num w:numId="15">
    <w:abstractNumId w:val="19"/>
  </w:num>
  <w:num w:numId="16">
    <w:abstractNumId w:val="9"/>
  </w:num>
  <w:num w:numId="17">
    <w:abstractNumId w:val="13"/>
  </w:num>
  <w:num w:numId="18">
    <w:abstractNumId w:val="4"/>
  </w:num>
  <w:num w:numId="19">
    <w:abstractNumId w:val="16"/>
  </w:num>
  <w:num w:numId="20">
    <w:abstractNumId w:val="15"/>
  </w:num>
  <w:num w:numId="21">
    <w:abstractNumId w:val="17"/>
  </w:num>
  <w:num w:numId="22">
    <w:abstractNumId w:val="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rsids>
    <w:rsidRoot w:val="00710FAD"/>
    <w:rsid w:val="00000E61"/>
    <w:rsid w:val="00000EE1"/>
    <w:rsid w:val="00011069"/>
    <w:rsid w:val="00012D41"/>
    <w:rsid w:val="00022FED"/>
    <w:rsid w:val="00023672"/>
    <w:rsid w:val="00031395"/>
    <w:rsid w:val="0003448D"/>
    <w:rsid w:val="00046362"/>
    <w:rsid w:val="00050DD6"/>
    <w:rsid w:val="00052E67"/>
    <w:rsid w:val="00057345"/>
    <w:rsid w:val="000638D0"/>
    <w:rsid w:val="00064231"/>
    <w:rsid w:val="00064788"/>
    <w:rsid w:val="0006585C"/>
    <w:rsid w:val="0006605F"/>
    <w:rsid w:val="0006624B"/>
    <w:rsid w:val="00067A76"/>
    <w:rsid w:val="00077D12"/>
    <w:rsid w:val="0008317C"/>
    <w:rsid w:val="00083CFF"/>
    <w:rsid w:val="00084F18"/>
    <w:rsid w:val="000965BD"/>
    <w:rsid w:val="00096D9B"/>
    <w:rsid w:val="000A55F3"/>
    <w:rsid w:val="000B1507"/>
    <w:rsid w:val="000B7990"/>
    <w:rsid w:val="000C3967"/>
    <w:rsid w:val="000C6906"/>
    <w:rsid w:val="000C7D53"/>
    <w:rsid w:val="000D6736"/>
    <w:rsid w:val="000E5185"/>
    <w:rsid w:val="0010165A"/>
    <w:rsid w:val="00102957"/>
    <w:rsid w:val="00104A60"/>
    <w:rsid w:val="001116E3"/>
    <w:rsid w:val="0011472A"/>
    <w:rsid w:val="00114F7A"/>
    <w:rsid w:val="00115239"/>
    <w:rsid w:val="00123084"/>
    <w:rsid w:val="00125288"/>
    <w:rsid w:val="001367BF"/>
    <w:rsid w:val="00137E71"/>
    <w:rsid w:val="00143281"/>
    <w:rsid w:val="00143458"/>
    <w:rsid w:val="00143D96"/>
    <w:rsid w:val="00143E49"/>
    <w:rsid w:val="00144510"/>
    <w:rsid w:val="001452F8"/>
    <w:rsid w:val="00147769"/>
    <w:rsid w:val="00152027"/>
    <w:rsid w:val="00153C13"/>
    <w:rsid w:val="00162436"/>
    <w:rsid w:val="00170EBC"/>
    <w:rsid w:val="001715A9"/>
    <w:rsid w:val="001722D7"/>
    <w:rsid w:val="001736F5"/>
    <w:rsid w:val="0017588D"/>
    <w:rsid w:val="0018139B"/>
    <w:rsid w:val="00184D89"/>
    <w:rsid w:val="00185854"/>
    <w:rsid w:val="00195EAB"/>
    <w:rsid w:val="001A0798"/>
    <w:rsid w:val="001A1A76"/>
    <w:rsid w:val="001B47FA"/>
    <w:rsid w:val="001C05DA"/>
    <w:rsid w:val="001C4C22"/>
    <w:rsid w:val="001D250C"/>
    <w:rsid w:val="001D68CD"/>
    <w:rsid w:val="00202AE7"/>
    <w:rsid w:val="00211AFB"/>
    <w:rsid w:val="00213673"/>
    <w:rsid w:val="00215B5B"/>
    <w:rsid w:val="00246A68"/>
    <w:rsid w:val="00257222"/>
    <w:rsid w:val="00274860"/>
    <w:rsid w:val="00275355"/>
    <w:rsid w:val="002754B7"/>
    <w:rsid w:val="00286B8C"/>
    <w:rsid w:val="002A1E29"/>
    <w:rsid w:val="002B60EC"/>
    <w:rsid w:val="002D2532"/>
    <w:rsid w:val="002D403A"/>
    <w:rsid w:val="002D5ACF"/>
    <w:rsid w:val="002D7B99"/>
    <w:rsid w:val="002F178D"/>
    <w:rsid w:val="002F72CF"/>
    <w:rsid w:val="00300FAB"/>
    <w:rsid w:val="00304A23"/>
    <w:rsid w:val="00306060"/>
    <w:rsid w:val="00306943"/>
    <w:rsid w:val="0030746A"/>
    <w:rsid w:val="00313681"/>
    <w:rsid w:val="0031634B"/>
    <w:rsid w:val="0032493A"/>
    <w:rsid w:val="00326825"/>
    <w:rsid w:val="003335B4"/>
    <w:rsid w:val="00335816"/>
    <w:rsid w:val="003423D4"/>
    <w:rsid w:val="003428BB"/>
    <w:rsid w:val="00344498"/>
    <w:rsid w:val="00352DA7"/>
    <w:rsid w:val="0037590A"/>
    <w:rsid w:val="003767A4"/>
    <w:rsid w:val="003837DE"/>
    <w:rsid w:val="0038680F"/>
    <w:rsid w:val="00391C5B"/>
    <w:rsid w:val="003949A6"/>
    <w:rsid w:val="0039668E"/>
    <w:rsid w:val="003A4DAD"/>
    <w:rsid w:val="003B30FE"/>
    <w:rsid w:val="003B3986"/>
    <w:rsid w:val="003B6B6C"/>
    <w:rsid w:val="003C35B3"/>
    <w:rsid w:val="003C6B9F"/>
    <w:rsid w:val="003D002E"/>
    <w:rsid w:val="003E0B56"/>
    <w:rsid w:val="003E3E70"/>
    <w:rsid w:val="003E5B80"/>
    <w:rsid w:val="003F0488"/>
    <w:rsid w:val="003F32F6"/>
    <w:rsid w:val="003F7E0D"/>
    <w:rsid w:val="00407036"/>
    <w:rsid w:val="00407B62"/>
    <w:rsid w:val="00407BC3"/>
    <w:rsid w:val="00422644"/>
    <w:rsid w:val="00422D81"/>
    <w:rsid w:val="00422DF7"/>
    <w:rsid w:val="00431454"/>
    <w:rsid w:val="00433E81"/>
    <w:rsid w:val="0043473E"/>
    <w:rsid w:val="00434D7E"/>
    <w:rsid w:val="00435825"/>
    <w:rsid w:val="00437433"/>
    <w:rsid w:val="00443156"/>
    <w:rsid w:val="004553EC"/>
    <w:rsid w:val="00460CD6"/>
    <w:rsid w:val="004617BC"/>
    <w:rsid w:val="0046730F"/>
    <w:rsid w:val="00472E0F"/>
    <w:rsid w:val="00474D2B"/>
    <w:rsid w:val="0049378A"/>
    <w:rsid w:val="00497ADA"/>
    <w:rsid w:val="004A3E3B"/>
    <w:rsid w:val="004B32C5"/>
    <w:rsid w:val="004B407B"/>
    <w:rsid w:val="004B593F"/>
    <w:rsid w:val="004B5E3D"/>
    <w:rsid w:val="004C176D"/>
    <w:rsid w:val="004E2068"/>
    <w:rsid w:val="004E2D43"/>
    <w:rsid w:val="004E5B23"/>
    <w:rsid w:val="004E641C"/>
    <w:rsid w:val="004F144B"/>
    <w:rsid w:val="004F3BCF"/>
    <w:rsid w:val="004F51BA"/>
    <w:rsid w:val="00505622"/>
    <w:rsid w:val="0050605A"/>
    <w:rsid w:val="005132B0"/>
    <w:rsid w:val="00521BDC"/>
    <w:rsid w:val="00521E1B"/>
    <w:rsid w:val="00530786"/>
    <w:rsid w:val="00536E2D"/>
    <w:rsid w:val="005460BE"/>
    <w:rsid w:val="00555BB6"/>
    <w:rsid w:val="00563619"/>
    <w:rsid w:val="005758D5"/>
    <w:rsid w:val="0057729B"/>
    <w:rsid w:val="00577C31"/>
    <w:rsid w:val="00590DFD"/>
    <w:rsid w:val="005A27B1"/>
    <w:rsid w:val="005A3D13"/>
    <w:rsid w:val="005A5DE9"/>
    <w:rsid w:val="005B2B21"/>
    <w:rsid w:val="005C01EC"/>
    <w:rsid w:val="005C26BF"/>
    <w:rsid w:val="005D0EF9"/>
    <w:rsid w:val="005D3FD9"/>
    <w:rsid w:val="005E1D44"/>
    <w:rsid w:val="005E253C"/>
    <w:rsid w:val="0060532F"/>
    <w:rsid w:val="00614ED9"/>
    <w:rsid w:val="006154EA"/>
    <w:rsid w:val="0062010B"/>
    <w:rsid w:val="00623CC2"/>
    <w:rsid w:val="00650FFA"/>
    <w:rsid w:val="00655C9F"/>
    <w:rsid w:val="00656655"/>
    <w:rsid w:val="006610E8"/>
    <w:rsid w:val="00664403"/>
    <w:rsid w:val="00673777"/>
    <w:rsid w:val="00677D0F"/>
    <w:rsid w:val="00692FB0"/>
    <w:rsid w:val="00693DFF"/>
    <w:rsid w:val="00696359"/>
    <w:rsid w:val="006A0A47"/>
    <w:rsid w:val="006B231D"/>
    <w:rsid w:val="006B3005"/>
    <w:rsid w:val="006B6999"/>
    <w:rsid w:val="006C0B90"/>
    <w:rsid w:val="006C12C0"/>
    <w:rsid w:val="006C2EC2"/>
    <w:rsid w:val="006D4332"/>
    <w:rsid w:val="006D5385"/>
    <w:rsid w:val="006D5A00"/>
    <w:rsid w:val="006D72DF"/>
    <w:rsid w:val="006E6014"/>
    <w:rsid w:val="006E67BA"/>
    <w:rsid w:val="006F3705"/>
    <w:rsid w:val="006F65F0"/>
    <w:rsid w:val="00702914"/>
    <w:rsid w:val="00710FAD"/>
    <w:rsid w:val="00722454"/>
    <w:rsid w:val="00723DB8"/>
    <w:rsid w:val="0074080E"/>
    <w:rsid w:val="007467CD"/>
    <w:rsid w:val="007529D2"/>
    <w:rsid w:val="00756828"/>
    <w:rsid w:val="007643B8"/>
    <w:rsid w:val="00765632"/>
    <w:rsid w:val="00766535"/>
    <w:rsid w:val="007722AF"/>
    <w:rsid w:val="00774D74"/>
    <w:rsid w:val="0078148F"/>
    <w:rsid w:val="00790F77"/>
    <w:rsid w:val="00793399"/>
    <w:rsid w:val="00793B5D"/>
    <w:rsid w:val="007A56E2"/>
    <w:rsid w:val="007A657D"/>
    <w:rsid w:val="007B0C69"/>
    <w:rsid w:val="007B12A8"/>
    <w:rsid w:val="007B1D5D"/>
    <w:rsid w:val="007B3093"/>
    <w:rsid w:val="007B48AC"/>
    <w:rsid w:val="007B66C4"/>
    <w:rsid w:val="007C5CE8"/>
    <w:rsid w:val="007C5EC7"/>
    <w:rsid w:val="007C7C8F"/>
    <w:rsid w:val="007D7E48"/>
    <w:rsid w:val="007E20E3"/>
    <w:rsid w:val="007E59D3"/>
    <w:rsid w:val="007E75E7"/>
    <w:rsid w:val="007F020E"/>
    <w:rsid w:val="007F59AF"/>
    <w:rsid w:val="00802867"/>
    <w:rsid w:val="00803A76"/>
    <w:rsid w:val="00814998"/>
    <w:rsid w:val="00817113"/>
    <w:rsid w:val="00824B8F"/>
    <w:rsid w:val="00824CA3"/>
    <w:rsid w:val="00825328"/>
    <w:rsid w:val="00831D2C"/>
    <w:rsid w:val="00837EF4"/>
    <w:rsid w:val="00850711"/>
    <w:rsid w:val="008521F7"/>
    <w:rsid w:val="00852D5B"/>
    <w:rsid w:val="00856BB3"/>
    <w:rsid w:val="00861E4A"/>
    <w:rsid w:val="00862FDD"/>
    <w:rsid w:val="008700EA"/>
    <w:rsid w:val="00874CCF"/>
    <w:rsid w:val="0088333F"/>
    <w:rsid w:val="008875B1"/>
    <w:rsid w:val="0089551A"/>
    <w:rsid w:val="008A2913"/>
    <w:rsid w:val="008A32AB"/>
    <w:rsid w:val="008A4EBD"/>
    <w:rsid w:val="008B7075"/>
    <w:rsid w:val="008C3C6E"/>
    <w:rsid w:val="008C4587"/>
    <w:rsid w:val="008C5F36"/>
    <w:rsid w:val="008D4C01"/>
    <w:rsid w:val="008D52CE"/>
    <w:rsid w:val="008E0E15"/>
    <w:rsid w:val="0090058A"/>
    <w:rsid w:val="00903BEB"/>
    <w:rsid w:val="00912FB4"/>
    <w:rsid w:val="009303F1"/>
    <w:rsid w:val="009316E1"/>
    <w:rsid w:val="00934BE4"/>
    <w:rsid w:val="00940A3E"/>
    <w:rsid w:val="00942DBB"/>
    <w:rsid w:val="00946E37"/>
    <w:rsid w:val="00947FA3"/>
    <w:rsid w:val="009547B9"/>
    <w:rsid w:val="00955D38"/>
    <w:rsid w:val="00966216"/>
    <w:rsid w:val="00971649"/>
    <w:rsid w:val="0097500A"/>
    <w:rsid w:val="00976AE8"/>
    <w:rsid w:val="009961E1"/>
    <w:rsid w:val="009962B6"/>
    <w:rsid w:val="009A035D"/>
    <w:rsid w:val="009A5413"/>
    <w:rsid w:val="009B3779"/>
    <w:rsid w:val="009B75E6"/>
    <w:rsid w:val="009C0C19"/>
    <w:rsid w:val="009C6C08"/>
    <w:rsid w:val="009D0718"/>
    <w:rsid w:val="009D17EC"/>
    <w:rsid w:val="009D5689"/>
    <w:rsid w:val="009E33EB"/>
    <w:rsid w:val="009F3E29"/>
    <w:rsid w:val="00A05012"/>
    <w:rsid w:val="00A2038F"/>
    <w:rsid w:val="00A23344"/>
    <w:rsid w:val="00A24EC8"/>
    <w:rsid w:val="00A25D1A"/>
    <w:rsid w:val="00A303B1"/>
    <w:rsid w:val="00A32EF9"/>
    <w:rsid w:val="00A43834"/>
    <w:rsid w:val="00A43B25"/>
    <w:rsid w:val="00A626B0"/>
    <w:rsid w:val="00A70C04"/>
    <w:rsid w:val="00A80062"/>
    <w:rsid w:val="00A8057F"/>
    <w:rsid w:val="00A83A95"/>
    <w:rsid w:val="00A84C59"/>
    <w:rsid w:val="00A852FD"/>
    <w:rsid w:val="00A9258E"/>
    <w:rsid w:val="00A9510B"/>
    <w:rsid w:val="00AA2E3D"/>
    <w:rsid w:val="00AA4436"/>
    <w:rsid w:val="00AC11DA"/>
    <w:rsid w:val="00AC2CAF"/>
    <w:rsid w:val="00AC3446"/>
    <w:rsid w:val="00AE6A3B"/>
    <w:rsid w:val="00AE6D4D"/>
    <w:rsid w:val="00AE7381"/>
    <w:rsid w:val="00AF1F0D"/>
    <w:rsid w:val="00AF39CC"/>
    <w:rsid w:val="00B03920"/>
    <w:rsid w:val="00B11C84"/>
    <w:rsid w:val="00B136D3"/>
    <w:rsid w:val="00B14AC3"/>
    <w:rsid w:val="00B21535"/>
    <w:rsid w:val="00B21E6D"/>
    <w:rsid w:val="00B22814"/>
    <w:rsid w:val="00B241DC"/>
    <w:rsid w:val="00B24A07"/>
    <w:rsid w:val="00B25AA5"/>
    <w:rsid w:val="00B25DEB"/>
    <w:rsid w:val="00B3156B"/>
    <w:rsid w:val="00B37C35"/>
    <w:rsid w:val="00B446B2"/>
    <w:rsid w:val="00B51AEA"/>
    <w:rsid w:val="00B56EE9"/>
    <w:rsid w:val="00B5793D"/>
    <w:rsid w:val="00B730C8"/>
    <w:rsid w:val="00B76E55"/>
    <w:rsid w:val="00B77AA1"/>
    <w:rsid w:val="00B81410"/>
    <w:rsid w:val="00B922F7"/>
    <w:rsid w:val="00B951DF"/>
    <w:rsid w:val="00BA1F0F"/>
    <w:rsid w:val="00BA4B46"/>
    <w:rsid w:val="00BA5BCB"/>
    <w:rsid w:val="00BA62EF"/>
    <w:rsid w:val="00BA69B9"/>
    <w:rsid w:val="00BB2E71"/>
    <w:rsid w:val="00BB46FF"/>
    <w:rsid w:val="00BC091D"/>
    <w:rsid w:val="00BC1828"/>
    <w:rsid w:val="00BC49A9"/>
    <w:rsid w:val="00BC4F32"/>
    <w:rsid w:val="00BD224E"/>
    <w:rsid w:val="00BD4B0E"/>
    <w:rsid w:val="00BD4B85"/>
    <w:rsid w:val="00BE1045"/>
    <w:rsid w:val="00BE3EA5"/>
    <w:rsid w:val="00BE5FBC"/>
    <w:rsid w:val="00BE7E66"/>
    <w:rsid w:val="00C06317"/>
    <w:rsid w:val="00C06994"/>
    <w:rsid w:val="00C130C2"/>
    <w:rsid w:val="00C13E64"/>
    <w:rsid w:val="00C20AF3"/>
    <w:rsid w:val="00C36BF8"/>
    <w:rsid w:val="00C438E2"/>
    <w:rsid w:val="00C47504"/>
    <w:rsid w:val="00C52752"/>
    <w:rsid w:val="00C60548"/>
    <w:rsid w:val="00C668DB"/>
    <w:rsid w:val="00C6719E"/>
    <w:rsid w:val="00C8091D"/>
    <w:rsid w:val="00C80B0B"/>
    <w:rsid w:val="00C94F1A"/>
    <w:rsid w:val="00CA3FD8"/>
    <w:rsid w:val="00CB1613"/>
    <w:rsid w:val="00CC785B"/>
    <w:rsid w:val="00CC78C5"/>
    <w:rsid w:val="00CD4E46"/>
    <w:rsid w:val="00CD786F"/>
    <w:rsid w:val="00CF05A6"/>
    <w:rsid w:val="00CF1CE7"/>
    <w:rsid w:val="00CF608F"/>
    <w:rsid w:val="00D04BEB"/>
    <w:rsid w:val="00D05184"/>
    <w:rsid w:val="00D078C5"/>
    <w:rsid w:val="00D10D7B"/>
    <w:rsid w:val="00D11596"/>
    <w:rsid w:val="00D2199C"/>
    <w:rsid w:val="00D24A39"/>
    <w:rsid w:val="00D25132"/>
    <w:rsid w:val="00D27943"/>
    <w:rsid w:val="00D321AE"/>
    <w:rsid w:val="00D50A04"/>
    <w:rsid w:val="00D5609D"/>
    <w:rsid w:val="00D649F7"/>
    <w:rsid w:val="00D70447"/>
    <w:rsid w:val="00D70741"/>
    <w:rsid w:val="00D71F55"/>
    <w:rsid w:val="00D72CA0"/>
    <w:rsid w:val="00D77F98"/>
    <w:rsid w:val="00D809B2"/>
    <w:rsid w:val="00D8532B"/>
    <w:rsid w:val="00D91A7C"/>
    <w:rsid w:val="00D93770"/>
    <w:rsid w:val="00D9751D"/>
    <w:rsid w:val="00D978BD"/>
    <w:rsid w:val="00D979A4"/>
    <w:rsid w:val="00DA2D10"/>
    <w:rsid w:val="00DA7C50"/>
    <w:rsid w:val="00DB4D27"/>
    <w:rsid w:val="00DB4FAD"/>
    <w:rsid w:val="00DC7649"/>
    <w:rsid w:val="00DD66D5"/>
    <w:rsid w:val="00DD7C46"/>
    <w:rsid w:val="00DE4289"/>
    <w:rsid w:val="00DF15A5"/>
    <w:rsid w:val="00DF5323"/>
    <w:rsid w:val="00E047D7"/>
    <w:rsid w:val="00E10ADA"/>
    <w:rsid w:val="00E13816"/>
    <w:rsid w:val="00E310AF"/>
    <w:rsid w:val="00E31D8D"/>
    <w:rsid w:val="00E51279"/>
    <w:rsid w:val="00E54027"/>
    <w:rsid w:val="00E54091"/>
    <w:rsid w:val="00E5649D"/>
    <w:rsid w:val="00E565FA"/>
    <w:rsid w:val="00E62013"/>
    <w:rsid w:val="00E6317C"/>
    <w:rsid w:val="00E64E10"/>
    <w:rsid w:val="00E67E6C"/>
    <w:rsid w:val="00E77DC9"/>
    <w:rsid w:val="00E80104"/>
    <w:rsid w:val="00E81784"/>
    <w:rsid w:val="00E8671C"/>
    <w:rsid w:val="00E87CE7"/>
    <w:rsid w:val="00E92330"/>
    <w:rsid w:val="00EA0FCF"/>
    <w:rsid w:val="00EB2812"/>
    <w:rsid w:val="00EB39BF"/>
    <w:rsid w:val="00EB54E5"/>
    <w:rsid w:val="00EB79D3"/>
    <w:rsid w:val="00EC2524"/>
    <w:rsid w:val="00EC2B92"/>
    <w:rsid w:val="00EC7007"/>
    <w:rsid w:val="00ED123E"/>
    <w:rsid w:val="00ED3602"/>
    <w:rsid w:val="00ED5452"/>
    <w:rsid w:val="00ED576C"/>
    <w:rsid w:val="00ED58C6"/>
    <w:rsid w:val="00ED5C99"/>
    <w:rsid w:val="00ED6890"/>
    <w:rsid w:val="00EE43C9"/>
    <w:rsid w:val="00EE71D7"/>
    <w:rsid w:val="00EF0BB7"/>
    <w:rsid w:val="00EF1223"/>
    <w:rsid w:val="00EF7FE4"/>
    <w:rsid w:val="00F0246B"/>
    <w:rsid w:val="00F0553E"/>
    <w:rsid w:val="00F104AC"/>
    <w:rsid w:val="00F10FBC"/>
    <w:rsid w:val="00F1132A"/>
    <w:rsid w:val="00F15920"/>
    <w:rsid w:val="00F15AD8"/>
    <w:rsid w:val="00F204DD"/>
    <w:rsid w:val="00F4471E"/>
    <w:rsid w:val="00F4518A"/>
    <w:rsid w:val="00F544E0"/>
    <w:rsid w:val="00F60981"/>
    <w:rsid w:val="00F6484C"/>
    <w:rsid w:val="00F82B24"/>
    <w:rsid w:val="00F84BAC"/>
    <w:rsid w:val="00F866B0"/>
    <w:rsid w:val="00F90D83"/>
    <w:rsid w:val="00F916B1"/>
    <w:rsid w:val="00F97CC5"/>
    <w:rsid w:val="00F97EF4"/>
    <w:rsid w:val="00FA6D70"/>
    <w:rsid w:val="00FB211C"/>
    <w:rsid w:val="00FB3624"/>
    <w:rsid w:val="00FB5D54"/>
    <w:rsid w:val="00FB6D59"/>
    <w:rsid w:val="00FC0F04"/>
    <w:rsid w:val="00FC2BF9"/>
    <w:rsid w:val="00FC4AC8"/>
    <w:rsid w:val="00FD0F34"/>
    <w:rsid w:val="00FD637E"/>
    <w:rsid w:val="00FE56BC"/>
    <w:rsid w:val="00FF2FE4"/>
    <w:rsid w:val="00FF6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454"/>
    <w:pPr>
      <w:autoSpaceDE w:val="0"/>
      <w:autoSpaceDN w:val="0"/>
    </w:pPr>
    <w:rPr>
      <w:sz w:val="24"/>
      <w:szCs w:val="24"/>
    </w:rPr>
  </w:style>
  <w:style w:type="paragraph" w:styleId="Heading1">
    <w:name w:val="heading 1"/>
    <w:basedOn w:val="Normal"/>
    <w:next w:val="Normal"/>
    <w:qFormat/>
    <w:rsid w:val="0072245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72245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72245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72245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722454"/>
    <w:pPr>
      <w:keepNext/>
      <w:spacing w:line="480" w:lineRule="auto"/>
      <w:jc w:val="center"/>
      <w:outlineLvl w:val="4"/>
    </w:pPr>
    <w:rPr>
      <w:b/>
      <w:bCs/>
    </w:rPr>
  </w:style>
  <w:style w:type="paragraph" w:styleId="Heading6">
    <w:name w:val="heading 6"/>
    <w:basedOn w:val="Normal"/>
    <w:next w:val="Normal"/>
    <w:qFormat/>
    <w:rsid w:val="0072245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722454"/>
    <w:pPr>
      <w:keepNext/>
      <w:tabs>
        <w:tab w:val="left" w:pos="1260"/>
      </w:tabs>
      <w:jc w:val="right"/>
      <w:outlineLvl w:val="6"/>
    </w:pPr>
    <w:rPr>
      <w:sz w:val="20"/>
      <w:szCs w:val="20"/>
    </w:rPr>
  </w:style>
  <w:style w:type="paragraph" w:styleId="Heading8">
    <w:name w:val="heading 8"/>
    <w:basedOn w:val="Normal"/>
    <w:next w:val="Normal"/>
    <w:qFormat/>
    <w:rsid w:val="0072245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72245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454"/>
    <w:pPr>
      <w:tabs>
        <w:tab w:val="center" w:pos="4320"/>
        <w:tab w:val="right" w:pos="8640"/>
      </w:tabs>
    </w:pPr>
  </w:style>
  <w:style w:type="paragraph" w:styleId="Footer">
    <w:name w:val="footer"/>
    <w:basedOn w:val="Normal"/>
    <w:rsid w:val="00722454"/>
    <w:pPr>
      <w:tabs>
        <w:tab w:val="center" w:pos="4320"/>
        <w:tab w:val="right" w:pos="8640"/>
      </w:tabs>
    </w:pPr>
  </w:style>
  <w:style w:type="character" w:styleId="PageNumber">
    <w:name w:val="page number"/>
    <w:basedOn w:val="DefaultParagraphFont"/>
    <w:rsid w:val="00722454"/>
    <w:rPr>
      <w:rFonts w:ascii="Times New Roman" w:hAnsi="Times New Roman" w:cs="Times New Roman"/>
    </w:rPr>
  </w:style>
  <w:style w:type="character" w:styleId="LineNumber">
    <w:name w:val="line number"/>
    <w:basedOn w:val="DefaultParagraphFont"/>
    <w:rsid w:val="00722454"/>
    <w:rPr>
      <w:rFonts w:ascii="Times New Roman" w:hAnsi="Times New Roman" w:cs="Times New Roman"/>
      <w:sz w:val="24"/>
      <w:szCs w:val="24"/>
    </w:rPr>
  </w:style>
  <w:style w:type="paragraph" w:styleId="BodyTextIndent">
    <w:name w:val="Body Text Indent"/>
    <w:basedOn w:val="Normal"/>
    <w:rsid w:val="00722454"/>
    <w:pPr>
      <w:spacing w:line="480" w:lineRule="auto"/>
      <w:jc w:val="both"/>
    </w:pPr>
  </w:style>
  <w:style w:type="paragraph" w:styleId="BodyTextIndent2">
    <w:name w:val="Body Text Indent 2"/>
    <w:basedOn w:val="Normal"/>
    <w:rsid w:val="00722454"/>
    <w:pPr>
      <w:tabs>
        <w:tab w:val="left" w:pos="1260"/>
      </w:tabs>
      <w:spacing w:line="480" w:lineRule="auto"/>
      <w:ind w:left="540" w:hanging="540"/>
      <w:jc w:val="both"/>
    </w:pPr>
  </w:style>
  <w:style w:type="paragraph" w:styleId="BodyTextIndent3">
    <w:name w:val="Body Text Indent 3"/>
    <w:basedOn w:val="Normal"/>
    <w:rsid w:val="00722454"/>
    <w:pPr>
      <w:tabs>
        <w:tab w:val="left" w:pos="1260"/>
      </w:tabs>
      <w:spacing w:line="480" w:lineRule="auto"/>
      <w:ind w:firstLine="720"/>
      <w:jc w:val="both"/>
    </w:pPr>
    <w:rPr>
      <w:b/>
      <w:bCs/>
    </w:rPr>
  </w:style>
  <w:style w:type="paragraph" w:styleId="FootnoteText">
    <w:name w:val="footnote text"/>
    <w:basedOn w:val="Normal"/>
    <w:semiHidden/>
    <w:rsid w:val="00722454"/>
    <w:rPr>
      <w:sz w:val="20"/>
      <w:szCs w:val="20"/>
    </w:rPr>
  </w:style>
  <w:style w:type="character" w:styleId="FootnoteReference">
    <w:name w:val="footnote reference"/>
    <w:basedOn w:val="DefaultParagraphFont"/>
    <w:semiHidden/>
    <w:rsid w:val="00722454"/>
    <w:rPr>
      <w:vertAlign w:val="superscript"/>
    </w:rPr>
  </w:style>
  <w:style w:type="paragraph" w:styleId="BodyText">
    <w:name w:val="Body Text"/>
    <w:basedOn w:val="Normal"/>
    <w:rsid w:val="00722454"/>
    <w:pPr>
      <w:spacing w:line="360" w:lineRule="auto"/>
      <w:jc w:val="center"/>
    </w:pPr>
    <w:rPr>
      <w:b/>
      <w:bCs/>
    </w:rPr>
  </w:style>
  <w:style w:type="paragraph" w:styleId="DocumentMap">
    <w:name w:val="Document Map"/>
    <w:basedOn w:val="Normal"/>
    <w:semiHidden/>
    <w:rsid w:val="00722454"/>
    <w:pPr>
      <w:shd w:val="clear" w:color="auto" w:fill="000080"/>
    </w:pPr>
    <w:rPr>
      <w:rFonts w:ascii="Tahoma" w:hAnsi="Tahoma" w:cs="Tahoma"/>
    </w:rPr>
  </w:style>
  <w:style w:type="paragraph" w:customStyle="1" w:styleId="TestBody">
    <w:name w:val="Test Body"/>
    <w:rsid w:val="00722454"/>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722454"/>
    <w:pPr>
      <w:numPr>
        <w:numId w:val="1"/>
      </w:numPr>
    </w:pPr>
  </w:style>
  <w:style w:type="character" w:styleId="CommentReference">
    <w:name w:val="annotation reference"/>
    <w:basedOn w:val="DefaultParagraphFont"/>
    <w:semiHidden/>
    <w:rsid w:val="00722454"/>
    <w:rPr>
      <w:sz w:val="16"/>
      <w:szCs w:val="16"/>
    </w:rPr>
  </w:style>
  <w:style w:type="paragraph" w:styleId="CommentText">
    <w:name w:val="annotation text"/>
    <w:basedOn w:val="Normal"/>
    <w:semiHidden/>
    <w:rsid w:val="00722454"/>
    <w:rPr>
      <w:sz w:val="20"/>
      <w:szCs w:val="20"/>
    </w:rPr>
  </w:style>
  <w:style w:type="paragraph" w:styleId="ListBullet">
    <w:name w:val="List Bullet"/>
    <w:basedOn w:val="Normal"/>
    <w:autoRedefine/>
    <w:rsid w:val="00722454"/>
    <w:pPr>
      <w:numPr>
        <w:numId w:val="4"/>
      </w:numPr>
    </w:pPr>
  </w:style>
  <w:style w:type="paragraph" w:styleId="BodyText2">
    <w:name w:val="Body Text 2"/>
    <w:basedOn w:val="Normal"/>
    <w:rsid w:val="00722454"/>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A805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14023">
      <w:bodyDiv w:val="1"/>
      <w:marLeft w:val="0"/>
      <w:marRight w:val="0"/>
      <w:marTop w:val="0"/>
      <w:marBottom w:val="0"/>
      <w:divBdr>
        <w:top w:val="none" w:sz="0" w:space="0" w:color="auto"/>
        <w:left w:val="none" w:sz="0" w:space="0" w:color="auto"/>
        <w:bottom w:val="none" w:sz="0" w:space="0" w:color="auto"/>
        <w:right w:val="none" w:sz="0" w:space="0" w:color="auto"/>
      </w:divBdr>
    </w:div>
    <w:div w:id="83383977">
      <w:bodyDiv w:val="1"/>
      <w:marLeft w:val="0"/>
      <w:marRight w:val="0"/>
      <w:marTop w:val="0"/>
      <w:marBottom w:val="0"/>
      <w:divBdr>
        <w:top w:val="none" w:sz="0" w:space="0" w:color="auto"/>
        <w:left w:val="none" w:sz="0" w:space="0" w:color="auto"/>
        <w:bottom w:val="none" w:sz="0" w:space="0" w:color="auto"/>
        <w:right w:val="none" w:sz="0" w:space="0" w:color="auto"/>
      </w:divBdr>
    </w:div>
    <w:div w:id="986474144">
      <w:bodyDiv w:val="1"/>
      <w:marLeft w:val="0"/>
      <w:marRight w:val="0"/>
      <w:marTop w:val="0"/>
      <w:marBottom w:val="0"/>
      <w:divBdr>
        <w:top w:val="none" w:sz="0" w:space="0" w:color="auto"/>
        <w:left w:val="none" w:sz="0" w:space="0" w:color="auto"/>
        <w:bottom w:val="none" w:sz="0" w:space="0" w:color="auto"/>
        <w:right w:val="none" w:sz="0" w:space="0" w:color="auto"/>
      </w:divBdr>
    </w:div>
    <w:div w:id="1311866472">
      <w:bodyDiv w:val="1"/>
      <w:marLeft w:val="0"/>
      <w:marRight w:val="0"/>
      <w:marTop w:val="0"/>
      <w:marBottom w:val="0"/>
      <w:divBdr>
        <w:top w:val="none" w:sz="0" w:space="0" w:color="auto"/>
        <w:left w:val="none" w:sz="0" w:space="0" w:color="auto"/>
        <w:bottom w:val="none" w:sz="0" w:space="0" w:color="auto"/>
        <w:right w:val="none" w:sz="0" w:space="0" w:color="auto"/>
      </w:divBdr>
    </w:div>
    <w:div w:id="1560940945">
      <w:bodyDiv w:val="1"/>
      <w:marLeft w:val="0"/>
      <w:marRight w:val="0"/>
      <w:marTop w:val="0"/>
      <w:marBottom w:val="0"/>
      <w:divBdr>
        <w:top w:val="none" w:sz="0" w:space="0" w:color="auto"/>
        <w:left w:val="none" w:sz="0" w:space="0" w:color="auto"/>
        <w:bottom w:val="none" w:sz="0" w:space="0" w:color="auto"/>
        <w:right w:val="none" w:sz="0" w:space="0" w:color="auto"/>
      </w:divBdr>
    </w:div>
    <w:div w:id="1651245964">
      <w:bodyDiv w:val="1"/>
      <w:marLeft w:val="0"/>
      <w:marRight w:val="0"/>
      <w:marTop w:val="0"/>
      <w:marBottom w:val="0"/>
      <w:divBdr>
        <w:top w:val="none" w:sz="0" w:space="0" w:color="auto"/>
        <w:left w:val="none" w:sz="0" w:space="0" w:color="auto"/>
        <w:bottom w:val="none" w:sz="0" w:space="0" w:color="auto"/>
        <w:right w:val="none" w:sz="0" w:space="0" w:color="auto"/>
      </w:divBdr>
    </w:div>
    <w:div w:id="1788042324">
      <w:bodyDiv w:val="1"/>
      <w:marLeft w:val="0"/>
      <w:marRight w:val="0"/>
      <w:marTop w:val="0"/>
      <w:marBottom w:val="0"/>
      <w:divBdr>
        <w:top w:val="none" w:sz="0" w:space="0" w:color="auto"/>
        <w:left w:val="none" w:sz="0" w:space="0" w:color="auto"/>
        <w:bottom w:val="none" w:sz="0" w:space="0" w:color="auto"/>
        <w:right w:val="none" w:sz="0" w:space="0" w:color="auto"/>
      </w:divBdr>
    </w:div>
    <w:div w:id="1893614847">
      <w:bodyDiv w:val="1"/>
      <w:marLeft w:val="0"/>
      <w:marRight w:val="0"/>
      <w:marTop w:val="0"/>
      <w:marBottom w:val="0"/>
      <w:divBdr>
        <w:top w:val="none" w:sz="0" w:space="0" w:color="auto"/>
        <w:left w:val="none" w:sz="0" w:space="0" w:color="auto"/>
        <w:bottom w:val="none" w:sz="0" w:space="0" w:color="auto"/>
        <w:right w:val="none" w:sz="0" w:space="0" w:color="auto"/>
      </w:divBdr>
    </w:div>
    <w:div w:id="21445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2009-01-23T08:00:00+00:00</OpenedDate>
    <Date1 xmlns="dc463f71-b30c-4ab2-9473-d307f9d35888">2009-09-11T07:00:00+00:00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E90129439E84DA799E573E626D7C9" ma:contentTypeVersion="123" ma:contentTypeDescription="" ma:contentTypeScope="" ma:versionID="2c61966dbd9e2250be38591c4b9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DBAA2DE-B58F-4EFF-AD42-695C94CB273B}"/>
</file>

<file path=customXml/itemProps2.xml><?xml version="1.0" encoding="utf-8"?>
<ds:datastoreItem xmlns:ds="http://schemas.openxmlformats.org/officeDocument/2006/customXml" ds:itemID="{E75AAF16-5500-4CD2-A225-F4D97B55E990}"/>
</file>

<file path=customXml/itemProps3.xml><?xml version="1.0" encoding="utf-8"?>
<ds:datastoreItem xmlns:ds="http://schemas.openxmlformats.org/officeDocument/2006/customXml" ds:itemID="{AD6F5791-0F01-4033-A319-58770CE4D543}"/>
</file>

<file path=customXml/itemProps4.xml><?xml version="1.0" encoding="utf-8"?>
<ds:datastoreItem xmlns:ds="http://schemas.openxmlformats.org/officeDocument/2006/customXml" ds:itemID="{89FE2CD5-9417-46FE-8FB6-AB810932124B}"/>
</file>

<file path=customXml/itemProps5.xml><?xml version="1.0" encoding="utf-8"?>
<ds:datastoreItem xmlns:ds="http://schemas.openxmlformats.org/officeDocument/2006/customXml" ds:itemID="{3A5ABA28-3011-4883-B157-20C09EEEBB70}"/>
</file>

<file path=docProps/app.xml><?xml version="1.0" encoding="utf-8"?>
<Properties xmlns="http://schemas.openxmlformats.org/officeDocument/2006/extended-properties" xmlns:vt="http://schemas.openxmlformats.org/officeDocument/2006/docPropsVTypes">
  <Template>Normal.dotm</Template>
  <TotalTime>66</TotalTime>
  <Pages>19</Pages>
  <Words>4677</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rzk7kq</dc:creator>
  <cp:keywords/>
  <dc:description/>
  <cp:lastModifiedBy>Patrick Ehrbar</cp:lastModifiedBy>
  <cp:revision>4</cp:revision>
  <cp:lastPrinted>2009-09-10T23:03:00Z</cp:lastPrinted>
  <dcterms:created xsi:type="dcterms:W3CDTF">2009-09-10T23:03:00Z</dcterms:created>
  <dcterms:modified xsi:type="dcterms:W3CDTF">2009-09-11T00:51:00Z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0x0101006E56B4D1795A2E4DB2F0B01679ED314A00ACEE90129439E84DA799E573E626D7C9</vt:lpwstr>
  </property>
  <property fmtid="{D5CDD505-2E9C-101B-9397-08002B2CF9AE}" pid="4" name="_docset_NoMedatataSyncRequired">
    <vt:lpwstr>False</vt:lpwstr>
  </property>
</Properties>
</file>