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B79D5" w14:textId="77777777" w:rsidR="009D44EF" w:rsidRPr="008A083C" w:rsidRDefault="004B0DF0">
      <w:pPr>
        <w:pStyle w:val="BodyText"/>
        <w:spacing w:before="52"/>
        <w:ind w:left="1144"/>
        <w:rPr>
          <w:rFonts w:cs="Times New Roman"/>
        </w:rPr>
      </w:pPr>
      <w:bookmarkStart w:id="0" w:name="_GoBack"/>
      <w:bookmarkEnd w:id="0"/>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 </w:t>
      </w: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14:paraId="279B79D6" w14:textId="77777777" w:rsidR="009D44EF" w:rsidRPr="008A083C" w:rsidRDefault="009D44EF">
      <w:pPr>
        <w:rPr>
          <w:rFonts w:ascii="Times New Roman" w:eastAsia="Times New Roman" w:hAnsi="Times New Roman" w:cs="Times New Roman"/>
          <w:sz w:val="24"/>
          <w:szCs w:val="24"/>
        </w:rPr>
      </w:pPr>
    </w:p>
    <w:p w14:paraId="279B79D7" w14:textId="77777777" w:rsidR="00C537FE" w:rsidRPr="008A083C" w:rsidRDefault="00C537FE">
      <w:pPr>
        <w:rPr>
          <w:rFonts w:ascii="Times New Roman" w:eastAsia="Times New Roman" w:hAnsi="Times New Roman" w:cs="Times New Roman"/>
          <w:sz w:val="24"/>
          <w:szCs w:val="24"/>
        </w:rPr>
      </w:pPr>
    </w:p>
    <w:p w14:paraId="279B79D8" w14:textId="77777777" w:rsidR="009D44EF" w:rsidRPr="008A083C" w:rsidRDefault="009D44EF">
      <w:pPr>
        <w:rPr>
          <w:rFonts w:ascii="Times New Roman" w:eastAsia="Times New Roman" w:hAnsi="Times New Roman" w:cs="Times New Roman"/>
          <w:sz w:val="24"/>
          <w:szCs w:val="24"/>
        </w:rPr>
      </w:pPr>
    </w:p>
    <w:p w14:paraId="279B79D9" w14:textId="77777777" w:rsidR="009D44EF" w:rsidRPr="008A083C" w:rsidRDefault="00BB0E52" w:rsidP="00843AC4">
      <w:pPr>
        <w:pStyle w:val="BodyText"/>
        <w:ind w:left="5490" w:right="1900"/>
        <w:rPr>
          <w:rFonts w:cs="Times New Roman"/>
        </w:rPr>
      </w:pPr>
      <w:r w:rsidRPr="008A083C">
        <w:rPr>
          <w:rFonts w:cs="Times New Roman"/>
          <w:noProof/>
        </w:rPr>
        <mc:AlternateContent>
          <mc:Choice Requires="wpg">
            <w:drawing>
              <wp:anchor distT="0" distB="0" distL="114300" distR="114300" simplePos="0" relativeHeight="1072" behindDoc="0" locked="0" layoutInCell="1" allowOverlap="1" wp14:anchorId="279B7A3F" wp14:editId="279B7A40">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62" w14:textId="77777777" w:rsidR="00C537FE" w:rsidRDefault="00C537FE">
                                <w:pPr>
                                  <w:spacing w:before="1"/>
                                  <w:ind w:left="141"/>
                                  <w:rPr>
                                    <w:rFonts w:ascii="Times New Roman"/>
                                    <w:spacing w:val="-1"/>
                                    <w:sz w:val="24"/>
                                  </w:rPr>
                                </w:pPr>
                              </w:p>
                              <w:p w14:paraId="279B7A63"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79B7A64" w14:textId="77777777" w:rsidR="00D95BF6" w:rsidRDefault="00D95BF6">
                                <w:pPr>
                                  <w:rPr>
                                    <w:rFonts w:ascii="Times New Roman" w:eastAsia="Times New Roman" w:hAnsi="Times New Roman" w:cs="Times New Roman"/>
                                    <w:sz w:val="24"/>
                                    <w:szCs w:val="24"/>
                                  </w:rPr>
                                </w:pPr>
                              </w:p>
                              <w:p w14:paraId="279B7A65"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279B7A66" w14:textId="77777777" w:rsidR="00D95BF6" w:rsidRDefault="00D95BF6">
                                <w:pPr>
                                  <w:rPr>
                                    <w:rFonts w:ascii="Times New Roman" w:eastAsia="Times New Roman" w:hAnsi="Times New Roman" w:cs="Times New Roman"/>
                                    <w:sz w:val="24"/>
                                    <w:szCs w:val="24"/>
                                  </w:rPr>
                                </w:pPr>
                              </w:p>
                              <w:p w14:paraId="279B7A67"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279B7A68" w14:textId="77777777" w:rsidR="00D95BF6" w:rsidRDefault="00D95BF6">
                                <w:pPr>
                                  <w:rPr>
                                    <w:rFonts w:ascii="Times New Roman" w:eastAsia="Times New Roman" w:hAnsi="Times New Roman" w:cs="Times New Roman"/>
                                    <w:sz w:val="24"/>
                                    <w:szCs w:val="24"/>
                                  </w:rPr>
                                </w:pPr>
                              </w:p>
                              <w:p w14:paraId="279B7A69"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79B7A6A" w14:textId="77777777" w:rsidR="00D95BF6" w:rsidRDefault="00D95BF6">
                                <w:pPr>
                                  <w:rPr>
                                    <w:rFonts w:ascii="Times New Roman" w:eastAsia="Times New Roman" w:hAnsi="Times New Roman" w:cs="Times New Roman"/>
                                    <w:sz w:val="24"/>
                                    <w:szCs w:val="24"/>
                                  </w:rPr>
                                </w:pPr>
                              </w:p>
                              <w:p w14:paraId="279B7A6B"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9B7A3F"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279B7A62" w14:textId="77777777" w:rsidR="00C537FE" w:rsidRDefault="00C537FE">
                          <w:pPr>
                            <w:spacing w:before="1"/>
                            <w:ind w:left="141"/>
                            <w:rPr>
                              <w:rFonts w:ascii="Times New Roman"/>
                              <w:spacing w:val="-1"/>
                              <w:sz w:val="24"/>
                            </w:rPr>
                          </w:pPr>
                        </w:p>
                        <w:p w14:paraId="279B7A63"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79B7A64" w14:textId="77777777" w:rsidR="00D95BF6" w:rsidRDefault="00D95BF6">
                          <w:pPr>
                            <w:rPr>
                              <w:rFonts w:ascii="Times New Roman" w:eastAsia="Times New Roman" w:hAnsi="Times New Roman" w:cs="Times New Roman"/>
                              <w:sz w:val="24"/>
                              <w:szCs w:val="24"/>
                            </w:rPr>
                          </w:pPr>
                        </w:p>
                        <w:p w14:paraId="279B7A65"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279B7A66" w14:textId="77777777" w:rsidR="00D95BF6" w:rsidRDefault="00D95BF6">
                          <w:pPr>
                            <w:rPr>
                              <w:rFonts w:ascii="Times New Roman" w:eastAsia="Times New Roman" w:hAnsi="Times New Roman" w:cs="Times New Roman"/>
                              <w:sz w:val="24"/>
                              <w:szCs w:val="24"/>
                            </w:rPr>
                          </w:pPr>
                        </w:p>
                        <w:p w14:paraId="279B7A67"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279B7A68" w14:textId="77777777" w:rsidR="00D95BF6" w:rsidRDefault="00D95BF6">
                          <w:pPr>
                            <w:rPr>
                              <w:rFonts w:ascii="Times New Roman" w:eastAsia="Times New Roman" w:hAnsi="Times New Roman" w:cs="Times New Roman"/>
                              <w:sz w:val="24"/>
                              <w:szCs w:val="24"/>
                            </w:rPr>
                          </w:pPr>
                        </w:p>
                        <w:p w14:paraId="279B7A69"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79B7A6A" w14:textId="77777777" w:rsidR="00D95BF6" w:rsidRDefault="00D95BF6">
                          <w:pPr>
                            <w:rPr>
                              <w:rFonts w:ascii="Times New Roman" w:eastAsia="Times New Roman" w:hAnsi="Times New Roman" w:cs="Times New Roman"/>
                              <w:sz w:val="24"/>
                              <w:szCs w:val="24"/>
                            </w:rPr>
                          </w:pPr>
                        </w:p>
                        <w:p w14:paraId="279B7A6B"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8A083C">
        <w:rPr>
          <w:rFonts w:cs="Times New Roman"/>
          <w:spacing w:val="-1"/>
        </w:rPr>
        <w:t>DOCKET</w:t>
      </w:r>
      <w:r w:rsidR="004B0DF0" w:rsidRPr="008A083C">
        <w:rPr>
          <w:rFonts w:cs="Times New Roman"/>
        </w:rPr>
        <w:t xml:space="preserve"> </w:t>
      </w:r>
      <w:r w:rsidR="004B0DF0" w:rsidRPr="008A083C">
        <w:rPr>
          <w:rFonts w:cs="Times New Roman"/>
          <w:spacing w:val="-1"/>
        </w:rPr>
        <w:t>NOS.</w:t>
      </w:r>
      <w:r w:rsidR="004B0DF0" w:rsidRPr="008A083C">
        <w:rPr>
          <w:rFonts w:cs="Times New Roman"/>
          <w:spacing w:val="27"/>
        </w:rPr>
        <w:t xml:space="preserve"> </w:t>
      </w:r>
      <w:r w:rsidR="004B0DF0" w:rsidRPr="008A083C">
        <w:rPr>
          <w:rFonts w:cs="Times New Roman"/>
          <w:spacing w:val="-1"/>
        </w:rPr>
        <w:t>TC-143691</w:t>
      </w:r>
    </w:p>
    <w:p w14:paraId="279B79DA" w14:textId="77777777" w:rsidR="009D44EF" w:rsidRDefault="004B0DF0" w:rsidP="00843AC4">
      <w:pPr>
        <w:pStyle w:val="BodyText"/>
        <w:ind w:left="5490"/>
        <w:rPr>
          <w:rFonts w:cs="Times New Roman"/>
          <w:spacing w:val="-1"/>
        </w:rPr>
      </w:pPr>
      <w:r w:rsidRPr="008A083C">
        <w:rPr>
          <w:rFonts w:cs="Times New Roman"/>
          <w:spacing w:val="-1"/>
        </w:rPr>
        <w:t>TC-160516</w:t>
      </w:r>
    </w:p>
    <w:p w14:paraId="279B79DB" w14:textId="77777777" w:rsidR="00362F7F" w:rsidRPr="008A083C" w:rsidRDefault="00362F7F" w:rsidP="00843AC4">
      <w:pPr>
        <w:pStyle w:val="BodyText"/>
        <w:ind w:left="5490"/>
        <w:rPr>
          <w:rFonts w:cs="Times New Roman"/>
        </w:rPr>
      </w:pPr>
      <w:r>
        <w:rPr>
          <w:rFonts w:cs="Times New Roman"/>
          <w:spacing w:val="-1"/>
        </w:rPr>
        <w:t>TC-161527</w:t>
      </w:r>
    </w:p>
    <w:p w14:paraId="279B79DC" w14:textId="77777777" w:rsidR="009D44EF" w:rsidRPr="008A083C" w:rsidRDefault="009D44EF" w:rsidP="00843AC4">
      <w:pPr>
        <w:ind w:left="5490"/>
        <w:rPr>
          <w:rFonts w:ascii="Times New Roman" w:eastAsia="Times New Roman" w:hAnsi="Times New Roman" w:cs="Times New Roman"/>
          <w:sz w:val="24"/>
          <w:szCs w:val="24"/>
        </w:rPr>
      </w:pPr>
    </w:p>
    <w:p w14:paraId="279B79DD" w14:textId="77777777" w:rsidR="009D44EF" w:rsidRPr="008A083C" w:rsidRDefault="00425B6C" w:rsidP="00843AC4">
      <w:pPr>
        <w:pStyle w:val="BodyText"/>
        <w:ind w:left="5490" w:right="382"/>
        <w:rPr>
          <w:rFonts w:cs="Times New Roman"/>
          <w:spacing w:val="-1"/>
        </w:rPr>
      </w:pPr>
      <w:r w:rsidRPr="008A083C">
        <w:rPr>
          <w:rFonts w:cs="Times New Roman"/>
          <w:spacing w:val="-1"/>
        </w:rPr>
        <w:t>PETITIONER</w:t>
      </w:r>
      <w:r w:rsidR="004F0F97" w:rsidRPr="008A083C">
        <w:rPr>
          <w:rFonts w:cs="Times New Roman"/>
          <w:spacing w:val="-1"/>
        </w:rPr>
        <w:t xml:space="preserve">’S </w:t>
      </w:r>
      <w:r w:rsidR="00807D48" w:rsidRPr="008A083C">
        <w:rPr>
          <w:rFonts w:cs="Times New Roman"/>
          <w:spacing w:val="-1"/>
        </w:rPr>
        <w:t xml:space="preserve">ANSWER IN OPPOSITION TO MOTION </w:t>
      </w:r>
      <w:r w:rsidR="00D56130">
        <w:rPr>
          <w:rFonts w:cs="Times New Roman"/>
          <w:spacing w:val="-1"/>
        </w:rPr>
        <w:t>IN LIMINE</w:t>
      </w:r>
      <w:r w:rsidR="00004408">
        <w:rPr>
          <w:rFonts w:cs="Times New Roman"/>
          <w:spacing w:val="-1"/>
        </w:rPr>
        <w:t xml:space="preserve"> (</w:t>
      </w:r>
      <w:r w:rsidR="00004408" w:rsidRPr="00FF1C72">
        <w:rPr>
          <w:rFonts w:cs="Times New Roman"/>
          <w:spacing w:val="-1"/>
        </w:rPr>
        <w:t xml:space="preserve">ORAL ARGUMENT </w:t>
      </w:r>
      <w:r w:rsidR="00FF1C72" w:rsidRPr="00FF1C72">
        <w:rPr>
          <w:rFonts w:cs="Times New Roman"/>
          <w:spacing w:val="-1"/>
        </w:rPr>
        <w:t xml:space="preserve">CONDITIONALLY </w:t>
      </w:r>
      <w:r w:rsidR="00004408" w:rsidRPr="00FF1C72">
        <w:rPr>
          <w:rFonts w:cs="Times New Roman"/>
          <w:spacing w:val="-1"/>
        </w:rPr>
        <w:t>REQUESTED</w:t>
      </w:r>
      <w:r w:rsidR="00004408">
        <w:rPr>
          <w:rFonts w:cs="Times New Roman"/>
          <w:spacing w:val="-1"/>
        </w:rPr>
        <w:t>)</w:t>
      </w:r>
    </w:p>
    <w:p w14:paraId="279B79DE" w14:textId="77777777" w:rsidR="006061CA" w:rsidRPr="008A083C" w:rsidRDefault="006061CA">
      <w:pPr>
        <w:pStyle w:val="BodyText"/>
        <w:ind w:left="6353" w:right="382"/>
        <w:rPr>
          <w:rFonts w:cs="Times New Roman"/>
        </w:rPr>
      </w:pPr>
    </w:p>
    <w:p w14:paraId="279B79DF" w14:textId="77777777" w:rsidR="009D44EF" w:rsidRPr="008A083C" w:rsidRDefault="009D44EF">
      <w:pPr>
        <w:rPr>
          <w:rFonts w:ascii="Times New Roman" w:eastAsia="Times New Roman" w:hAnsi="Times New Roman" w:cs="Times New Roman"/>
          <w:sz w:val="24"/>
          <w:szCs w:val="24"/>
        </w:rPr>
      </w:pPr>
    </w:p>
    <w:p w14:paraId="279B79E0" w14:textId="77777777" w:rsidR="009D44EF" w:rsidRPr="008A083C" w:rsidRDefault="009D44EF">
      <w:pPr>
        <w:rPr>
          <w:rFonts w:ascii="Times New Roman" w:eastAsia="Times New Roman" w:hAnsi="Times New Roman" w:cs="Times New Roman"/>
          <w:sz w:val="24"/>
          <w:szCs w:val="24"/>
        </w:rPr>
      </w:pPr>
    </w:p>
    <w:p w14:paraId="279B79E1" w14:textId="77777777" w:rsidR="00C537FE" w:rsidRPr="008A083C" w:rsidRDefault="00C537FE">
      <w:pPr>
        <w:spacing w:before="7"/>
        <w:rPr>
          <w:rFonts w:ascii="Times New Roman" w:eastAsia="Times New Roman" w:hAnsi="Times New Roman" w:cs="Times New Roman"/>
          <w:sz w:val="24"/>
          <w:szCs w:val="24"/>
        </w:rPr>
      </w:pPr>
    </w:p>
    <w:p w14:paraId="279B79E2" w14:textId="77777777" w:rsidR="00691400" w:rsidRPr="008A083C" w:rsidRDefault="00691400" w:rsidP="00691400">
      <w:pPr>
        <w:suppressLineNumbers/>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INTRODUCTION</w:t>
      </w:r>
    </w:p>
    <w:p w14:paraId="279B79E3" w14:textId="77777777" w:rsidR="00362F7F" w:rsidRPr="00362F7F" w:rsidRDefault="00E97659"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Shuttle Express, Inc. </w:t>
      </w:r>
      <w:r w:rsidR="00F174AB" w:rsidRPr="008A083C">
        <w:rPr>
          <w:rFonts w:ascii="Times New Roman" w:hAnsi="Times New Roman" w:cs="Times New Roman"/>
          <w:sz w:val="24"/>
          <w:szCs w:val="24"/>
        </w:rPr>
        <w:t xml:space="preserve">files this answer in opposition to the </w:t>
      </w:r>
      <w:r w:rsidR="00572C7F" w:rsidRPr="00B17969">
        <w:rPr>
          <w:rFonts w:ascii="Times New Roman" w:hAnsi="Times New Roman" w:cs="Times New Roman"/>
          <w:sz w:val="24"/>
          <w:szCs w:val="24"/>
        </w:rPr>
        <w:t>Speedishuttle of Washington, LLC</w:t>
      </w:r>
      <w:r w:rsidR="00572C7F" w:rsidRPr="008A083C">
        <w:rPr>
          <w:rFonts w:ascii="Times New Roman" w:hAnsi="Times New Roman" w:cs="Times New Roman"/>
          <w:sz w:val="24"/>
          <w:szCs w:val="24"/>
        </w:rPr>
        <w:t xml:space="preserve"> </w:t>
      </w:r>
      <w:r>
        <w:rPr>
          <w:rFonts w:ascii="Times New Roman" w:hAnsi="Times New Roman" w:cs="Times New Roman"/>
          <w:sz w:val="24"/>
          <w:szCs w:val="24"/>
        </w:rPr>
        <w:t>Motion</w:t>
      </w:r>
      <w:r w:rsidR="00572C7F">
        <w:rPr>
          <w:rFonts w:ascii="Times New Roman" w:hAnsi="Times New Roman" w:cs="Times New Roman"/>
          <w:sz w:val="24"/>
          <w:szCs w:val="24"/>
        </w:rPr>
        <w:t xml:space="preserve"> </w:t>
      </w:r>
      <w:r w:rsidR="00151B7E">
        <w:rPr>
          <w:rFonts w:ascii="Times New Roman" w:hAnsi="Times New Roman" w:cs="Times New Roman"/>
          <w:sz w:val="24"/>
          <w:szCs w:val="24"/>
        </w:rPr>
        <w:t xml:space="preserve">in Limine </w:t>
      </w:r>
      <w:r w:rsidR="00362F7F">
        <w:rPr>
          <w:rFonts w:ascii="Times New Roman" w:hAnsi="Times New Roman" w:cs="Times New Roman"/>
          <w:sz w:val="24"/>
          <w:szCs w:val="24"/>
        </w:rPr>
        <w:t>(“Motion”)</w:t>
      </w:r>
      <w:r w:rsidR="00F174AB" w:rsidRPr="008A083C">
        <w:rPr>
          <w:rFonts w:ascii="Times New Roman" w:hAnsi="Times New Roman" w:cs="Times New Roman"/>
          <w:sz w:val="24"/>
          <w:szCs w:val="24"/>
        </w:rPr>
        <w:t xml:space="preserve">.  </w:t>
      </w:r>
      <w:r w:rsidR="000C6E71">
        <w:rPr>
          <w:rFonts w:ascii="Times New Roman" w:hAnsi="Times New Roman" w:cs="Times New Roman"/>
          <w:sz w:val="24"/>
          <w:szCs w:val="24"/>
        </w:rPr>
        <w:t xml:space="preserve">Superficially, </w:t>
      </w:r>
      <w:r w:rsidR="00151B7E">
        <w:rPr>
          <w:rFonts w:ascii="Times New Roman" w:hAnsi="Times New Roman" w:cs="Times New Roman"/>
          <w:sz w:val="24"/>
          <w:szCs w:val="24"/>
        </w:rPr>
        <w:t>Respondent does not seem to understa</w:t>
      </w:r>
      <w:r w:rsidR="000C6E71">
        <w:rPr>
          <w:rFonts w:ascii="Times New Roman" w:hAnsi="Times New Roman" w:cs="Times New Roman"/>
          <w:sz w:val="24"/>
          <w:szCs w:val="24"/>
        </w:rPr>
        <w:t>nd what this case is about.  Or, more likely, it</w:t>
      </w:r>
      <w:r w:rsidR="00151B7E">
        <w:rPr>
          <w:rFonts w:ascii="Times New Roman" w:hAnsi="Times New Roman" w:cs="Times New Roman"/>
          <w:sz w:val="24"/>
          <w:szCs w:val="24"/>
        </w:rPr>
        <w:t xml:space="preserve"> fully understands the case and knows that when the hearing is finally held and all the evidence is admitted, </w:t>
      </w:r>
      <w:r w:rsidR="000C6E71">
        <w:rPr>
          <w:rFonts w:ascii="Times New Roman" w:hAnsi="Times New Roman" w:cs="Times New Roman"/>
          <w:sz w:val="24"/>
          <w:szCs w:val="24"/>
        </w:rPr>
        <w:t>Respondent</w:t>
      </w:r>
      <w:r w:rsidR="00D46866">
        <w:rPr>
          <w:rFonts w:ascii="Times New Roman" w:hAnsi="Times New Roman" w:cs="Times New Roman"/>
          <w:sz w:val="24"/>
          <w:szCs w:val="24"/>
        </w:rPr>
        <w:t xml:space="preserve"> will be</w:t>
      </w:r>
      <w:r w:rsidR="00151B7E">
        <w:rPr>
          <w:rFonts w:ascii="Times New Roman" w:hAnsi="Times New Roman" w:cs="Times New Roman"/>
          <w:sz w:val="24"/>
          <w:szCs w:val="24"/>
        </w:rPr>
        <w:t xml:space="preserve"> in trouble.  </w:t>
      </w:r>
      <w:r w:rsidR="00D46866">
        <w:rPr>
          <w:rFonts w:ascii="Times New Roman" w:hAnsi="Times New Roman" w:cs="Times New Roman"/>
          <w:sz w:val="24"/>
          <w:szCs w:val="24"/>
        </w:rPr>
        <w:t>Whatever the reason, Respondent has cluttered this</w:t>
      </w:r>
      <w:r w:rsidR="00004408">
        <w:rPr>
          <w:rFonts w:ascii="Times New Roman" w:hAnsi="Times New Roman" w:cs="Times New Roman"/>
          <w:sz w:val="24"/>
          <w:szCs w:val="24"/>
        </w:rPr>
        <w:t xml:space="preserve"> docket with </w:t>
      </w:r>
      <w:r w:rsidR="00151B7E">
        <w:rPr>
          <w:rFonts w:ascii="Times New Roman" w:hAnsi="Times New Roman" w:cs="Times New Roman"/>
          <w:sz w:val="24"/>
          <w:szCs w:val="24"/>
        </w:rPr>
        <w:t>more procedural efforts</w:t>
      </w:r>
      <w:r>
        <w:rPr>
          <w:rFonts w:ascii="Times New Roman" w:hAnsi="Times New Roman" w:cs="Times New Roman"/>
          <w:sz w:val="24"/>
          <w:szCs w:val="24"/>
        </w:rPr>
        <w:t xml:space="preserve"> to</w:t>
      </w:r>
      <w:r w:rsidR="00151B7E">
        <w:rPr>
          <w:rFonts w:ascii="Times New Roman" w:hAnsi="Times New Roman" w:cs="Times New Roman"/>
          <w:sz w:val="24"/>
          <w:szCs w:val="24"/>
        </w:rPr>
        <w:t xml:space="preserve"> avoid </w:t>
      </w:r>
      <w:r w:rsidR="00D46866">
        <w:rPr>
          <w:rFonts w:ascii="Times New Roman" w:hAnsi="Times New Roman" w:cs="Times New Roman"/>
          <w:sz w:val="24"/>
          <w:szCs w:val="24"/>
        </w:rPr>
        <w:t>and delay a merits hearing</w:t>
      </w:r>
      <w:r w:rsidR="00151B7E">
        <w:rPr>
          <w:rFonts w:ascii="Times New Roman" w:hAnsi="Times New Roman" w:cs="Times New Roman"/>
          <w:sz w:val="24"/>
          <w:szCs w:val="24"/>
        </w:rPr>
        <w:t xml:space="preserve"> than undersigned counsel has ever seen at the Commission, </w:t>
      </w:r>
      <w:r w:rsidR="00D46866">
        <w:rPr>
          <w:rFonts w:ascii="Times New Roman" w:hAnsi="Times New Roman" w:cs="Times New Roman"/>
          <w:sz w:val="24"/>
          <w:szCs w:val="24"/>
        </w:rPr>
        <w:t>even in</w:t>
      </w:r>
      <w:r w:rsidR="00151B7E">
        <w:rPr>
          <w:rFonts w:ascii="Times New Roman" w:hAnsi="Times New Roman" w:cs="Times New Roman"/>
          <w:sz w:val="24"/>
          <w:szCs w:val="24"/>
        </w:rPr>
        <w:t xml:space="preserve"> major multi-billion dollar utility cases.</w:t>
      </w:r>
      <w:r w:rsidR="004A464E">
        <w:rPr>
          <w:rFonts w:ascii="Times New Roman" w:hAnsi="Times New Roman" w:cs="Times New Roman"/>
          <w:sz w:val="24"/>
          <w:szCs w:val="24"/>
        </w:rPr>
        <w:t xml:space="preserve">  The Motion is yet another effort to avoid key public interest and public policy issues.  In so doing it would overturn several prior Commission orders sub silentio.</w:t>
      </w:r>
    </w:p>
    <w:p w14:paraId="279B79E4" w14:textId="77777777" w:rsidR="00C64CE9" w:rsidRPr="00C64CE9" w:rsidRDefault="00151B7E" w:rsidP="00C64CE9">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C64CE9">
        <w:rPr>
          <w:rFonts w:ascii="Times New Roman" w:hAnsi="Times New Roman" w:cs="Times New Roman"/>
          <w:sz w:val="24"/>
          <w:szCs w:val="24"/>
        </w:rPr>
        <w:t xml:space="preserve">Shuttle Express shares, to a great extent, the Commission’s frustration </w:t>
      </w:r>
      <w:r w:rsidR="000C6E71" w:rsidRPr="00C64CE9">
        <w:rPr>
          <w:rFonts w:ascii="Times New Roman" w:hAnsi="Times New Roman" w:cs="Times New Roman"/>
          <w:sz w:val="24"/>
          <w:szCs w:val="24"/>
        </w:rPr>
        <w:t>with the “constant flurry” of motions and petitions in this case</w:t>
      </w:r>
      <w:r w:rsidR="00355DFF" w:rsidRPr="00C64CE9">
        <w:rPr>
          <w:rFonts w:ascii="Times New Roman" w:hAnsi="Times New Roman" w:cs="Times New Roman"/>
          <w:sz w:val="24"/>
          <w:szCs w:val="24"/>
        </w:rPr>
        <w:t xml:space="preserve">.  Respondent has </w:t>
      </w:r>
      <w:r w:rsidR="00D46866" w:rsidRPr="00C64CE9">
        <w:rPr>
          <w:rFonts w:ascii="Times New Roman" w:hAnsi="Times New Roman" w:cs="Times New Roman"/>
          <w:sz w:val="24"/>
          <w:szCs w:val="24"/>
        </w:rPr>
        <w:t>attempted to</w:t>
      </w:r>
      <w:r w:rsidR="00355DFF" w:rsidRPr="00C64CE9">
        <w:rPr>
          <w:rFonts w:ascii="Times New Roman" w:hAnsi="Times New Roman" w:cs="Times New Roman"/>
          <w:sz w:val="24"/>
          <w:szCs w:val="24"/>
        </w:rPr>
        <w:t xml:space="preserve"> </w:t>
      </w:r>
      <w:r w:rsidR="000C6E71" w:rsidRPr="00C64CE9">
        <w:rPr>
          <w:rFonts w:ascii="Times New Roman" w:hAnsi="Times New Roman" w:cs="Times New Roman"/>
          <w:sz w:val="24"/>
          <w:szCs w:val="24"/>
        </w:rPr>
        <w:t>delay</w:t>
      </w:r>
      <w:r w:rsidR="00D46866" w:rsidRPr="00C64CE9">
        <w:rPr>
          <w:rFonts w:ascii="Times New Roman" w:hAnsi="Times New Roman" w:cs="Times New Roman"/>
          <w:sz w:val="24"/>
          <w:szCs w:val="24"/>
        </w:rPr>
        <w:t xml:space="preserve"> or avoid </w:t>
      </w:r>
      <w:r w:rsidR="00D46866" w:rsidRPr="00C64CE9">
        <w:rPr>
          <w:rFonts w:ascii="Times New Roman" w:hAnsi="Times New Roman" w:cs="Times New Roman"/>
          <w:sz w:val="24"/>
          <w:szCs w:val="24"/>
        </w:rPr>
        <w:lastRenderedPageBreak/>
        <w:t>a</w:t>
      </w:r>
      <w:r w:rsidR="00355DFF" w:rsidRPr="00C64CE9">
        <w:rPr>
          <w:rFonts w:ascii="Times New Roman" w:hAnsi="Times New Roman" w:cs="Times New Roman"/>
          <w:sz w:val="24"/>
          <w:szCs w:val="24"/>
        </w:rPr>
        <w:t xml:space="preserve"> merits hearing</w:t>
      </w:r>
      <w:r w:rsidR="00D46866" w:rsidRPr="00C64CE9">
        <w:rPr>
          <w:rFonts w:ascii="Times New Roman" w:hAnsi="Times New Roman" w:cs="Times New Roman"/>
          <w:sz w:val="24"/>
          <w:szCs w:val="24"/>
        </w:rPr>
        <w:t xml:space="preserve"> </w:t>
      </w:r>
      <w:r w:rsidR="000C6E71" w:rsidRPr="00C64CE9">
        <w:rPr>
          <w:rFonts w:ascii="Times New Roman" w:hAnsi="Times New Roman" w:cs="Times New Roman"/>
          <w:sz w:val="24"/>
          <w:szCs w:val="24"/>
        </w:rPr>
        <w:t>not once, but</w:t>
      </w:r>
      <w:r w:rsidR="00355DFF" w:rsidRPr="00C64CE9">
        <w:rPr>
          <w:rFonts w:ascii="Times New Roman" w:hAnsi="Times New Roman" w:cs="Times New Roman"/>
          <w:sz w:val="24"/>
          <w:szCs w:val="24"/>
        </w:rPr>
        <w:t xml:space="preserve"> at least</w:t>
      </w:r>
      <w:r w:rsidR="000C6E71" w:rsidRPr="00C64CE9">
        <w:rPr>
          <w:rFonts w:ascii="Times New Roman" w:hAnsi="Times New Roman" w:cs="Times New Roman"/>
          <w:sz w:val="24"/>
          <w:szCs w:val="24"/>
        </w:rPr>
        <w:t xml:space="preserve"> </w:t>
      </w:r>
      <w:r w:rsidR="00376F5D" w:rsidRPr="00C64CE9">
        <w:rPr>
          <w:rFonts w:ascii="Times New Roman" w:hAnsi="Times New Roman" w:cs="Times New Roman"/>
          <w:sz w:val="24"/>
          <w:szCs w:val="24"/>
          <w:u w:val="single"/>
        </w:rPr>
        <w:t>eight</w:t>
      </w:r>
      <w:r w:rsidR="000C6E71" w:rsidRPr="00C64CE9">
        <w:rPr>
          <w:rFonts w:ascii="Times New Roman" w:hAnsi="Times New Roman" w:cs="Times New Roman"/>
          <w:sz w:val="24"/>
          <w:szCs w:val="24"/>
        </w:rPr>
        <w:t xml:space="preserve"> times.</w:t>
      </w:r>
      <w:r w:rsidR="00355DFF">
        <w:rPr>
          <w:rStyle w:val="FootnoteReference"/>
          <w:rFonts w:ascii="Times New Roman" w:hAnsi="Times New Roman" w:cs="Times New Roman"/>
          <w:sz w:val="24"/>
          <w:szCs w:val="24"/>
        </w:rPr>
        <w:footnoteReference w:id="1"/>
      </w:r>
      <w:r w:rsidR="000C6E71" w:rsidRPr="00C64CE9">
        <w:rPr>
          <w:rFonts w:ascii="Times New Roman" w:hAnsi="Times New Roman" w:cs="Times New Roman"/>
          <w:sz w:val="24"/>
          <w:szCs w:val="24"/>
        </w:rPr>
        <w:t xml:space="preserve">  </w:t>
      </w:r>
      <w:r w:rsidR="00376F5D" w:rsidRPr="00C64CE9">
        <w:rPr>
          <w:rFonts w:ascii="Times New Roman" w:hAnsi="Times New Roman" w:cs="Times New Roman"/>
          <w:sz w:val="24"/>
          <w:szCs w:val="24"/>
        </w:rPr>
        <w:t>Now, after eight</w:t>
      </w:r>
      <w:r w:rsidR="00B761C4" w:rsidRPr="00C64CE9">
        <w:rPr>
          <w:rFonts w:ascii="Times New Roman" w:hAnsi="Times New Roman" w:cs="Times New Roman"/>
          <w:sz w:val="24"/>
          <w:szCs w:val="24"/>
        </w:rPr>
        <w:t>-</w:t>
      </w:r>
      <w:r w:rsidR="00376F5D" w:rsidRPr="00C64CE9">
        <w:rPr>
          <w:rFonts w:ascii="Times New Roman" w:hAnsi="Times New Roman" w:cs="Times New Roman"/>
          <w:sz w:val="24"/>
          <w:szCs w:val="24"/>
        </w:rPr>
        <w:t xml:space="preserve">plus failed attempts to avoid and/or delay indefinitely a merits hearing, the instant </w:t>
      </w:r>
      <w:r w:rsidR="00004408" w:rsidRPr="00C64CE9">
        <w:rPr>
          <w:rFonts w:ascii="Times New Roman" w:hAnsi="Times New Roman" w:cs="Times New Roman"/>
          <w:sz w:val="24"/>
          <w:szCs w:val="24"/>
        </w:rPr>
        <w:t>M</w:t>
      </w:r>
      <w:r w:rsidR="00376F5D" w:rsidRPr="00C64CE9">
        <w:rPr>
          <w:rFonts w:ascii="Times New Roman" w:hAnsi="Times New Roman" w:cs="Times New Roman"/>
          <w:sz w:val="24"/>
          <w:szCs w:val="24"/>
        </w:rPr>
        <w:t xml:space="preserve">otion seeks </w:t>
      </w:r>
      <w:r w:rsidR="00C64CE9">
        <w:rPr>
          <w:rFonts w:ascii="Times New Roman" w:hAnsi="Times New Roman" w:cs="Times New Roman"/>
          <w:sz w:val="24"/>
          <w:szCs w:val="24"/>
        </w:rPr>
        <w:t>to gut the factual support for Shuttle Express’s case</w:t>
      </w:r>
      <w:r w:rsidR="00376F5D" w:rsidRPr="00C64CE9">
        <w:rPr>
          <w:rFonts w:ascii="Times New Roman" w:hAnsi="Times New Roman" w:cs="Times New Roman"/>
          <w:sz w:val="24"/>
          <w:szCs w:val="24"/>
        </w:rPr>
        <w:t xml:space="preserve">.  </w:t>
      </w:r>
      <w:r w:rsidR="00C64CE9" w:rsidRPr="00C64CE9">
        <w:rPr>
          <w:rFonts w:ascii="Times New Roman" w:hAnsi="Times New Roman" w:cs="Times New Roman"/>
          <w:sz w:val="24"/>
          <w:szCs w:val="24"/>
        </w:rPr>
        <w:t>The testimony would go from about 72 pages to 16 total pages.  In other words, over 75% of the factual support for the Shuttle Express rehearing and complaint would be eliminated.</w:t>
      </w:r>
      <w:r w:rsidR="00C64CE9">
        <w:rPr>
          <w:rFonts w:ascii="Times New Roman" w:hAnsi="Times New Roman" w:cs="Times New Roman"/>
          <w:sz w:val="24"/>
          <w:szCs w:val="24"/>
        </w:rPr>
        <w:t xml:space="preserve">  </w:t>
      </w:r>
      <w:r w:rsidR="00C64CE9" w:rsidRPr="00C64CE9">
        <w:rPr>
          <w:rFonts w:ascii="Times New Roman" w:hAnsi="Times New Roman" w:cs="Times New Roman"/>
          <w:sz w:val="24"/>
          <w:szCs w:val="24"/>
        </w:rPr>
        <w:t>Eliminating 75% of the evidence in this case would serve</w:t>
      </w:r>
      <w:r w:rsidR="00376F5D" w:rsidRPr="00C64CE9">
        <w:rPr>
          <w:rFonts w:ascii="Times New Roman" w:hAnsi="Times New Roman" w:cs="Times New Roman"/>
          <w:sz w:val="24"/>
          <w:szCs w:val="24"/>
        </w:rPr>
        <w:t xml:space="preserve"> </w:t>
      </w:r>
      <w:r w:rsidR="00C64CE9">
        <w:rPr>
          <w:rFonts w:ascii="Times New Roman" w:hAnsi="Times New Roman" w:cs="Times New Roman"/>
          <w:sz w:val="24"/>
          <w:szCs w:val="24"/>
        </w:rPr>
        <w:t xml:space="preserve">the interests of Speedishuttle.  But it would ignore </w:t>
      </w:r>
      <w:r w:rsidR="00376F5D" w:rsidRPr="00C64CE9">
        <w:rPr>
          <w:rFonts w:ascii="Times New Roman" w:hAnsi="Times New Roman" w:cs="Times New Roman"/>
          <w:sz w:val="24"/>
          <w:szCs w:val="24"/>
        </w:rPr>
        <w:t>the public interest, which is c</w:t>
      </w:r>
      <w:r w:rsidR="00004408" w:rsidRPr="00C64CE9">
        <w:rPr>
          <w:rFonts w:ascii="Times New Roman" w:hAnsi="Times New Roman" w:cs="Times New Roman"/>
          <w:sz w:val="24"/>
          <w:szCs w:val="24"/>
        </w:rPr>
        <w:t>ontrary</w:t>
      </w:r>
      <w:r w:rsidR="00376F5D" w:rsidRPr="00C64CE9">
        <w:rPr>
          <w:rFonts w:ascii="Times New Roman" w:hAnsi="Times New Roman" w:cs="Times New Roman"/>
          <w:sz w:val="24"/>
          <w:szCs w:val="24"/>
        </w:rPr>
        <w:t xml:space="preserve"> </w:t>
      </w:r>
      <w:r w:rsidR="00004408" w:rsidRPr="00C64CE9">
        <w:rPr>
          <w:rFonts w:ascii="Times New Roman" w:hAnsi="Times New Roman" w:cs="Times New Roman"/>
          <w:sz w:val="24"/>
          <w:szCs w:val="24"/>
        </w:rPr>
        <w:t xml:space="preserve">to </w:t>
      </w:r>
      <w:r w:rsidR="00376F5D" w:rsidRPr="00C64CE9">
        <w:rPr>
          <w:rFonts w:ascii="Times New Roman" w:hAnsi="Times New Roman" w:cs="Times New Roman"/>
          <w:sz w:val="24"/>
          <w:szCs w:val="24"/>
        </w:rPr>
        <w:t>the Commission’s primary statutory obligation.</w:t>
      </w:r>
      <w:r w:rsidR="00004408">
        <w:rPr>
          <w:rStyle w:val="FootnoteReference"/>
          <w:rFonts w:ascii="Times New Roman" w:hAnsi="Times New Roman" w:cs="Times New Roman"/>
          <w:sz w:val="24"/>
          <w:szCs w:val="24"/>
        </w:rPr>
        <w:footnoteReference w:id="2"/>
      </w:r>
      <w:r w:rsidR="00376F5D" w:rsidRPr="00C64CE9">
        <w:rPr>
          <w:rFonts w:ascii="Times New Roman" w:hAnsi="Times New Roman" w:cs="Times New Roman"/>
          <w:sz w:val="24"/>
          <w:szCs w:val="24"/>
        </w:rPr>
        <w:t xml:space="preserve">  </w:t>
      </w:r>
    </w:p>
    <w:p w14:paraId="279B79E5" w14:textId="77777777" w:rsidR="002F6B5C" w:rsidRPr="00C64CE9" w:rsidRDefault="00376F5D" w:rsidP="005C08DE">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C64CE9">
        <w:rPr>
          <w:rFonts w:ascii="Times New Roman" w:hAnsi="Times New Roman" w:cs="Times New Roman"/>
          <w:sz w:val="24"/>
          <w:szCs w:val="24"/>
        </w:rPr>
        <w:t xml:space="preserve">Speedishuttle valiantly tries </w:t>
      </w:r>
      <w:r w:rsidR="00004408" w:rsidRPr="00C64CE9">
        <w:rPr>
          <w:rFonts w:ascii="Times New Roman" w:hAnsi="Times New Roman" w:cs="Times New Roman"/>
          <w:sz w:val="24"/>
          <w:szCs w:val="24"/>
        </w:rPr>
        <w:t>to avoid the public interest issues</w:t>
      </w:r>
      <w:r w:rsidR="00C64CE9">
        <w:rPr>
          <w:rFonts w:ascii="Times New Roman" w:hAnsi="Times New Roman" w:cs="Times New Roman"/>
          <w:sz w:val="24"/>
          <w:szCs w:val="24"/>
        </w:rPr>
        <w:t xml:space="preserve"> in this case</w:t>
      </w:r>
      <w:r w:rsidR="004A464E">
        <w:rPr>
          <w:rFonts w:ascii="Times New Roman" w:hAnsi="Times New Roman" w:cs="Times New Roman"/>
          <w:sz w:val="24"/>
          <w:szCs w:val="24"/>
        </w:rPr>
        <w:t>.</w:t>
      </w:r>
      <w:r w:rsidR="00004408">
        <w:rPr>
          <w:rStyle w:val="FootnoteReference"/>
          <w:rFonts w:ascii="Times New Roman" w:hAnsi="Times New Roman" w:cs="Times New Roman"/>
          <w:sz w:val="24"/>
          <w:szCs w:val="24"/>
        </w:rPr>
        <w:footnoteReference w:id="3"/>
      </w:r>
      <w:r w:rsidR="00004408" w:rsidRPr="00C64CE9">
        <w:rPr>
          <w:rFonts w:ascii="Times New Roman" w:hAnsi="Times New Roman" w:cs="Times New Roman"/>
          <w:sz w:val="24"/>
          <w:szCs w:val="24"/>
        </w:rPr>
        <w:t xml:space="preserve"> </w:t>
      </w:r>
      <w:r w:rsidR="004A464E">
        <w:rPr>
          <w:rFonts w:ascii="Times New Roman" w:hAnsi="Times New Roman" w:cs="Times New Roman"/>
          <w:sz w:val="24"/>
          <w:szCs w:val="24"/>
        </w:rPr>
        <w:t xml:space="preserve"> B</w:t>
      </w:r>
      <w:r w:rsidR="00004408" w:rsidRPr="00C64CE9">
        <w:rPr>
          <w:rFonts w:ascii="Times New Roman" w:hAnsi="Times New Roman" w:cs="Times New Roman"/>
          <w:sz w:val="24"/>
          <w:szCs w:val="24"/>
        </w:rPr>
        <w:t xml:space="preserve">ut they will not go away.  Implicitly, the Motion invites Commission error, by effectively seeking a ruling that would determine the outcome of the case in advance of the hearing, </w:t>
      </w:r>
      <w:r w:rsidR="00B761C4" w:rsidRPr="00C64CE9">
        <w:rPr>
          <w:rFonts w:ascii="Times New Roman" w:hAnsi="Times New Roman" w:cs="Times New Roman"/>
          <w:sz w:val="24"/>
          <w:szCs w:val="24"/>
        </w:rPr>
        <w:t xml:space="preserve">by </w:t>
      </w:r>
      <w:r w:rsidR="00004408" w:rsidRPr="00C64CE9">
        <w:rPr>
          <w:rFonts w:ascii="Times New Roman" w:hAnsi="Times New Roman" w:cs="Times New Roman"/>
          <w:sz w:val="24"/>
          <w:szCs w:val="24"/>
        </w:rPr>
        <w:t xml:space="preserve">precluding admission of nearly all the relevant testimony.  </w:t>
      </w:r>
      <w:r w:rsidR="004A464E">
        <w:rPr>
          <w:rFonts w:ascii="Times New Roman" w:hAnsi="Times New Roman" w:cs="Times New Roman"/>
          <w:sz w:val="24"/>
          <w:szCs w:val="24"/>
        </w:rPr>
        <w:t>Inevitably (</w:t>
      </w:r>
      <w:r w:rsidR="00E97659" w:rsidRPr="00C64CE9">
        <w:rPr>
          <w:rFonts w:ascii="Times New Roman" w:hAnsi="Times New Roman" w:cs="Times New Roman"/>
          <w:sz w:val="24"/>
          <w:szCs w:val="24"/>
        </w:rPr>
        <w:t>and ironically</w:t>
      </w:r>
      <w:r w:rsidR="004A464E">
        <w:rPr>
          <w:rFonts w:ascii="Times New Roman" w:hAnsi="Times New Roman" w:cs="Times New Roman"/>
          <w:sz w:val="24"/>
          <w:szCs w:val="24"/>
        </w:rPr>
        <w:t>)</w:t>
      </w:r>
      <w:r w:rsidR="00E97659" w:rsidRPr="00C64CE9">
        <w:rPr>
          <w:rFonts w:ascii="Times New Roman" w:hAnsi="Times New Roman" w:cs="Times New Roman"/>
          <w:sz w:val="24"/>
          <w:szCs w:val="24"/>
        </w:rPr>
        <w:t>,</w:t>
      </w:r>
      <w:r w:rsidR="00B761C4" w:rsidRPr="00C64CE9">
        <w:rPr>
          <w:rFonts w:ascii="Times New Roman" w:hAnsi="Times New Roman" w:cs="Times New Roman"/>
          <w:sz w:val="24"/>
          <w:szCs w:val="24"/>
        </w:rPr>
        <w:t xml:space="preserve"> in </w:t>
      </w:r>
      <w:r w:rsidR="004A464E">
        <w:rPr>
          <w:rFonts w:ascii="Times New Roman" w:hAnsi="Times New Roman" w:cs="Times New Roman"/>
          <w:sz w:val="24"/>
          <w:szCs w:val="24"/>
        </w:rPr>
        <w:t>post-hearing briefs Respondent c</w:t>
      </w:r>
      <w:r w:rsidR="00B761C4" w:rsidRPr="00C64CE9">
        <w:rPr>
          <w:rFonts w:ascii="Times New Roman" w:hAnsi="Times New Roman" w:cs="Times New Roman"/>
          <w:sz w:val="24"/>
          <w:szCs w:val="24"/>
        </w:rPr>
        <w:t>ould then argue that the record lacked su</w:t>
      </w:r>
      <w:r w:rsidR="004A464E">
        <w:rPr>
          <w:rFonts w:ascii="Times New Roman" w:hAnsi="Times New Roman" w:cs="Times New Roman"/>
          <w:sz w:val="24"/>
          <w:szCs w:val="24"/>
        </w:rPr>
        <w:t>fficient evidence to support</w:t>
      </w:r>
      <w:r w:rsidR="00753858">
        <w:rPr>
          <w:rFonts w:ascii="Times New Roman" w:hAnsi="Times New Roman" w:cs="Times New Roman"/>
          <w:sz w:val="24"/>
          <w:szCs w:val="24"/>
        </w:rPr>
        <w:t xml:space="preserve"> the</w:t>
      </w:r>
      <w:r w:rsidR="00B761C4" w:rsidRPr="00C64CE9">
        <w:rPr>
          <w:rFonts w:ascii="Times New Roman" w:hAnsi="Times New Roman" w:cs="Times New Roman"/>
          <w:sz w:val="24"/>
          <w:szCs w:val="24"/>
        </w:rPr>
        <w:t xml:space="preserve"> relief that Shuttle Express is seeking.  </w:t>
      </w:r>
    </w:p>
    <w:p w14:paraId="279B79E6" w14:textId="77777777" w:rsidR="00B761C4" w:rsidRPr="006B6990" w:rsidRDefault="00B761C4" w:rsidP="00004408">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Respondent’s litigation tactics should be recognized for what they are and soundly rejected.  The Commission should take in the evidence first, and then make a decision based on that evidence</w:t>
      </w:r>
      <w:r w:rsidR="00E97659">
        <w:rPr>
          <w:rFonts w:ascii="Times New Roman" w:hAnsi="Times New Roman" w:cs="Times New Roman"/>
          <w:sz w:val="24"/>
          <w:szCs w:val="24"/>
        </w:rPr>
        <w:t xml:space="preserve"> </w:t>
      </w:r>
      <w:r w:rsidR="00E97659" w:rsidRPr="004A464E">
        <w:rPr>
          <w:rFonts w:ascii="Times New Roman" w:hAnsi="Times New Roman" w:cs="Times New Roman"/>
          <w:b/>
          <w:i/>
          <w:sz w:val="24"/>
          <w:szCs w:val="24"/>
        </w:rPr>
        <w:t>after</w:t>
      </w:r>
      <w:r w:rsidR="00E97659">
        <w:rPr>
          <w:rFonts w:ascii="Times New Roman" w:hAnsi="Times New Roman" w:cs="Times New Roman"/>
          <w:sz w:val="24"/>
          <w:szCs w:val="24"/>
        </w:rPr>
        <w:t xml:space="preserve"> post-hearing briefing</w:t>
      </w:r>
      <w:r>
        <w:rPr>
          <w:rFonts w:ascii="Times New Roman" w:hAnsi="Times New Roman" w:cs="Times New Roman"/>
          <w:sz w:val="24"/>
          <w:szCs w:val="24"/>
        </w:rPr>
        <w:t>.</w:t>
      </w:r>
      <w:r w:rsidR="004A464E">
        <w:rPr>
          <w:rFonts w:ascii="Times New Roman" w:hAnsi="Times New Roman" w:cs="Times New Roman"/>
          <w:sz w:val="24"/>
          <w:szCs w:val="24"/>
        </w:rPr>
        <w:t xml:space="preserve"> </w:t>
      </w:r>
      <w:r>
        <w:rPr>
          <w:rFonts w:ascii="Times New Roman" w:hAnsi="Times New Roman" w:cs="Times New Roman"/>
          <w:sz w:val="24"/>
          <w:szCs w:val="24"/>
        </w:rPr>
        <w:t xml:space="preserve"> </w:t>
      </w:r>
      <w:r w:rsidR="004A464E">
        <w:rPr>
          <w:rFonts w:ascii="Times New Roman" w:hAnsi="Times New Roman" w:cs="Times New Roman"/>
          <w:sz w:val="24"/>
          <w:szCs w:val="24"/>
        </w:rPr>
        <w:t>In</w:t>
      </w:r>
      <w:r>
        <w:rPr>
          <w:rFonts w:ascii="Times New Roman" w:hAnsi="Times New Roman" w:cs="Times New Roman"/>
          <w:sz w:val="24"/>
          <w:szCs w:val="24"/>
        </w:rPr>
        <w:t xml:space="preserve"> a case that is all about public </w:t>
      </w:r>
      <w:r>
        <w:rPr>
          <w:rFonts w:ascii="Times New Roman" w:hAnsi="Times New Roman" w:cs="Times New Roman"/>
          <w:sz w:val="24"/>
          <w:szCs w:val="24"/>
        </w:rPr>
        <w:lastRenderedPageBreak/>
        <w:t>interest</w:t>
      </w:r>
      <w:r w:rsidR="004A464E">
        <w:rPr>
          <w:rFonts w:ascii="Times New Roman" w:hAnsi="Times New Roman" w:cs="Times New Roman"/>
          <w:sz w:val="24"/>
          <w:szCs w:val="24"/>
        </w:rPr>
        <w:t xml:space="preserve"> and policy</w:t>
      </w:r>
      <w:r>
        <w:rPr>
          <w:rFonts w:ascii="Times New Roman" w:hAnsi="Times New Roman" w:cs="Times New Roman"/>
          <w:sz w:val="24"/>
          <w:szCs w:val="24"/>
        </w:rPr>
        <w:t>, the Commission needs a broad range of evidence to make the right decision, not merely the skeleton of a case</w:t>
      </w:r>
      <w:r w:rsidR="00E97659">
        <w:rPr>
          <w:rFonts w:ascii="Times New Roman" w:hAnsi="Times New Roman" w:cs="Times New Roman"/>
          <w:sz w:val="24"/>
          <w:szCs w:val="24"/>
        </w:rPr>
        <w:t xml:space="preserve"> that Speedishuttle would offer</w:t>
      </w:r>
      <w:r>
        <w:rPr>
          <w:rFonts w:ascii="Times New Roman" w:hAnsi="Times New Roman" w:cs="Times New Roman"/>
          <w:sz w:val="24"/>
          <w:szCs w:val="24"/>
        </w:rPr>
        <w:t>.</w:t>
      </w:r>
    </w:p>
    <w:p w14:paraId="279B79E7" w14:textId="77777777" w:rsidR="00161A11" w:rsidRPr="00161A11" w:rsidRDefault="004A464E" w:rsidP="00433C91">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Finally, t</w:t>
      </w:r>
      <w:r w:rsidR="00433C91" w:rsidRPr="00433C91">
        <w:rPr>
          <w:rFonts w:ascii="Times New Roman" w:hAnsi="Times New Roman" w:cs="Times New Roman"/>
          <w:sz w:val="24"/>
          <w:szCs w:val="24"/>
        </w:rPr>
        <w:t>he Respondent has failed to even articulate, let alone meet, the prerequisite</w:t>
      </w:r>
      <w:r w:rsidR="00433C91">
        <w:rPr>
          <w:rFonts w:ascii="Times New Roman" w:hAnsi="Times New Roman" w:cs="Times New Roman"/>
          <w:sz w:val="24"/>
          <w:szCs w:val="24"/>
        </w:rPr>
        <w:t>s for an order in limine under W</w:t>
      </w:r>
      <w:r w:rsidR="00433C91" w:rsidRPr="00433C91">
        <w:rPr>
          <w:rFonts w:ascii="Times New Roman" w:hAnsi="Times New Roman" w:cs="Times New Roman"/>
          <w:sz w:val="24"/>
          <w:szCs w:val="24"/>
        </w:rPr>
        <w:t>ashington law</w:t>
      </w:r>
      <w:r w:rsidR="00433C91">
        <w:rPr>
          <w:rFonts w:ascii="Times New Roman" w:hAnsi="Times New Roman" w:cs="Times New Roman"/>
          <w:sz w:val="24"/>
          <w:szCs w:val="24"/>
        </w:rPr>
        <w:t>.  Its Motion must be denied.</w:t>
      </w:r>
    </w:p>
    <w:p w14:paraId="279B79E8" w14:textId="77777777" w:rsidR="00F174AB" w:rsidRDefault="00F174AB" w:rsidP="00F174AB">
      <w:pPr>
        <w:pStyle w:val="ListParagraph"/>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DISCUSSION</w:t>
      </w:r>
    </w:p>
    <w:p w14:paraId="279B79E9" w14:textId="77777777" w:rsidR="002F3BCD" w:rsidRPr="008A083C" w:rsidRDefault="0040418B" w:rsidP="0040418B">
      <w:pPr>
        <w:pStyle w:val="ListParagraph"/>
        <w:numPr>
          <w:ilvl w:val="0"/>
          <w:numId w:val="24"/>
        </w:numPr>
        <w:spacing w:after="160"/>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r w:rsidR="00DC3AD4">
        <w:rPr>
          <w:rFonts w:ascii="Times New Roman" w:hAnsi="Times New Roman" w:cs="Times New Roman"/>
          <w:b/>
          <w:sz w:val="24"/>
          <w:szCs w:val="24"/>
          <w:u w:val="single"/>
        </w:rPr>
        <w:t>Respondent Has Failed</w:t>
      </w:r>
      <w:r w:rsidR="00202468">
        <w:rPr>
          <w:rFonts w:ascii="Times New Roman" w:hAnsi="Times New Roman" w:cs="Times New Roman"/>
          <w:b/>
          <w:sz w:val="24"/>
          <w:szCs w:val="24"/>
          <w:u w:val="single"/>
        </w:rPr>
        <w:t xml:space="preserve"> to</w:t>
      </w:r>
      <w:r w:rsidR="00DC3AD4">
        <w:rPr>
          <w:rFonts w:ascii="Times New Roman" w:hAnsi="Times New Roman" w:cs="Times New Roman"/>
          <w:b/>
          <w:sz w:val="24"/>
          <w:szCs w:val="24"/>
          <w:u w:val="single"/>
        </w:rPr>
        <w:t xml:space="preserve"> </w:t>
      </w:r>
      <w:r w:rsidR="006A74FC">
        <w:rPr>
          <w:rFonts w:ascii="Times New Roman" w:hAnsi="Times New Roman" w:cs="Times New Roman"/>
          <w:b/>
          <w:sz w:val="24"/>
          <w:szCs w:val="24"/>
          <w:u w:val="single"/>
        </w:rPr>
        <w:t>Articulate</w:t>
      </w:r>
      <w:r w:rsidR="00433C91">
        <w:rPr>
          <w:rFonts w:ascii="Times New Roman" w:hAnsi="Times New Roman" w:cs="Times New Roman"/>
          <w:b/>
          <w:sz w:val="24"/>
          <w:szCs w:val="24"/>
          <w:u w:val="single"/>
        </w:rPr>
        <w:t xml:space="preserve"> </w:t>
      </w:r>
      <w:r w:rsidR="006A74FC">
        <w:rPr>
          <w:rFonts w:ascii="Times New Roman" w:hAnsi="Times New Roman" w:cs="Times New Roman"/>
          <w:b/>
          <w:sz w:val="24"/>
          <w:szCs w:val="24"/>
          <w:u w:val="single"/>
        </w:rPr>
        <w:t xml:space="preserve">the </w:t>
      </w:r>
      <w:r w:rsidR="00433C91">
        <w:rPr>
          <w:rFonts w:ascii="Times New Roman" w:hAnsi="Times New Roman" w:cs="Times New Roman"/>
          <w:b/>
          <w:sz w:val="24"/>
          <w:szCs w:val="24"/>
          <w:u w:val="single"/>
        </w:rPr>
        <w:t xml:space="preserve">Two </w:t>
      </w:r>
      <w:r w:rsidR="00753858">
        <w:rPr>
          <w:rFonts w:ascii="Times New Roman" w:hAnsi="Times New Roman" w:cs="Times New Roman"/>
          <w:b/>
          <w:sz w:val="24"/>
          <w:szCs w:val="24"/>
          <w:u w:val="single"/>
        </w:rPr>
        <w:t xml:space="preserve">Key </w:t>
      </w:r>
      <w:r w:rsidR="006A74FC">
        <w:rPr>
          <w:rFonts w:ascii="Times New Roman" w:hAnsi="Times New Roman" w:cs="Times New Roman"/>
          <w:b/>
          <w:sz w:val="24"/>
          <w:szCs w:val="24"/>
          <w:u w:val="single"/>
        </w:rPr>
        <w:t>Prerequisites for an Order in Limine</w:t>
      </w:r>
      <w:r>
        <w:rPr>
          <w:rFonts w:ascii="Times New Roman" w:hAnsi="Times New Roman" w:cs="Times New Roman"/>
          <w:b/>
          <w:sz w:val="24"/>
          <w:szCs w:val="24"/>
          <w:u w:val="single"/>
        </w:rPr>
        <w:t>.</w:t>
      </w:r>
    </w:p>
    <w:p w14:paraId="279B79EA" w14:textId="77777777" w:rsidR="0086245B" w:rsidRDefault="006A74FC" w:rsidP="000C6E7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Respondent notes that WAC </w:t>
      </w:r>
      <w:r w:rsidR="005C1AFC">
        <w:rPr>
          <w:rFonts w:ascii="Times New Roman" w:hAnsi="Times New Roman" w:cs="Times New Roman"/>
          <w:sz w:val="24"/>
          <w:szCs w:val="24"/>
        </w:rPr>
        <w:t>480-07-375(1)(d) mentions</w:t>
      </w:r>
      <w:r>
        <w:rPr>
          <w:rFonts w:ascii="Times New Roman" w:hAnsi="Times New Roman" w:cs="Times New Roman"/>
          <w:sz w:val="24"/>
          <w:szCs w:val="24"/>
        </w:rPr>
        <w:t xml:space="preserve"> motions</w:t>
      </w:r>
      <w:r w:rsidR="005C1AFC">
        <w:rPr>
          <w:rFonts w:ascii="Times New Roman" w:hAnsi="Times New Roman" w:cs="Times New Roman"/>
          <w:sz w:val="24"/>
          <w:szCs w:val="24"/>
        </w:rPr>
        <w:t xml:space="preserve"> in limine</w:t>
      </w:r>
      <w:r>
        <w:rPr>
          <w:rFonts w:ascii="Times New Roman" w:hAnsi="Times New Roman" w:cs="Times New Roman"/>
          <w:sz w:val="24"/>
          <w:szCs w:val="24"/>
        </w:rPr>
        <w:t>.</w:t>
      </w:r>
      <w:r w:rsidR="005C1AFC">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But WAC Ch. 480-07 nowhere articulates or provides the standards for granting a motion in limine.  </w:t>
      </w:r>
      <w:r w:rsidR="005C1AFC">
        <w:rPr>
          <w:rFonts w:ascii="Times New Roman" w:hAnsi="Times New Roman" w:cs="Times New Roman"/>
          <w:sz w:val="24"/>
          <w:szCs w:val="24"/>
        </w:rPr>
        <w:t>However, t</w:t>
      </w:r>
      <w:r>
        <w:rPr>
          <w:rFonts w:ascii="Times New Roman" w:hAnsi="Times New Roman" w:cs="Times New Roman"/>
          <w:sz w:val="24"/>
          <w:szCs w:val="24"/>
        </w:rPr>
        <w:t>here is a long line of Washington court cases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on the prerequisites for entry of an order in limine.  Respondent does not cite or discuss a single one</w:t>
      </w:r>
      <w:r w:rsidR="005C1AFC">
        <w:rPr>
          <w:rFonts w:ascii="Times New Roman" w:hAnsi="Times New Roman" w:cs="Times New Roman"/>
          <w:sz w:val="24"/>
          <w:szCs w:val="24"/>
        </w:rPr>
        <w:t xml:space="preserve"> of them</w:t>
      </w:r>
      <w:r>
        <w:rPr>
          <w:rFonts w:ascii="Times New Roman" w:hAnsi="Times New Roman" w:cs="Times New Roman"/>
          <w:sz w:val="24"/>
          <w:szCs w:val="24"/>
        </w:rPr>
        <w:t>.  Had it done so, it would be clear that such an order is not appropriate here.</w:t>
      </w:r>
    </w:p>
    <w:p w14:paraId="279B79EB" w14:textId="77777777" w:rsidR="006A74FC" w:rsidRPr="007B764B" w:rsidRDefault="006A74FC" w:rsidP="00433C91">
      <w:pPr>
        <w:pStyle w:val="ListParagraph"/>
        <w:numPr>
          <w:ilvl w:val="0"/>
          <w:numId w:val="21"/>
        </w:numPr>
        <w:spacing w:after="160" w:line="480" w:lineRule="auto"/>
        <w:ind w:left="720" w:hanging="720"/>
        <w:rPr>
          <w:rFonts w:ascii="Times New Roman" w:hAnsi="Times New Roman" w:cs="Times New Roman"/>
          <w:sz w:val="24"/>
          <w:szCs w:val="24"/>
        </w:rPr>
      </w:pPr>
      <w:r w:rsidRPr="007B764B">
        <w:rPr>
          <w:rFonts w:ascii="Times New Roman" w:hAnsi="Times New Roman" w:cs="Times New Roman"/>
          <w:sz w:val="24"/>
          <w:szCs w:val="24"/>
        </w:rPr>
        <w:t xml:space="preserve">Review of a panoply of Washington cases reveals that orders in limine are generally used in jury trials, not judge trials.  The reason is that the entire purpose </w:t>
      </w:r>
      <w:r w:rsidR="007B764B">
        <w:rPr>
          <w:rFonts w:ascii="Times New Roman" w:hAnsi="Times New Roman" w:cs="Times New Roman"/>
          <w:sz w:val="24"/>
          <w:szCs w:val="24"/>
        </w:rPr>
        <w:t>of</w:t>
      </w:r>
      <w:r w:rsidRPr="007B764B">
        <w:rPr>
          <w:rFonts w:ascii="Times New Roman" w:hAnsi="Times New Roman" w:cs="Times New Roman"/>
          <w:sz w:val="24"/>
          <w:szCs w:val="24"/>
        </w:rPr>
        <w:t xml:space="preserve"> a motion in limine</w:t>
      </w:r>
      <w:r w:rsidR="007B764B" w:rsidRPr="007B764B">
        <w:rPr>
          <w:rFonts w:ascii="Times New Roman" w:hAnsi="Times New Roman" w:cs="Times New Roman"/>
          <w:sz w:val="24"/>
          <w:szCs w:val="24"/>
        </w:rPr>
        <w:t xml:space="preserve"> is to prevent even the existence of highly prejudice and irrelevant evidence from being exposed to a jury.</w:t>
      </w:r>
      <w:r w:rsidR="00957A35">
        <w:rPr>
          <w:rStyle w:val="FootnoteReference"/>
          <w:rFonts w:ascii="Times New Roman" w:hAnsi="Times New Roman" w:cs="Times New Roman"/>
          <w:sz w:val="24"/>
          <w:szCs w:val="24"/>
        </w:rPr>
        <w:footnoteReference w:id="6"/>
      </w:r>
      <w:r w:rsidR="007B764B" w:rsidRPr="007B764B">
        <w:rPr>
          <w:rFonts w:ascii="Times New Roman" w:hAnsi="Times New Roman" w:cs="Times New Roman"/>
          <w:sz w:val="24"/>
          <w:szCs w:val="24"/>
        </w:rPr>
        <w:t xml:space="preserve">  </w:t>
      </w:r>
      <w:r w:rsidR="007B764B" w:rsidRPr="007B764B">
        <w:rPr>
          <w:rFonts w:ascii="Times New Roman" w:hAnsi="Times New Roman" w:cs="Times New Roman"/>
          <w:i/>
          <w:sz w:val="24"/>
          <w:szCs w:val="24"/>
        </w:rPr>
        <w:t>See, e.g</w:t>
      </w:r>
      <w:r w:rsidR="007B764B" w:rsidRPr="00957A35">
        <w:rPr>
          <w:rFonts w:ascii="Times New Roman" w:hAnsi="Times New Roman" w:cs="Times New Roman"/>
          <w:i/>
          <w:sz w:val="24"/>
          <w:szCs w:val="24"/>
        </w:rPr>
        <w:t xml:space="preserve">., State </w:t>
      </w:r>
      <w:r w:rsidR="00957A35" w:rsidRPr="00957A35">
        <w:rPr>
          <w:rFonts w:ascii="Times New Roman" w:hAnsi="Times New Roman" w:cs="Times New Roman"/>
          <w:i/>
          <w:sz w:val="24"/>
          <w:szCs w:val="24"/>
        </w:rPr>
        <w:t>v</w:t>
      </w:r>
      <w:r w:rsidR="007B764B" w:rsidRPr="00957A35">
        <w:rPr>
          <w:rFonts w:ascii="Times New Roman" w:hAnsi="Times New Roman" w:cs="Times New Roman"/>
          <w:i/>
          <w:sz w:val="24"/>
          <w:szCs w:val="24"/>
        </w:rPr>
        <w:t>. Kelly,</w:t>
      </w:r>
      <w:r w:rsidR="007B764B" w:rsidRPr="007B764B">
        <w:rPr>
          <w:rFonts w:ascii="Times New Roman" w:hAnsi="Times New Roman" w:cs="Times New Roman"/>
          <w:sz w:val="24"/>
          <w:szCs w:val="24"/>
        </w:rPr>
        <w:t xml:space="preserve"> 102 Wn.2d 188,</w:t>
      </w:r>
      <w:r w:rsidR="007B764B">
        <w:rPr>
          <w:rFonts w:ascii="Times New Roman" w:hAnsi="Times New Roman" w:cs="Times New Roman"/>
          <w:sz w:val="24"/>
          <w:szCs w:val="24"/>
        </w:rPr>
        <w:t xml:space="preserve"> </w:t>
      </w:r>
      <w:r w:rsidR="002564BB">
        <w:rPr>
          <w:rFonts w:ascii="Times New Roman" w:hAnsi="Times New Roman" w:cs="Times New Roman"/>
          <w:sz w:val="24"/>
          <w:szCs w:val="24"/>
        </w:rPr>
        <w:t>193</w:t>
      </w:r>
      <w:r w:rsidR="007B764B" w:rsidRPr="007B764B">
        <w:rPr>
          <w:rFonts w:ascii="Times New Roman" w:hAnsi="Times New Roman" w:cs="Times New Roman"/>
          <w:sz w:val="24"/>
          <w:szCs w:val="24"/>
        </w:rPr>
        <w:t xml:space="preserve"> (1984</w:t>
      </w:r>
      <w:r w:rsidR="007B764B">
        <w:rPr>
          <w:rFonts w:ascii="Times New Roman" w:hAnsi="Times New Roman" w:cs="Times New Roman"/>
          <w:sz w:val="24"/>
          <w:szCs w:val="24"/>
        </w:rPr>
        <w:t>)</w:t>
      </w:r>
      <w:r w:rsidR="007B764B" w:rsidRPr="007B764B">
        <w:rPr>
          <w:rFonts w:ascii="Times New Roman" w:hAnsi="Times New Roman" w:cs="Times New Roman"/>
          <w:sz w:val="24"/>
          <w:szCs w:val="24"/>
        </w:rPr>
        <w:t>(“The purpose of a motion in limine is to dispose of legal matters so counsel will not be forced to make comments in the presence of the jury which might prejudice his presentation.</w:t>
      </w:r>
      <w:r w:rsidR="00957A35">
        <w:rPr>
          <w:rFonts w:ascii="Times New Roman" w:hAnsi="Times New Roman" w:cs="Times New Roman"/>
          <w:sz w:val="24"/>
          <w:szCs w:val="24"/>
        </w:rPr>
        <w:t xml:space="preserve"> [</w:t>
      </w:r>
      <w:r w:rsidR="00957A35" w:rsidRPr="00957A35">
        <w:rPr>
          <w:rFonts w:ascii="Times New Roman" w:hAnsi="Times New Roman" w:cs="Times New Roman"/>
          <w:i/>
          <w:sz w:val="24"/>
          <w:szCs w:val="24"/>
        </w:rPr>
        <w:t>quoting State v. Evans</w:t>
      </w:r>
      <w:r w:rsidR="00957A35">
        <w:rPr>
          <w:rFonts w:ascii="Times New Roman" w:hAnsi="Times New Roman" w:cs="Times New Roman"/>
          <w:sz w:val="24"/>
          <w:szCs w:val="24"/>
        </w:rPr>
        <w:t xml:space="preserve">, </w:t>
      </w:r>
      <w:r w:rsidR="004A464E">
        <w:rPr>
          <w:rFonts w:ascii="Times New Roman" w:hAnsi="Times New Roman" w:cs="Times New Roman"/>
          <w:sz w:val="24"/>
          <w:szCs w:val="24"/>
        </w:rPr>
        <w:t>96 Wn.2d 119</w:t>
      </w:r>
      <w:r w:rsidR="002564BB">
        <w:rPr>
          <w:rFonts w:ascii="Times New Roman" w:hAnsi="Times New Roman" w:cs="Times New Roman"/>
          <w:sz w:val="24"/>
          <w:szCs w:val="24"/>
        </w:rPr>
        <w:t>, 123</w:t>
      </w:r>
      <w:r w:rsidR="004A464E">
        <w:rPr>
          <w:rFonts w:ascii="Times New Roman" w:hAnsi="Times New Roman" w:cs="Times New Roman"/>
          <w:sz w:val="24"/>
          <w:szCs w:val="24"/>
        </w:rPr>
        <w:t xml:space="preserve"> </w:t>
      </w:r>
      <w:r w:rsidR="00957A35">
        <w:rPr>
          <w:rFonts w:ascii="Times New Roman" w:hAnsi="Times New Roman" w:cs="Times New Roman"/>
          <w:sz w:val="24"/>
          <w:szCs w:val="24"/>
        </w:rPr>
        <w:t xml:space="preserve">(1981)]”).  </w:t>
      </w:r>
      <w:r w:rsidR="007B764B">
        <w:rPr>
          <w:rFonts w:ascii="Times New Roman" w:hAnsi="Times New Roman" w:cs="Times New Roman"/>
          <w:sz w:val="24"/>
          <w:szCs w:val="24"/>
        </w:rPr>
        <w:t xml:space="preserve"> </w:t>
      </w:r>
      <w:r w:rsidR="00957A35">
        <w:rPr>
          <w:rFonts w:ascii="Times New Roman" w:hAnsi="Times New Roman" w:cs="Times New Roman"/>
          <w:sz w:val="24"/>
          <w:szCs w:val="24"/>
        </w:rPr>
        <w:t xml:space="preserve">Accordingly, </w:t>
      </w:r>
      <w:r w:rsidR="005C1AFC">
        <w:rPr>
          <w:rFonts w:ascii="Times New Roman" w:hAnsi="Times New Roman" w:cs="Times New Roman"/>
          <w:sz w:val="24"/>
          <w:szCs w:val="24"/>
        </w:rPr>
        <w:t xml:space="preserve">the </w:t>
      </w:r>
      <w:r w:rsidR="00957A35">
        <w:rPr>
          <w:rFonts w:ascii="Times New Roman" w:hAnsi="Times New Roman" w:cs="Times New Roman"/>
          <w:sz w:val="24"/>
          <w:szCs w:val="24"/>
        </w:rPr>
        <w:t xml:space="preserve">evidence to be excluded </w:t>
      </w:r>
      <w:r w:rsidR="00957A35">
        <w:rPr>
          <w:rFonts w:ascii="Times New Roman" w:hAnsi="Times New Roman" w:cs="Times New Roman"/>
          <w:sz w:val="24"/>
          <w:szCs w:val="24"/>
        </w:rPr>
        <w:lastRenderedPageBreak/>
        <w:t xml:space="preserve">must be shown to be clearly inadmissible </w:t>
      </w:r>
      <w:r w:rsidR="00957A35" w:rsidRPr="005C1AFC">
        <w:rPr>
          <w:rFonts w:ascii="Times New Roman" w:hAnsi="Times New Roman" w:cs="Times New Roman"/>
          <w:sz w:val="24"/>
          <w:szCs w:val="24"/>
          <w:u w:val="single"/>
        </w:rPr>
        <w:t>and</w:t>
      </w:r>
      <w:r w:rsidR="00957A35">
        <w:rPr>
          <w:rFonts w:ascii="Times New Roman" w:hAnsi="Times New Roman" w:cs="Times New Roman"/>
          <w:sz w:val="24"/>
          <w:szCs w:val="24"/>
        </w:rPr>
        <w:t xml:space="preserve"> highly prejudicial.  </w:t>
      </w:r>
    </w:p>
    <w:p w14:paraId="279B79EC" w14:textId="77777777" w:rsidR="000C6E71" w:rsidRDefault="00433C91" w:rsidP="005C1AFC">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Washington Supreme Court, </w:t>
      </w:r>
      <w:r w:rsidR="00957A35">
        <w:rPr>
          <w:rFonts w:ascii="Times New Roman" w:hAnsi="Times New Roman" w:cs="Times New Roman"/>
          <w:sz w:val="24"/>
          <w:szCs w:val="24"/>
        </w:rPr>
        <w:t xml:space="preserve">in the leading case of </w:t>
      </w:r>
      <w:r w:rsidR="00FE59DE" w:rsidRPr="00FE59DE">
        <w:rPr>
          <w:rFonts w:ascii="Times New Roman" w:hAnsi="Times New Roman" w:cs="Times New Roman"/>
          <w:i/>
          <w:sz w:val="24"/>
          <w:szCs w:val="24"/>
        </w:rPr>
        <w:t xml:space="preserve">Fenimore </w:t>
      </w:r>
      <w:r w:rsidR="00FE59DE">
        <w:rPr>
          <w:rFonts w:ascii="Times New Roman" w:hAnsi="Times New Roman" w:cs="Times New Roman"/>
          <w:i/>
          <w:sz w:val="24"/>
          <w:szCs w:val="24"/>
        </w:rPr>
        <w:t>v</w:t>
      </w:r>
      <w:r w:rsidR="00FE59DE" w:rsidRPr="00FE59DE">
        <w:rPr>
          <w:rFonts w:ascii="Times New Roman" w:hAnsi="Times New Roman" w:cs="Times New Roman"/>
          <w:i/>
          <w:sz w:val="24"/>
          <w:szCs w:val="24"/>
        </w:rPr>
        <w:t>. Donald M. Drake Constr. Co</w:t>
      </w:r>
      <w:r w:rsidR="00FE59DE" w:rsidRPr="00FE59DE">
        <w:rPr>
          <w:rFonts w:ascii="Times New Roman" w:hAnsi="Times New Roman" w:cs="Times New Roman"/>
          <w:sz w:val="24"/>
          <w:szCs w:val="24"/>
        </w:rPr>
        <w:t>., 87 Wn</w:t>
      </w:r>
      <w:r w:rsidR="00FE59DE">
        <w:rPr>
          <w:rFonts w:ascii="Times New Roman" w:hAnsi="Times New Roman" w:cs="Times New Roman"/>
          <w:sz w:val="24"/>
          <w:szCs w:val="24"/>
        </w:rPr>
        <w:t>.2d 85, 92, 549 P.2d 483 (1976)</w:t>
      </w:r>
      <w:r w:rsidR="00753858">
        <w:rPr>
          <w:rFonts w:ascii="Times New Roman" w:hAnsi="Times New Roman" w:cs="Times New Roman"/>
          <w:sz w:val="24"/>
          <w:szCs w:val="24"/>
        </w:rPr>
        <w:t>,</w:t>
      </w:r>
      <w:r w:rsidR="00957A35">
        <w:rPr>
          <w:rFonts w:ascii="Times New Roman" w:hAnsi="Times New Roman" w:cs="Times New Roman"/>
          <w:sz w:val="24"/>
          <w:szCs w:val="24"/>
        </w:rPr>
        <w:t xml:space="preserve"> </w:t>
      </w:r>
      <w:r w:rsidR="004A464E">
        <w:rPr>
          <w:rFonts w:ascii="Times New Roman" w:hAnsi="Times New Roman" w:cs="Times New Roman"/>
          <w:sz w:val="24"/>
          <w:szCs w:val="24"/>
        </w:rPr>
        <w:t>establish</w:t>
      </w:r>
      <w:r w:rsidR="00957A35">
        <w:rPr>
          <w:rFonts w:ascii="Times New Roman" w:hAnsi="Times New Roman" w:cs="Times New Roman"/>
          <w:sz w:val="24"/>
          <w:szCs w:val="24"/>
        </w:rPr>
        <w:t>ed the</w:t>
      </w:r>
      <w:r w:rsidR="00753858">
        <w:rPr>
          <w:rFonts w:ascii="Times New Roman" w:hAnsi="Times New Roman" w:cs="Times New Roman"/>
          <w:sz w:val="24"/>
          <w:szCs w:val="24"/>
        </w:rPr>
        <w:t xml:space="preserve"> two substantive</w:t>
      </w:r>
      <w:r w:rsidR="00957A35">
        <w:rPr>
          <w:rFonts w:ascii="Times New Roman" w:hAnsi="Times New Roman" w:cs="Times New Roman"/>
          <w:sz w:val="24"/>
          <w:szCs w:val="24"/>
        </w:rPr>
        <w:t xml:space="preserve"> prerequisite</w:t>
      </w:r>
      <w:r w:rsidR="00FE59DE">
        <w:rPr>
          <w:rFonts w:ascii="Times New Roman" w:hAnsi="Times New Roman" w:cs="Times New Roman"/>
          <w:sz w:val="24"/>
          <w:szCs w:val="24"/>
        </w:rPr>
        <w:t>s</w:t>
      </w:r>
      <w:r w:rsidR="00957A35">
        <w:rPr>
          <w:rFonts w:ascii="Times New Roman" w:hAnsi="Times New Roman" w:cs="Times New Roman"/>
          <w:sz w:val="24"/>
          <w:szCs w:val="24"/>
        </w:rPr>
        <w:t xml:space="preserve"> to </w:t>
      </w:r>
      <w:r w:rsidR="00FE59DE">
        <w:rPr>
          <w:rFonts w:ascii="Times New Roman" w:hAnsi="Times New Roman" w:cs="Times New Roman"/>
          <w:sz w:val="24"/>
          <w:szCs w:val="24"/>
        </w:rPr>
        <w:t xml:space="preserve">granting exclusion in limine.  That case, like most, was tried to a jury.  The moving party must </w:t>
      </w:r>
      <w:r w:rsidR="00753858">
        <w:rPr>
          <w:rFonts w:ascii="Times New Roman" w:hAnsi="Times New Roman" w:cs="Times New Roman"/>
          <w:sz w:val="24"/>
          <w:szCs w:val="24"/>
        </w:rPr>
        <w:t>show both clear inadmissibility and great prejudice</w:t>
      </w:r>
      <w:r w:rsidR="00FE59DE">
        <w:rPr>
          <w:rFonts w:ascii="Times New Roman" w:hAnsi="Times New Roman" w:cs="Times New Roman"/>
          <w:sz w:val="24"/>
          <w:szCs w:val="24"/>
        </w:rPr>
        <w:t>:</w:t>
      </w:r>
    </w:p>
    <w:p w14:paraId="279B79ED" w14:textId="77777777" w:rsidR="00FE59DE" w:rsidRDefault="00FE59DE" w:rsidP="00433C91">
      <w:pPr>
        <w:pStyle w:val="ListParagraph"/>
        <w:spacing w:after="160"/>
        <w:ind w:left="1440" w:right="720"/>
        <w:rPr>
          <w:rFonts w:ascii="Times New Roman" w:hAnsi="Times New Roman" w:cs="Times New Roman"/>
          <w:sz w:val="24"/>
          <w:szCs w:val="24"/>
        </w:rPr>
      </w:pPr>
      <w:r>
        <w:rPr>
          <w:rFonts w:ascii="Times New Roman" w:hAnsi="Times New Roman" w:cs="Times New Roman"/>
          <w:sz w:val="24"/>
          <w:szCs w:val="24"/>
        </w:rPr>
        <w:t>[A]</w:t>
      </w:r>
      <w:r w:rsidRPr="00FE59DE">
        <w:rPr>
          <w:rFonts w:ascii="Times New Roman" w:hAnsi="Times New Roman" w:cs="Times New Roman"/>
          <w:sz w:val="24"/>
          <w:szCs w:val="24"/>
        </w:rPr>
        <w:t xml:space="preserve"> motion </w:t>
      </w:r>
      <w:r>
        <w:rPr>
          <w:rFonts w:ascii="Times New Roman" w:hAnsi="Times New Roman" w:cs="Times New Roman"/>
          <w:sz w:val="24"/>
          <w:szCs w:val="24"/>
        </w:rPr>
        <w:t>[must]</w:t>
      </w:r>
      <w:r w:rsidRPr="00FE59DE">
        <w:rPr>
          <w:rFonts w:ascii="Times New Roman" w:hAnsi="Times New Roman" w:cs="Times New Roman"/>
          <w:sz w:val="24"/>
          <w:szCs w:val="24"/>
        </w:rPr>
        <w:t xml:space="preserve"> describe</w:t>
      </w:r>
      <w:r>
        <w:rPr>
          <w:rFonts w:ascii="Times New Roman" w:hAnsi="Times New Roman" w:cs="Times New Roman"/>
          <w:sz w:val="24"/>
          <w:szCs w:val="24"/>
        </w:rPr>
        <w:t>[]</w:t>
      </w:r>
      <w:r w:rsidRPr="00FE59DE">
        <w:rPr>
          <w:rFonts w:ascii="Times New Roman" w:hAnsi="Times New Roman" w:cs="Times New Roman"/>
          <w:sz w:val="24"/>
          <w:szCs w:val="24"/>
        </w:rPr>
        <w:t xml:space="preserve"> the evidence which is sought to be excluded with sufficient specificity to enable the trial court to determine that it is </w:t>
      </w:r>
      <w:r w:rsidRPr="00FE59DE">
        <w:rPr>
          <w:rFonts w:ascii="Times New Roman" w:hAnsi="Times New Roman" w:cs="Times New Roman"/>
          <w:sz w:val="24"/>
          <w:szCs w:val="24"/>
          <w:u w:val="single"/>
        </w:rPr>
        <w:t>clearly inadmissible</w:t>
      </w:r>
      <w:r w:rsidRPr="00FE59DE">
        <w:rPr>
          <w:rFonts w:ascii="Times New Roman" w:hAnsi="Times New Roman" w:cs="Times New Roman"/>
          <w:sz w:val="24"/>
          <w:szCs w:val="24"/>
        </w:rPr>
        <w:t xml:space="preserve"> under the issues as drawn or which may develop during the trial, and if the evidence is </w:t>
      </w:r>
      <w:r w:rsidRPr="00FE59DE">
        <w:rPr>
          <w:rFonts w:ascii="Times New Roman" w:hAnsi="Times New Roman" w:cs="Times New Roman"/>
          <w:sz w:val="24"/>
          <w:szCs w:val="24"/>
          <w:u w:val="single"/>
        </w:rPr>
        <w:t>so prejudicial in its nature</w:t>
      </w:r>
      <w:r w:rsidRPr="00FE59DE">
        <w:rPr>
          <w:rFonts w:ascii="Times New Roman" w:hAnsi="Times New Roman" w:cs="Times New Roman"/>
          <w:sz w:val="24"/>
          <w:szCs w:val="24"/>
        </w:rPr>
        <w:t xml:space="preserve"> that the moving party should be spared the necessity of calling attention to it by objecting when it is offered during the trial. </w:t>
      </w:r>
    </w:p>
    <w:p w14:paraId="279B79EE" w14:textId="77777777" w:rsidR="00FE59DE" w:rsidRDefault="00FE59DE" w:rsidP="00433C91">
      <w:pPr>
        <w:pStyle w:val="ListParagraph"/>
        <w:spacing w:after="160" w:line="480" w:lineRule="auto"/>
        <w:ind w:left="720"/>
        <w:rPr>
          <w:rFonts w:ascii="Times New Roman" w:hAnsi="Times New Roman" w:cs="Times New Roman"/>
          <w:sz w:val="24"/>
          <w:szCs w:val="24"/>
        </w:rPr>
      </w:pPr>
      <w:r w:rsidRPr="00FE59DE">
        <w:rPr>
          <w:rFonts w:ascii="Times New Roman" w:hAnsi="Times New Roman" w:cs="Times New Roman"/>
          <w:sz w:val="24"/>
          <w:szCs w:val="24"/>
        </w:rPr>
        <w:t>87 Wn</w:t>
      </w:r>
      <w:r>
        <w:rPr>
          <w:rFonts w:ascii="Times New Roman" w:hAnsi="Times New Roman" w:cs="Times New Roman"/>
          <w:sz w:val="24"/>
          <w:szCs w:val="24"/>
        </w:rPr>
        <w:t xml:space="preserve">.2d 92 (emphasis added); </w:t>
      </w:r>
      <w:r>
        <w:rPr>
          <w:rFonts w:ascii="Times New Roman" w:hAnsi="Times New Roman" w:cs="Times New Roman"/>
          <w:i/>
          <w:sz w:val="24"/>
          <w:szCs w:val="24"/>
        </w:rPr>
        <w:t>s</w:t>
      </w:r>
      <w:r w:rsidRPr="00FE59DE">
        <w:rPr>
          <w:rFonts w:ascii="Times New Roman" w:hAnsi="Times New Roman" w:cs="Times New Roman"/>
          <w:i/>
          <w:sz w:val="24"/>
          <w:szCs w:val="24"/>
        </w:rPr>
        <w:t xml:space="preserve">ee also, </w:t>
      </w:r>
      <w:r w:rsidR="00512346" w:rsidRPr="00512346">
        <w:rPr>
          <w:rFonts w:ascii="Times New Roman" w:hAnsi="Times New Roman" w:cs="Times New Roman"/>
          <w:i/>
          <w:sz w:val="24"/>
          <w:szCs w:val="24"/>
        </w:rPr>
        <w:t xml:space="preserve">Douglas v. Freeman, </w:t>
      </w:r>
      <w:r w:rsidR="00512346" w:rsidRPr="00512346">
        <w:rPr>
          <w:rFonts w:ascii="Times New Roman" w:hAnsi="Times New Roman" w:cs="Times New Roman"/>
          <w:sz w:val="24"/>
          <w:szCs w:val="24"/>
        </w:rPr>
        <w:t>117 Wash. 2d 242, 254–56, 814 P.2d 1160, 1167–68 (1991);</w:t>
      </w:r>
      <w:r w:rsidR="00512346">
        <w:rPr>
          <w:rFonts w:ascii="Times New Roman" w:hAnsi="Times New Roman" w:cs="Times New Roman"/>
          <w:i/>
          <w:sz w:val="24"/>
          <w:szCs w:val="24"/>
        </w:rPr>
        <w:t xml:space="preserve"> </w:t>
      </w:r>
      <w:r w:rsidRPr="00FE59DE">
        <w:rPr>
          <w:rFonts w:ascii="Times New Roman" w:hAnsi="Times New Roman" w:cs="Times New Roman"/>
          <w:i/>
          <w:sz w:val="24"/>
          <w:szCs w:val="24"/>
        </w:rPr>
        <w:t>Gammon v. Clark Equip. Co</w:t>
      </w:r>
      <w:r w:rsidRPr="00FE59DE">
        <w:rPr>
          <w:rFonts w:ascii="Times New Roman" w:hAnsi="Times New Roman" w:cs="Times New Roman"/>
          <w:sz w:val="24"/>
          <w:szCs w:val="24"/>
        </w:rPr>
        <w:t xml:space="preserve">., 38 Wash. App. 274, 286–87, 686 P.2d 1102, 1110 (1984), </w:t>
      </w:r>
      <w:r w:rsidRPr="00FE59DE">
        <w:rPr>
          <w:rFonts w:ascii="Times New Roman" w:hAnsi="Times New Roman" w:cs="Times New Roman"/>
          <w:i/>
          <w:sz w:val="24"/>
          <w:szCs w:val="24"/>
        </w:rPr>
        <w:t>aff'd</w:t>
      </w:r>
      <w:r w:rsidRPr="00FE59DE">
        <w:rPr>
          <w:rFonts w:ascii="Times New Roman" w:hAnsi="Times New Roman" w:cs="Times New Roman"/>
          <w:sz w:val="24"/>
          <w:szCs w:val="24"/>
        </w:rPr>
        <w:t>, 104 Wash. 2d 613, 707 P.2d 685 (1985)</w:t>
      </w:r>
      <w:r>
        <w:rPr>
          <w:rFonts w:ascii="Times New Roman" w:hAnsi="Times New Roman" w:cs="Times New Roman"/>
          <w:sz w:val="24"/>
          <w:szCs w:val="24"/>
        </w:rPr>
        <w:t>.</w:t>
      </w:r>
    </w:p>
    <w:p w14:paraId="279B79EF" w14:textId="77777777" w:rsidR="00FE59DE" w:rsidRDefault="00FE59DE" w:rsidP="00433C9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Respondent</w:t>
      </w:r>
      <w:r w:rsidR="00433C91">
        <w:rPr>
          <w:rFonts w:ascii="Times New Roman" w:hAnsi="Times New Roman" w:cs="Times New Roman"/>
          <w:sz w:val="24"/>
          <w:szCs w:val="24"/>
        </w:rPr>
        <w:t>’s Motion fails to meet either of the prerequisites for excluding the Shuttle Express testimony.</w:t>
      </w:r>
    </w:p>
    <w:p w14:paraId="279B79F0" w14:textId="77777777" w:rsidR="002F3BCD" w:rsidRPr="00F53E00" w:rsidRDefault="00433C91" w:rsidP="00F53E00">
      <w:pPr>
        <w:pStyle w:val="ListParagraph"/>
        <w:numPr>
          <w:ilvl w:val="0"/>
          <w:numId w:val="24"/>
        </w:numPr>
        <w:spacing w:after="160"/>
        <w:rPr>
          <w:rFonts w:ascii="Times New Roman" w:hAnsi="Times New Roman" w:cs="Times New Roman"/>
          <w:b/>
          <w:sz w:val="24"/>
          <w:szCs w:val="24"/>
          <w:u w:val="single"/>
        </w:rPr>
      </w:pPr>
      <w:r>
        <w:rPr>
          <w:rFonts w:ascii="Times New Roman" w:hAnsi="Times New Roman" w:cs="Times New Roman"/>
          <w:b/>
          <w:sz w:val="24"/>
          <w:szCs w:val="24"/>
          <w:u w:val="single"/>
        </w:rPr>
        <w:t xml:space="preserve">The Motion Neither Discusses Nor Demonstrates the Type of Prejudice Needed </w:t>
      </w:r>
      <w:r w:rsidR="0069170E">
        <w:rPr>
          <w:rFonts w:ascii="Times New Roman" w:hAnsi="Times New Roman" w:cs="Times New Roman"/>
          <w:b/>
          <w:sz w:val="24"/>
          <w:szCs w:val="24"/>
          <w:u w:val="single"/>
        </w:rPr>
        <w:t>to S</w:t>
      </w:r>
      <w:r>
        <w:rPr>
          <w:rFonts w:ascii="Times New Roman" w:hAnsi="Times New Roman" w:cs="Times New Roman"/>
          <w:b/>
          <w:sz w:val="24"/>
          <w:szCs w:val="24"/>
          <w:u w:val="single"/>
        </w:rPr>
        <w:t>upport an Order in Limine</w:t>
      </w:r>
      <w:r w:rsidR="00F53E00">
        <w:rPr>
          <w:rFonts w:ascii="Times New Roman" w:hAnsi="Times New Roman" w:cs="Times New Roman"/>
          <w:b/>
          <w:sz w:val="24"/>
          <w:szCs w:val="24"/>
          <w:u w:val="single"/>
        </w:rPr>
        <w:t>.</w:t>
      </w:r>
    </w:p>
    <w:p w14:paraId="279B79F1" w14:textId="77777777" w:rsidR="00433C91" w:rsidRDefault="00433C91" w:rsidP="00433C9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Respondent did not even discuss in its Motion how or why the evidence proffered is so prejudicial that it should not even be called to the attention of the trier of fact.  Indeed, it is difficult to comprehend how </w:t>
      </w:r>
      <w:r w:rsidR="0069170E">
        <w:rPr>
          <w:rFonts w:ascii="Times New Roman" w:hAnsi="Times New Roman" w:cs="Times New Roman"/>
          <w:sz w:val="24"/>
          <w:szCs w:val="24"/>
        </w:rPr>
        <w:t xml:space="preserve">the </w:t>
      </w:r>
      <w:r>
        <w:rPr>
          <w:rFonts w:ascii="Times New Roman" w:hAnsi="Times New Roman" w:cs="Times New Roman"/>
          <w:sz w:val="24"/>
          <w:szCs w:val="24"/>
        </w:rPr>
        <w:t>hypothetical</w:t>
      </w:r>
      <w:r w:rsidR="0069170E">
        <w:rPr>
          <w:rFonts w:ascii="Times New Roman" w:hAnsi="Times New Roman" w:cs="Times New Roman"/>
          <w:sz w:val="24"/>
          <w:szCs w:val="24"/>
        </w:rPr>
        <w:t xml:space="preserve"> (but not articulated) prejudice would be</w:t>
      </w:r>
      <w:r>
        <w:rPr>
          <w:rFonts w:ascii="Times New Roman" w:hAnsi="Times New Roman" w:cs="Times New Roman"/>
          <w:sz w:val="24"/>
          <w:szCs w:val="24"/>
        </w:rPr>
        <w:t xml:space="preserve"> avoided, since this is not a jury case.  The trier of fact is the same entity that must review all of the eviden</w:t>
      </w:r>
      <w:r w:rsidR="0069170E">
        <w:rPr>
          <w:rFonts w:ascii="Times New Roman" w:hAnsi="Times New Roman" w:cs="Times New Roman"/>
          <w:sz w:val="24"/>
          <w:szCs w:val="24"/>
        </w:rPr>
        <w:t>ce anyway before it could</w:t>
      </w:r>
      <w:r>
        <w:rPr>
          <w:rFonts w:ascii="Times New Roman" w:hAnsi="Times New Roman" w:cs="Times New Roman"/>
          <w:sz w:val="24"/>
          <w:szCs w:val="24"/>
        </w:rPr>
        <w:t xml:space="preserve"> possibly</w:t>
      </w:r>
      <w:r w:rsidRPr="00433C91">
        <w:rPr>
          <w:rFonts w:ascii="Times New Roman" w:hAnsi="Times New Roman" w:cs="Times New Roman"/>
          <w:sz w:val="24"/>
          <w:szCs w:val="24"/>
        </w:rPr>
        <w:t xml:space="preserve"> </w:t>
      </w:r>
      <w:r>
        <w:rPr>
          <w:rFonts w:ascii="Times New Roman" w:hAnsi="Times New Roman" w:cs="Times New Roman"/>
          <w:sz w:val="24"/>
          <w:szCs w:val="24"/>
        </w:rPr>
        <w:t>exclude that evidence.</w:t>
      </w:r>
    </w:p>
    <w:p w14:paraId="279B79F2" w14:textId="77777777" w:rsidR="00433C91" w:rsidRDefault="00512346" w:rsidP="00433C9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Respondent may feel</w:t>
      </w:r>
      <w:r w:rsidR="00433C91">
        <w:rPr>
          <w:rFonts w:ascii="Times New Roman" w:hAnsi="Times New Roman" w:cs="Times New Roman"/>
          <w:sz w:val="24"/>
          <w:szCs w:val="24"/>
        </w:rPr>
        <w:t xml:space="preserve"> its argument that it has to </w:t>
      </w:r>
      <w:r>
        <w:rPr>
          <w:rFonts w:ascii="Times New Roman" w:hAnsi="Times New Roman" w:cs="Times New Roman"/>
          <w:sz w:val="24"/>
          <w:szCs w:val="24"/>
        </w:rPr>
        <w:t xml:space="preserve">file responsive testimony is </w:t>
      </w:r>
      <w:r w:rsidR="0069170E">
        <w:rPr>
          <w:rFonts w:ascii="Times New Roman" w:hAnsi="Times New Roman" w:cs="Times New Roman"/>
          <w:sz w:val="24"/>
          <w:szCs w:val="24"/>
        </w:rPr>
        <w:t xml:space="preserve">sufficiently </w:t>
      </w:r>
      <w:r>
        <w:rPr>
          <w:rFonts w:ascii="Times New Roman" w:hAnsi="Times New Roman" w:cs="Times New Roman"/>
          <w:sz w:val="24"/>
          <w:szCs w:val="24"/>
        </w:rPr>
        <w:t xml:space="preserve">prejudicial.  But </w:t>
      </w:r>
      <w:r w:rsidR="00753858">
        <w:rPr>
          <w:rFonts w:ascii="Times New Roman" w:hAnsi="Times New Roman" w:cs="Times New Roman"/>
          <w:sz w:val="24"/>
          <w:szCs w:val="24"/>
        </w:rPr>
        <w:t xml:space="preserve">Washington law, articulated in </w:t>
      </w:r>
      <w:r>
        <w:rPr>
          <w:rFonts w:ascii="Times New Roman" w:hAnsi="Times New Roman" w:cs="Times New Roman"/>
          <w:sz w:val="24"/>
          <w:szCs w:val="24"/>
        </w:rPr>
        <w:t xml:space="preserve">the cases quoted and cited above </w:t>
      </w:r>
      <w:r w:rsidR="005C1AFC">
        <w:rPr>
          <w:rFonts w:ascii="Times New Roman" w:hAnsi="Times New Roman" w:cs="Times New Roman"/>
          <w:sz w:val="24"/>
          <w:szCs w:val="24"/>
        </w:rPr>
        <w:t>(</w:t>
      </w:r>
      <w:r>
        <w:rPr>
          <w:rFonts w:ascii="Times New Roman" w:hAnsi="Times New Roman" w:cs="Times New Roman"/>
          <w:sz w:val="24"/>
          <w:szCs w:val="24"/>
        </w:rPr>
        <w:t>and many others</w:t>
      </w:r>
      <w:r w:rsidR="005C1AFC">
        <w:rPr>
          <w:rFonts w:ascii="Times New Roman" w:hAnsi="Times New Roman" w:cs="Times New Roman"/>
          <w:sz w:val="24"/>
          <w:szCs w:val="24"/>
        </w:rPr>
        <w:t>)</w:t>
      </w:r>
      <w:r w:rsidR="00753858">
        <w:rPr>
          <w:rFonts w:ascii="Times New Roman" w:hAnsi="Times New Roman" w:cs="Times New Roman"/>
          <w:sz w:val="24"/>
          <w:szCs w:val="24"/>
        </w:rPr>
        <w:t>,</w:t>
      </w:r>
      <w:r>
        <w:rPr>
          <w:rFonts w:ascii="Times New Roman" w:hAnsi="Times New Roman" w:cs="Times New Roman"/>
          <w:sz w:val="24"/>
          <w:szCs w:val="24"/>
        </w:rPr>
        <w:t xml:space="preserve"> do</w:t>
      </w:r>
      <w:r w:rsidR="007C738D">
        <w:rPr>
          <w:rFonts w:ascii="Times New Roman" w:hAnsi="Times New Roman" w:cs="Times New Roman"/>
          <w:sz w:val="24"/>
          <w:szCs w:val="24"/>
        </w:rPr>
        <w:t>es</w:t>
      </w:r>
      <w:r>
        <w:rPr>
          <w:rFonts w:ascii="Times New Roman" w:hAnsi="Times New Roman" w:cs="Times New Roman"/>
          <w:sz w:val="24"/>
          <w:szCs w:val="24"/>
        </w:rPr>
        <w:t xml:space="preserve"> not establish that fact as </w:t>
      </w:r>
      <w:r w:rsidR="00753858">
        <w:rPr>
          <w:rFonts w:ascii="Times New Roman" w:hAnsi="Times New Roman" w:cs="Times New Roman"/>
          <w:sz w:val="24"/>
          <w:szCs w:val="24"/>
        </w:rPr>
        <w:t xml:space="preserve">meeting </w:t>
      </w:r>
      <w:r>
        <w:rPr>
          <w:rFonts w:ascii="Times New Roman" w:hAnsi="Times New Roman" w:cs="Times New Roman"/>
          <w:sz w:val="24"/>
          <w:szCs w:val="24"/>
        </w:rPr>
        <w:t>the test</w:t>
      </w:r>
      <w:r w:rsidR="005C1AFC">
        <w:rPr>
          <w:rFonts w:ascii="Times New Roman" w:hAnsi="Times New Roman" w:cs="Times New Roman"/>
          <w:sz w:val="24"/>
          <w:szCs w:val="24"/>
        </w:rPr>
        <w:t>.  Nor do the cases</w:t>
      </w:r>
      <w:r>
        <w:rPr>
          <w:rFonts w:ascii="Times New Roman" w:hAnsi="Times New Roman" w:cs="Times New Roman"/>
          <w:sz w:val="24"/>
          <w:szCs w:val="24"/>
        </w:rPr>
        <w:t xml:space="preserve"> sugg</w:t>
      </w:r>
      <w:r w:rsidR="005C1AFC">
        <w:rPr>
          <w:rFonts w:ascii="Times New Roman" w:hAnsi="Times New Roman" w:cs="Times New Roman"/>
          <w:sz w:val="24"/>
          <w:szCs w:val="24"/>
        </w:rPr>
        <w:t xml:space="preserve">est </w:t>
      </w:r>
      <w:r w:rsidR="005C1AFC">
        <w:rPr>
          <w:rFonts w:ascii="Times New Roman" w:hAnsi="Times New Roman" w:cs="Times New Roman"/>
          <w:sz w:val="24"/>
          <w:szCs w:val="24"/>
        </w:rPr>
        <w:lastRenderedPageBreak/>
        <w:t>that that fact</w:t>
      </w:r>
      <w:r>
        <w:rPr>
          <w:rFonts w:ascii="Times New Roman" w:hAnsi="Times New Roman" w:cs="Times New Roman"/>
          <w:sz w:val="24"/>
          <w:szCs w:val="24"/>
        </w:rPr>
        <w:t xml:space="preserve"> is </w:t>
      </w:r>
      <w:r w:rsidR="00753858">
        <w:rPr>
          <w:rFonts w:ascii="Times New Roman" w:hAnsi="Times New Roman" w:cs="Times New Roman"/>
          <w:sz w:val="24"/>
          <w:szCs w:val="24"/>
        </w:rPr>
        <w:t xml:space="preserve">even </w:t>
      </w:r>
      <w:r>
        <w:rPr>
          <w:rFonts w:ascii="Times New Roman" w:hAnsi="Times New Roman" w:cs="Times New Roman"/>
          <w:sz w:val="24"/>
          <w:szCs w:val="24"/>
        </w:rPr>
        <w:t xml:space="preserve">material to a motion in limine.  The clear purpose of motions in limine in Washington is to prevent </w:t>
      </w:r>
      <w:r w:rsidRPr="00753858">
        <w:rPr>
          <w:rFonts w:ascii="Times New Roman" w:hAnsi="Times New Roman" w:cs="Times New Roman"/>
          <w:sz w:val="24"/>
          <w:szCs w:val="24"/>
          <w:u w:val="single"/>
        </w:rPr>
        <w:t>juries</w:t>
      </w:r>
      <w:r>
        <w:rPr>
          <w:rFonts w:ascii="Times New Roman" w:hAnsi="Times New Roman" w:cs="Times New Roman"/>
          <w:sz w:val="24"/>
          <w:szCs w:val="24"/>
        </w:rPr>
        <w:t xml:space="preserve"> from learning not just of prejudicial evidence, but of significantly prejudicial evidence.  The purpose is not to prevent a court—or here an agency with broad powers—from considering all the evidence a</w:t>
      </w:r>
      <w:r w:rsidR="004A464E">
        <w:rPr>
          <w:rFonts w:ascii="Times New Roman" w:hAnsi="Times New Roman" w:cs="Times New Roman"/>
          <w:sz w:val="24"/>
          <w:szCs w:val="24"/>
        </w:rPr>
        <w:t>nd using its expertise deciding</w:t>
      </w:r>
      <w:r>
        <w:rPr>
          <w:rFonts w:ascii="Times New Roman" w:hAnsi="Times New Roman" w:cs="Times New Roman"/>
          <w:sz w:val="24"/>
          <w:szCs w:val="24"/>
        </w:rPr>
        <w:t xml:space="preserve"> at the conclusion of the case which evidence to believe and what weight to give </w:t>
      </w:r>
      <w:r w:rsidR="004A464E">
        <w:rPr>
          <w:rFonts w:ascii="Times New Roman" w:hAnsi="Times New Roman" w:cs="Times New Roman"/>
          <w:sz w:val="24"/>
          <w:szCs w:val="24"/>
        </w:rPr>
        <w:t xml:space="preserve">all </w:t>
      </w:r>
      <w:r>
        <w:rPr>
          <w:rFonts w:ascii="Times New Roman" w:hAnsi="Times New Roman" w:cs="Times New Roman"/>
          <w:sz w:val="24"/>
          <w:szCs w:val="24"/>
        </w:rPr>
        <w:t xml:space="preserve">the evidence in its final order.  And even in jury cases, the court must strike the right balance between the asserted prejudice and the relevance.  </w:t>
      </w:r>
    </w:p>
    <w:p w14:paraId="279B79F3" w14:textId="77777777" w:rsidR="00AB3E8F" w:rsidRDefault="0069170E" w:rsidP="00433C9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Finally, if Respondent is relying on its time and effort to prepare and file responsive testimony as its showing of prejudice, then not only is authority lacking, that discussion belies its argument that the Shuttle Express testimony is irrelevant.  </w:t>
      </w:r>
      <w:r w:rsidR="005C1AFC">
        <w:rPr>
          <w:rFonts w:ascii="Times New Roman" w:hAnsi="Times New Roman" w:cs="Times New Roman"/>
          <w:sz w:val="24"/>
          <w:szCs w:val="24"/>
        </w:rPr>
        <w:t>To meet</w:t>
      </w:r>
      <w:r>
        <w:rPr>
          <w:rFonts w:ascii="Times New Roman" w:hAnsi="Times New Roman" w:cs="Times New Roman"/>
          <w:sz w:val="24"/>
          <w:szCs w:val="24"/>
        </w:rPr>
        <w:t xml:space="preserve"> the prerequisite to exclude, the testimony must be “clearly inadmissible.”  </w:t>
      </w:r>
      <w:r w:rsidRPr="0069170E">
        <w:rPr>
          <w:rFonts w:ascii="Times New Roman" w:hAnsi="Times New Roman" w:cs="Times New Roman"/>
          <w:i/>
          <w:sz w:val="24"/>
          <w:szCs w:val="24"/>
        </w:rPr>
        <w:t>Fenimore, supra</w:t>
      </w:r>
      <w:r>
        <w:rPr>
          <w:rFonts w:ascii="Times New Roman" w:hAnsi="Times New Roman" w:cs="Times New Roman"/>
          <w:sz w:val="24"/>
          <w:szCs w:val="24"/>
        </w:rPr>
        <w:t>.  If it is so clear that the testimony is irrelevant and the Commission cannot consider it, then Respondent does not need</w:t>
      </w:r>
      <w:r w:rsidR="00202468">
        <w:rPr>
          <w:rFonts w:ascii="Times New Roman" w:hAnsi="Times New Roman" w:cs="Times New Roman"/>
          <w:sz w:val="24"/>
          <w:szCs w:val="24"/>
        </w:rPr>
        <w:t xml:space="preserve"> to</w:t>
      </w:r>
      <w:r w:rsidR="004A464E">
        <w:rPr>
          <w:rFonts w:ascii="Times New Roman" w:hAnsi="Times New Roman" w:cs="Times New Roman"/>
          <w:sz w:val="24"/>
          <w:szCs w:val="24"/>
        </w:rPr>
        <w:t xml:space="preserve"> spend any time on filing</w:t>
      </w:r>
      <w:r>
        <w:rPr>
          <w:rFonts w:ascii="Times New Roman" w:hAnsi="Times New Roman" w:cs="Times New Roman"/>
          <w:sz w:val="24"/>
          <w:szCs w:val="24"/>
        </w:rPr>
        <w:t xml:space="preserve"> evidence in response.  It can simply argue on post-hearing brief that the Commission should not consider the evidence.  </w:t>
      </w:r>
      <w:r w:rsidR="00753858">
        <w:rPr>
          <w:rFonts w:ascii="Times New Roman" w:hAnsi="Times New Roman" w:cs="Times New Roman"/>
          <w:sz w:val="24"/>
          <w:szCs w:val="24"/>
        </w:rPr>
        <w:t xml:space="preserve">Because </w:t>
      </w:r>
      <w:r w:rsidR="005C1AFC">
        <w:rPr>
          <w:rFonts w:ascii="Times New Roman" w:hAnsi="Times New Roman" w:cs="Times New Roman"/>
          <w:sz w:val="24"/>
          <w:szCs w:val="24"/>
        </w:rPr>
        <w:t>Respondent feels compelled</w:t>
      </w:r>
      <w:r w:rsidR="00202468">
        <w:rPr>
          <w:rFonts w:ascii="Times New Roman" w:hAnsi="Times New Roman" w:cs="Times New Roman"/>
          <w:sz w:val="24"/>
          <w:szCs w:val="24"/>
        </w:rPr>
        <w:t xml:space="preserve"> to</w:t>
      </w:r>
      <w:r w:rsidR="005C1AFC">
        <w:rPr>
          <w:rFonts w:ascii="Times New Roman" w:hAnsi="Times New Roman" w:cs="Times New Roman"/>
          <w:sz w:val="24"/>
          <w:szCs w:val="24"/>
        </w:rPr>
        <w:t xml:space="preserve"> obtain an advance determination </w:t>
      </w:r>
      <w:r w:rsidR="00753858">
        <w:rPr>
          <w:rFonts w:ascii="Times New Roman" w:hAnsi="Times New Roman" w:cs="Times New Roman"/>
          <w:sz w:val="24"/>
          <w:szCs w:val="24"/>
        </w:rPr>
        <w:t>of</w:t>
      </w:r>
      <w:r w:rsidR="005C1AFC">
        <w:rPr>
          <w:rFonts w:ascii="Times New Roman" w:hAnsi="Times New Roman" w:cs="Times New Roman"/>
          <w:sz w:val="24"/>
          <w:szCs w:val="24"/>
        </w:rPr>
        <w:t xml:space="preserve"> </w:t>
      </w:r>
      <w:r w:rsidR="00753858">
        <w:rPr>
          <w:rFonts w:ascii="Times New Roman" w:hAnsi="Times New Roman" w:cs="Times New Roman"/>
          <w:sz w:val="24"/>
          <w:szCs w:val="24"/>
        </w:rPr>
        <w:t>“</w:t>
      </w:r>
      <w:r w:rsidR="005C1AFC">
        <w:rPr>
          <w:rFonts w:ascii="Times New Roman" w:hAnsi="Times New Roman" w:cs="Times New Roman"/>
          <w:sz w:val="24"/>
          <w:szCs w:val="24"/>
        </w:rPr>
        <w:t>irrelevan</w:t>
      </w:r>
      <w:r w:rsidR="00753858">
        <w:rPr>
          <w:rFonts w:ascii="Times New Roman" w:hAnsi="Times New Roman" w:cs="Times New Roman"/>
          <w:sz w:val="24"/>
          <w:szCs w:val="24"/>
        </w:rPr>
        <w:t>ce</w:t>
      </w:r>
      <w:r w:rsidR="00202468">
        <w:rPr>
          <w:rFonts w:ascii="Times New Roman" w:hAnsi="Times New Roman" w:cs="Times New Roman"/>
          <w:sz w:val="24"/>
          <w:szCs w:val="24"/>
        </w:rPr>
        <w:t>,</w:t>
      </w:r>
      <w:r w:rsidR="00753858">
        <w:rPr>
          <w:rFonts w:ascii="Times New Roman" w:hAnsi="Times New Roman" w:cs="Times New Roman"/>
          <w:sz w:val="24"/>
          <w:szCs w:val="24"/>
        </w:rPr>
        <w:t>”</w:t>
      </w:r>
      <w:r w:rsidR="005C1AFC">
        <w:rPr>
          <w:rFonts w:ascii="Times New Roman" w:hAnsi="Times New Roman" w:cs="Times New Roman"/>
          <w:sz w:val="24"/>
          <w:szCs w:val="24"/>
        </w:rPr>
        <w:t xml:space="preserve"> the questio</w:t>
      </w:r>
      <w:r w:rsidR="00753858">
        <w:rPr>
          <w:rFonts w:ascii="Times New Roman" w:hAnsi="Times New Roman" w:cs="Times New Roman"/>
          <w:sz w:val="24"/>
          <w:szCs w:val="24"/>
        </w:rPr>
        <w:t>n of admissibility must not be</w:t>
      </w:r>
      <w:r w:rsidR="005C1AFC">
        <w:rPr>
          <w:rFonts w:ascii="Times New Roman" w:hAnsi="Times New Roman" w:cs="Times New Roman"/>
          <w:sz w:val="24"/>
          <w:szCs w:val="24"/>
        </w:rPr>
        <w:t xml:space="preserve"> “clear.”</w:t>
      </w:r>
    </w:p>
    <w:p w14:paraId="279B79F4" w14:textId="77777777" w:rsidR="00AB3E8F" w:rsidRDefault="0069170E" w:rsidP="00B6257E">
      <w:pPr>
        <w:pStyle w:val="ListParagraph"/>
        <w:numPr>
          <w:ilvl w:val="0"/>
          <w:numId w:val="21"/>
        </w:numPr>
        <w:spacing w:line="480" w:lineRule="auto"/>
        <w:ind w:left="720" w:hanging="720"/>
        <w:rPr>
          <w:rFonts w:ascii="Times New Roman" w:hAnsi="Times New Roman" w:cs="Times New Roman"/>
          <w:sz w:val="24"/>
          <w:szCs w:val="24"/>
        </w:rPr>
      </w:pPr>
      <w:r w:rsidRPr="00AB3E8F">
        <w:rPr>
          <w:rFonts w:ascii="Times New Roman" w:hAnsi="Times New Roman" w:cs="Times New Roman"/>
          <w:sz w:val="24"/>
          <w:szCs w:val="24"/>
        </w:rPr>
        <w:t>Th</w:t>
      </w:r>
      <w:r w:rsidR="00AB3E8F" w:rsidRPr="00AB3E8F">
        <w:rPr>
          <w:rFonts w:ascii="Times New Roman" w:hAnsi="Times New Roman" w:cs="Times New Roman"/>
          <w:sz w:val="24"/>
          <w:szCs w:val="24"/>
        </w:rPr>
        <w:t>e foregoing</w:t>
      </w:r>
      <w:r w:rsidRPr="00AB3E8F">
        <w:rPr>
          <w:rFonts w:ascii="Times New Roman" w:hAnsi="Times New Roman" w:cs="Times New Roman"/>
          <w:sz w:val="24"/>
          <w:szCs w:val="24"/>
        </w:rPr>
        <w:t xml:space="preserve"> dichotomy illustrates well why movants must show </w:t>
      </w:r>
      <w:r w:rsidRPr="00AB3E8F">
        <w:rPr>
          <w:rFonts w:ascii="Times New Roman" w:hAnsi="Times New Roman" w:cs="Times New Roman"/>
          <w:sz w:val="24"/>
          <w:szCs w:val="24"/>
          <w:u w:val="single"/>
        </w:rPr>
        <w:t>both</w:t>
      </w:r>
      <w:r w:rsidRPr="00AB3E8F">
        <w:rPr>
          <w:rFonts w:ascii="Times New Roman" w:hAnsi="Times New Roman" w:cs="Times New Roman"/>
          <w:sz w:val="24"/>
          <w:szCs w:val="24"/>
        </w:rPr>
        <w:t xml:space="preserve"> </w:t>
      </w:r>
      <w:r w:rsidR="005C1AFC">
        <w:rPr>
          <w:rFonts w:ascii="Times New Roman" w:hAnsi="Times New Roman" w:cs="Times New Roman"/>
          <w:sz w:val="24"/>
          <w:szCs w:val="24"/>
        </w:rPr>
        <w:t>“</w:t>
      </w:r>
      <w:r w:rsidRPr="00AB3E8F">
        <w:rPr>
          <w:rFonts w:ascii="Times New Roman" w:hAnsi="Times New Roman" w:cs="Times New Roman"/>
          <w:sz w:val="24"/>
          <w:szCs w:val="24"/>
        </w:rPr>
        <w:t>clear</w:t>
      </w:r>
      <w:r w:rsidR="005C1AFC">
        <w:rPr>
          <w:rFonts w:ascii="Times New Roman" w:hAnsi="Times New Roman" w:cs="Times New Roman"/>
          <w:sz w:val="24"/>
          <w:szCs w:val="24"/>
        </w:rPr>
        <w:t>”</w:t>
      </w:r>
      <w:r w:rsidRPr="00AB3E8F">
        <w:rPr>
          <w:rFonts w:ascii="Times New Roman" w:hAnsi="Times New Roman" w:cs="Times New Roman"/>
          <w:sz w:val="24"/>
          <w:szCs w:val="24"/>
        </w:rPr>
        <w:t xml:space="preserve"> inadmissibility </w:t>
      </w:r>
      <w:r w:rsidRPr="00AB3E8F">
        <w:rPr>
          <w:rFonts w:ascii="Times New Roman" w:hAnsi="Times New Roman" w:cs="Times New Roman"/>
          <w:sz w:val="24"/>
          <w:szCs w:val="24"/>
          <w:u w:val="single"/>
        </w:rPr>
        <w:t>and</w:t>
      </w:r>
      <w:r w:rsidRPr="00AB3E8F">
        <w:rPr>
          <w:rFonts w:ascii="Times New Roman" w:hAnsi="Times New Roman" w:cs="Times New Roman"/>
          <w:sz w:val="24"/>
          <w:szCs w:val="24"/>
        </w:rPr>
        <w:t xml:space="preserve"> great prejudice.  Excluding tes</w:t>
      </w:r>
      <w:r w:rsidR="00AB3E8F" w:rsidRPr="00AB3E8F">
        <w:rPr>
          <w:rFonts w:ascii="Times New Roman" w:hAnsi="Times New Roman" w:cs="Times New Roman"/>
          <w:sz w:val="24"/>
          <w:szCs w:val="24"/>
        </w:rPr>
        <w:t xml:space="preserve">timony that may in hindsight be considered </w:t>
      </w:r>
      <w:r w:rsidR="001B018D">
        <w:rPr>
          <w:rFonts w:ascii="Times New Roman" w:hAnsi="Times New Roman" w:cs="Times New Roman"/>
          <w:sz w:val="24"/>
          <w:szCs w:val="24"/>
        </w:rPr>
        <w:t xml:space="preserve">relevant, </w:t>
      </w:r>
      <w:r w:rsidR="00AB3E8F" w:rsidRPr="00AB3E8F">
        <w:rPr>
          <w:rFonts w:ascii="Times New Roman" w:hAnsi="Times New Roman" w:cs="Times New Roman"/>
          <w:sz w:val="24"/>
          <w:szCs w:val="24"/>
        </w:rPr>
        <w:t>or</w:t>
      </w:r>
      <w:r w:rsidR="004A464E">
        <w:rPr>
          <w:rFonts w:ascii="Times New Roman" w:hAnsi="Times New Roman" w:cs="Times New Roman"/>
          <w:sz w:val="24"/>
          <w:szCs w:val="24"/>
        </w:rPr>
        <w:t xml:space="preserve"> may</w:t>
      </w:r>
      <w:r w:rsidR="00AB3E8F" w:rsidRPr="00AB3E8F">
        <w:rPr>
          <w:rFonts w:ascii="Times New Roman" w:hAnsi="Times New Roman" w:cs="Times New Roman"/>
          <w:sz w:val="24"/>
          <w:szCs w:val="24"/>
        </w:rPr>
        <w:t xml:space="preserve"> become relevant</w:t>
      </w:r>
      <w:r w:rsidR="001B018D">
        <w:rPr>
          <w:rFonts w:ascii="Times New Roman" w:hAnsi="Times New Roman" w:cs="Times New Roman"/>
          <w:sz w:val="24"/>
          <w:szCs w:val="24"/>
        </w:rPr>
        <w:t xml:space="preserve"> </w:t>
      </w:r>
      <w:r w:rsidR="004A464E">
        <w:rPr>
          <w:rFonts w:ascii="Times New Roman" w:hAnsi="Times New Roman" w:cs="Times New Roman"/>
          <w:sz w:val="24"/>
          <w:szCs w:val="24"/>
        </w:rPr>
        <w:t>as</w:t>
      </w:r>
      <w:r w:rsidR="001B018D">
        <w:rPr>
          <w:rFonts w:ascii="Times New Roman" w:hAnsi="Times New Roman" w:cs="Times New Roman"/>
          <w:sz w:val="24"/>
          <w:szCs w:val="24"/>
        </w:rPr>
        <w:t xml:space="preserve"> the trial</w:t>
      </w:r>
      <w:r w:rsidR="004A464E">
        <w:rPr>
          <w:rFonts w:ascii="Times New Roman" w:hAnsi="Times New Roman" w:cs="Times New Roman"/>
          <w:sz w:val="24"/>
          <w:szCs w:val="24"/>
        </w:rPr>
        <w:t xml:space="preserve"> unfolds</w:t>
      </w:r>
      <w:r w:rsidR="001B018D">
        <w:rPr>
          <w:rFonts w:ascii="Times New Roman" w:hAnsi="Times New Roman" w:cs="Times New Roman"/>
          <w:sz w:val="24"/>
          <w:szCs w:val="24"/>
        </w:rPr>
        <w:t>,</w:t>
      </w:r>
      <w:r w:rsidR="00AB3E8F" w:rsidRPr="00AB3E8F">
        <w:rPr>
          <w:rFonts w:ascii="Times New Roman" w:hAnsi="Times New Roman" w:cs="Times New Roman"/>
          <w:sz w:val="24"/>
          <w:szCs w:val="24"/>
        </w:rPr>
        <w:t xml:space="preserve"> risks error and reversal.  Thus, motions in limine in bench trials are rare in the case reporters.  The Iowa Supreme Court articulated the risk of indiscriminate exclusion orders </w:t>
      </w:r>
      <w:r w:rsidR="001B018D">
        <w:rPr>
          <w:rFonts w:ascii="Times New Roman" w:hAnsi="Times New Roman" w:cs="Times New Roman"/>
          <w:sz w:val="24"/>
          <w:szCs w:val="24"/>
        </w:rPr>
        <w:t xml:space="preserve">very </w:t>
      </w:r>
      <w:r w:rsidR="00AB3E8F" w:rsidRPr="00AB3E8F">
        <w:rPr>
          <w:rFonts w:ascii="Times New Roman" w:hAnsi="Times New Roman" w:cs="Times New Roman"/>
          <w:sz w:val="24"/>
          <w:szCs w:val="24"/>
        </w:rPr>
        <w:t xml:space="preserve">well in </w:t>
      </w:r>
      <w:r w:rsidR="00B6257E" w:rsidRPr="00B6257E">
        <w:rPr>
          <w:rFonts w:ascii="Times New Roman" w:hAnsi="Times New Roman" w:cs="Times New Roman"/>
          <w:i/>
          <w:sz w:val="24"/>
          <w:szCs w:val="24"/>
        </w:rPr>
        <w:t xml:space="preserve">Lewis v. Buena Vista Mut. Ins. Ass'n, </w:t>
      </w:r>
      <w:r w:rsidR="00B6257E" w:rsidRPr="00B6257E">
        <w:rPr>
          <w:rFonts w:ascii="Times New Roman" w:hAnsi="Times New Roman" w:cs="Times New Roman"/>
          <w:sz w:val="24"/>
          <w:szCs w:val="24"/>
        </w:rPr>
        <w:t>183 N.W.2d 198, 200–01 (Iowa 1971)</w:t>
      </w:r>
      <w:r w:rsidR="00AB3E8F">
        <w:rPr>
          <w:rFonts w:ascii="Times New Roman" w:hAnsi="Times New Roman" w:cs="Times New Roman"/>
          <w:sz w:val="24"/>
          <w:szCs w:val="24"/>
        </w:rPr>
        <w:t>:</w:t>
      </w:r>
    </w:p>
    <w:p w14:paraId="279B79F5" w14:textId="77777777" w:rsidR="00B84F7F" w:rsidRPr="00AB3E8F" w:rsidRDefault="00B84F7F" w:rsidP="00B84F7F">
      <w:pPr>
        <w:pStyle w:val="ListParagraph"/>
        <w:spacing w:line="480" w:lineRule="auto"/>
        <w:ind w:left="720"/>
        <w:rPr>
          <w:rFonts w:ascii="Times New Roman" w:hAnsi="Times New Roman" w:cs="Times New Roman"/>
          <w:sz w:val="24"/>
          <w:szCs w:val="24"/>
        </w:rPr>
      </w:pPr>
    </w:p>
    <w:p w14:paraId="279B79F6" w14:textId="77777777" w:rsidR="00AB3E8F" w:rsidRPr="00AB3E8F" w:rsidRDefault="00AB3E8F" w:rsidP="00AB3E8F">
      <w:pPr>
        <w:pStyle w:val="ListParagraph"/>
        <w:spacing w:after="160"/>
        <w:ind w:left="1440"/>
        <w:rPr>
          <w:rFonts w:ascii="Times New Roman" w:hAnsi="Times New Roman" w:cs="Times New Roman"/>
          <w:sz w:val="24"/>
          <w:szCs w:val="24"/>
        </w:rPr>
      </w:pPr>
      <w:r w:rsidRPr="00AB3E8F">
        <w:rPr>
          <w:rFonts w:ascii="Times New Roman" w:hAnsi="Times New Roman" w:cs="Times New Roman"/>
          <w:sz w:val="24"/>
          <w:szCs w:val="24"/>
        </w:rPr>
        <w:lastRenderedPageBreak/>
        <w:t xml:space="preserve">The motion in limine is a useful tool, but care must be exercised to avoid indiscriminate application of it lest parties be prevented from even trying to prove their contentions. …  [T]he motion in limine is not ordinarily employed to choke off an entire claim or defense, as it was here regarding arson. Rather, it is usually used to prohibit mention of some specific matter, such as an inflammatory piece of evidence, until the admissibility of that matter has been shown out of the hearing of the jury. [Citations omitted.] </w:t>
      </w:r>
    </w:p>
    <w:p w14:paraId="279B79F7" w14:textId="77777777" w:rsidR="00AB3E8F" w:rsidRDefault="00AB3E8F" w:rsidP="00AB3E8F">
      <w:pPr>
        <w:pStyle w:val="ListParagraph"/>
        <w:spacing w:after="160"/>
        <w:ind w:left="1440"/>
        <w:rPr>
          <w:rFonts w:ascii="Times New Roman" w:hAnsi="Times New Roman" w:cs="Times New Roman"/>
          <w:sz w:val="24"/>
          <w:szCs w:val="24"/>
        </w:rPr>
      </w:pPr>
      <w:r>
        <w:rPr>
          <w:rFonts w:ascii="Times New Roman" w:hAnsi="Times New Roman" w:cs="Times New Roman"/>
          <w:sz w:val="24"/>
          <w:szCs w:val="24"/>
        </w:rPr>
        <w:t xml:space="preserve">… </w:t>
      </w:r>
      <w:r w:rsidRPr="00AB3E8F">
        <w:rPr>
          <w:rFonts w:ascii="Times New Roman" w:hAnsi="Times New Roman" w:cs="Times New Roman"/>
          <w:sz w:val="24"/>
          <w:szCs w:val="24"/>
        </w:rPr>
        <w:t xml:space="preserve"> The motion is a drastic one, preventing a party as it does from presenting his evidence in the usual way. Its use should be exceptional rather than general. </w:t>
      </w:r>
      <w:r>
        <w:rPr>
          <w:rFonts w:ascii="Times New Roman" w:hAnsi="Times New Roman" w:cs="Times New Roman"/>
          <w:sz w:val="24"/>
          <w:szCs w:val="24"/>
        </w:rPr>
        <w:t xml:space="preserve">… </w:t>
      </w:r>
      <w:r w:rsidRPr="00AB3E8F">
        <w:rPr>
          <w:rFonts w:ascii="Times New Roman" w:hAnsi="Times New Roman" w:cs="Times New Roman"/>
          <w:sz w:val="24"/>
          <w:szCs w:val="24"/>
        </w:rPr>
        <w:t xml:space="preserve">The motion should be used, if used at all, as a rifle and not as a shotgun, pointing out the objectionable material and showing why the material is inadmissible </w:t>
      </w:r>
      <w:r w:rsidRPr="00AB3E8F">
        <w:rPr>
          <w:rFonts w:ascii="Times New Roman" w:hAnsi="Times New Roman" w:cs="Times New Roman"/>
          <w:sz w:val="24"/>
          <w:szCs w:val="24"/>
          <w:u w:val="single"/>
        </w:rPr>
        <w:t>and prejudicial</w:t>
      </w:r>
      <w:r w:rsidRPr="00AB3E8F">
        <w:rPr>
          <w:rFonts w:ascii="Times New Roman" w:hAnsi="Times New Roman" w:cs="Times New Roman"/>
          <w:sz w:val="24"/>
          <w:szCs w:val="24"/>
        </w:rPr>
        <w:t>. Since no one knows exactly how the trial will proceed, trial courts would ordinarily be well advised to require an evidentiary hearing on the motion when its validity or invalidity is not manifest from the face of the motion.</w:t>
      </w:r>
    </w:p>
    <w:p w14:paraId="279B79F8" w14:textId="77777777" w:rsidR="00B6257E" w:rsidRPr="00B6257E" w:rsidRDefault="007432D5" w:rsidP="00B6257E">
      <w:pPr>
        <w:pStyle w:val="ListParagraph"/>
        <w:spacing w:after="160" w:line="480" w:lineRule="auto"/>
        <w:ind w:left="720"/>
        <w:rPr>
          <w:rFonts w:ascii="Times New Roman" w:hAnsi="Times New Roman" w:cs="Times New Roman"/>
          <w:sz w:val="24"/>
          <w:szCs w:val="24"/>
        </w:rPr>
      </w:pPr>
      <w:r>
        <w:rPr>
          <w:rFonts w:ascii="Times New Roman" w:hAnsi="Times New Roman" w:cs="Times New Roman"/>
          <w:i/>
          <w:sz w:val="24"/>
          <w:szCs w:val="24"/>
        </w:rPr>
        <w:t>See also, Reidelberger v</w:t>
      </w:r>
      <w:r w:rsidRPr="007432D5">
        <w:rPr>
          <w:rFonts w:ascii="Times New Roman" w:hAnsi="Times New Roman" w:cs="Times New Roman"/>
          <w:i/>
          <w:sz w:val="24"/>
          <w:szCs w:val="24"/>
        </w:rPr>
        <w:t>. Highland Body Shop, Inc.,</w:t>
      </w:r>
      <w:r>
        <w:rPr>
          <w:rFonts w:ascii="Times New Roman" w:hAnsi="Times New Roman" w:cs="Times New Roman"/>
          <w:sz w:val="24"/>
          <w:szCs w:val="24"/>
        </w:rPr>
        <w:t xml:space="preserve"> </w:t>
      </w:r>
      <w:r w:rsidRPr="007432D5">
        <w:rPr>
          <w:rFonts w:ascii="Times New Roman" w:hAnsi="Times New Roman" w:cs="Times New Roman"/>
          <w:sz w:val="24"/>
          <w:szCs w:val="24"/>
        </w:rPr>
        <w:t>83 Ill.2d 545</w:t>
      </w:r>
      <w:r w:rsidR="00FF1C72">
        <w:rPr>
          <w:rFonts w:ascii="Times New Roman" w:hAnsi="Times New Roman" w:cs="Times New Roman"/>
          <w:sz w:val="24"/>
          <w:szCs w:val="24"/>
        </w:rPr>
        <w:t xml:space="preserve">, </w:t>
      </w:r>
      <w:r w:rsidR="00B6257E" w:rsidRPr="00B6257E">
        <w:rPr>
          <w:rFonts w:ascii="Times New Roman" w:hAnsi="Times New Roman" w:cs="Times New Roman"/>
          <w:sz w:val="24"/>
          <w:szCs w:val="24"/>
        </w:rPr>
        <w:t>550, 416 N.E.2d 268, 271</w:t>
      </w:r>
      <w:r>
        <w:rPr>
          <w:rFonts w:ascii="Times New Roman" w:hAnsi="Times New Roman" w:cs="Times New Roman"/>
          <w:sz w:val="24"/>
          <w:szCs w:val="24"/>
        </w:rPr>
        <w:t xml:space="preserve"> </w:t>
      </w:r>
      <w:r w:rsidRPr="007432D5">
        <w:rPr>
          <w:rFonts w:ascii="Times New Roman" w:hAnsi="Times New Roman" w:cs="Times New Roman"/>
          <w:sz w:val="24"/>
          <w:szCs w:val="24"/>
        </w:rPr>
        <w:t>(1981)</w:t>
      </w:r>
      <w:r>
        <w:rPr>
          <w:rFonts w:ascii="Times New Roman" w:hAnsi="Times New Roman" w:cs="Times New Roman"/>
          <w:sz w:val="24"/>
          <w:szCs w:val="24"/>
        </w:rPr>
        <w:t>(“</w:t>
      </w:r>
      <w:r w:rsidRPr="007432D5">
        <w:rPr>
          <w:rFonts w:ascii="Times New Roman" w:hAnsi="Times New Roman" w:cs="Times New Roman"/>
          <w:sz w:val="24"/>
          <w:szCs w:val="24"/>
        </w:rPr>
        <w:t xml:space="preserve">in limine order a powerful </w:t>
      </w:r>
      <w:r>
        <w:rPr>
          <w:rFonts w:ascii="Times New Roman" w:hAnsi="Times New Roman" w:cs="Times New Roman"/>
          <w:sz w:val="24"/>
          <w:szCs w:val="24"/>
        </w:rPr>
        <w:t xml:space="preserve">[and </w:t>
      </w:r>
      <w:r w:rsidR="001B018D">
        <w:rPr>
          <w:rFonts w:ascii="Times New Roman" w:hAnsi="Times New Roman" w:cs="Times New Roman"/>
          <w:sz w:val="24"/>
          <w:szCs w:val="24"/>
        </w:rPr>
        <w:t>“</w:t>
      </w:r>
      <w:r>
        <w:rPr>
          <w:rFonts w:ascii="Times New Roman" w:hAnsi="Times New Roman" w:cs="Times New Roman"/>
          <w:sz w:val="24"/>
          <w:szCs w:val="24"/>
        </w:rPr>
        <w:t>potentially dangerous</w:t>
      </w:r>
      <w:r w:rsidR="001B018D">
        <w:rPr>
          <w:rFonts w:ascii="Times New Roman" w:hAnsi="Times New Roman" w:cs="Times New Roman"/>
          <w:sz w:val="24"/>
          <w:szCs w:val="24"/>
        </w:rPr>
        <w:t>”</w:t>
      </w:r>
      <w:r>
        <w:rPr>
          <w:rFonts w:ascii="Times New Roman" w:hAnsi="Times New Roman" w:cs="Times New Roman"/>
          <w:sz w:val="24"/>
          <w:szCs w:val="24"/>
        </w:rPr>
        <w:t xml:space="preserve">] </w:t>
      </w:r>
      <w:r w:rsidRPr="007432D5">
        <w:rPr>
          <w:rFonts w:ascii="Times New Roman" w:hAnsi="Times New Roman" w:cs="Times New Roman"/>
          <w:sz w:val="24"/>
          <w:szCs w:val="24"/>
        </w:rPr>
        <w:t xml:space="preserve">weapon. </w:t>
      </w:r>
      <w:r>
        <w:rPr>
          <w:rFonts w:ascii="Times New Roman" w:hAnsi="Times New Roman" w:cs="Times New Roman"/>
          <w:sz w:val="24"/>
          <w:szCs w:val="24"/>
        </w:rPr>
        <w:t>…</w:t>
      </w:r>
      <w:r w:rsidRPr="007432D5">
        <w:rPr>
          <w:rFonts w:ascii="Times New Roman" w:hAnsi="Times New Roman" w:cs="Times New Roman"/>
          <w:sz w:val="24"/>
          <w:szCs w:val="24"/>
        </w:rPr>
        <w:t xml:space="preserve"> Before granting</w:t>
      </w:r>
      <w:r>
        <w:rPr>
          <w:rFonts w:ascii="Times New Roman" w:hAnsi="Times New Roman" w:cs="Times New Roman"/>
          <w:sz w:val="24"/>
          <w:szCs w:val="24"/>
        </w:rPr>
        <w:t>, …</w:t>
      </w:r>
      <w:r w:rsidRPr="007432D5">
        <w:rPr>
          <w:rFonts w:ascii="Times New Roman" w:hAnsi="Times New Roman" w:cs="Times New Roman"/>
          <w:sz w:val="24"/>
          <w:szCs w:val="24"/>
        </w:rPr>
        <w:t xml:space="preserve"> courts must be certain that such action will not unduly restrict the opposing party's presentation of its case.</w:t>
      </w:r>
      <w:r>
        <w:rPr>
          <w:rFonts w:ascii="Times New Roman" w:hAnsi="Times New Roman" w:cs="Times New Roman"/>
          <w:sz w:val="24"/>
          <w:szCs w:val="24"/>
        </w:rPr>
        <w:t>”)</w:t>
      </w:r>
      <w:r w:rsidR="00F9628C">
        <w:rPr>
          <w:rFonts w:ascii="Times New Roman" w:hAnsi="Times New Roman" w:cs="Times New Roman"/>
          <w:sz w:val="24"/>
          <w:szCs w:val="24"/>
        </w:rPr>
        <w:t>.</w:t>
      </w:r>
      <w:r w:rsidR="00B6257E" w:rsidRPr="00B6257E">
        <w:t xml:space="preserve"> </w:t>
      </w:r>
      <w:r w:rsidR="00B6257E" w:rsidRPr="00B6257E">
        <w:rPr>
          <w:rFonts w:ascii="Times New Roman" w:hAnsi="Times New Roman" w:cs="Times New Roman"/>
          <w:sz w:val="24"/>
          <w:szCs w:val="24"/>
        </w:rPr>
        <w:t xml:space="preserve"> </w:t>
      </w:r>
    </w:p>
    <w:p w14:paraId="279B79F9" w14:textId="77777777" w:rsidR="00AB3E8F" w:rsidRDefault="007432D5" w:rsidP="007432D5">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Respondent has not shown</w:t>
      </w:r>
      <w:r w:rsidR="005C1AFC">
        <w:rPr>
          <w:rFonts w:ascii="Times New Roman" w:hAnsi="Times New Roman" w:cs="Times New Roman"/>
          <w:sz w:val="24"/>
          <w:szCs w:val="24"/>
        </w:rPr>
        <w:t>,</w:t>
      </w:r>
      <w:r>
        <w:rPr>
          <w:rFonts w:ascii="Times New Roman" w:hAnsi="Times New Roman" w:cs="Times New Roman"/>
          <w:sz w:val="24"/>
          <w:szCs w:val="24"/>
        </w:rPr>
        <w:t xml:space="preserve"> and really cannot show</w:t>
      </w:r>
      <w:r w:rsidR="005C1AFC">
        <w:rPr>
          <w:rFonts w:ascii="Times New Roman" w:hAnsi="Times New Roman" w:cs="Times New Roman"/>
          <w:sz w:val="24"/>
          <w:szCs w:val="24"/>
        </w:rPr>
        <w:t>,</w:t>
      </w:r>
      <w:r>
        <w:rPr>
          <w:rFonts w:ascii="Times New Roman" w:hAnsi="Times New Roman" w:cs="Times New Roman"/>
          <w:sz w:val="24"/>
          <w:szCs w:val="24"/>
        </w:rPr>
        <w:t xml:space="preserve"> the significant prejudice needed to justify an order in limine.  Absent such prejudice, the Commission should no</w:t>
      </w:r>
      <w:r w:rsidR="005C1AFC">
        <w:rPr>
          <w:rFonts w:ascii="Times New Roman" w:hAnsi="Times New Roman" w:cs="Times New Roman"/>
          <w:sz w:val="24"/>
          <w:szCs w:val="24"/>
        </w:rPr>
        <w:t>t</w:t>
      </w:r>
      <w:r>
        <w:rPr>
          <w:rFonts w:ascii="Times New Roman" w:hAnsi="Times New Roman" w:cs="Times New Roman"/>
          <w:sz w:val="24"/>
          <w:szCs w:val="24"/>
        </w:rPr>
        <w:t xml:space="preserve"> tie the hands of either itself or </w:t>
      </w:r>
      <w:r w:rsidR="001B018D">
        <w:rPr>
          <w:rFonts w:ascii="Times New Roman" w:hAnsi="Times New Roman" w:cs="Times New Roman"/>
          <w:sz w:val="24"/>
          <w:szCs w:val="24"/>
        </w:rPr>
        <w:t xml:space="preserve">of </w:t>
      </w:r>
      <w:r>
        <w:rPr>
          <w:rFonts w:ascii="Times New Roman" w:hAnsi="Times New Roman" w:cs="Times New Roman"/>
          <w:sz w:val="24"/>
          <w:szCs w:val="24"/>
        </w:rPr>
        <w:t>Shuttle Express</w:t>
      </w:r>
      <w:r w:rsidR="001B018D">
        <w:rPr>
          <w:rFonts w:ascii="Times New Roman" w:hAnsi="Times New Roman" w:cs="Times New Roman"/>
          <w:sz w:val="24"/>
          <w:szCs w:val="24"/>
        </w:rPr>
        <w:t xml:space="preserve"> and potentially create reversible error</w:t>
      </w:r>
      <w:r>
        <w:rPr>
          <w:rFonts w:ascii="Times New Roman" w:hAnsi="Times New Roman" w:cs="Times New Roman"/>
          <w:sz w:val="24"/>
          <w:szCs w:val="24"/>
        </w:rPr>
        <w:t>.</w:t>
      </w:r>
    </w:p>
    <w:p w14:paraId="279B79FA" w14:textId="77777777" w:rsidR="00433C91" w:rsidRPr="00F53E00" w:rsidRDefault="00433C91" w:rsidP="00433C91">
      <w:pPr>
        <w:pStyle w:val="ListParagraph"/>
        <w:numPr>
          <w:ilvl w:val="0"/>
          <w:numId w:val="24"/>
        </w:numPr>
        <w:spacing w:after="160"/>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r w:rsidR="005C1AFC">
        <w:rPr>
          <w:rFonts w:ascii="Times New Roman" w:hAnsi="Times New Roman" w:cs="Times New Roman"/>
          <w:b/>
          <w:sz w:val="24"/>
          <w:szCs w:val="24"/>
          <w:u w:val="single"/>
        </w:rPr>
        <w:t>Evidence Sought to be Excluded is Relevant and Admissible</w:t>
      </w:r>
      <w:r>
        <w:rPr>
          <w:rFonts w:ascii="Times New Roman" w:hAnsi="Times New Roman" w:cs="Times New Roman"/>
          <w:b/>
          <w:sz w:val="24"/>
          <w:szCs w:val="24"/>
          <w:u w:val="single"/>
        </w:rPr>
        <w:t>.</w:t>
      </w:r>
    </w:p>
    <w:p w14:paraId="279B79FB" w14:textId="77777777" w:rsidR="00433C91" w:rsidRDefault="005C1AFC" w:rsidP="00433C9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burden is on </w:t>
      </w:r>
      <w:r w:rsidR="00433C91">
        <w:rPr>
          <w:rFonts w:ascii="Times New Roman" w:hAnsi="Times New Roman" w:cs="Times New Roman"/>
          <w:sz w:val="24"/>
          <w:szCs w:val="24"/>
        </w:rPr>
        <w:t>Respondent</w:t>
      </w:r>
      <w:r>
        <w:rPr>
          <w:rFonts w:ascii="Times New Roman" w:hAnsi="Times New Roman" w:cs="Times New Roman"/>
          <w:sz w:val="24"/>
          <w:szCs w:val="24"/>
        </w:rPr>
        <w:t>, as movant</w:t>
      </w:r>
      <w:r w:rsidR="007C738D">
        <w:rPr>
          <w:rFonts w:ascii="Times New Roman" w:hAnsi="Times New Roman" w:cs="Times New Roman"/>
          <w:sz w:val="24"/>
          <w:szCs w:val="24"/>
        </w:rPr>
        <w:t>,</w:t>
      </w:r>
      <w:r>
        <w:rPr>
          <w:rFonts w:ascii="Times New Roman" w:hAnsi="Times New Roman" w:cs="Times New Roman"/>
          <w:sz w:val="24"/>
          <w:szCs w:val="24"/>
        </w:rPr>
        <w:t xml:space="preserve"> </w:t>
      </w:r>
      <w:r w:rsidR="004047E1">
        <w:rPr>
          <w:rFonts w:ascii="Times New Roman" w:hAnsi="Times New Roman" w:cs="Times New Roman"/>
          <w:sz w:val="24"/>
          <w:szCs w:val="24"/>
        </w:rPr>
        <w:t xml:space="preserve">to show both clear inadmissibility and significant prejudice if the testimony is admitted.  Because no cognizable prejudice was shown in the Motion, the Commission could and should stop here and deny it.  But the Motion also fails to establish </w:t>
      </w:r>
      <w:r w:rsidR="007C738D">
        <w:rPr>
          <w:rFonts w:ascii="Times New Roman" w:hAnsi="Times New Roman" w:cs="Times New Roman"/>
          <w:sz w:val="24"/>
          <w:szCs w:val="24"/>
        </w:rPr>
        <w:t xml:space="preserve">clear </w:t>
      </w:r>
      <w:r w:rsidR="004047E1">
        <w:rPr>
          <w:rFonts w:ascii="Times New Roman" w:hAnsi="Times New Roman" w:cs="Times New Roman"/>
          <w:sz w:val="24"/>
          <w:szCs w:val="24"/>
        </w:rPr>
        <w:t>inadmissibility</w:t>
      </w:r>
      <w:r w:rsidR="00E34827">
        <w:rPr>
          <w:rFonts w:ascii="Times New Roman" w:hAnsi="Times New Roman" w:cs="Times New Roman"/>
          <w:sz w:val="24"/>
          <w:szCs w:val="24"/>
        </w:rPr>
        <w:t>, as will be discussed in summary fashion below</w:t>
      </w:r>
      <w:r w:rsidR="004047E1">
        <w:rPr>
          <w:rFonts w:ascii="Times New Roman" w:hAnsi="Times New Roman" w:cs="Times New Roman"/>
          <w:sz w:val="24"/>
          <w:szCs w:val="24"/>
        </w:rPr>
        <w:t xml:space="preserve">.  </w:t>
      </w:r>
    </w:p>
    <w:p w14:paraId="279B79FC" w14:textId="77777777" w:rsidR="007C738D" w:rsidRDefault="007C738D">
      <w:pPr>
        <w:rPr>
          <w:rFonts w:ascii="Times New Roman" w:hAnsi="Times New Roman" w:cs="Times New Roman"/>
          <w:sz w:val="24"/>
          <w:szCs w:val="24"/>
        </w:rPr>
      </w:pPr>
      <w:r>
        <w:rPr>
          <w:rFonts w:ascii="Times New Roman" w:hAnsi="Times New Roman" w:cs="Times New Roman"/>
          <w:sz w:val="24"/>
          <w:szCs w:val="24"/>
        </w:rPr>
        <w:br w:type="page"/>
      </w:r>
    </w:p>
    <w:p w14:paraId="279B79FD" w14:textId="77777777" w:rsidR="004047E1" w:rsidRDefault="004047E1" w:rsidP="004047E1">
      <w:pPr>
        <w:pStyle w:val="ListParagraph"/>
        <w:spacing w:after="160"/>
        <w:ind w:left="1080" w:hanging="36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Pr>
          <w:rFonts w:ascii="Times New Roman" w:hAnsi="Times New Roman" w:cs="Times New Roman"/>
          <w:sz w:val="24"/>
          <w:szCs w:val="24"/>
          <w:u w:val="single"/>
        </w:rPr>
        <w:t>The Motion is in Effect an Improper Collateral Attack on Numerous Prior Orders Denying Speedishuttle’s Opposition to Rehearing and Efforts to Dismiss the Complaint</w:t>
      </w:r>
      <w:r w:rsidR="007C738D">
        <w:rPr>
          <w:rFonts w:ascii="Times New Roman" w:hAnsi="Times New Roman" w:cs="Times New Roman"/>
          <w:sz w:val="24"/>
          <w:szCs w:val="24"/>
          <w:u w:val="single"/>
        </w:rPr>
        <w:t>;</w:t>
      </w:r>
      <w:r w:rsidR="00EC4A6C">
        <w:rPr>
          <w:rFonts w:ascii="Times New Roman" w:hAnsi="Times New Roman" w:cs="Times New Roman"/>
          <w:sz w:val="24"/>
          <w:szCs w:val="24"/>
          <w:u w:val="single"/>
        </w:rPr>
        <w:t xml:space="preserve"> and </w:t>
      </w:r>
      <w:r w:rsidR="007C738D">
        <w:rPr>
          <w:rFonts w:ascii="Times New Roman" w:hAnsi="Times New Roman" w:cs="Times New Roman"/>
          <w:sz w:val="24"/>
          <w:szCs w:val="24"/>
          <w:u w:val="single"/>
        </w:rPr>
        <w:t xml:space="preserve">is </w:t>
      </w:r>
      <w:r w:rsidR="00EC4A6C">
        <w:rPr>
          <w:rFonts w:ascii="Times New Roman" w:hAnsi="Times New Roman" w:cs="Times New Roman"/>
          <w:sz w:val="24"/>
          <w:szCs w:val="24"/>
          <w:u w:val="single"/>
        </w:rPr>
        <w:t>Another Disguised Motion for Summary Determination</w:t>
      </w:r>
      <w:r>
        <w:rPr>
          <w:rFonts w:ascii="Times New Roman" w:hAnsi="Times New Roman" w:cs="Times New Roman"/>
          <w:sz w:val="24"/>
          <w:szCs w:val="24"/>
          <w:u w:val="single"/>
        </w:rPr>
        <w:t>.</w:t>
      </w:r>
    </w:p>
    <w:p w14:paraId="279B79FE" w14:textId="77777777" w:rsidR="004047E1" w:rsidRPr="00160647" w:rsidRDefault="006D60ED" w:rsidP="00BD0B33">
      <w:pPr>
        <w:pStyle w:val="ListParagraph"/>
        <w:numPr>
          <w:ilvl w:val="0"/>
          <w:numId w:val="21"/>
        </w:numPr>
        <w:spacing w:after="160" w:line="480" w:lineRule="auto"/>
        <w:ind w:left="720" w:hanging="720"/>
        <w:rPr>
          <w:rFonts w:ascii="Times New Roman" w:hAnsi="Times New Roman" w:cs="Times New Roman"/>
          <w:sz w:val="24"/>
          <w:szCs w:val="24"/>
        </w:rPr>
      </w:pPr>
      <w:r w:rsidRPr="00160647">
        <w:rPr>
          <w:rFonts w:ascii="Times New Roman" w:hAnsi="Times New Roman" w:cs="Times New Roman"/>
          <w:sz w:val="24"/>
          <w:szCs w:val="24"/>
        </w:rPr>
        <w:t>Because the Motion takes a</w:t>
      </w:r>
      <w:r w:rsidR="00F9628C">
        <w:rPr>
          <w:rFonts w:ascii="Times New Roman" w:hAnsi="Times New Roman" w:cs="Times New Roman"/>
          <w:sz w:val="24"/>
          <w:szCs w:val="24"/>
        </w:rPr>
        <w:t>n unwise</w:t>
      </w:r>
      <w:r w:rsidRPr="00160647">
        <w:rPr>
          <w:rFonts w:ascii="Times New Roman" w:hAnsi="Times New Roman" w:cs="Times New Roman"/>
          <w:sz w:val="24"/>
          <w:szCs w:val="24"/>
        </w:rPr>
        <w:t xml:space="preserve"> “shotgun” approach to </w:t>
      </w:r>
      <w:r w:rsidR="00F9628C">
        <w:rPr>
          <w:rFonts w:ascii="Times New Roman" w:hAnsi="Times New Roman" w:cs="Times New Roman"/>
          <w:sz w:val="24"/>
          <w:szCs w:val="24"/>
        </w:rPr>
        <w:t xml:space="preserve">nearly </w:t>
      </w:r>
      <w:r w:rsidRPr="00160647">
        <w:rPr>
          <w:rFonts w:ascii="Times New Roman" w:hAnsi="Times New Roman" w:cs="Times New Roman"/>
          <w:sz w:val="24"/>
          <w:szCs w:val="24"/>
        </w:rPr>
        <w:t>the entire Shuttle Express case, this answer will not</w:t>
      </w:r>
      <w:r w:rsidR="00F9628C">
        <w:rPr>
          <w:rFonts w:ascii="Times New Roman" w:hAnsi="Times New Roman" w:cs="Times New Roman"/>
          <w:sz w:val="24"/>
          <w:szCs w:val="24"/>
        </w:rPr>
        <w:t xml:space="preserve"> review that 70+ page case line</w:t>
      </w:r>
      <w:r w:rsidR="007A1CE4">
        <w:rPr>
          <w:rFonts w:ascii="Times New Roman" w:hAnsi="Times New Roman" w:cs="Times New Roman"/>
          <w:sz w:val="24"/>
          <w:szCs w:val="24"/>
        </w:rPr>
        <w:t xml:space="preserve"> </w:t>
      </w:r>
      <w:r w:rsidR="00F9628C">
        <w:rPr>
          <w:rFonts w:ascii="Times New Roman" w:hAnsi="Times New Roman" w:cs="Times New Roman"/>
          <w:sz w:val="24"/>
          <w:szCs w:val="24"/>
        </w:rPr>
        <w:t>by</w:t>
      </w:r>
      <w:r w:rsidR="007A1CE4">
        <w:rPr>
          <w:rFonts w:ascii="Times New Roman" w:hAnsi="Times New Roman" w:cs="Times New Roman"/>
          <w:sz w:val="24"/>
          <w:szCs w:val="24"/>
        </w:rPr>
        <w:t xml:space="preserve"> </w:t>
      </w:r>
      <w:r w:rsidR="00F9628C">
        <w:rPr>
          <w:rFonts w:ascii="Times New Roman" w:hAnsi="Times New Roman" w:cs="Times New Roman"/>
          <w:sz w:val="24"/>
          <w:szCs w:val="24"/>
        </w:rPr>
        <w:t>line, or even question</w:t>
      </w:r>
      <w:r w:rsidR="007A1CE4">
        <w:rPr>
          <w:rFonts w:ascii="Times New Roman" w:hAnsi="Times New Roman" w:cs="Times New Roman"/>
          <w:sz w:val="24"/>
          <w:szCs w:val="24"/>
        </w:rPr>
        <w:t xml:space="preserve"> </w:t>
      </w:r>
      <w:r w:rsidR="00F9628C">
        <w:rPr>
          <w:rFonts w:ascii="Times New Roman" w:hAnsi="Times New Roman" w:cs="Times New Roman"/>
          <w:sz w:val="24"/>
          <w:szCs w:val="24"/>
        </w:rPr>
        <w:t>by</w:t>
      </w:r>
      <w:r w:rsidR="007A1CE4">
        <w:rPr>
          <w:rFonts w:ascii="Times New Roman" w:hAnsi="Times New Roman" w:cs="Times New Roman"/>
          <w:sz w:val="24"/>
          <w:szCs w:val="24"/>
        </w:rPr>
        <w:t xml:space="preserve"> </w:t>
      </w:r>
      <w:r w:rsidRPr="00160647">
        <w:rPr>
          <w:rFonts w:ascii="Times New Roman" w:hAnsi="Times New Roman" w:cs="Times New Roman"/>
          <w:sz w:val="24"/>
          <w:szCs w:val="24"/>
        </w:rPr>
        <w:t>question.  The Motion does not deserve that</w:t>
      </w:r>
      <w:r w:rsidR="00E34827">
        <w:rPr>
          <w:rStyle w:val="FootnoteReference"/>
          <w:rFonts w:ascii="Times New Roman" w:hAnsi="Times New Roman" w:cs="Times New Roman"/>
          <w:sz w:val="24"/>
          <w:szCs w:val="24"/>
        </w:rPr>
        <w:footnoteReference w:id="7"/>
      </w:r>
      <w:r w:rsidRPr="00160647">
        <w:rPr>
          <w:rFonts w:ascii="Times New Roman" w:hAnsi="Times New Roman" w:cs="Times New Roman"/>
          <w:sz w:val="24"/>
          <w:szCs w:val="24"/>
        </w:rPr>
        <w:t xml:space="preserve"> and the record does not need dozen</w:t>
      </w:r>
      <w:r w:rsidR="00F9628C">
        <w:rPr>
          <w:rFonts w:ascii="Times New Roman" w:hAnsi="Times New Roman" w:cs="Times New Roman"/>
          <w:sz w:val="24"/>
          <w:szCs w:val="24"/>
        </w:rPr>
        <w:t>s</w:t>
      </w:r>
      <w:r w:rsidRPr="00160647">
        <w:rPr>
          <w:rFonts w:ascii="Times New Roman" w:hAnsi="Times New Roman" w:cs="Times New Roman"/>
          <w:sz w:val="24"/>
          <w:szCs w:val="24"/>
        </w:rPr>
        <w:t xml:space="preserve"> more pages re-litigating for a ninth time whether the Commission should and will hear the allegations of the Petition and Complaint.  </w:t>
      </w:r>
      <w:r w:rsidR="00E34827" w:rsidRPr="00160647">
        <w:rPr>
          <w:rFonts w:ascii="Times New Roman" w:hAnsi="Times New Roman" w:cs="Times New Roman"/>
          <w:sz w:val="24"/>
          <w:szCs w:val="24"/>
        </w:rPr>
        <w:t>The Commission has made that determination repeatedly, each time rejecting Respondent’s efforts to avoid a hearing.</w:t>
      </w:r>
      <w:r w:rsidR="00160647" w:rsidRPr="00160647">
        <w:rPr>
          <w:rFonts w:ascii="Times New Roman" w:hAnsi="Times New Roman" w:cs="Times New Roman"/>
          <w:sz w:val="24"/>
          <w:szCs w:val="24"/>
        </w:rPr>
        <w:t xml:space="preserve">  “Allowing a party to litigate matters that have been or should have been resolved at an earlier stage </w:t>
      </w:r>
      <w:r w:rsidR="00BC7CF0">
        <w:rPr>
          <w:rFonts w:ascii="Times New Roman" w:hAnsi="Times New Roman" w:cs="Times New Roman"/>
          <w:sz w:val="24"/>
          <w:szCs w:val="24"/>
        </w:rPr>
        <w:t xml:space="preserve">[by a motion in limine] </w:t>
      </w:r>
      <w:r w:rsidR="00160647" w:rsidRPr="00160647">
        <w:rPr>
          <w:rFonts w:ascii="Times New Roman" w:hAnsi="Times New Roman" w:cs="Times New Roman"/>
          <w:sz w:val="24"/>
          <w:szCs w:val="24"/>
        </w:rPr>
        <w:t>not only allows those dissatisfied with the court’s initial ruling a chance to relitigate, but also deprives their opponents of the procedural protections that attach at summary judgment.”</w:t>
      </w:r>
      <w:r w:rsidR="00BC7CF0">
        <w:rPr>
          <w:rFonts w:ascii="Times New Roman" w:hAnsi="Times New Roman" w:cs="Times New Roman"/>
          <w:sz w:val="24"/>
          <w:szCs w:val="24"/>
        </w:rPr>
        <w:t xml:space="preserve">  </w:t>
      </w:r>
      <w:r w:rsidR="00BC7CF0" w:rsidRPr="00BC7CF0">
        <w:rPr>
          <w:rFonts w:ascii="Times New Roman" w:hAnsi="Times New Roman" w:cs="Times New Roman"/>
          <w:i/>
          <w:sz w:val="24"/>
          <w:szCs w:val="24"/>
        </w:rPr>
        <w:t>Louzon v. Ford Motor Co</w:t>
      </w:r>
      <w:r w:rsidR="00B6257E">
        <w:rPr>
          <w:rFonts w:ascii="Times New Roman" w:hAnsi="Times New Roman" w:cs="Times New Roman"/>
          <w:i/>
          <w:sz w:val="24"/>
          <w:szCs w:val="24"/>
        </w:rPr>
        <w:t>.</w:t>
      </w:r>
      <w:r w:rsidR="00B6257E">
        <w:rPr>
          <w:rFonts w:ascii="Times New Roman" w:eastAsia="Times New Roman" w:hAnsi="Times New Roman" w:cs="Times New Roman"/>
          <w:sz w:val="24"/>
          <w:szCs w:val="24"/>
        </w:rPr>
        <w:t>, 718 F.3d 556, 561 (6th Cir. 2013).</w:t>
      </w:r>
      <w:r w:rsidR="00DF3BA6" w:rsidRPr="00DF3BA6">
        <w:rPr>
          <w:rStyle w:val="FootnoteReference"/>
          <w:rFonts w:ascii="Times New Roman" w:hAnsi="Times New Roman" w:cs="Times New Roman"/>
          <w:sz w:val="24"/>
          <w:szCs w:val="24"/>
        </w:rPr>
        <w:t xml:space="preserve"> </w:t>
      </w:r>
      <w:r w:rsidR="00DF3BA6">
        <w:rPr>
          <w:rStyle w:val="FootnoteReference"/>
          <w:rFonts w:ascii="Times New Roman" w:hAnsi="Times New Roman" w:cs="Times New Roman"/>
          <w:sz w:val="24"/>
          <w:szCs w:val="24"/>
        </w:rPr>
        <w:footnoteReference w:id="8"/>
      </w:r>
    </w:p>
    <w:p w14:paraId="279B79FF" w14:textId="77777777" w:rsidR="00BC7CF0" w:rsidRPr="00BC7CF0" w:rsidRDefault="00E34827" w:rsidP="00BD0B33">
      <w:pPr>
        <w:pStyle w:val="ListParagraph"/>
        <w:numPr>
          <w:ilvl w:val="0"/>
          <w:numId w:val="21"/>
        </w:numPr>
        <w:spacing w:after="160" w:line="480" w:lineRule="auto"/>
        <w:ind w:left="720" w:hanging="720"/>
        <w:rPr>
          <w:rFonts w:ascii="Times New Roman" w:hAnsi="Times New Roman" w:cs="Times New Roman"/>
          <w:sz w:val="24"/>
          <w:szCs w:val="24"/>
        </w:rPr>
      </w:pPr>
      <w:r w:rsidRPr="00BC7CF0">
        <w:rPr>
          <w:rFonts w:ascii="Times New Roman" w:hAnsi="Times New Roman" w:cs="Times New Roman"/>
          <w:sz w:val="24"/>
          <w:szCs w:val="24"/>
        </w:rPr>
        <w:t xml:space="preserve">Because the Motion seeks to eliminate over 75% of the evidence that Shuttle Express has </w:t>
      </w:r>
      <w:r w:rsidR="00AD37EF">
        <w:rPr>
          <w:rFonts w:ascii="Times New Roman" w:hAnsi="Times New Roman" w:cs="Times New Roman"/>
          <w:sz w:val="24"/>
          <w:szCs w:val="24"/>
        </w:rPr>
        <w:t xml:space="preserve">filed, it is in large part really </w:t>
      </w:r>
      <w:r w:rsidRPr="00BC7CF0">
        <w:rPr>
          <w:rFonts w:ascii="Times New Roman" w:hAnsi="Times New Roman" w:cs="Times New Roman"/>
          <w:sz w:val="24"/>
          <w:szCs w:val="24"/>
        </w:rPr>
        <w:t>a disguised motion for summary determination</w:t>
      </w:r>
      <w:r w:rsidR="00BC7CF0">
        <w:rPr>
          <w:rFonts w:ascii="Times New Roman" w:hAnsi="Times New Roman" w:cs="Times New Roman"/>
          <w:sz w:val="24"/>
          <w:szCs w:val="24"/>
        </w:rPr>
        <w:t xml:space="preserve"> of numerous issues and claims.  Once again, that</w:t>
      </w:r>
      <w:r w:rsidRPr="00BC7CF0">
        <w:rPr>
          <w:rFonts w:ascii="Times New Roman" w:hAnsi="Times New Roman" w:cs="Times New Roman"/>
          <w:sz w:val="24"/>
          <w:szCs w:val="24"/>
        </w:rPr>
        <w:t xml:space="preserve"> is not the proper or intended use of a motion in limine.  </w:t>
      </w:r>
      <w:r w:rsidR="00BC7CF0" w:rsidRPr="00BC7CF0">
        <w:rPr>
          <w:rFonts w:ascii="Times New Roman" w:hAnsi="Times New Roman" w:cs="Times New Roman"/>
          <w:i/>
          <w:sz w:val="24"/>
          <w:szCs w:val="24"/>
        </w:rPr>
        <w:t>See, e.g., Meyer Intellectual Props. Ltd. v. Bodum, Inc.,</w:t>
      </w:r>
      <w:r w:rsidR="00BC7CF0" w:rsidRPr="00BC7CF0">
        <w:rPr>
          <w:rFonts w:ascii="Times New Roman" w:hAnsi="Times New Roman" w:cs="Times New Roman"/>
          <w:sz w:val="24"/>
          <w:szCs w:val="24"/>
        </w:rPr>
        <w:t xml:space="preserve"> 690 F.3d 1354, 1378 (Fed. Cir. 2012); </w:t>
      </w:r>
      <w:r w:rsidR="00BC7CF0" w:rsidRPr="00BC7CF0">
        <w:rPr>
          <w:rFonts w:ascii="Times New Roman" w:hAnsi="Times New Roman" w:cs="Times New Roman"/>
          <w:i/>
          <w:sz w:val="24"/>
          <w:szCs w:val="24"/>
        </w:rPr>
        <w:t>Mid-America Tablewares, Inc. v. Mogi Trading Co.,</w:t>
      </w:r>
      <w:r w:rsidR="00BC7CF0" w:rsidRPr="00BC7CF0">
        <w:rPr>
          <w:rFonts w:ascii="Times New Roman" w:hAnsi="Times New Roman" w:cs="Times New Roman"/>
          <w:sz w:val="24"/>
          <w:szCs w:val="24"/>
        </w:rPr>
        <w:t xml:space="preserve"> 100 F.3d 1353, 1363 (7th Cir. 1996) (motion in limine </w:t>
      </w:r>
      <w:r w:rsidR="002564BB">
        <w:rPr>
          <w:rFonts w:ascii="Times New Roman" w:hAnsi="Times New Roman" w:cs="Times New Roman"/>
          <w:sz w:val="24"/>
          <w:szCs w:val="24"/>
        </w:rPr>
        <w:t xml:space="preserve">as a substitute for summary judgment </w:t>
      </w:r>
      <w:r w:rsidR="00BC7CF0" w:rsidRPr="00BC7CF0">
        <w:rPr>
          <w:rFonts w:ascii="Times New Roman" w:hAnsi="Times New Roman" w:cs="Times New Roman"/>
          <w:sz w:val="24"/>
          <w:szCs w:val="24"/>
        </w:rPr>
        <w:t xml:space="preserve">“not a </w:t>
      </w:r>
      <w:r w:rsidR="00BC7CF0" w:rsidRPr="00BC7CF0">
        <w:rPr>
          <w:rFonts w:ascii="Times New Roman" w:hAnsi="Times New Roman" w:cs="Times New Roman"/>
          <w:sz w:val="24"/>
          <w:szCs w:val="24"/>
        </w:rPr>
        <w:lastRenderedPageBreak/>
        <w:t>proper basis for a motion to exclude evidence prior to trial.”</w:t>
      </w:r>
      <w:r w:rsidR="00BC7CF0">
        <w:rPr>
          <w:rFonts w:ascii="Times New Roman" w:hAnsi="Times New Roman" w:cs="Times New Roman"/>
          <w:sz w:val="24"/>
          <w:szCs w:val="24"/>
        </w:rPr>
        <w:t>).</w:t>
      </w:r>
    </w:p>
    <w:p w14:paraId="279B7A00" w14:textId="77777777" w:rsidR="00C70878" w:rsidRPr="00BD0B33" w:rsidRDefault="00BC7CF0" w:rsidP="00E56C9C">
      <w:pPr>
        <w:pStyle w:val="ListParagraph"/>
        <w:numPr>
          <w:ilvl w:val="0"/>
          <w:numId w:val="21"/>
        </w:numPr>
        <w:spacing w:after="160" w:line="480" w:lineRule="auto"/>
        <w:ind w:left="720" w:hanging="720"/>
        <w:rPr>
          <w:rFonts w:ascii="Times New Roman" w:hAnsi="Times New Roman" w:cs="Times New Roman"/>
          <w:sz w:val="24"/>
          <w:szCs w:val="24"/>
        </w:rPr>
      </w:pPr>
      <w:r w:rsidRPr="00BD0B33">
        <w:rPr>
          <w:rFonts w:ascii="Times New Roman" w:hAnsi="Times New Roman" w:cs="Times New Roman"/>
          <w:sz w:val="24"/>
          <w:szCs w:val="24"/>
        </w:rPr>
        <w:t>While the Commission has restricted discovery—which is within its discretion—and made interlocutory statements in prior orders regarding it</w:t>
      </w:r>
      <w:r w:rsidR="00C70878" w:rsidRPr="00BD0B33">
        <w:rPr>
          <w:rFonts w:ascii="Times New Roman" w:hAnsi="Times New Roman" w:cs="Times New Roman"/>
          <w:sz w:val="24"/>
          <w:szCs w:val="24"/>
        </w:rPr>
        <w:t>s interpretation of the overall case, it has also expressly allowed the petition for rehearing to go forward.  And the day after Respondent filed the instant Motion, the Commission soundly denied</w:t>
      </w:r>
      <w:r w:rsidR="00BD0B33" w:rsidRPr="00BD0B33">
        <w:rPr>
          <w:rFonts w:ascii="Times New Roman" w:hAnsi="Times New Roman" w:cs="Times New Roman"/>
          <w:sz w:val="24"/>
          <w:szCs w:val="24"/>
        </w:rPr>
        <w:t xml:space="preserve"> Res</w:t>
      </w:r>
      <w:r w:rsidR="00C70878" w:rsidRPr="00BD0B33">
        <w:rPr>
          <w:rFonts w:ascii="Times New Roman" w:hAnsi="Times New Roman" w:cs="Times New Roman"/>
          <w:sz w:val="24"/>
          <w:szCs w:val="24"/>
        </w:rPr>
        <w:t>pondent’s motion to dismiss the Complaint.  In so doing, it expressly address</w:t>
      </w:r>
      <w:r w:rsidR="007A1CE4">
        <w:rPr>
          <w:rFonts w:ascii="Times New Roman" w:hAnsi="Times New Roman" w:cs="Times New Roman"/>
          <w:sz w:val="24"/>
          <w:szCs w:val="24"/>
        </w:rPr>
        <w:t>ed</w:t>
      </w:r>
      <w:r w:rsidR="00C70878" w:rsidRPr="00BD0B33">
        <w:rPr>
          <w:rFonts w:ascii="Times New Roman" w:hAnsi="Times New Roman" w:cs="Times New Roman"/>
          <w:sz w:val="24"/>
          <w:szCs w:val="24"/>
        </w:rPr>
        <w:t xml:space="preserve"> and acknowledged the broad scope of the Complaint:  </w:t>
      </w:r>
    </w:p>
    <w:p w14:paraId="279B7A01" w14:textId="77777777" w:rsidR="00C70878" w:rsidRDefault="00C70878" w:rsidP="00BD0B33">
      <w:pPr>
        <w:spacing w:after="160"/>
        <w:ind w:left="1440" w:right="720"/>
        <w:rPr>
          <w:rFonts w:ascii="Times New Roman" w:hAnsi="Times New Roman" w:cs="Times New Roman"/>
          <w:sz w:val="24"/>
          <w:szCs w:val="24"/>
        </w:rPr>
      </w:pPr>
      <w:r w:rsidRPr="00C70878">
        <w:rPr>
          <w:rFonts w:ascii="Times New Roman" w:hAnsi="Times New Roman" w:cs="Times New Roman"/>
          <w:sz w:val="24"/>
          <w:szCs w:val="24"/>
        </w:rPr>
        <w:t>Speedishuttle relies on our decision in Order 08, arguing that because the Commission held it would not permit Shuttle Express to “relitigate the</w:t>
      </w:r>
      <w:r>
        <w:rPr>
          <w:rFonts w:ascii="Times New Roman" w:hAnsi="Times New Roman" w:cs="Times New Roman"/>
          <w:sz w:val="24"/>
          <w:szCs w:val="24"/>
        </w:rPr>
        <w:t xml:space="preserve"> </w:t>
      </w:r>
      <w:r w:rsidRPr="00C70878">
        <w:rPr>
          <w:rFonts w:ascii="Times New Roman" w:hAnsi="Times New Roman" w:cs="Times New Roman"/>
          <w:sz w:val="24"/>
          <w:szCs w:val="24"/>
        </w:rPr>
        <w:t>BAP,” we summarily dismissed all of the allegations in the complaint other than whether Speedishuttle provides service below cost. Speedishuttle completely ignores, however, that we provided the following guidance in the very next paragraph</w:t>
      </w:r>
      <w:r w:rsidR="00BD0B33">
        <w:rPr>
          <w:rFonts w:ascii="Times New Roman" w:hAnsi="Times New Roman" w:cs="Times New Roman"/>
          <w:sz w:val="24"/>
          <w:szCs w:val="24"/>
        </w:rPr>
        <w:t>:  [internal quotation omitted.]</w:t>
      </w:r>
    </w:p>
    <w:p w14:paraId="279B7A02" w14:textId="77777777" w:rsidR="00C70878" w:rsidRDefault="00C70878" w:rsidP="00BD0B33">
      <w:pPr>
        <w:spacing w:after="160"/>
        <w:ind w:left="1440" w:right="720"/>
        <w:rPr>
          <w:rFonts w:ascii="Times New Roman" w:hAnsi="Times New Roman" w:cs="Times New Roman"/>
          <w:sz w:val="24"/>
          <w:szCs w:val="24"/>
        </w:rPr>
      </w:pPr>
      <w:r w:rsidRPr="00C70878">
        <w:rPr>
          <w:rFonts w:ascii="Times New Roman" w:hAnsi="Times New Roman" w:cs="Times New Roman"/>
          <w:sz w:val="24"/>
          <w:szCs w:val="24"/>
        </w:rPr>
        <w:t xml:space="preserve">Thus, </w:t>
      </w:r>
      <w:r w:rsidRPr="00BD0B33">
        <w:rPr>
          <w:rFonts w:ascii="Times New Roman" w:hAnsi="Times New Roman" w:cs="Times New Roman"/>
          <w:sz w:val="24"/>
          <w:szCs w:val="24"/>
          <w:u w:val="single"/>
        </w:rPr>
        <w:t>the Commission acknowledged in Order 08 that Shuttle Express’s complaint includes allegations related to the service Speedishuttle currently provides</w:t>
      </w:r>
      <w:r w:rsidRPr="00C70878">
        <w:rPr>
          <w:rFonts w:ascii="Times New Roman" w:hAnsi="Times New Roman" w:cs="Times New Roman"/>
          <w:sz w:val="24"/>
          <w:szCs w:val="24"/>
        </w:rPr>
        <w:t>, and in no way limited the issues solely to whether Speedishuttle is providing service at fares below cost.</w:t>
      </w:r>
      <w:r w:rsidR="00BD0B33">
        <w:rPr>
          <w:rFonts w:ascii="Times New Roman" w:hAnsi="Times New Roman" w:cs="Times New Roman"/>
          <w:sz w:val="24"/>
          <w:szCs w:val="24"/>
        </w:rPr>
        <w:t xml:space="preserve">  [Note </w:t>
      </w:r>
      <w:r w:rsidRPr="00C70878">
        <w:rPr>
          <w:rFonts w:ascii="Times New Roman" w:hAnsi="Times New Roman" w:cs="Times New Roman"/>
          <w:sz w:val="24"/>
          <w:szCs w:val="24"/>
        </w:rPr>
        <w:t>4</w:t>
      </w:r>
      <w:r w:rsidR="00BD0B33">
        <w:rPr>
          <w:rFonts w:ascii="Times New Roman" w:hAnsi="Times New Roman" w:cs="Times New Roman"/>
          <w:sz w:val="24"/>
          <w:szCs w:val="24"/>
        </w:rPr>
        <w:t xml:space="preserve">: “Moreover … [a]s </w:t>
      </w:r>
      <w:r w:rsidR="00BD0B33" w:rsidRPr="00BD0B33">
        <w:rPr>
          <w:rFonts w:ascii="Times New Roman" w:hAnsi="Times New Roman" w:cs="Times New Roman"/>
          <w:sz w:val="24"/>
          <w:szCs w:val="24"/>
        </w:rPr>
        <w:t>As Shuttle Express notes in its Answer</w:t>
      </w:r>
      <w:r w:rsidR="00BD0B33" w:rsidRPr="00885FC0">
        <w:rPr>
          <w:rFonts w:ascii="Times New Roman" w:hAnsi="Times New Roman" w:cs="Times New Roman"/>
          <w:sz w:val="24"/>
          <w:szCs w:val="24"/>
          <w:u w:val="single"/>
        </w:rPr>
        <w:t xml:space="preserve">, each of the Commission’s previous orders and rulings </w:t>
      </w:r>
      <w:r w:rsidR="00BD0B33" w:rsidRPr="00BD0B33">
        <w:rPr>
          <w:rFonts w:ascii="Times New Roman" w:hAnsi="Times New Roman" w:cs="Times New Roman"/>
          <w:sz w:val="24"/>
          <w:szCs w:val="24"/>
          <w:u w:val="single"/>
        </w:rPr>
        <w:t>accepts a broader range of issues than only below-cost pricing</w:t>
      </w:r>
      <w:r w:rsidR="00BD0B33" w:rsidRPr="00BD0B33">
        <w:rPr>
          <w:rFonts w:ascii="Times New Roman" w:hAnsi="Times New Roman" w:cs="Times New Roman"/>
          <w:sz w:val="24"/>
          <w:szCs w:val="24"/>
        </w:rPr>
        <w:t>.</w:t>
      </w:r>
      <w:r w:rsidR="00BD0B33">
        <w:rPr>
          <w:rFonts w:ascii="Times New Roman" w:hAnsi="Times New Roman" w:cs="Times New Roman"/>
          <w:sz w:val="24"/>
          <w:szCs w:val="24"/>
        </w:rPr>
        <w:t xml:space="preserve">”] </w:t>
      </w:r>
      <w:r w:rsidRPr="00C70878">
        <w:rPr>
          <w:rFonts w:ascii="Times New Roman" w:hAnsi="Times New Roman" w:cs="Times New Roman"/>
          <w:sz w:val="24"/>
          <w:szCs w:val="24"/>
        </w:rPr>
        <w:t xml:space="preserve"> Accordingly, Speedishuttle’s Motion fails to address the complaint as a whole.</w:t>
      </w:r>
    </w:p>
    <w:p w14:paraId="279B7A03" w14:textId="77777777" w:rsidR="00BD0B33" w:rsidRPr="00C70878" w:rsidRDefault="00BD0B33" w:rsidP="00FE2B10">
      <w:pPr>
        <w:spacing w:after="160" w:line="480" w:lineRule="auto"/>
        <w:ind w:left="720"/>
        <w:rPr>
          <w:rFonts w:ascii="Times New Roman" w:hAnsi="Times New Roman" w:cs="Times New Roman"/>
          <w:sz w:val="24"/>
          <w:szCs w:val="24"/>
        </w:rPr>
      </w:pPr>
      <w:r>
        <w:rPr>
          <w:rFonts w:ascii="Times New Roman" w:hAnsi="Times New Roman" w:cs="Times New Roman"/>
          <w:sz w:val="24"/>
          <w:szCs w:val="24"/>
        </w:rPr>
        <w:t>Order 14 at 3 (Dkt. TC-143691)(emphasis added).</w:t>
      </w:r>
      <w:r w:rsidR="00FE2B10">
        <w:rPr>
          <w:rFonts w:ascii="Times New Roman" w:hAnsi="Times New Roman" w:cs="Times New Roman"/>
          <w:sz w:val="24"/>
          <w:szCs w:val="24"/>
        </w:rPr>
        <w:t xml:space="preserve">  Thus, Speedishuttle makes the same overarching mistake in interpretation of the Commission’</w:t>
      </w:r>
      <w:r w:rsidR="00F9628C">
        <w:rPr>
          <w:rFonts w:ascii="Times New Roman" w:hAnsi="Times New Roman" w:cs="Times New Roman"/>
          <w:sz w:val="24"/>
          <w:szCs w:val="24"/>
        </w:rPr>
        <w:t>s prior orders as</w:t>
      </w:r>
      <w:r w:rsidR="00FE2B10">
        <w:rPr>
          <w:rFonts w:ascii="Times New Roman" w:hAnsi="Times New Roman" w:cs="Times New Roman"/>
          <w:sz w:val="24"/>
          <w:szCs w:val="24"/>
        </w:rPr>
        <w:t xml:space="preserve"> it did in its recently denied Motion </w:t>
      </w:r>
      <w:r w:rsidR="007A1CE4">
        <w:rPr>
          <w:rFonts w:ascii="Times New Roman" w:hAnsi="Times New Roman" w:cs="Times New Roman"/>
          <w:sz w:val="24"/>
          <w:szCs w:val="24"/>
        </w:rPr>
        <w:t>for</w:t>
      </w:r>
      <w:r w:rsidR="00FE2B10">
        <w:rPr>
          <w:rFonts w:ascii="Times New Roman" w:hAnsi="Times New Roman" w:cs="Times New Roman"/>
          <w:sz w:val="24"/>
          <w:szCs w:val="24"/>
        </w:rPr>
        <w:t xml:space="preserve"> Summary Determination.  </w:t>
      </w:r>
    </w:p>
    <w:p w14:paraId="279B7A04" w14:textId="77777777" w:rsidR="00EC4A6C" w:rsidRDefault="00FE2B10" w:rsidP="000C6E71">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As the Commission acknowledged in Order 14, t</w:t>
      </w:r>
      <w:r w:rsidR="00BD0B33">
        <w:rPr>
          <w:rFonts w:ascii="Times New Roman" w:hAnsi="Times New Roman" w:cs="Times New Roman"/>
          <w:sz w:val="24"/>
          <w:szCs w:val="24"/>
        </w:rPr>
        <w:t xml:space="preserve">he </w:t>
      </w:r>
      <w:r w:rsidR="00EC4A6C">
        <w:rPr>
          <w:rFonts w:ascii="Times New Roman" w:hAnsi="Times New Roman" w:cs="Times New Roman"/>
          <w:sz w:val="24"/>
          <w:szCs w:val="24"/>
        </w:rPr>
        <w:t>Compla</w:t>
      </w:r>
      <w:r w:rsidR="00BD0B33">
        <w:rPr>
          <w:rFonts w:ascii="Times New Roman" w:hAnsi="Times New Roman" w:cs="Times New Roman"/>
          <w:sz w:val="24"/>
          <w:szCs w:val="24"/>
        </w:rPr>
        <w:t xml:space="preserve">int </w:t>
      </w:r>
      <w:r>
        <w:rPr>
          <w:rFonts w:ascii="Times New Roman" w:hAnsi="Times New Roman" w:cs="Times New Roman"/>
          <w:sz w:val="24"/>
          <w:szCs w:val="24"/>
        </w:rPr>
        <w:t>has never been narrowed.  Moreov</w:t>
      </w:r>
      <w:r w:rsidR="00BD0B33">
        <w:rPr>
          <w:rFonts w:ascii="Times New Roman" w:hAnsi="Times New Roman" w:cs="Times New Roman"/>
          <w:sz w:val="24"/>
          <w:szCs w:val="24"/>
        </w:rPr>
        <w:t xml:space="preserve">er, </w:t>
      </w:r>
      <w:r>
        <w:rPr>
          <w:rFonts w:ascii="Times New Roman" w:hAnsi="Times New Roman" w:cs="Times New Roman"/>
          <w:sz w:val="24"/>
          <w:szCs w:val="24"/>
        </w:rPr>
        <w:t>the Complaint incorporated and relied on all of</w:t>
      </w:r>
      <w:r w:rsidR="00EC4A6C">
        <w:rPr>
          <w:rFonts w:ascii="Times New Roman" w:hAnsi="Times New Roman" w:cs="Times New Roman"/>
          <w:sz w:val="24"/>
          <w:szCs w:val="24"/>
        </w:rPr>
        <w:t xml:space="preserve"> the factual allegations of the rehearing</w:t>
      </w:r>
      <w:r>
        <w:rPr>
          <w:rFonts w:ascii="Times New Roman" w:hAnsi="Times New Roman" w:cs="Times New Roman"/>
          <w:sz w:val="24"/>
          <w:szCs w:val="24"/>
        </w:rPr>
        <w:t xml:space="preserve"> petition</w:t>
      </w:r>
      <w:r w:rsidR="00EC4A6C">
        <w:rPr>
          <w:rFonts w:ascii="Times New Roman" w:hAnsi="Times New Roman" w:cs="Times New Roman"/>
          <w:sz w:val="24"/>
          <w:szCs w:val="24"/>
        </w:rPr>
        <w:t>.</w:t>
      </w:r>
      <w:r>
        <w:rPr>
          <w:rFonts w:ascii="Times New Roman" w:hAnsi="Times New Roman" w:cs="Times New Roman"/>
          <w:sz w:val="24"/>
          <w:szCs w:val="24"/>
        </w:rPr>
        <w:t xml:space="preserve">  Petition and Complaint, ¶ 37.</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because the Respondent’s </w:t>
      </w:r>
      <w:r>
        <w:rPr>
          <w:rFonts w:ascii="Times New Roman" w:hAnsi="Times New Roman" w:cs="Times New Roman"/>
          <w:sz w:val="24"/>
          <w:szCs w:val="24"/>
        </w:rPr>
        <w:lastRenderedPageBreak/>
        <w:t>answers to the Petition and Complaint failed to expressly admit or deny the factual allegations of the Petition,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Shuttle Express not only can, but must, provide some evidence to support all of the allegations if they are to be relied on in post-hearing briefing.  </w:t>
      </w:r>
    </w:p>
    <w:p w14:paraId="279B7A05" w14:textId="77777777" w:rsidR="00FD3AC2" w:rsidRPr="001D0D18" w:rsidRDefault="00FE2B10" w:rsidP="00FD3AC2">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Respondent should not be allowed, in the guise of a motion in limine, to re</w:t>
      </w:r>
      <w:r w:rsidR="00AD37EF">
        <w:rPr>
          <w:rFonts w:ascii="Times New Roman" w:hAnsi="Times New Roman" w:cs="Times New Roman"/>
          <w:sz w:val="24"/>
          <w:szCs w:val="24"/>
        </w:rPr>
        <w:t>-</w:t>
      </w:r>
      <w:r>
        <w:rPr>
          <w:rFonts w:ascii="Times New Roman" w:hAnsi="Times New Roman" w:cs="Times New Roman"/>
          <w:sz w:val="24"/>
          <w:szCs w:val="24"/>
        </w:rPr>
        <w:t>litigate Commission Orders 06, 08, 09, and 14.  Nor should it be allowed to effectively move yet again for summary determination in a motion in limine</w:t>
      </w:r>
      <w:r w:rsidR="00303C45">
        <w:rPr>
          <w:rFonts w:ascii="Times New Roman" w:hAnsi="Times New Roman" w:cs="Times New Roman"/>
          <w:sz w:val="24"/>
          <w:szCs w:val="24"/>
        </w:rPr>
        <w:t>, especially when it runs counter to a prior order denying summary determination</w:t>
      </w:r>
      <w:r>
        <w:rPr>
          <w:rFonts w:ascii="Times New Roman" w:hAnsi="Times New Roman" w:cs="Times New Roman"/>
          <w:sz w:val="24"/>
          <w:szCs w:val="24"/>
        </w:rPr>
        <w:t>.  The arguments in the Motion are best reserved for post-hearing briefing after all the evidence is in.</w:t>
      </w:r>
      <w:r w:rsidR="00FD3AC2" w:rsidRPr="001D0D18">
        <w:rPr>
          <w:rFonts w:ascii="Times New Roman" w:hAnsi="Times New Roman" w:cs="Times New Roman"/>
          <w:sz w:val="24"/>
          <w:szCs w:val="24"/>
        </w:rPr>
        <w:t xml:space="preserve">  </w:t>
      </w:r>
    </w:p>
    <w:p w14:paraId="279B7A06" w14:textId="77777777" w:rsidR="00FD3AC2" w:rsidRPr="001D0D18" w:rsidRDefault="00EB688A" w:rsidP="00FD3AC2">
      <w:pPr>
        <w:pStyle w:val="ListParagraph"/>
        <w:spacing w:after="160"/>
        <w:ind w:left="1080" w:hanging="360"/>
        <w:rPr>
          <w:rFonts w:ascii="Times New Roman" w:hAnsi="Times New Roman" w:cs="Times New Roman"/>
          <w:sz w:val="24"/>
          <w:szCs w:val="24"/>
        </w:rPr>
      </w:pPr>
      <w:r>
        <w:rPr>
          <w:rFonts w:ascii="Times New Roman" w:hAnsi="Times New Roman" w:cs="Times New Roman"/>
          <w:sz w:val="24"/>
          <w:szCs w:val="24"/>
        </w:rPr>
        <w:t>B</w:t>
      </w:r>
      <w:r w:rsidR="00FD3AC2" w:rsidRPr="001D0D18">
        <w:rPr>
          <w:rFonts w:ascii="Times New Roman" w:hAnsi="Times New Roman" w:cs="Times New Roman"/>
          <w:sz w:val="24"/>
          <w:szCs w:val="24"/>
        </w:rPr>
        <w:t>.</w:t>
      </w:r>
      <w:r w:rsidR="00FD3AC2" w:rsidRPr="001D0D18">
        <w:rPr>
          <w:rFonts w:ascii="Times New Roman" w:hAnsi="Times New Roman" w:cs="Times New Roman"/>
          <w:sz w:val="24"/>
          <w:szCs w:val="24"/>
        </w:rPr>
        <w:tab/>
      </w:r>
      <w:r w:rsidR="00FD3AC2" w:rsidRPr="001D0D18">
        <w:rPr>
          <w:rFonts w:ascii="Times New Roman" w:hAnsi="Times New Roman" w:cs="Times New Roman"/>
          <w:sz w:val="24"/>
          <w:szCs w:val="24"/>
          <w:u w:val="single"/>
        </w:rPr>
        <w:t>The Testimony is Not Only Relevant to “Liability” Issues, but also Provides Important Background, Context, and Facts the Commission May Need to Consider in Determining What is an Appropriate Remedy to Protect the Public Interest.</w:t>
      </w:r>
    </w:p>
    <w:p w14:paraId="279B7A07" w14:textId="77777777" w:rsidR="00586DB0" w:rsidRPr="00586DB0" w:rsidRDefault="00FD3AC2" w:rsidP="00586DB0">
      <w:pPr>
        <w:pStyle w:val="ListParagraph"/>
        <w:numPr>
          <w:ilvl w:val="0"/>
          <w:numId w:val="21"/>
        </w:numPr>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As discussed above, Shuttle Express should not be forced to submit what amounts to a post-hearing brief just to get its testimony admitted.  The Motion is improper and overly broad.  It should be denied in its entirety without the need for either Shuttle Express or the Commission to justify the testimony line</w:t>
      </w:r>
      <w:r w:rsidR="0085082F">
        <w:rPr>
          <w:rFonts w:ascii="Times New Roman" w:hAnsi="Times New Roman" w:cs="Times New Roman"/>
          <w:sz w:val="24"/>
          <w:szCs w:val="24"/>
        </w:rPr>
        <w:t xml:space="preserve"> </w:t>
      </w:r>
      <w:r w:rsidRPr="001D0D18">
        <w:rPr>
          <w:rFonts w:ascii="Times New Roman" w:hAnsi="Times New Roman" w:cs="Times New Roman"/>
          <w:sz w:val="24"/>
          <w:szCs w:val="24"/>
        </w:rPr>
        <w:t>by</w:t>
      </w:r>
      <w:r w:rsidR="0085082F">
        <w:rPr>
          <w:rFonts w:ascii="Times New Roman" w:hAnsi="Times New Roman" w:cs="Times New Roman"/>
          <w:sz w:val="24"/>
          <w:szCs w:val="24"/>
        </w:rPr>
        <w:t xml:space="preserve"> </w:t>
      </w:r>
      <w:r w:rsidRPr="001D0D18">
        <w:rPr>
          <w:rFonts w:ascii="Times New Roman" w:hAnsi="Times New Roman" w:cs="Times New Roman"/>
          <w:sz w:val="24"/>
          <w:szCs w:val="24"/>
        </w:rPr>
        <w:t>line.  If there is anything at all that the Commission might find to be possibly questionable, then—and only then—the Commission should entertain oral argument on the Motion and ask the parties to address specific passages.</w:t>
      </w:r>
      <w:r w:rsidR="00586DB0">
        <w:rPr>
          <w:rStyle w:val="FootnoteReference"/>
          <w:rFonts w:ascii="Times New Roman" w:hAnsi="Times New Roman" w:cs="Times New Roman"/>
          <w:sz w:val="24"/>
          <w:szCs w:val="24"/>
        </w:rPr>
        <w:footnoteReference w:id="11"/>
      </w:r>
      <w:r w:rsidRPr="001D0D18">
        <w:rPr>
          <w:rFonts w:ascii="Times New Roman" w:hAnsi="Times New Roman" w:cs="Times New Roman"/>
          <w:sz w:val="24"/>
          <w:szCs w:val="24"/>
        </w:rPr>
        <w:t xml:space="preserve">  In other words, the Commission should reject the “shotgun” and require</w:t>
      </w:r>
      <w:r w:rsidR="00586DB0">
        <w:rPr>
          <w:rFonts w:ascii="Times New Roman" w:hAnsi="Times New Roman" w:cs="Times New Roman"/>
          <w:sz w:val="24"/>
          <w:szCs w:val="24"/>
        </w:rPr>
        <w:t xml:space="preserve"> Respondent to use a “rifle.”  </w:t>
      </w:r>
      <w:r w:rsidRPr="00586DB0">
        <w:rPr>
          <w:rFonts w:ascii="Times New Roman" w:hAnsi="Times New Roman" w:cs="Times New Roman"/>
          <w:sz w:val="24"/>
          <w:szCs w:val="24"/>
        </w:rPr>
        <w:t xml:space="preserve">But Shuttle Express does not encourage either oral argument or rifle shots on this Motion, because it is unfounded, ignoring both prior orders and the applicable law.  </w:t>
      </w:r>
    </w:p>
    <w:p w14:paraId="279B7A08" w14:textId="77777777" w:rsidR="00FD3AC2" w:rsidRPr="00586DB0" w:rsidRDefault="00FD3AC2" w:rsidP="00DB5954">
      <w:pPr>
        <w:pStyle w:val="ListParagraph"/>
        <w:numPr>
          <w:ilvl w:val="0"/>
          <w:numId w:val="21"/>
        </w:numPr>
        <w:spacing w:after="160" w:line="480" w:lineRule="auto"/>
        <w:ind w:left="720" w:hanging="720"/>
        <w:rPr>
          <w:rFonts w:ascii="Times New Roman" w:hAnsi="Times New Roman" w:cs="Times New Roman"/>
          <w:sz w:val="24"/>
          <w:szCs w:val="24"/>
        </w:rPr>
      </w:pPr>
      <w:r w:rsidRPr="00586DB0">
        <w:rPr>
          <w:rFonts w:ascii="Times New Roman" w:hAnsi="Times New Roman" w:cs="Times New Roman"/>
          <w:sz w:val="24"/>
          <w:szCs w:val="24"/>
        </w:rPr>
        <w:lastRenderedPageBreak/>
        <w:t xml:space="preserve">The law starts with RCW 80.01.040, which provides, in part, that “commission shall … [r]egulate in the public interest, as provided by the public service laws, all persons engaging in the transportation of persons….”  As far as the “public service laws” at issue, the Petition and Complaint cites all of RCW Chapter 81.68 and at least seven other RCW sections.  It also cites and discusses at least eleven WAC sections.   In contrast, the Motion discusses RCW Ch. 81.68 superficially only.  It fails to mention any of the other RCWs invoked or implicated by the Petition and Complaint.  Out of the </w:t>
      </w:r>
      <w:r w:rsidRPr="00586DB0">
        <w:rPr>
          <w:rFonts w:ascii="Times New Roman" w:hAnsi="Times New Roman" w:cs="Times New Roman"/>
          <w:sz w:val="24"/>
          <w:szCs w:val="24"/>
          <w:u w:val="single"/>
        </w:rPr>
        <w:t>eleven</w:t>
      </w:r>
      <w:r w:rsidRPr="00586DB0">
        <w:rPr>
          <w:rFonts w:ascii="Times New Roman" w:hAnsi="Times New Roman" w:cs="Times New Roman"/>
          <w:sz w:val="24"/>
          <w:szCs w:val="24"/>
        </w:rPr>
        <w:t xml:space="preserve"> WAC sections at issue in the case, the Motion discusses only </w:t>
      </w:r>
      <w:r w:rsidRPr="00586DB0">
        <w:rPr>
          <w:rFonts w:ascii="Times New Roman" w:hAnsi="Times New Roman" w:cs="Times New Roman"/>
          <w:sz w:val="24"/>
          <w:szCs w:val="24"/>
          <w:u w:val="single"/>
        </w:rPr>
        <w:t xml:space="preserve">one </w:t>
      </w:r>
      <w:r w:rsidRPr="00586DB0">
        <w:rPr>
          <w:rFonts w:ascii="Times New Roman" w:hAnsi="Times New Roman" w:cs="Times New Roman"/>
          <w:sz w:val="24"/>
          <w:szCs w:val="24"/>
        </w:rPr>
        <w:t xml:space="preserve">of them, WAC 480-30-140.  </w:t>
      </w:r>
    </w:p>
    <w:p w14:paraId="279B7A09" w14:textId="77777777" w:rsidR="00F76222" w:rsidRDefault="00F76222" w:rsidP="00FD3AC2">
      <w:pPr>
        <w:pStyle w:val="ListParagraph"/>
        <w:numPr>
          <w:ilvl w:val="0"/>
          <w:numId w:val="21"/>
        </w:numPr>
        <w:tabs>
          <w:tab w:val="left" w:pos="1440"/>
        </w:tabs>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Based on the Petition and Complaint</w:t>
      </w:r>
      <w:r w:rsidR="0085082F">
        <w:rPr>
          <w:rFonts w:ascii="Times New Roman" w:hAnsi="Times New Roman" w:cs="Times New Roman"/>
          <w:sz w:val="24"/>
          <w:szCs w:val="24"/>
        </w:rPr>
        <w:t>,</w:t>
      </w:r>
      <w:r w:rsidR="00FD3AC2" w:rsidRPr="001D0D18">
        <w:rPr>
          <w:rFonts w:ascii="Times New Roman" w:hAnsi="Times New Roman" w:cs="Times New Roman"/>
          <w:sz w:val="24"/>
          <w:szCs w:val="24"/>
        </w:rPr>
        <w:t xml:space="preserve"> the Commission need</w:t>
      </w:r>
      <w:r w:rsidR="00FF1C72">
        <w:rPr>
          <w:rFonts w:ascii="Times New Roman" w:hAnsi="Times New Roman" w:cs="Times New Roman"/>
          <w:sz w:val="24"/>
          <w:szCs w:val="24"/>
        </w:rPr>
        <w:t>s</w:t>
      </w:r>
      <w:r w:rsidR="00FD3AC2" w:rsidRPr="001D0D18">
        <w:rPr>
          <w:rFonts w:ascii="Times New Roman" w:hAnsi="Times New Roman" w:cs="Times New Roman"/>
          <w:sz w:val="24"/>
          <w:szCs w:val="24"/>
        </w:rPr>
        <w:t xml:space="preserve"> to </w:t>
      </w:r>
      <w:r>
        <w:rPr>
          <w:rFonts w:ascii="Times New Roman" w:hAnsi="Times New Roman" w:cs="Times New Roman"/>
          <w:sz w:val="24"/>
          <w:szCs w:val="24"/>
        </w:rPr>
        <w:t xml:space="preserve">apply </w:t>
      </w:r>
      <w:r w:rsidR="00FD3AC2" w:rsidRPr="001D0D18">
        <w:rPr>
          <w:rFonts w:ascii="Times New Roman" w:hAnsi="Times New Roman" w:cs="Times New Roman"/>
          <w:sz w:val="24"/>
          <w:szCs w:val="24"/>
        </w:rPr>
        <w:t xml:space="preserve">a number of the public service laws and regulations </w:t>
      </w:r>
      <w:r>
        <w:rPr>
          <w:rFonts w:ascii="Times New Roman" w:hAnsi="Times New Roman" w:cs="Times New Roman"/>
          <w:sz w:val="24"/>
          <w:szCs w:val="24"/>
        </w:rPr>
        <w:t>to the facts to</w:t>
      </w:r>
      <w:r w:rsidR="00FD3AC2" w:rsidRPr="001D0D18">
        <w:rPr>
          <w:rFonts w:ascii="Times New Roman" w:hAnsi="Times New Roman" w:cs="Times New Roman"/>
          <w:sz w:val="24"/>
          <w:szCs w:val="24"/>
        </w:rPr>
        <w:t xml:space="preserve"> reach a final order</w:t>
      </w:r>
      <w:r>
        <w:rPr>
          <w:rFonts w:ascii="Times New Roman" w:hAnsi="Times New Roman" w:cs="Times New Roman"/>
          <w:sz w:val="24"/>
          <w:szCs w:val="24"/>
        </w:rPr>
        <w:t>.  Moreover</w:t>
      </w:r>
      <w:r w:rsidR="00FD3AC2" w:rsidRPr="001D0D18">
        <w:rPr>
          <w:rFonts w:ascii="Times New Roman" w:hAnsi="Times New Roman" w:cs="Times New Roman"/>
          <w:sz w:val="24"/>
          <w:szCs w:val="24"/>
        </w:rPr>
        <w:t>, some of those laws give the Commission great leeway to act in order to protect the public interest.  For example, the Petition is based on RCW 81.04.200, which can be based on</w:t>
      </w:r>
      <w:r>
        <w:rPr>
          <w:rFonts w:ascii="Times New Roman" w:hAnsi="Times New Roman" w:cs="Times New Roman"/>
          <w:sz w:val="24"/>
          <w:szCs w:val="24"/>
        </w:rPr>
        <w:t>:</w:t>
      </w:r>
    </w:p>
    <w:p w14:paraId="279B7A0A" w14:textId="77777777" w:rsidR="00F76222" w:rsidRDefault="00F76222" w:rsidP="00F76222">
      <w:pPr>
        <w:pStyle w:val="ListParagraph"/>
        <w:tabs>
          <w:tab w:val="left" w:pos="1440"/>
        </w:tabs>
        <w:spacing w:after="160" w:line="276"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FD3AC2" w:rsidRPr="001D0D18">
        <w:rPr>
          <w:rFonts w:ascii="Times New Roman" w:hAnsi="Times New Roman" w:cs="Times New Roman"/>
          <w:sz w:val="24"/>
          <w:szCs w:val="24"/>
        </w:rPr>
        <w:t>“</w:t>
      </w:r>
      <w:r>
        <w:rPr>
          <w:rFonts w:ascii="Times New Roman" w:hAnsi="Times New Roman" w:cs="Times New Roman"/>
          <w:sz w:val="24"/>
          <w:szCs w:val="24"/>
        </w:rPr>
        <w:t>[C]hanged conditions”</w:t>
      </w:r>
    </w:p>
    <w:p w14:paraId="279B7A0B" w14:textId="77777777" w:rsidR="00F76222" w:rsidRDefault="00F76222" w:rsidP="00F76222">
      <w:pPr>
        <w:pStyle w:val="ListParagraph"/>
        <w:tabs>
          <w:tab w:val="left" w:pos="1440"/>
        </w:tabs>
        <w:spacing w:after="160" w:line="276"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FD3AC2" w:rsidRPr="001D0D18">
        <w:rPr>
          <w:rFonts w:ascii="Times New Roman" w:hAnsi="Times New Roman" w:cs="Times New Roman"/>
          <w:sz w:val="24"/>
          <w:szCs w:val="24"/>
        </w:rPr>
        <w:t>“</w:t>
      </w:r>
      <w:r>
        <w:rPr>
          <w:rFonts w:ascii="Times New Roman" w:hAnsi="Times New Roman" w:cs="Times New Roman"/>
          <w:sz w:val="24"/>
          <w:szCs w:val="24"/>
        </w:rPr>
        <w:t>[O]</w:t>
      </w:r>
      <w:r w:rsidR="00FD3AC2" w:rsidRPr="001D0D18">
        <w:rPr>
          <w:rFonts w:ascii="Times New Roman" w:hAnsi="Times New Roman" w:cs="Times New Roman"/>
          <w:sz w:val="24"/>
          <w:szCs w:val="24"/>
        </w:rPr>
        <w:t>r by showing a result injuriously affecting the petitioner which was not considered or anticipated”</w:t>
      </w:r>
    </w:p>
    <w:p w14:paraId="279B7A0C" w14:textId="77777777" w:rsidR="00F76222" w:rsidRDefault="00F76222" w:rsidP="00F76222">
      <w:pPr>
        <w:pStyle w:val="ListParagraph"/>
        <w:tabs>
          <w:tab w:val="left" w:pos="1440"/>
        </w:tabs>
        <w:spacing w:after="160" w:line="276"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FD3AC2" w:rsidRPr="001D0D18">
        <w:rPr>
          <w:rFonts w:ascii="Times New Roman" w:hAnsi="Times New Roman" w:cs="Times New Roman"/>
          <w:sz w:val="24"/>
          <w:szCs w:val="24"/>
        </w:rPr>
        <w:t>“</w:t>
      </w:r>
      <w:r>
        <w:rPr>
          <w:rFonts w:ascii="Times New Roman" w:hAnsi="Times New Roman" w:cs="Times New Roman"/>
          <w:sz w:val="24"/>
          <w:szCs w:val="24"/>
        </w:rPr>
        <w:t>[O]</w:t>
      </w:r>
      <w:r w:rsidR="00FD3AC2" w:rsidRPr="001D0D18">
        <w:rPr>
          <w:rFonts w:ascii="Times New Roman" w:hAnsi="Times New Roman" w:cs="Times New Roman"/>
          <w:sz w:val="24"/>
          <w:szCs w:val="24"/>
        </w:rPr>
        <w:t>r that the effect of such order has been such as was not contemplated by the commission or the petitioner,”</w:t>
      </w:r>
    </w:p>
    <w:p w14:paraId="279B7A0D" w14:textId="77777777" w:rsidR="00F76222" w:rsidRDefault="00F76222" w:rsidP="00F76222">
      <w:pPr>
        <w:pStyle w:val="ListParagraph"/>
        <w:tabs>
          <w:tab w:val="left" w:pos="1440"/>
        </w:tabs>
        <w:spacing w:after="160" w:line="276" w:lineRule="auto"/>
        <w:ind w:left="1080"/>
        <w:rPr>
          <w:rFonts w:ascii="Times New Roman" w:hAnsi="Times New Roman" w:cs="Times New Roman"/>
          <w:sz w:val="24"/>
          <w:szCs w:val="24"/>
        </w:rPr>
      </w:pPr>
      <w:r>
        <w:rPr>
          <w:rFonts w:ascii="Times New Roman" w:hAnsi="Times New Roman" w:cs="Times New Roman"/>
          <w:sz w:val="24"/>
          <w:szCs w:val="24"/>
        </w:rPr>
        <w:t>-  “[O]</w:t>
      </w:r>
      <w:r w:rsidR="00FD3AC2" w:rsidRPr="001D0D18">
        <w:rPr>
          <w:rFonts w:ascii="Times New Roman" w:hAnsi="Times New Roman" w:cs="Times New Roman"/>
          <w:sz w:val="24"/>
          <w:szCs w:val="24"/>
        </w:rPr>
        <w:t>r for any good and sufficient cause which for any reason was not considered and deter</w:t>
      </w:r>
      <w:r>
        <w:rPr>
          <w:rFonts w:ascii="Times New Roman" w:hAnsi="Times New Roman" w:cs="Times New Roman"/>
          <w:sz w:val="24"/>
          <w:szCs w:val="24"/>
        </w:rPr>
        <w:t>mined in such former hearing.”</w:t>
      </w:r>
    </w:p>
    <w:p w14:paraId="279B7A0E" w14:textId="77777777" w:rsidR="00FD3AC2" w:rsidRPr="001D0D18" w:rsidRDefault="00FD3AC2" w:rsidP="00F76222">
      <w:pPr>
        <w:pStyle w:val="ListParagraph"/>
        <w:tabs>
          <w:tab w:val="left" w:pos="1440"/>
        </w:tabs>
        <w:spacing w:after="160" w:line="480" w:lineRule="auto"/>
        <w:ind w:left="720"/>
        <w:rPr>
          <w:rFonts w:ascii="Times New Roman" w:hAnsi="Times New Roman" w:cs="Times New Roman"/>
          <w:sz w:val="24"/>
          <w:szCs w:val="24"/>
        </w:rPr>
      </w:pPr>
      <w:r w:rsidRPr="001D0D18">
        <w:rPr>
          <w:rFonts w:ascii="Times New Roman" w:hAnsi="Times New Roman" w:cs="Times New Roman"/>
          <w:sz w:val="24"/>
          <w:szCs w:val="24"/>
        </w:rPr>
        <w:t>Note the legislature’s repeated use of the conjunction “or.”  The Commission can act based on any of the foregoing grounds.  And the last one, “</w:t>
      </w:r>
      <w:r w:rsidRPr="001D0D18">
        <w:rPr>
          <w:rFonts w:ascii="Times New Roman" w:hAnsi="Times New Roman" w:cs="Times New Roman"/>
          <w:sz w:val="24"/>
          <w:szCs w:val="24"/>
          <w:u w:val="single"/>
        </w:rPr>
        <w:t>good and sufficient cause</w:t>
      </w:r>
      <w:r w:rsidRPr="001D0D18">
        <w:rPr>
          <w:rFonts w:ascii="Times New Roman" w:hAnsi="Times New Roman" w:cs="Times New Roman"/>
          <w:sz w:val="24"/>
          <w:szCs w:val="24"/>
        </w:rPr>
        <w:t>” is extremely open-ended.</w:t>
      </w:r>
    </w:p>
    <w:p w14:paraId="279B7A0F" w14:textId="77777777" w:rsidR="00FD3AC2" w:rsidRPr="001D0D18" w:rsidRDefault="00FD3AC2" w:rsidP="00FD3AC2">
      <w:pPr>
        <w:pStyle w:val="ListParagraph"/>
        <w:numPr>
          <w:ilvl w:val="0"/>
          <w:numId w:val="21"/>
        </w:numPr>
        <w:tabs>
          <w:tab w:val="left" w:pos="1440"/>
        </w:tabs>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Similarly open-ended and granting broad discretion is the complaint statute, RCW 81.04.110.  It provides, in small part</w:t>
      </w:r>
      <w:r w:rsidR="00DF3BA6">
        <w:rPr>
          <w:rFonts w:ascii="Times New Roman" w:hAnsi="Times New Roman" w:cs="Times New Roman"/>
          <w:sz w:val="24"/>
          <w:szCs w:val="24"/>
        </w:rPr>
        <w:t>,</w:t>
      </w:r>
      <w:r w:rsidRPr="001D0D18">
        <w:rPr>
          <w:rFonts w:ascii="Times New Roman" w:hAnsi="Times New Roman" w:cs="Times New Roman"/>
          <w:sz w:val="24"/>
          <w:szCs w:val="24"/>
        </w:rPr>
        <w:t xml:space="preserve"> for complaint against “abuses” that:  “are </w:t>
      </w:r>
      <w:r w:rsidRPr="001D0D18">
        <w:rPr>
          <w:rFonts w:ascii="Times New Roman" w:hAnsi="Times New Roman" w:cs="Times New Roman"/>
          <w:sz w:val="24"/>
          <w:szCs w:val="24"/>
        </w:rPr>
        <w:lastRenderedPageBreak/>
        <w:t xml:space="preserve">unreasonable, unremunerative, discriminatory, illegal, unfair or intending or tending to oppress the complainant, to stifle competition, or to create or encourage the creation of monopoly….”  Again, each time the conjunction is “or.”  And the remedies the Commission is empowered to grant are equally broad and non-specific.  It may:  “correct the abuse complained of by establishing such uniform rates, charges, rules, regulations or practices in lieu of those complained of, to be observed … as shall be found reasonable, remunerative, nondiscriminatory, legal, and fair or tending to prevent oppression or monopoly or to encourage competition….”  </w:t>
      </w:r>
    </w:p>
    <w:p w14:paraId="279B7A10" w14:textId="77777777" w:rsidR="00FD3AC2" w:rsidRPr="001D0D18" w:rsidRDefault="00FD3AC2" w:rsidP="00FD3AC2">
      <w:pPr>
        <w:pStyle w:val="ListParagraph"/>
        <w:numPr>
          <w:ilvl w:val="0"/>
          <w:numId w:val="21"/>
        </w:numPr>
        <w:tabs>
          <w:tab w:val="left" w:pos="1440"/>
        </w:tabs>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 xml:space="preserve">As for the rehearing, “good and sufficient cause” gives wide latitude to support a case under RCW 81.04.200.  And terms like “fair” </w:t>
      </w:r>
      <w:r w:rsidR="00F76222">
        <w:rPr>
          <w:rFonts w:ascii="Times New Roman" w:hAnsi="Times New Roman" w:cs="Times New Roman"/>
          <w:sz w:val="24"/>
          <w:szCs w:val="24"/>
        </w:rPr>
        <w:t xml:space="preserve">or “unfair” </w:t>
      </w:r>
      <w:r w:rsidRPr="001D0D18">
        <w:rPr>
          <w:rFonts w:ascii="Times New Roman" w:hAnsi="Times New Roman" w:cs="Times New Roman"/>
          <w:sz w:val="24"/>
          <w:szCs w:val="24"/>
        </w:rPr>
        <w:t xml:space="preserve">and </w:t>
      </w:r>
      <w:r w:rsidR="00F76222">
        <w:rPr>
          <w:rFonts w:ascii="Times New Roman" w:hAnsi="Times New Roman" w:cs="Times New Roman"/>
          <w:sz w:val="24"/>
          <w:szCs w:val="24"/>
        </w:rPr>
        <w:t xml:space="preserve">“reasonable” or </w:t>
      </w:r>
      <w:r w:rsidRPr="001D0D18">
        <w:rPr>
          <w:rFonts w:ascii="Times New Roman" w:hAnsi="Times New Roman" w:cs="Times New Roman"/>
          <w:sz w:val="24"/>
          <w:szCs w:val="24"/>
        </w:rPr>
        <w:t>“unreasonable” are inherently broad.  It is really inconceivable that any of the testimony at issue could be deemed “clearly” not relevant to the complaint under RCW 81.04.110.</w:t>
      </w:r>
      <w:r w:rsidR="00F76222">
        <w:rPr>
          <w:rStyle w:val="FootnoteReference"/>
          <w:rFonts w:ascii="Times New Roman" w:hAnsi="Times New Roman" w:cs="Times New Roman"/>
          <w:sz w:val="24"/>
          <w:szCs w:val="24"/>
        </w:rPr>
        <w:footnoteReference w:id="12"/>
      </w:r>
      <w:r w:rsidRPr="001D0D18">
        <w:rPr>
          <w:rFonts w:ascii="Times New Roman" w:hAnsi="Times New Roman" w:cs="Times New Roman"/>
          <w:sz w:val="24"/>
          <w:szCs w:val="24"/>
        </w:rPr>
        <w:t xml:space="preserve"> </w:t>
      </w:r>
      <w:r w:rsidR="00885FC0">
        <w:rPr>
          <w:rFonts w:ascii="Times New Roman" w:hAnsi="Times New Roman" w:cs="Times New Roman"/>
          <w:sz w:val="24"/>
          <w:szCs w:val="24"/>
        </w:rPr>
        <w:t xml:space="preserve"> And in Order 14, the Commission has just held that the issues under consideration are much broader than Respondent asserts in the Motion. </w:t>
      </w:r>
      <w:r w:rsidRPr="001D0D18">
        <w:rPr>
          <w:rFonts w:ascii="Times New Roman" w:hAnsi="Times New Roman" w:cs="Times New Roman"/>
          <w:sz w:val="24"/>
          <w:szCs w:val="24"/>
        </w:rPr>
        <w:t xml:space="preserve"> The issues raised in the Motion at best go to the weight to be given</w:t>
      </w:r>
      <w:r w:rsidR="00885FC0">
        <w:rPr>
          <w:rFonts w:ascii="Times New Roman" w:hAnsi="Times New Roman" w:cs="Times New Roman"/>
          <w:sz w:val="24"/>
          <w:szCs w:val="24"/>
        </w:rPr>
        <w:t xml:space="preserve"> to the challenged testimony</w:t>
      </w:r>
      <w:r w:rsidRPr="001D0D18">
        <w:rPr>
          <w:rFonts w:ascii="Times New Roman" w:hAnsi="Times New Roman" w:cs="Times New Roman"/>
          <w:sz w:val="24"/>
          <w:szCs w:val="24"/>
        </w:rPr>
        <w:t xml:space="preserve">, which should be reserved for the final order after all the evidence is heard and considered, not pre-determined prior to the hearing. </w:t>
      </w:r>
    </w:p>
    <w:p w14:paraId="279B7A11" w14:textId="77777777" w:rsidR="00FD3AC2" w:rsidRPr="001D0D18" w:rsidRDefault="00FD3AC2" w:rsidP="00FD3AC2">
      <w:pPr>
        <w:pStyle w:val="ListParagraph"/>
        <w:numPr>
          <w:ilvl w:val="0"/>
          <w:numId w:val="21"/>
        </w:numPr>
        <w:tabs>
          <w:tab w:val="left" w:pos="1440"/>
        </w:tabs>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 xml:space="preserve">In light of the foregoing and other public service laws and rules, the Commission is given </w:t>
      </w:r>
      <w:r w:rsidRPr="001D0D18">
        <w:rPr>
          <w:rFonts w:ascii="Times New Roman" w:hAnsi="Times New Roman" w:cs="Times New Roman"/>
          <w:sz w:val="24"/>
          <w:szCs w:val="24"/>
        </w:rPr>
        <w:lastRenderedPageBreak/>
        <w:t>numerous grounds to grant relief.  It also has the jurisdiction and nearly unbridled authority as to the scope and nature of the relief it may order.  Accordingly, Shuttle Express has tried to present a case that provides background, context, and facts and opinions that will help the Commission fashion appropriate relief for the “abuses” complained of.</w:t>
      </w:r>
      <w:r w:rsidR="00974033">
        <w:rPr>
          <w:rStyle w:val="FootnoteReference"/>
          <w:rFonts w:ascii="Times New Roman" w:hAnsi="Times New Roman" w:cs="Times New Roman"/>
          <w:sz w:val="24"/>
          <w:szCs w:val="24"/>
        </w:rPr>
        <w:footnoteReference w:id="13"/>
      </w:r>
      <w:r w:rsidRPr="001D0D18">
        <w:rPr>
          <w:rFonts w:ascii="Times New Roman" w:hAnsi="Times New Roman" w:cs="Times New Roman"/>
          <w:sz w:val="24"/>
          <w:szCs w:val="24"/>
        </w:rPr>
        <w:t xml:space="preserve">  The Motion, in contrast, attempts to create a skeleton of a case that would deny the Commission access to important facts that may well factor into what relief is in the public interest.  The result would either be: 1) </w:t>
      </w:r>
      <w:r w:rsidR="00885FC0">
        <w:rPr>
          <w:rFonts w:ascii="Times New Roman" w:hAnsi="Times New Roman" w:cs="Times New Roman"/>
          <w:sz w:val="24"/>
          <w:szCs w:val="24"/>
        </w:rPr>
        <w:t xml:space="preserve">an unfair </w:t>
      </w:r>
      <w:r w:rsidRPr="001D0D18">
        <w:rPr>
          <w:rFonts w:ascii="Times New Roman" w:hAnsi="Times New Roman" w:cs="Times New Roman"/>
          <w:sz w:val="24"/>
          <w:szCs w:val="24"/>
        </w:rPr>
        <w:t xml:space="preserve">restriction on what relief could be supported by the </w:t>
      </w:r>
      <w:r w:rsidR="00745AB2">
        <w:rPr>
          <w:rFonts w:ascii="Times New Roman" w:hAnsi="Times New Roman" w:cs="Times New Roman"/>
          <w:sz w:val="24"/>
          <w:szCs w:val="24"/>
        </w:rPr>
        <w:t xml:space="preserve">limited </w:t>
      </w:r>
      <w:r w:rsidRPr="001D0D18">
        <w:rPr>
          <w:rFonts w:ascii="Times New Roman" w:hAnsi="Times New Roman" w:cs="Times New Roman"/>
          <w:sz w:val="24"/>
          <w:szCs w:val="24"/>
        </w:rPr>
        <w:t xml:space="preserve">evidence, or 2) a grant of relief that Speedishuttle could contend on review was unsupported by </w:t>
      </w:r>
      <w:r w:rsidR="00745AB2">
        <w:rPr>
          <w:rFonts w:ascii="Times New Roman" w:hAnsi="Times New Roman" w:cs="Times New Roman"/>
          <w:sz w:val="24"/>
          <w:szCs w:val="24"/>
        </w:rPr>
        <w:t xml:space="preserve">sufficient </w:t>
      </w:r>
      <w:r w:rsidRPr="001D0D18">
        <w:rPr>
          <w:rFonts w:ascii="Times New Roman" w:hAnsi="Times New Roman" w:cs="Times New Roman"/>
          <w:sz w:val="24"/>
          <w:szCs w:val="24"/>
        </w:rPr>
        <w:t>evidence and therefore reversible.</w:t>
      </w:r>
    </w:p>
    <w:p w14:paraId="279B7A12" w14:textId="77777777" w:rsidR="003C722F" w:rsidRPr="001D0D18" w:rsidRDefault="00FD3AC2" w:rsidP="003C722F">
      <w:pPr>
        <w:pStyle w:val="ListParagraph"/>
        <w:numPr>
          <w:ilvl w:val="0"/>
          <w:numId w:val="21"/>
        </w:numPr>
        <w:tabs>
          <w:tab w:val="left" w:pos="1440"/>
        </w:tabs>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 xml:space="preserve">Shuttle Express does not consider this case to be like a lawsuit, as Respondent argues.  Yes, the parties have certain rights.  But fundamentally this case is about public policy and the public interest.  Neither of those will be protected if the Commission accepts Respondent’s invitation to make its decision </w:t>
      </w:r>
      <w:r w:rsidR="00745AB2">
        <w:rPr>
          <w:rFonts w:ascii="Times New Roman" w:hAnsi="Times New Roman" w:cs="Times New Roman"/>
          <w:sz w:val="24"/>
          <w:szCs w:val="24"/>
        </w:rPr>
        <w:t>in the absence of</w:t>
      </w:r>
      <w:r w:rsidR="00885FC0">
        <w:rPr>
          <w:rFonts w:ascii="Times New Roman" w:hAnsi="Times New Roman" w:cs="Times New Roman"/>
          <w:sz w:val="24"/>
          <w:szCs w:val="24"/>
        </w:rPr>
        <w:t xml:space="preserve"> most of </w:t>
      </w:r>
      <w:r w:rsidRPr="001D0D18">
        <w:rPr>
          <w:rFonts w:ascii="Times New Roman" w:hAnsi="Times New Roman" w:cs="Times New Roman"/>
          <w:sz w:val="24"/>
          <w:szCs w:val="24"/>
        </w:rPr>
        <w:t>the facts.</w:t>
      </w:r>
      <w:r w:rsidR="003C722F">
        <w:rPr>
          <w:rFonts w:ascii="Times New Roman" w:hAnsi="Times New Roman" w:cs="Times New Roman"/>
          <w:sz w:val="24"/>
          <w:szCs w:val="24"/>
        </w:rPr>
        <w:t xml:space="preserve">  </w:t>
      </w:r>
      <w:r w:rsidR="003C722F" w:rsidRPr="001D0D18">
        <w:rPr>
          <w:rFonts w:ascii="Times New Roman" w:hAnsi="Times New Roman" w:cs="Times New Roman"/>
          <w:sz w:val="24"/>
          <w:szCs w:val="24"/>
        </w:rPr>
        <w:t>The Commission does not often get a case where the very viability of a public service used by three quarters of a million people a year could be terminated or curtailed by Commission action or inaction.  Even if the final order does not act upon all the evidence presented, the Commission should encourage a full presentation of the facts</w:t>
      </w:r>
      <w:r w:rsidR="003C722F">
        <w:rPr>
          <w:rFonts w:ascii="Times New Roman" w:hAnsi="Times New Roman" w:cs="Times New Roman"/>
          <w:sz w:val="24"/>
          <w:szCs w:val="24"/>
        </w:rPr>
        <w:t xml:space="preserve"> for its consideration</w:t>
      </w:r>
      <w:r w:rsidR="003C722F" w:rsidRPr="001D0D18">
        <w:rPr>
          <w:rFonts w:ascii="Times New Roman" w:hAnsi="Times New Roman" w:cs="Times New Roman"/>
          <w:sz w:val="24"/>
          <w:szCs w:val="24"/>
        </w:rPr>
        <w:t xml:space="preserve">.  </w:t>
      </w:r>
    </w:p>
    <w:p w14:paraId="279B7A13" w14:textId="77777777" w:rsidR="00D93788" w:rsidRDefault="003C722F" w:rsidP="00FD3AC2">
      <w:pPr>
        <w:pStyle w:val="ListParagraph"/>
        <w:numPr>
          <w:ilvl w:val="0"/>
          <w:numId w:val="21"/>
        </w:numPr>
        <w:tabs>
          <w:tab w:val="left" w:pos="1440"/>
        </w:tabs>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Respondent, not having discussed </w:t>
      </w:r>
      <w:r w:rsidR="00D93788">
        <w:rPr>
          <w:rFonts w:ascii="Times New Roman" w:hAnsi="Times New Roman" w:cs="Times New Roman"/>
          <w:sz w:val="24"/>
          <w:szCs w:val="24"/>
        </w:rPr>
        <w:t xml:space="preserve">or even mentioned </w:t>
      </w:r>
      <w:r>
        <w:rPr>
          <w:rFonts w:ascii="Times New Roman" w:hAnsi="Times New Roman" w:cs="Times New Roman"/>
          <w:sz w:val="24"/>
          <w:szCs w:val="24"/>
        </w:rPr>
        <w:t>90% of the pertinent statutes and regulations, has not met its burden as movant to show “clear inadmissibility.”</w:t>
      </w:r>
    </w:p>
    <w:p w14:paraId="279B7A14" w14:textId="77777777" w:rsidR="00FD3AC2" w:rsidRPr="00D93788" w:rsidRDefault="00D93788" w:rsidP="00D93788">
      <w:pPr>
        <w:rPr>
          <w:rFonts w:ascii="Times New Roman" w:hAnsi="Times New Roman" w:cs="Times New Roman"/>
          <w:sz w:val="24"/>
          <w:szCs w:val="24"/>
        </w:rPr>
      </w:pPr>
      <w:r>
        <w:rPr>
          <w:rFonts w:ascii="Times New Roman" w:hAnsi="Times New Roman" w:cs="Times New Roman"/>
          <w:sz w:val="24"/>
          <w:szCs w:val="24"/>
        </w:rPr>
        <w:br w:type="page"/>
      </w:r>
    </w:p>
    <w:p w14:paraId="279B7A15" w14:textId="77777777" w:rsidR="00FD3AC2" w:rsidRPr="001D0D18" w:rsidRDefault="00EB688A" w:rsidP="00FD3AC2">
      <w:pPr>
        <w:pStyle w:val="ListParagraph"/>
        <w:spacing w:after="160"/>
        <w:ind w:left="1080" w:hanging="360"/>
        <w:rPr>
          <w:rFonts w:ascii="Times New Roman" w:hAnsi="Times New Roman" w:cs="Times New Roman"/>
          <w:sz w:val="24"/>
          <w:szCs w:val="24"/>
        </w:rPr>
      </w:pPr>
      <w:r>
        <w:rPr>
          <w:rFonts w:ascii="Times New Roman" w:hAnsi="Times New Roman" w:cs="Times New Roman"/>
          <w:sz w:val="24"/>
          <w:szCs w:val="24"/>
        </w:rPr>
        <w:lastRenderedPageBreak/>
        <w:t>C</w:t>
      </w:r>
      <w:r w:rsidR="00FD3AC2" w:rsidRPr="001D0D18">
        <w:rPr>
          <w:rFonts w:ascii="Times New Roman" w:hAnsi="Times New Roman" w:cs="Times New Roman"/>
          <w:sz w:val="24"/>
          <w:szCs w:val="24"/>
        </w:rPr>
        <w:t>.</w:t>
      </w:r>
      <w:r w:rsidR="00FD3AC2" w:rsidRPr="001D0D18">
        <w:rPr>
          <w:rFonts w:ascii="Times New Roman" w:hAnsi="Times New Roman" w:cs="Times New Roman"/>
          <w:sz w:val="24"/>
          <w:szCs w:val="24"/>
        </w:rPr>
        <w:tab/>
      </w:r>
      <w:r w:rsidR="00FD3AC2" w:rsidRPr="001D0D18">
        <w:rPr>
          <w:rFonts w:ascii="Times New Roman" w:hAnsi="Times New Roman" w:cs="Times New Roman"/>
          <w:sz w:val="24"/>
          <w:szCs w:val="24"/>
          <w:u w:val="single"/>
        </w:rPr>
        <w:t>The Commission Has Never Issued an Order Expressly Approving Respondent’s Provision of “Walk-up” Service.</w:t>
      </w:r>
    </w:p>
    <w:p w14:paraId="279B7A16" w14:textId="77777777" w:rsidR="00FD3AC2" w:rsidRPr="001D0D18" w:rsidRDefault="00FD3AC2" w:rsidP="00FD3AC2">
      <w:pPr>
        <w:pStyle w:val="ListParagraph"/>
        <w:numPr>
          <w:ilvl w:val="0"/>
          <w:numId w:val="21"/>
        </w:numPr>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 xml:space="preserve">Finally, but briefly, Shuttle Express feels compelled to address (yet again) Respondent’s argument that the Commission has “conclusively” already ruled that “Speedishuttle was permitted to provide walk-up service and that it would not reconsider that ruling.”  Motion at 13.  This argument is </w:t>
      </w:r>
      <w:r w:rsidR="00745AB2">
        <w:rPr>
          <w:rFonts w:ascii="Times New Roman" w:hAnsi="Times New Roman" w:cs="Times New Roman"/>
          <w:sz w:val="24"/>
          <w:szCs w:val="24"/>
        </w:rPr>
        <w:t>unfounded</w:t>
      </w:r>
      <w:r w:rsidRPr="001D0D18">
        <w:rPr>
          <w:rFonts w:ascii="Times New Roman" w:hAnsi="Times New Roman" w:cs="Times New Roman"/>
          <w:sz w:val="24"/>
          <w:szCs w:val="24"/>
        </w:rPr>
        <w:t xml:space="preserve">.  It is based not on </w:t>
      </w:r>
      <w:r w:rsidR="00116C96">
        <w:rPr>
          <w:rFonts w:ascii="Times New Roman" w:hAnsi="Times New Roman" w:cs="Times New Roman"/>
          <w:sz w:val="24"/>
          <w:szCs w:val="24"/>
        </w:rPr>
        <w:t>an actual order, but rather a “Notice” and “D</w:t>
      </w:r>
      <w:r w:rsidRPr="001D0D18">
        <w:rPr>
          <w:rFonts w:ascii="Times New Roman" w:hAnsi="Times New Roman" w:cs="Times New Roman"/>
          <w:sz w:val="24"/>
          <w:szCs w:val="24"/>
        </w:rPr>
        <w:t>etermination” to not issue an order at that time.</w:t>
      </w:r>
      <w:r w:rsidR="00116C96">
        <w:rPr>
          <w:rStyle w:val="FootnoteReference"/>
          <w:rFonts w:ascii="Times New Roman" w:hAnsi="Times New Roman" w:cs="Times New Roman"/>
          <w:sz w:val="24"/>
          <w:szCs w:val="24"/>
        </w:rPr>
        <w:footnoteReference w:id="14"/>
      </w:r>
      <w:r w:rsidRPr="001D0D18">
        <w:rPr>
          <w:rFonts w:ascii="Times New Roman" w:hAnsi="Times New Roman" w:cs="Times New Roman"/>
          <w:sz w:val="24"/>
          <w:szCs w:val="24"/>
        </w:rPr>
        <w:t xml:space="preserve"> </w:t>
      </w:r>
      <w:r w:rsidR="00116C96">
        <w:rPr>
          <w:rFonts w:ascii="Times New Roman" w:hAnsi="Times New Roman" w:cs="Times New Roman"/>
          <w:sz w:val="24"/>
          <w:szCs w:val="24"/>
        </w:rPr>
        <w:t xml:space="preserve"> As such, the Notice was not an</w:t>
      </w:r>
      <w:r w:rsidRPr="001D0D18">
        <w:rPr>
          <w:rFonts w:ascii="Times New Roman" w:hAnsi="Times New Roman" w:cs="Times New Roman"/>
          <w:sz w:val="24"/>
          <w:szCs w:val="24"/>
        </w:rPr>
        <w:t xml:space="preserve"> order, was not appealable, and was not preclusive in any way.  </w:t>
      </w:r>
    </w:p>
    <w:p w14:paraId="279B7A17" w14:textId="77777777" w:rsidR="00FD3AC2" w:rsidRPr="001D0D18" w:rsidRDefault="00FD3AC2" w:rsidP="00FD3AC2">
      <w:pPr>
        <w:pStyle w:val="ListParagraph"/>
        <w:numPr>
          <w:ilvl w:val="0"/>
          <w:numId w:val="21"/>
        </w:numPr>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 xml:space="preserve">This is not the first time this </w:t>
      </w:r>
      <w:r w:rsidR="00116C96">
        <w:rPr>
          <w:rFonts w:ascii="Times New Roman" w:hAnsi="Times New Roman" w:cs="Times New Roman"/>
          <w:sz w:val="24"/>
          <w:szCs w:val="24"/>
        </w:rPr>
        <w:t>erroneous</w:t>
      </w:r>
      <w:r w:rsidRPr="001D0D18">
        <w:rPr>
          <w:rFonts w:ascii="Times New Roman" w:hAnsi="Times New Roman" w:cs="Times New Roman"/>
          <w:sz w:val="24"/>
          <w:szCs w:val="24"/>
        </w:rPr>
        <w:t xml:space="preserve"> argument has been made.  SpeediShuttle made this assertion </w:t>
      </w:r>
      <w:r w:rsidR="00116C96">
        <w:rPr>
          <w:rFonts w:ascii="Times New Roman" w:hAnsi="Times New Roman" w:cs="Times New Roman"/>
          <w:sz w:val="24"/>
          <w:szCs w:val="24"/>
        </w:rPr>
        <w:t>in its Motion to Strike filed on September 12, 2016.</w:t>
      </w:r>
      <w:r w:rsidR="00116C96">
        <w:rPr>
          <w:rStyle w:val="FootnoteReference"/>
          <w:rFonts w:ascii="Times New Roman" w:hAnsi="Times New Roman" w:cs="Times New Roman"/>
          <w:sz w:val="24"/>
          <w:szCs w:val="24"/>
        </w:rPr>
        <w:footnoteReference w:id="15"/>
      </w:r>
      <w:r w:rsidR="00116C96">
        <w:rPr>
          <w:rFonts w:ascii="Times New Roman" w:hAnsi="Times New Roman" w:cs="Times New Roman"/>
          <w:sz w:val="24"/>
          <w:szCs w:val="24"/>
        </w:rPr>
        <w:t xml:space="preserve">  Except for certain matters relating to discovery, that Motion to Strike was denied in its entirety in Order 08.  Thus, this renewed attempt to give preclusive effect to a “non-order” is also another </w:t>
      </w:r>
      <w:r w:rsidR="007C25C0">
        <w:rPr>
          <w:rFonts w:ascii="Times New Roman" w:hAnsi="Times New Roman" w:cs="Times New Roman"/>
          <w:sz w:val="24"/>
          <w:szCs w:val="24"/>
        </w:rPr>
        <w:t>untimely</w:t>
      </w:r>
      <w:r w:rsidR="00116C96">
        <w:rPr>
          <w:rFonts w:ascii="Times New Roman" w:hAnsi="Times New Roman" w:cs="Times New Roman"/>
          <w:sz w:val="24"/>
          <w:szCs w:val="24"/>
        </w:rPr>
        <w:t xml:space="preserve"> attempt to overturn a portion of Order 08, </w:t>
      </w:r>
      <w:r w:rsidR="007C25C0">
        <w:rPr>
          <w:rFonts w:ascii="Times New Roman" w:hAnsi="Times New Roman" w:cs="Times New Roman"/>
          <w:sz w:val="24"/>
          <w:szCs w:val="24"/>
        </w:rPr>
        <w:t xml:space="preserve">by </w:t>
      </w:r>
      <w:r w:rsidR="00116C96">
        <w:rPr>
          <w:rFonts w:ascii="Times New Roman" w:hAnsi="Times New Roman" w:cs="Times New Roman"/>
          <w:sz w:val="24"/>
          <w:szCs w:val="24"/>
        </w:rPr>
        <w:t>using a motion in limine.</w:t>
      </w:r>
    </w:p>
    <w:p w14:paraId="279B7A18" w14:textId="77777777" w:rsidR="00FD3AC2" w:rsidRPr="001D0D18" w:rsidRDefault="00FD3AC2" w:rsidP="00FD3AC2">
      <w:pPr>
        <w:pStyle w:val="BodyText"/>
        <w:numPr>
          <w:ilvl w:val="0"/>
          <w:numId w:val="21"/>
        </w:numPr>
        <w:tabs>
          <w:tab w:val="left" w:pos="821"/>
        </w:tabs>
        <w:spacing w:before="81" w:line="470" w:lineRule="auto"/>
        <w:ind w:left="720" w:right="382" w:hanging="720"/>
        <w:rPr>
          <w:rFonts w:cs="Times New Roman"/>
        </w:rPr>
      </w:pPr>
      <w:r w:rsidRPr="001D0D18">
        <w:rPr>
          <w:rFonts w:cs="Times New Roman"/>
        </w:rPr>
        <w:t>The issue of Respondent’s inconsistent testimony and statements on walk-ups really should be an ultimate issue in the case, after full discovery, cross-examination, hearing, and briefing.</w:t>
      </w:r>
      <w:r w:rsidR="00745AB2">
        <w:rPr>
          <w:rStyle w:val="FootnoteReference"/>
          <w:rFonts w:cs="Times New Roman"/>
        </w:rPr>
        <w:footnoteReference w:id="16"/>
      </w:r>
      <w:r w:rsidRPr="001D0D18">
        <w:rPr>
          <w:rFonts w:cs="Times New Roman"/>
        </w:rPr>
        <w:t xml:space="preserve">  </w:t>
      </w:r>
      <w:r w:rsidR="00116C96">
        <w:rPr>
          <w:rFonts w:cs="Times New Roman"/>
        </w:rPr>
        <w:t xml:space="preserve">But Shuttle Express will address it briefly here because </w:t>
      </w:r>
      <w:r w:rsidRPr="001D0D18">
        <w:rPr>
          <w:rFonts w:cs="Times New Roman"/>
        </w:rPr>
        <w:t>it is important the Comm</w:t>
      </w:r>
      <w:r w:rsidR="00116C96">
        <w:rPr>
          <w:rFonts w:cs="Times New Roman"/>
        </w:rPr>
        <w:t>ission not be led to commit error by treating its “N</w:t>
      </w:r>
      <w:r w:rsidRPr="001D0D18">
        <w:rPr>
          <w:rFonts w:cs="Times New Roman"/>
        </w:rPr>
        <w:t>otice” as an “order.”</w:t>
      </w:r>
    </w:p>
    <w:p w14:paraId="279B7A19" w14:textId="77777777" w:rsidR="00FD3AC2" w:rsidRPr="001D0D18" w:rsidRDefault="00FD3AC2" w:rsidP="00FD3AC2">
      <w:pPr>
        <w:pStyle w:val="BodyText"/>
        <w:numPr>
          <w:ilvl w:val="0"/>
          <w:numId w:val="21"/>
        </w:numPr>
        <w:tabs>
          <w:tab w:val="left" w:pos="821"/>
        </w:tabs>
        <w:spacing w:before="81" w:line="470" w:lineRule="auto"/>
        <w:ind w:left="720" w:right="382" w:hanging="720"/>
        <w:rPr>
          <w:rFonts w:cs="Times New Roman"/>
        </w:rPr>
      </w:pPr>
      <w:r w:rsidRPr="001D0D18">
        <w:rPr>
          <w:rFonts w:cs="Times New Roman"/>
        </w:rPr>
        <w:t>Under the Administrative Procedure Act (“APA”), “‘[o]rder</w:t>
      </w:r>
      <w:r w:rsidR="00C85EAE" w:rsidRPr="001D0D18">
        <w:rPr>
          <w:rFonts w:cs="Times New Roman"/>
        </w:rPr>
        <w:t>,</w:t>
      </w:r>
      <w:r w:rsidR="00C85EAE">
        <w:rPr>
          <w:rFonts w:cs="Times New Roman"/>
        </w:rPr>
        <w:t>’</w:t>
      </w:r>
      <w:r w:rsidR="00C85EAE" w:rsidRPr="001D0D18">
        <w:rPr>
          <w:rFonts w:cs="Times New Roman"/>
        </w:rPr>
        <w:t xml:space="preserve"> </w:t>
      </w:r>
      <w:r w:rsidRPr="001D0D18">
        <w:rPr>
          <w:rFonts w:cs="Times New Roman"/>
        </w:rPr>
        <w:t xml:space="preserve">without further </w:t>
      </w:r>
      <w:r w:rsidRPr="001D0D18">
        <w:rPr>
          <w:rFonts w:cs="Times New Roman"/>
        </w:rPr>
        <w:lastRenderedPageBreak/>
        <w:t>qualification, means a written statement of particular applicability that finally determines the legal rights, duties, privileges, immunities, or other legal interests of a specific person or persons.”  RCW 34.05.010(11)(a).  Nothing in the “Notice” suggests that it was a “</w:t>
      </w:r>
      <w:r w:rsidRPr="001D0D18">
        <w:rPr>
          <w:rFonts w:cs="Times New Roman"/>
          <w:u w:val="single"/>
        </w:rPr>
        <w:t>final</w:t>
      </w:r>
      <w:r w:rsidRPr="001D0D18">
        <w:rPr>
          <w:rFonts w:cs="Times New Roman"/>
        </w:rPr>
        <w:t xml:space="preserve"> determination” of the legal interests of any person.  The Notice is not found on the Commission website under the “orders” tab.  And although the Notice was filed a</w:t>
      </w:r>
      <w:r w:rsidR="007C25C0">
        <w:rPr>
          <w:rFonts w:cs="Times New Roman"/>
        </w:rPr>
        <w:t>fter the entry of Order 05, the</w:t>
      </w:r>
      <w:r w:rsidRPr="001D0D18">
        <w:rPr>
          <w:rFonts w:cs="Times New Roman"/>
        </w:rPr>
        <w:t xml:space="preserve"> next order in the number sequence was an actual order, Order 06.  The Notice was not given an order number in the docket.  In form and substance it was not an order.</w:t>
      </w:r>
    </w:p>
    <w:p w14:paraId="279B7A1A" w14:textId="77777777" w:rsidR="00FD3AC2" w:rsidRPr="001D0D18" w:rsidRDefault="00F30B21" w:rsidP="00FD3AC2">
      <w:pPr>
        <w:pStyle w:val="BodyText"/>
        <w:numPr>
          <w:ilvl w:val="0"/>
          <w:numId w:val="21"/>
        </w:numPr>
        <w:tabs>
          <w:tab w:val="left" w:pos="821"/>
        </w:tabs>
        <w:spacing w:before="81" w:line="470" w:lineRule="auto"/>
        <w:ind w:left="720" w:right="382" w:hanging="720"/>
        <w:rPr>
          <w:rFonts w:cs="Times New Roman"/>
        </w:rPr>
      </w:pPr>
      <w:r>
        <w:rPr>
          <w:rFonts w:cs="Times New Roman"/>
        </w:rPr>
        <w:t>Furthermore, t</w:t>
      </w:r>
      <w:r w:rsidR="00FD3AC2" w:rsidRPr="001D0D18">
        <w:rPr>
          <w:rFonts w:cs="Times New Roman"/>
        </w:rPr>
        <w:t>he APA requires that “orders” be entered by the “members of the agency head” (commissioners here) or the “presiding officer.”  RCW 34.05.461(1).  The presiding officer in Docket TC-143691 has, from the outset (including the Notice of Intent to Amend Order 04), been the same ALJ.  Neither the commissioners no</w:t>
      </w:r>
      <w:r w:rsidR="00C85EAE">
        <w:rPr>
          <w:rFonts w:cs="Times New Roman"/>
        </w:rPr>
        <w:t>r</w:t>
      </w:r>
      <w:r w:rsidR="00FD3AC2" w:rsidRPr="001D0D18">
        <w:rPr>
          <w:rFonts w:cs="Times New Roman"/>
        </w:rPr>
        <w:t xml:space="preserve"> the ALJ issued the “Notice” in question.  It was iss</w:t>
      </w:r>
      <w:r>
        <w:rPr>
          <w:rFonts w:cs="Times New Roman"/>
        </w:rPr>
        <w:t>ued by the Commission Secretary—f</w:t>
      </w:r>
      <w:r w:rsidR="00FD3AC2" w:rsidRPr="001D0D18">
        <w:rPr>
          <w:rFonts w:cs="Times New Roman"/>
        </w:rPr>
        <w:t>urther evidence it was not intended to be an order.</w:t>
      </w:r>
    </w:p>
    <w:p w14:paraId="279B7A1B" w14:textId="77777777" w:rsidR="00FD3AC2" w:rsidRPr="001D0D18" w:rsidRDefault="00FD3AC2" w:rsidP="00FD3AC2">
      <w:pPr>
        <w:pStyle w:val="BodyText"/>
        <w:numPr>
          <w:ilvl w:val="0"/>
          <w:numId w:val="21"/>
        </w:numPr>
        <w:tabs>
          <w:tab w:val="left" w:pos="821"/>
        </w:tabs>
        <w:spacing w:before="81" w:line="470" w:lineRule="auto"/>
        <w:ind w:left="720" w:right="382" w:hanging="720"/>
        <w:rPr>
          <w:rFonts w:cs="Times New Roman"/>
        </w:rPr>
      </w:pPr>
      <w:r w:rsidRPr="001D0D18">
        <w:rPr>
          <w:rFonts w:cs="Times New Roman"/>
        </w:rPr>
        <w:t xml:space="preserve">The APA </w:t>
      </w:r>
      <w:r w:rsidR="00F30B21">
        <w:rPr>
          <w:rFonts w:cs="Times New Roman"/>
        </w:rPr>
        <w:t>also</w:t>
      </w:r>
      <w:r w:rsidRPr="001D0D18">
        <w:rPr>
          <w:rFonts w:cs="Times New Roman"/>
        </w:rPr>
        <w:t xml:space="preserve"> requires that, “[t]he order shall also include a statement of the available procedures and time limits for seeking reconsideration or other administrative relief.”  RCW 34.05.461(3).  No such statement was included.  Nor were other formal content requirements of RCW 34.05.461(3) clearly set forth in the Notice, though it might be contended that some of them were implicit.  Again, in form and substance it was not an order.</w:t>
      </w:r>
    </w:p>
    <w:p w14:paraId="279B7A1C" w14:textId="77777777" w:rsidR="00FD3AC2" w:rsidRPr="001D0D18" w:rsidRDefault="00FD3AC2" w:rsidP="00FD3AC2">
      <w:pPr>
        <w:pStyle w:val="ListParagraph"/>
        <w:numPr>
          <w:ilvl w:val="0"/>
          <w:numId w:val="21"/>
        </w:numPr>
        <w:spacing w:after="160" w:line="480" w:lineRule="auto"/>
        <w:ind w:left="720" w:hanging="720"/>
        <w:rPr>
          <w:rFonts w:ascii="Times New Roman" w:hAnsi="Times New Roman" w:cs="Times New Roman"/>
          <w:sz w:val="24"/>
          <w:szCs w:val="24"/>
        </w:rPr>
      </w:pPr>
      <w:r w:rsidRPr="001D0D18">
        <w:rPr>
          <w:rFonts w:ascii="Times New Roman" w:hAnsi="Times New Roman" w:cs="Times New Roman"/>
          <w:sz w:val="24"/>
          <w:szCs w:val="24"/>
        </w:rPr>
        <w:t xml:space="preserve">From what is in and what is not in the Notice, the obvious intent was not to issue an order, but simply </w:t>
      </w:r>
      <w:r w:rsidR="00C85EAE">
        <w:rPr>
          <w:rFonts w:ascii="Times New Roman" w:hAnsi="Times New Roman" w:cs="Times New Roman"/>
          <w:sz w:val="24"/>
          <w:szCs w:val="24"/>
        </w:rPr>
        <w:t xml:space="preserve">to </w:t>
      </w:r>
      <w:r w:rsidRPr="001D0D18">
        <w:rPr>
          <w:rFonts w:ascii="Times New Roman" w:hAnsi="Times New Roman" w:cs="Times New Roman"/>
          <w:sz w:val="24"/>
          <w:szCs w:val="24"/>
        </w:rPr>
        <w:t xml:space="preserve">let the parties know that no action was going to be taken </w:t>
      </w:r>
      <w:r w:rsidR="00C85EAE">
        <w:rPr>
          <w:rFonts w:ascii="Times New Roman" w:hAnsi="Times New Roman" w:cs="Times New Roman"/>
          <w:sz w:val="24"/>
          <w:szCs w:val="24"/>
        </w:rPr>
        <w:t xml:space="preserve">at </w:t>
      </w:r>
      <w:r w:rsidRPr="001D0D18">
        <w:rPr>
          <w:rFonts w:ascii="Times New Roman" w:hAnsi="Times New Roman" w:cs="Times New Roman"/>
          <w:sz w:val="24"/>
          <w:szCs w:val="24"/>
        </w:rPr>
        <w:t xml:space="preserve">that time.  Reasons were given, but because there was no order, they cannot be binding on the </w:t>
      </w:r>
      <w:r w:rsidRPr="001D0D18">
        <w:rPr>
          <w:rFonts w:ascii="Times New Roman" w:hAnsi="Times New Roman" w:cs="Times New Roman"/>
          <w:sz w:val="24"/>
          <w:szCs w:val="24"/>
        </w:rPr>
        <w:lastRenderedPageBreak/>
        <w:t>Commission nor on the parties.</w:t>
      </w:r>
      <w:r w:rsidRPr="001D0D18">
        <w:rPr>
          <w:rStyle w:val="FootnoteReference"/>
          <w:rFonts w:ascii="Times New Roman" w:hAnsi="Times New Roman" w:cs="Times New Roman"/>
          <w:sz w:val="24"/>
          <w:szCs w:val="24"/>
        </w:rPr>
        <w:t xml:space="preserve"> </w:t>
      </w:r>
      <w:r w:rsidRPr="001D0D18">
        <w:rPr>
          <w:rStyle w:val="FootnoteReference"/>
          <w:rFonts w:ascii="Times New Roman" w:hAnsi="Times New Roman" w:cs="Times New Roman"/>
          <w:sz w:val="24"/>
          <w:szCs w:val="24"/>
        </w:rPr>
        <w:footnoteReference w:id="17"/>
      </w:r>
      <w:r w:rsidRPr="001D0D18">
        <w:rPr>
          <w:rFonts w:ascii="Times New Roman" w:hAnsi="Times New Roman" w:cs="Times New Roman"/>
          <w:sz w:val="24"/>
          <w:szCs w:val="24"/>
        </w:rPr>
        <w:t xml:space="preserve">  And it is disingenuous for SpeediShuttle to fault Shuttle Express</w:t>
      </w:r>
      <w:r w:rsidR="00F30B21">
        <w:rPr>
          <w:rFonts w:ascii="Times New Roman" w:hAnsi="Times New Roman" w:cs="Times New Roman"/>
          <w:sz w:val="24"/>
          <w:szCs w:val="24"/>
        </w:rPr>
        <w:t xml:space="preserve"> for not appealing</w:t>
      </w:r>
      <w:r w:rsidRPr="001D0D18">
        <w:rPr>
          <w:rFonts w:ascii="Times New Roman" w:hAnsi="Times New Roman" w:cs="Times New Roman"/>
          <w:sz w:val="24"/>
          <w:szCs w:val="24"/>
        </w:rPr>
        <w:t xml:space="preserve"> the Notice.  There was nothing to challenge and no identification of the procedures or rights to challenge, as would have existed in a real order.  Had Shuttle Express sought judicial review of the “Notice” it would have been thrown out of court for trying to appeal a non-order.</w:t>
      </w:r>
      <w:r w:rsidRPr="001D0D18">
        <w:rPr>
          <w:rStyle w:val="FootnoteReference"/>
          <w:rFonts w:ascii="Times New Roman" w:hAnsi="Times New Roman" w:cs="Times New Roman"/>
          <w:sz w:val="24"/>
          <w:szCs w:val="24"/>
        </w:rPr>
        <w:footnoteReference w:id="18"/>
      </w:r>
      <w:r w:rsidRPr="001D0D18">
        <w:rPr>
          <w:rFonts w:ascii="Times New Roman" w:hAnsi="Times New Roman" w:cs="Times New Roman"/>
          <w:sz w:val="24"/>
          <w:szCs w:val="24"/>
        </w:rPr>
        <w:t xml:space="preserve">   </w:t>
      </w:r>
    </w:p>
    <w:p w14:paraId="279B7A1D" w14:textId="77777777" w:rsidR="00BA17FD" w:rsidRPr="008A083C" w:rsidRDefault="00F30B21" w:rsidP="00FD3AC2">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The Commission should not disregard its Order 08, which implicitly already rejected Respondent’s efforts to have the Notice </w:t>
      </w:r>
      <w:r w:rsidR="00C364DC">
        <w:rPr>
          <w:rFonts w:ascii="Times New Roman" w:hAnsi="Times New Roman" w:cs="Times New Roman"/>
          <w:sz w:val="24"/>
          <w:szCs w:val="24"/>
        </w:rPr>
        <w:t>given the weight and authority of an order.</w:t>
      </w:r>
      <w:r w:rsidR="002F3BCD" w:rsidRPr="00105A1A">
        <w:rPr>
          <w:rFonts w:ascii="Times New Roman" w:hAnsi="Times New Roman" w:cs="Times New Roman"/>
          <w:sz w:val="24"/>
          <w:szCs w:val="24"/>
        </w:rPr>
        <w:t xml:space="preserve"> </w:t>
      </w:r>
    </w:p>
    <w:p w14:paraId="279B7A1E" w14:textId="77777777" w:rsidR="007948F5" w:rsidRPr="008A083C" w:rsidRDefault="007948F5" w:rsidP="00691400">
      <w:pPr>
        <w:pStyle w:val="BodyText"/>
        <w:tabs>
          <w:tab w:val="left" w:pos="821"/>
        </w:tabs>
        <w:spacing w:before="10" w:line="480" w:lineRule="auto"/>
        <w:ind w:left="720" w:right="134" w:hanging="720"/>
        <w:jc w:val="center"/>
        <w:rPr>
          <w:rFonts w:cs="Times New Roman"/>
          <w:b/>
          <w:u w:val="single"/>
        </w:rPr>
      </w:pPr>
      <w:r w:rsidRPr="008A083C">
        <w:rPr>
          <w:rFonts w:cs="Times New Roman"/>
          <w:b/>
          <w:u w:val="single"/>
        </w:rPr>
        <w:t>CONCLUSION</w:t>
      </w:r>
    </w:p>
    <w:p w14:paraId="279B7A1F" w14:textId="77777777" w:rsidR="00EB688A" w:rsidRDefault="00FB5CA7" w:rsidP="00AD0FE4">
      <w:pPr>
        <w:pStyle w:val="ListParagraph"/>
        <w:numPr>
          <w:ilvl w:val="0"/>
          <w:numId w:val="21"/>
        </w:numPr>
        <w:tabs>
          <w:tab w:val="left" w:pos="821"/>
        </w:tabs>
        <w:spacing w:before="10" w:line="480" w:lineRule="auto"/>
        <w:ind w:left="720" w:right="134" w:hanging="720"/>
        <w:rPr>
          <w:rFonts w:ascii="Times New Roman" w:hAnsi="Times New Roman" w:cs="Times New Roman"/>
          <w:sz w:val="24"/>
          <w:szCs w:val="24"/>
        </w:rPr>
      </w:pPr>
      <w:r>
        <w:rPr>
          <w:rFonts w:ascii="Times New Roman" w:hAnsi="Times New Roman" w:cs="Times New Roman"/>
          <w:sz w:val="24"/>
          <w:szCs w:val="24"/>
        </w:rPr>
        <w:t xml:space="preserve">The Motion </w:t>
      </w:r>
      <w:r w:rsidR="007C25C0">
        <w:rPr>
          <w:rFonts w:ascii="Times New Roman" w:hAnsi="Times New Roman" w:cs="Times New Roman"/>
          <w:sz w:val="24"/>
          <w:szCs w:val="24"/>
        </w:rPr>
        <w:t>is not a proper or cognizable motion in limine.  In practice and effect it would modify</w:t>
      </w:r>
      <w:r w:rsidR="00CE1527">
        <w:rPr>
          <w:rFonts w:ascii="Times New Roman" w:hAnsi="Times New Roman" w:cs="Times New Roman"/>
          <w:sz w:val="24"/>
          <w:szCs w:val="24"/>
        </w:rPr>
        <w:t xml:space="preserve"> or overturn</w:t>
      </w:r>
      <w:r w:rsidR="007C25C0">
        <w:rPr>
          <w:rFonts w:ascii="Times New Roman" w:hAnsi="Times New Roman" w:cs="Times New Roman"/>
          <w:sz w:val="24"/>
          <w:szCs w:val="24"/>
        </w:rPr>
        <w:t xml:space="preserve"> numerous prior orders of the Commission.</w:t>
      </w:r>
      <w:r w:rsidR="00CE1527">
        <w:rPr>
          <w:rFonts w:ascii="Times New Roman" w:hAnsi="Times New Roman" w:cs="Times New Roman"/>
          <w:sz w:val="24"/>
          <w:szCs w:val="24"/>
        </w:rPr>
        <w:t xml:space="preserve">  And i</w:t>
      </w:r>
      <w:r w:rsidR="007C25C0">
        <w:rPr>
          <w:rFonts w:ascii="Times New Roman" w:hAnsi="Times New Roman" w:cs="Times New Roman"/>
          <w:sz w:val="24"/>
          <w:szCs w:val="24"/>
        </w:rPr>
        <w:t>t fails to meet the two prer</w:t>
      </w:r>
      <w:r w:rsidR="00CE1527">
        <w:rPr>
          <w:rFonts w:ascii="Times New Roman" w:hAnsi="Times New Roman" w:cs="Times New Roman"/>
          <w:sz w:val="24"/>
          <w:szCs w:val="24"/>
        </w:rPr>
        <w:t>equisites for an order in limin</w:t>
      </w:r>
      <w:r w:rsidR="007C25C0">
        <w:rPr>
          <w:rFonts w:ascii="Times New Roman" w:hAnsi="Times New Roman" w:cs="Times New Roman"/>
          <w:sz w:val="24"/>
          <w:szCs w:val="24"/>
        </w:rPr>
        <w:t xml:space="preserve">e.  </w:t>
      </w:r>
      <w:r w:rsidR="00CE1527">
        <w:rPr>
          <w:rFonts w:ascii="Times New Roman" w:hAnsi="Times New Roman" w:cs="Times New Roman"/>
          <w:sz w:val="24"/>
          <w:szCs w:val="24"/>
        </w:rPr>
        <w:t>It</w:t>
      </w:r>
      <w:r w:rsidR="007C25C0">
        <w:rPr>
          <w:rFonts w:ascii="Times New Roman" w:hAnsi="Times New Roman" w:cs="Times New Roman"/>
          <w:sz w:val="24"/>
          <w:szCs w:val="24"/>
        </w:rPr>
        <w:t xml:space="preserve"> </w:t>
      </w:r>
      <w:r>
        <w:rPr>
          <w:rFonts w:ascii="Times New Roman" w:hAnsi="Times New Roman" w:cs="Times New Roman"/>
          <w:sz w:val="24"/>
          <w:szCs w:val="24"/>
        </w:rPr>
        <w:t>should be denied</w:t>
      </w:r>
      <w:r w:rsidR="007C25C0">
        <w:rPr>
          <w:rFonts w:ascii="Times New Roman" w:hAnsi="Times New Roman" w:cs="Times New Roman"/>
          <w:sz w:val="24"/>
          <w:szCs w:val="24"/>
        </w:rPr>
        <w:t xml:space="preserve"> entirely.</w:t>
      </w:r>
      <w:r w:rsidR="00CE1527">
        <w:rPr>
          <w:rStyle w:val="FootnoteReference"/>
          <w:rFonts w:ascii="Times New Roman" w:hAnsi="Times New Roman" w:cs="Times New Roman"/>
          <w:sz w:val="24"/>
          <w:szCs w:val="24"/>
        </w:rPr>
        <w:footnoteReference w:id="19"/>
      </w:r>
      <w:r w:rsidR="007C25C0">
        <w:rPr>
          <w:rFonts w:ascii="Times New Roman" w:hAnsi="Times New Roman" w:cs="Times New Roman"/>
          <w:sz w:val="24"/>
          <w:szCs w:val="24"/>
        </w:rPr>
        <w:t xml:space="preserve">  </w:t>
      </w:r>
      <w:r w:rsidR="00CE1527">
        <w:rPr>
          <w:rFonts w:ascii="Times New Roman" w:hAnsi="Times New Roman" w:cs="Times New Roman"/>
          <w:sz w:val="24"/>
          <w:szCs w:val="24"/>
        </w:rPr>
        <w:t xml:space="preserve">At </w:t>
      </w:r>
    </w:p>
    <w:p w14:paraId="279B7A20" w14:textId="77777777" w:rsidR="00EB688A" w:rsidRDefault="00EB688A">
      <w:pPr>
        <w:rPr>
          <w:rFonts w:ascii="Times New Roman" w:hAnsi="Times New Roman" w:cs="Times New Roman"/>
          <w:sz w:val="24"/>
          <w:szCs w:val="24"/>
        </w:rPr>
      </w:pPr>
      <w:r>
        <w:rPr>
          <w:rFonts w:ascii="Times New Roman" w:hAnsi="Times New Roman" w:cs="Times New Roman"/>
          <w:sz w:val="24"/>
          <w:szCs w:val="24"/>
        </w:rPr>
        <w:br w:type="page"/>
      </w:r>
    </w:p>
    <w:p w14:paraId="279B7A21" w14:textId="77777777" w:rsidR="008A083C" w:rsidRDefault="00CE1527" w:rsidP="00EB688A">
      <w:pPr>
        <w:pStyle w:val="ListParagraph"/>
        <w:tabs>
          <w:tab w:val="left" w:pos="821"/>
        </w:tabs>
        <w:spacing w:before="10" w:line="480" w:lineRule="auto"/>
        <w:ind w:left="720" w:right="134"/>
        <w:rPr>
          <w:rFonts w:ascii="Times New Roman" w:hAnsi="Times New Roman" w:cs="Times New Roman"/>
          <w:sz w:val="24"/>
          <w:szCs w:val="24"/>
        </w:rPr>
      </w:pPr>
      <w:r>
        <w:rPr>
          <w:rFonts w:ascii="Times New Roman" w:hAnsi="Times New Roman" w:cs="Times New Roman"/>
          <w:sz w:val="24"/>
          <w:szCs w:val="24"/>
        </w:rPr>
        <w:lastRenderedPageBreak/>
        <w:t>most, it should treat all challenges of the Motion as going to the weight of the evidence, to be addressed in post-hearing briefs and the final order.</w:t>
      </w:r>
    </w:p>
    <w:p w14:paraId="279B7A22" w14:textId="77777777" w:rsidR="009D44EF" w:rsidRPr="008A083C" w:rsidRDefault="004B0DF0" w:rsidP="00D10946">
      <w:pPr>
        <w:ind w:firstLine="1440"/>
        <w:rPr>
          <w:rFonts w:ascii="Times New Roman" w:eastAsia="Times New Roman" w:hAnsi="Times New Roman" w:cs="Times New Roman"/>
          <w:spacing w:val="-1"/>
          <w:sz w:val="24"/>
          <w:szCs w:val="24"/>
        </w:rPr>
      </w:pPr>
      <w:r w:rsidRPr="008A083C">
        <w:rPr>
          <w:rFonts w:ascii="Times New Roman" w:eastAsia="Times New Roman" w:hAnsi="Times New Roman" w:cs="Times New Roman"/>
          <w:spacing w:val="-1"/>
          <w:sz w:val="24"/>
          <w:szCs w:val="24"/>
        </w:rPr>
        <w:t xml:space="preserve">Respectfully </w:t>
      </w:r>
      <w:r w:rsidRPr="00572C7F">
        <w:rPr>
          <w:rFonts w:ascii="Times New Roman" w:eastAsia="Times New Roman" w:hAnsi="Times New Roman" w:cs="Times New Roman"/>
          <w:spacing w:val="-1"/>
          <w:sz w:val="24"/>
          <w:szCs w:val="24"/>
        </w:rPr>
        <w:t xml:space="preserve">submitted this </w:t>
      </w:r>
      <w:r w:rsidR="00CE1527" w:rsidRPr="00EB688A">
        <w:rPr>
          <w:rFonts w:ascii="Times New Roman" w:eastAsia="Times New Roman" w:hAnsi="Times New Roman" w:cs="Times New Roman"/>
          <w:spacing w:val="-1"/>
          <w:sz w:val="24"/>
          <w:szCs w:val="24"/>
        </w:rPr>
        <w:t>27</w:t>
      </w:r>
      <w:r w:rsidR="00CE1527" w:rsidRPr="00EB688A">
        <w:rPr>
          <w:rFonts w:ascii="Times New Roman" w:eastAsia="Times New Roman" w:hAnsi="Times New Roman" w:cs="Times New Roman"/>
          <w:spacing w:val="-1"/>
          <w:sz w:val="24"/>
          <w:szCs w:val="24"/>
          <w:vertAlign w:val="superscript"/>
        </w:rPr>
        <w:t>th</w:t>
      </w:r>
      <w:r w:rsidR="00572C7F" w:rsidRPr="00EB688A">
        <w:rPr>
          <w:rFonts w:ascii="Times New Roman" w:eastAsia="Times New Roman" w:hAnsi="Times New Roman" w:cs="Times New Roman"/>
          <w:spacing w:val="-1"/>
          <w:sz w:val="24"/>
          <w:szCs w:val="24"/>
        </w:rPr>
        <w:t xml:space="preserve"> </w:t>
      </w:r>
      <w:r w:rsidRPr="00EB688A">
        <w:rPr>
          <w:rFonts w:ascii="Times New Roman" w:eastAsia="Times New Roman" w:hAnsi="Times New Roman" w:cs="Times New Roman"/>
          <w:spacing w:val="-1"/>
          <w:sz w:val="24"/>
          <w:szCs w:val="24"/>
        </w:rPr>
        <w:t xml:space="preserve">day of </w:t>
      </w:r>
      <w:r w:rsidR="00572C7F" w:rsidRPr="00EB688A">
        <w:rPr>
          <w:rFonts w:ascii="Times New Roman" w:eastAsia="Times New Roman" w:hAnsi="Times New Roman" w:cs="Times New Roman"/>
          <w:spacing w:val="-1"/>
          <w:sz w:val="24"/>
          <w:szCs w:val="24"/>
        </w:rPr>
        <w:t>January</w:t>
      </w:r>
      <w:r w:rsidR="007E7FE7" w:rsidRPr="00EB688A">
        <w:rPr>
          <w:rFonts w:ascii="Times New Roman" w:eastAsia="Times New Roman" w:hAnsi="Times New Roman" w:cs="Times New Roman"/>
          <w:spacing w:val="-1"/>
          <w:sz w:val="24"/>
          <w:szCs w:val="24"/>
        </w:rPr>
        <w:t>,</w:t>
      </w:r>
      <w:r w:rsidRPr="00572C7F">
        <w:rPr>
          <w:rFonts w:ascii="Times New Roman" w:eastAsia="Times New Roman" w:hAnsi="Times New Roman" w:cs="Times New Roman"/>
          <w:spacing w:val="-1"/>
          <w:sz w:val="24"/>
          <w:szCs w:val="24"/>
        </w:rPr>
        <w:t xml:space="preserve"> </w:t>
      </w:r>
      <w:r w:rsidR="00572C7F" w:rsidRPr="00572C7F">
        <w:rPr>
          <w:rFonts w:ascii="Times New Roman" w:eastAsia="Times New Roman" w:hAnsi="Times New Roman" w:cs="Times New Roman"/>
          <w:spacing w:val="-1"/>
          <w:sz w:val="24"/>
          <w:szCs w:val="24"/>
        </w:rPr>
        <w:t>2017</w:t>
      </w:r>
      <w:r w:rsidRPr="00572C7F">
        <w:rPr>
          <w:rFonts w:ascii="Times New Roman" w:eastAsia="Times New Roman" w:hAnsi="Times New Roman" w:cs="Times New Roman"/>
          <w:spacing w:val="-1"/>
          <w:sz w:val="24"/>
          <w:szCs w:val="24"/>
        </w:rPr>
        <w:t>.</w:t>
      </w:r>
    </w:p>
    <w:p w14:paraId="279B7A23" w14:textId="77777777" w:rsidR="009D44EF" w:rsidRPr="008A083C" w:rsidRDefault="009D44EF">
      <w:pPr>
        <w:rPr>
          <w:rFonts w:ascii="Times New Roman" w:eastAsia="Times New Roman" w:hAnsi="Times New Roman" w:cs="Times New Roman"/>
          <w:sz w:val="24"/>
          <w:szCs w:val="24"/>
        </w:rPr>
      </w:pPr>
    </w:p>
    <w:p w14:paraId="279B7A24" w14:textId="77777777" w:rsidR="009D44EF" w:rsidRPr="008A083C" w:rsidRDefault="009D44EF">
      <w:pPr>
        <w:rPr>
          <w:rFonts w:ascii="Times New Roman" w:eastAsia="Times New Roman" w:hAnsi="Times New Roman" w:cs="Times New Roman"/>
          <w:sz w:val="24"/>
          <w:szCs w:val="24"/>
        </w:rPr>
      </w:pPr>
    </w:p>
    <w:p w14:paraId="279B7A25" w14:textId="77777777" w:rsidR="009D44EF" w:rsidRPr="008A083C" w:rsidRDefault="004B0DF0">
      <w:pPr>
        <w:spacing w:before="230"/>
        <w:ind w:left="5681"/>
        <w:rPr>
          <w:rFonts w:ascii="Times New Roman" w:eastAsia="Times New Roman" w:hAnsi="Times New Roman" w:cs="Times New Roman"/>
          <w:sz w:val="24"/>
          <w:szCs w:val="24"/>
        </w:rPr>
      </w:pPr>
      <w:r w:rsidRPr="008A083C">
        <w:rPr>
          <w:rFonts w:ascii="Times New Roman" w:hAnsi="Times New Roman" w:cs="Times New Roman"/>
          <w:spacing w:val="-1"/>
          <w:sz w:val="24"/>
          <w:szCs w:val="24"/>
        </w:rPr>
        <w:t>LUKAS,</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NACE,</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GUTIERREZ</w:t>
      </w:r>
      <w:r w:rsidRPr="008A083C">
        <w:rPr>
          <w:rFonts w:ascii="Times New Roman" w:hAnsi="Times New Roman" w:cs="Times New Roman"/>
          <w:spacing w:val="-3"/>
          <w:sz w:val="24"/>
          <w:szCs w:val="24"/>
        </w:rPr>
        <w:t xml:space="preserve"> </w:t>
      </w:r>
      <w:r w:rsidRPr="008A083C">
        <w:rPr>
          <w:rFonts w:ascii="Times New Roman" w:hAnsi="Times New Roman" w:cs="Times New Roman"/>
          <w:sz w:val="24"/>
          <w:szCs w:val="24"/>
        </w:rPr>
        <w:t>&amp;</w:t>
      </w:r>
      <w:r w:rsidRPr="008A083C">
        <w:rPr>
          <w:rFonts w:ascii="Times New Roman" w:hAnsi="Times New Roman" w:cs="Times New Roman"/>
          <w:spacing w:val="-19"/>
          <w:sz w:val="24"/>
          <w:szCs w:val="24"/>
        </w:rPr>
        <w:t xml:space="preserve"> </w:t>
      </w:r>
      <w:r w:rsidRPr="008A083C">
        <w:rPr>
          <w:rFonts w:ascii="Times New Roman" w:hAnsi="Times New Roman" w:cs="Times New Roman"/>
          <w:sz w:val="24"/>
          <w:szCs w:val="24"/>
        </w:rPr>
        <w:t>SACHS,</w:t>
      </w:r>
      <w:r w:rsidRPr="008A083C">
        <w:rPr>
          <w:rFonts w:ascii="Times New Roman" w:hAnsi="Times New Roman" w:cs="Times New Roman"/>
          <w:spacing w:val="-15"/>
          <w:sz w:val="24"/>
          <w:szCs w:val="24"/>
        </w:rPr>
        <w:t xml:space="preserve"> </w:t>
      </w:r>
      <w:r w:rsidRPr="008A083C">
        <w:rPr>
          <w:rFonts w:ascii="Times New Roman" w:hAnsi="Times New Roman" w:cs="Times New Roman"/>
          <w:spacing w:val="-2"/>
          <w:sz w:val="24"/>
          <w:szCs w:val="24"/>
        </w:rPr>
        <w:t>LLP</w:t>
      </w:r>
    </w:p>
    <w:p w14:paraId="279B7A26" w14:textId="77777777" w:rsidR="009D44EF" w:rsidRPr="008A083C" w:rsidRDefault="009D44EF">
      <w:pPr>
        <w:spacing w:before="8"/>
        <w:rPr>
          <w:rFonts w:ascii="Times New Roman" w:eastAsia="Times New Roman" w:hAnsi="Times New Roman" w:cs="Times New Roman"/>
          <w:sz w:val="24"/>
          <w:szCs w:val="24"/>
        </w:rPr>
      </w:pPr>
    </w:p>
    <w:p w14:paraId="279B7A27" w14:textId="77777777" w:rsidR="00D51107" w:rsidRPr="008A083C" w:rsidRDefault="002A6855">
      <w:pPr>
        <w:spacing w:line="200" w:lineRule="atLeast"/>
        <w:ind w:left="5674"/>
        <w:rPr>
          <w:rFonts w:ascii="Times New Roman" w:eastAsia="Times New Roman" w:hAnsi="Times New Roman" w:cs="Times New Roman"/>
          <w:sz w:val="24"/>
          <w:szCs w:val="24"/>
        </w:rPr>
      </w:pPr>
      <w:r w:rsidRPr="002A6855">
        <w:rPr>
          <w:rFonts w:ascii="Times New Roman" w:eastAsia="Times New Roman" w:hAnsi="Times New Roman" w:cs="Times New Roman"/>
          <w:noProof/>
          <w:sz w:val="24"/>
          <w:szCs w:val="24"/>
        </w:rPr>
        <w:drawing>
          <wp:inline distT="0" distB="0" distL="0" distR="0" wp14:anchorId="279B7A41" wp14:editId="279B7A42">
            <wp:extent cx="1933575" cy="390525"/>
            <wp:effectExtent l="0" t="0" r="9525" b="9525"/>
            <wp:docPr id="2" name="Picture 2" descr="K:\WP\ES\1BEH\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1BEH\Digital Signature - BE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279B7A28" w14:textId="77777777" w:rsidR="00A455BE" w:rsidRPr="008A083C" w:rsidRDefault="00A50DBF">
      <w:pPr>
        <w:spacing w:line="200" w:lineRule="atLeast"/>
        <w:ind w:left="567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279B7A29" w14:textId="77777777" w:rsidR="00A50DBF" w:rsidRDefault="004B0DF0">
      <w:pPr>
        <w:pStyle w:val="BodyText"/>
        <w:spacing w:before="13"/>
        <w:ind w:left="5681" w:right="1383"/>
        <w:jc w:val="both"/>
        <w:rPr>
          <w:rFonts w:cs="Times New Roman"/>
          <w:spacing w:val="25"/>
        </w:rPr>
      </w:pPr>
      <w:r w:rsidRPr="008A083C">
        <w:rPr>
          <w:rFonts w:cs="Times New Roman"/>
          <w:spacing w:val="-1"/>
        </w:rPr>
        <w:t>Brooks</w:t>
      </w:r>
      <w:r w:rsidRPr="008A083C">
        <w:rPr>
          <w:rFonts w:cs="Times New Roman"/>
        </w:rPr>
        <w:t xml:space="preserve"> </w:t>
      </w:r>
      <w:r w:rsidRPr="008A083C">
        <w:rPr>
          <w:rFonts w:cs="Times New Roman"/>
          <w:spacing w:val="-1"/>
        </w:rPr>
        <w:t>E.</w:t>
      </w:r>
      <w:r w:rsidRPr="008A083C">
        <w:rPr>
          <w:rFonts w:cs="Times New Roman"/>
        </w:rPr>
        <w:t xml:space="preserve"> </w:t>
      </w:r>
      <w:r w:rsidRPr="008A083C">
        <w:rPr>
          <w:rFonts w:cs="Times New Roman"/>
          <w:spacing w:val="-1"/>
        </w:rPr>
        <w:t>Harlow,</w:t>
      </w:r>
      <w:r w:rsidRPr="008A083C">
        <w:rPr>
          <w:rFonts w:cs="Times New Roman"/>
        </w:rPr>
        <w:t xml:space="preserve"> WSBA 11843</w:t>
      </w:r>
      <w:r w:rsidRPr="008A083C">
        <w:rPr>
          <w:rFonts w:cs="Times New Roman"/>
          <w:spacing w:val="25"/>
        </w:rPr>
        <w:t xml:space="preserve"> </w:t>
      </w:r>
    </w:p>
    <w:p w14:paraId="279B7A2A" w14:textId="77777777" w:rsidR="00A50DBF" w:rsidRDefault="004B0DF0">
      <w:pPr>
        <w:pStyle w:val="BodyText"/>
        <w:spacing w:before="13"/>
        <w:ind w:left="5681" w:right="1383"/>
        <w:jc w:val="both"/>
        <w:rPr>
          <w:rFonts w:cs="Times New Roman"/>
          <w:spacing w:val="27"/>
        </w:rPr>
      </w:pPr>
      <w:r w:rsidRPr="008A083C">
        <w:rPr>
          <w:rFonts w:cs="Times New Roman"/>
          <w:spacing w:val="-1"/>
        </w:rPr>
        <w:t>Counsel</w:t>
      </w:r>
      <w:r w:rsidRPr="008A083C">
        <w:rPr>
          <w:rFonts w:cs="Times New Roman"/>
        </w:rPr>
        <w:t xml:space="preserve"> for</w:t>
      </w:r>
      <w:r w:rsidRPr="008A083C">
        <w:rPr>
          <w:rFonts w:cs="Times New Roman"/>
          <w:spacing w:val="-1"/>
        </w:rPr>
        <w:t xml:space="preserve"> </w:t>
      </w:r>
      <w:r w:rsidRPr="008A083C">
        <w:rPr>
          <w:rFonts w:cs="Times New Roman"/>
        </w:rPr>
        <w:t xml:space="preserve">Shuttle </w:t>
      </w:r>
      <w:r w:rsidRPr="008A083C">
        <w:rPr>
          <w:rFonts w:cs="Times New Roman"/>
          <w:spacing w:val="-1"/>
        </w:rPr>
        <w:t>Express,</w:t>
      </w:r>
      <w:r w:rsidRPr="008A083C">
        <w:rPr>
          <w:rFonts w:cs="Times New Roman"/>
          <w:spacing w:val="2"/>
        </w:rPr>
        <w:t xml:space="preserve"> </w:t>
      </w:r>
      <w:r w:rsidRPr="008A083C">
        <w:rPr>
          <w:rFonts w:cs="Times New Roman"/>
          <w:spacing w:val="-2"/>
        </w:rPr>
        <w:t>Inc.</w:t>
      </w:r>
      <w:r w:rsidRPr="008A083C">
        <w:rPr>
          <w:rFonts w:cs="Times New Roman"/>
          <w:spacing w:val="27"/>
        </w:rPr>
        <w:t xml:space="preserve"> </w:t>
      </w:r>
    </w:p>
    <w:p w14:paraId="279B7A2B" w14:textId="77777777" w:rsidR="009D44EF" w:rsidRPr="008A083C" w:rsidRDefault="004B0DF0">
      <w:pPr>
        <w:pStyle w:val="BodyText"/>
        <w:spacing w:before="13"/>
        <w:ind w:left="5681" w:right="1383"/>
        <w:jc w:val="both"/>
        <w:rPr>
          <w:rFonts w:cs="Times New Roman"/>
        </w:rPr>
      </w:pPr>
      <w:r w:rsidRPr="008A083C">
        <w:rPr>
          <w:rFonts w:cs="Times New Roman"/>
        </w:rPr>
        <w:t xml:space="preserve">8300 </w:t>
      </w:r>
      <w:r w:rsidRPr="008A083C">
        <w:rPr>
          <w:rFonts w:cs="Times New Roman"/>
          <w:spacing w:val="-1"/>
        </w:rPr>
        <w:t>Greensboro</w:t>
      </w:r>
      <w:r w:rsidRPr="008A083C">
        <w:rPr>
          <w:rFonts w:cs="Times New Roman"/>
        </w:rPr>
        <w:t xml:space="preserve"> </w:t>
      </w:r>
      <w:r w:rsidRPr="008A083C">
        <w:rPr>
          <w:rFonts w:cs="Times New Roman"/>
          <w:spacing w:val="-1"/>
        </w:rPr>
        <w:t>Dr.</w:t>
      </w:r>
      <w:r w:rsidRPr="008A083C">
        <w:rPr>
          <w:rFonts w:cs="Times New Roman"/>
        </w:rPr>
        <w:t xml:space="preserve"> Suite 1200</w:t>
      </w:r>
    </w:p>
    <w:p w14:paraId="279B7A2C" w14:textId="77777777" w:rsidR="009D44EF" w:rsidRPr="008A083C" w:rsidRDefault="004B0DF0">
      <w:pPr>
        <w:pStyle w:val="BodyText"/>
        <w:spacing w:line="275" w:lineRule="exact"/>
        <w:ind w:left="5681"/>
        <w:jc w:val="both"/>
        <w:rPr>
          <w:rFonts w:cs="Times New Roman"/>
        </w:rPr>
      </w:pPr>
      <w:r w:rsidRPr="008A083C">
        <w:rPr>
          <w:rFonts w:cs="Times New Roman"/>
          <w:spacing w:val="-1"/>
        </w:rPr>
        <w:t>McLean,</w:t>
      </w:r>
      <w:r w:rsidRPr="008A083C">
        <w:rPr>
          <w:rFonts w:cs="Times New Roman"/>
        </w:rPr>
        <w:t xml:space="preserve"> VA 22102</w:t>
      </w:r>
    </w:p>
    <w:p w14:paraId="279B7A2D" w14:textId="77777777" w:rsidR="009D44EF" w:rsidRPr="008A083C" w:rsidRDefault="004B0DF0">
      <w:pPr>
        <w:pStyle w:val="BodyText"/>
        <w:spacing w:line="275" w:lineRule="exact"/>
        <w:ind w:left="5681"/>
        <w:jc w:val="both"/>
        <w:rPr>
          <w:rFonts w:cs="Times New Roman"/>
        </w:rPr>
      </w:pPr>
      <w:r w:rsidRPr="008A083C">
        <w:rPr>
          <w:rFonts w:cs="Times New Roman"/>
          <w:spacing w:val="-1"/>
        </w:rPr>
        <w:t>Phone:</w:t>
      </w:r>
      <w:r w:rsidRPr="008A083C">
        <w:rPr>
          <w:rFonts w:cs="Times New Roman"/>
        </w:rPr>
        <w:t xml:space="preserve">  </w:t>
      </w:r>
      <w:r w:rsidRPr="008A083C">
        <w:rPr>
          <w:rFonts w:cs="Times New Roman"/>
          <w:spacing w:val="-1"/>
        </w:rPr>
        <w:t>703-584-8680</w:t>
      </w:r>
    </w:p>
    <w:p w14:paraId="279B7A2E" w14:textId="77777777" w:rsidR="009D44EF" w:rsidRPr="008A083C" w:rsidRDefault="004B0DF0">
      <w:pPr>
        <w:pStyle w:val="BodyText"/>
        <w:ind w:left="5681"/>
        <w:jc w:val="both"/>
        <w:rPr>
          <w:rFonts w:cs="Times New Roman"/>
        </w:rPr>
      </w:pPr>
      <w:r w:rsidRPr="008A083C">
        <w:rPr>
          <w:rFonts w:cs="Times New Roman"/>
          <w:spacing w:val="-1"/>
        </w:rPr>
        <w:t>Fax:</w:t>
      </w:r>
      <w:r w:rsidRPr="008A083C">
        <w:rPr>
          <w:rFonts w:cs="Times New Roman"/>
        </w:rPr>
        <w:t xml:space="preserve">  </w:t>
      </w:r>
      <w:r w:rsidRPr="008A083C">
        <w:rPr>
          <w:rFonts w:cs="Times New Roman"/>
          <w:spacing w:val="-1"/>
        </w:rPr>
        <w:t>703-584-8696</w:t>
      </w:r>
    </w:p>
    <w:p w14:paraId="279B7A2F" w14:textId="77777777" w:rsidR="00574368" w:rsidRDefault="00526B98">
      <w:pPr>
        <w:pStyle w:val="BodyText"/>
        <w:ind w:left="5681"/>
        <w:jc w:val="both"/>
        <w:rPr>
          <w:rFonts w:cs="Times New Roman"/>
          <w:spacing w:val="-1"/>
        </w:rPr>
      </w:pPr>
      <w:hyperlink r:id="rId12">
        <w:r w:rsidR="004B0DF0" w:rsidRPr="008A083C">
          <w:rPr>
            <w:rFonts w:cs="Times New Roman"/>
            <w:spacing w:val="-1"/>
          </w:rPr>
          <w:t>bharlow@fcclaw.com</w:t>
        </w:r>
      </w:hyperlink>
    </w:p>
    <w:p w14:paraId="279B7A30" w14:textId="77777777" w:rsidR="00574368" w:rsidRDefault="00574368">
      <w:pPr>
        <w:rPr>
          <w:rFonts w:ascii="Times New Roman" w:eastAsia="Times New Roman" w:hAnsi="Times New Roman" w:cs="Times New Roman"/>
          <w:spacing w:val="-1"/>
          <w:sz w:val="24"/>
          <w:szCs w:val="24"/>
        </w:rPr>
      </w:pPr>
      <w:r>
        <w:rPr>
          <w:rFonts w:cs="Times New Roman"/>
          <w:spacing w:val="-1"/>
        </w:rPr>
        <w:br w:type="page"/>
      </w:r>
    </w:p>
    <w:p w14:paraId="279B7A31" w14:textId="77777777" w:rsidR="00574368" w:rsidRDefault="00574368" w:rsidP="00574368">
      <w:pPr>
        <w:jc w:val="center"/>
        <w:rPr>
          <w:rFonts w:ascii="Times New Roman" w:eastAsia="Times New Roman" w:hAnsi="Times New Roman" w:cs="Times New Roman"/>
          <w:sz w:val="24"/>
          <w:szCs w:val="24"/>
        </w:rPr>
      </w:pPr>
      <w:r>
        <w:rPr>
          <w:rFonts w:ascii="Times New Roman"/>
          <w:b/>
          <w:spacing w:val="-2"/>
          <w:sz w:val="24"/>
        </w:rPr>
        <w:lastRenderedPageBreak/>
        <w:t>CERTIFICATE</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SERVICE</w:t>
      </w:r>
    </w:p>
    <w:p w14:paraId="279B7A32" w14:textId="77777777" w:rsidR="00574368" w:rsidRDefault="00574368" w:rsidP="00574368">
      <w:pPr>
        <w:spacing w:before="11"/>
        <w:ind w:hanging="1"/>
        <w:rPr>
          <w:rFonts w:ascii="Times New Roman" w:eastAsia="Times New Roman" w:hAnsi="Times New Roman" w:cs="Times New Roman"/>
          <w:b/>
          <w:bCs/>
          <w:sz w:val="21"/>
          <w:szCs w:val="21"/>
        </w:rPr>
      </w:pPr>
    </w:p>
    <w:p w14:paraId="279B7A33" w14:textId="77777777" w:rsidR="00574368" w:rsidRDefault="00574368" w:rsidP="00574368">
      <w:pPr>
        <w:pStyle w:val="BodyText"/>
        <w:tabs>
          <w:tab w:val="left" w:pos="720"/>
        </w:tabs>
        <w:ind w:left="0" w:right="90"/>
      </w:pPr>
      <w:r>
        <w:tab/>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rsidR="004A0FC7">
        <w:t xml:space="preserve">January </w:t>
      </w:r>
      <w:r>
        <w:t>27</w:t>
      </w:r>
      <w:r>
        <w:rPr>
          <w:spacing w:val="-1"/>
        </w:rPr>
        <w:t>,</w:t>
      </w:r>
      <w:r>
        <w:rPr>
          <w:spacing w:val="-2"/>
        </w:rPr>
        <w:t xml:space="preserve"> </w:t>
      </w:r>
      <w:r>
        <w:t>2017,</w:t>
      </w:r>
      <w:r>
        <w:rPr>
          <w:spacing w:val="2"/>
        </w:rPr>
        <w:t xml:space="preserve"> </w:t>
      </w:r>
      <w:r>
        <w:t>I</w:t>
      </w:r>
      <w:r>
        <w:rPr>
          <w:spacing w:val="-8"/>
        </w:rPr>
        <w:t xml:space="preserve"> </w:t>
      </w:r>
      <w:r>
        <w:t>served</w:t>
      </w:r>
      <w:r>
        <w:rPr>
          <w:spacing w:val="-1"/>
        </w:rPr>
        <w:t xml:space="preserve"> </w:t>
      </w:r>
      <w:r>
        <w:t>a</w:t>
      </w:r>
      <w:r>
        <w:rPr>
          <w:spacing w:val="-1"/>
        </w:rPr>
        <w:t xml:space="preserve"> </w:t>
      </w:r>
      <w:r>
        <w:t>copy</w:t>
      </w:r>
      <w:r>
        <w:rPr>
          <w:spacing w:val="-12"/>
        </w:rPr>
        <w:t xml:space="preserve"> </w:t>
      </w:r>
      <w:r>
        <w:t>the</w:t>
      </w:r>
      <w:r>
        <w:rPr>
          <w:spacing w:val="-2"/>
        </w:rPr>
        <w:t xml:space="preserve"> </w:t>
      </w:r>
      <w:r>
        <w:t>foregoing</w:t>
      </w:r>
      <w:r>
        <w:rPr>
          <w:spacing w:val="-5"/>
        </w:rPr>
        <w:t xml:space="preserve"> </w:t>
      </w:r>
      <w:r>
        <w:t>document</w:t>
      </w:r>
      <w:r>
        <w:rPr>
          <w:spacing w:val="22"/>
        </w:rPr>
        <w:t xml:space="preserve"> </w:t>
      </w:r>
      <w:r>
        <w:t>via email,</w:t>
      </w:r>
      <w:r>
        <w:rPr>
          <w:spacing w:val="-2"/>
        </w:rPr>
        <w:t xml:space="preserve"> </w:t>
      </w:r>
      <w:r>
        <w:t>with</w:t>
      </w:r>
      <w:r>
        <w:rPr>
          <w:spacing w:val="-1"/>
        </w:rPr>
        <w:t xml:space="preserve"> </w:t>
      </w:r>
      <w:r>
        <w:t>a copy</w:t>
      </w:r>
      <w:r>
        <w:rPr>
          <w:spacing w:val="-10"/>
        </w:rPr>
        <w:t xml:space="preserve"> </w:t>
      </w:r>
      <w:r>
        <w:t>via</w:t>
      </w:r>
      <w:r>
        <w:rPr>
          <w:spacing w:val="-1"/>
        </w:rPr>
        <w:t xml:space="preserve"> </w:t>
      </w:r>
      <w:r>
        <w:t>first</w:t>
      </w:r>
      <w:r>
        <w:rPr>
          <w:spacing w:val="-1"/>
        </w:rPr>
        <w:t xml:space="preserve"> </w:t>
      </w:r>
      <w:r>
        <w:t>class</w:t>
      </w:r>
      <w:r>
        <w:rPr>
          <w:spacing w:val="-1"/>
        </w:rPr>
        <w:t xml:space="preserve"> </w:t>
      </w:r>
      <w:r>
        <w:t>mail, postage</w:t>
      </w:r>
      <w:r>
        <w:rPr>
          <w:spacing w:val="-4"/>
        </w:rPr>
        <w:t xml:space="preserve"> </w:t>
      </w:r>
      <w:r>
        <w:t>prepaid,</w:t>
      </w:r>
      <w:r>
        <w:rPr>
          <w:spacing w:val="-2"/>
        </w:rPr>
        <w:t xml:space="preserve"> </w:t>
      </w:r>
      <w:r>
        <w:t>to:</w:t>
      </w:r>
    </w:p>
    <w:p w14:paraId="279B7A34" w14:textId="77777777" w:rsidR="00574368" w:rsidRDefault="00574368" w:rsidP="00574368">
      <w:pPr>
        <w:spacing w:before="6"/>
        <w:ind w:hanging="1"/>
        <w:rPr>
          <w:rFonts w:ascii="Times New Roman" w:eastAsia="Times New Roman" w:hAnsi="Times New Roman" w:cs="Times New Roman"/>
          <w:sz w:val="21"/>
          <w:szCs w:val="21"/>
        </w:rPr>
      </w:pPr>
    </w:p>
    <w:p w14:paraId="279B7A35" w14:textId="77777777" w:rsidR="00574368" w:rsidRDefault="00574368" w:rsidP="00574368">
      <w:pPr>
        <w:spacing w:line="200" w:lineRule="atLeast"/>
        <w:ind w:left="7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79B7A43" wp14:editId="279B7A44">
                <wp:extent cx="5095875" cy="1584960"/>
                <wp:effectExtent l="0" t="0" r="28575" b="152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584960"/>
                          <a:chOff x="6" y="6"/>
                          <a:chExt cx="9210" cy="2496"/>
                        </a:xfrm>
                      </wpg:grpSpPr>
                      <wpg:grpSp>
                        <wpg:cNvPr id="5" name="Group 3"/>
                        <wpg:cNvGrpSpPr>
                          <a:grpSpLocks/>
                        </wpg:cNvGrpSpPr>
                        <wpg:grpSpPr bwMode="auto">
                          <a:xfrm>
                            <a:off x="6" y="6"/>
                            <a:ext cx="9210" cy="2"/>
                            <a:chOff x="6" y="6"/>
                            <a:chExt cx="9210" cy="2"/>
                          </a:xfrm>
                        </wpg:grpSpPr>
                        <wps:wsp>
                          <wps:cNvPr id="6" name="Freeform 4"/>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 y="11"/>
                            <a:ext cx="2" cy="2484"/>
                            <a:chOff x="11" y="11"/>
                            <a:chExt cx="2" cy="2484"/>
                          </a:xfrm>
                        </wpg:grpSpPr>
                        <wps:wsp>
                          <wps:cNvPr id="8" name="Freeform 6"/>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 y="2500"/>
                            <a:ext cx="9210" cy="2"/>
                            <a:chOff x="6" y="2500"/>
                            <a:chExt cx="9210" cy="2"/>
                          </a:xfrm>
                        </wpg:grpSpPr>
                        <wps:wsp>
                          <wps:cNvPr id="10" name="Freeform 8"/>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4351" y="11"/>
                            <a:ext cx="2" cy="2484"/>
                            <a:chOff x="4351" y="11"/>
                            <a:chExt cx="2" cy="2484"/>
                          </a:xfrm>
                        </wpg:grpSpPr>
                        <wps:wsp>
                          <wps:cNvPr id="12" name="Freeform 10"/>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 y="6"/>
                            <a:ext cx="9203" cy="2496"/>
                            <a:chOff x="11" y="6"/>
                            <a:chExt cx="9203" cy="2496"/>
                          </a:xfrm>
                        </wpg:grpSpPr>
                        <wps:wsp>
                          <wps:cNvPr id="14" name="Freeform 12"/>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noChangeArrowheads="1"/>
                          </wps:cNvSpPr>
                          <wps:spPr bwMode="auto">
                            <a:xfrm>
                              <a:off x="11" y="6"/>
                              <a:ext cx="5173"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6C" w14:textId="77777777" w:rsidR="00574368" w:rsidRDefault="00574368" w:rsidP="00574368">
                                <w:pPr>
                                  <w:spacing w:before="7"/>
                                  <w:rPr>
                                    <w:rFonts w:ascii="Times New Roman" w:eastAsia="Times New Roman" w:hAnsi="Times New Roman" w:cs="Times New Roman"/>
                                    <w:sz w:val="23"/>
                                    <w:szCs w:val="23"/>
                                  </w:rPr>
                                </w:pPr>
                              </w:p>
                              <w:p w14:paraId="279B7A6D" w14:textId="77777777" w:rsidR="00574368" w:rsidRDefault="00574368" w:rsidP="00574368">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279B7A6E" w14:textId="77777777" w:rsidR="00574368" w:rsidRDefault="00574368" w:rsidP="00574368">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279B7A6F" w14:textId="77777777" w:rsidR="00574368" w:rsidRDefault="00574368" w:rsidP="00574368">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279B7A70" w14:textId="77777777" w:rsidR="00574368" w:rsidRDefault="00574368" w:rsidP="00574368">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279B7A71" w14:textId="77777777" w:rsidR="00574368" w:rsidRDefault="00574368" w:rsidP="00574368">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279B7A72" w14:textId="77777777" w:rsidR="00574368" w:rsidRDefault="00574368" w:rsidP="00574368">
                                <w:pPr>
                                  <w:spacing w:before="5"/>
                                  <w:ind w:left="107"/>
                                  <w:rPr>
                                    <w:rFonts w:ascii="Times New Roman" w:eastAsia="Times New Roman" w:hAnsi="Times New Roman" w:cs="Times New Roman"/>
                                    <w:sz w:val="24"/>
                                    <w:szCs w:val="24"/>
                                  </w:rPr>
                                </w:pPr>
                                <w:r>
                                  <w:rPr>
                                    <w:rFonts w:ascii="Times New Roman"/>
                                    <w:spacing w:val="-2"/>
                                    <w:sz w:val="24"/>
                                  </w:rPr>
                                  <w:t>Em</w:t>
                                </w:r>
                                <w:hyperlink r:id="rId14">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wps:txbx>
                          <wps:bodyPr rot="0" vert="horz" wrap="square" lIns="0" tIns="0" rIns="0" bIns="0" anchor="t" anchorCtr="0" upright="1">
                            <a:noAutofit/>
                          </wps:bodyPr>
                        </wps:wsp>
                        <wps:wsp>
                          <wps:cNvPr id="17" name="Text Box 15"/>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73" w14:textId="77777777" w:rsidR="00574368" w:rsidRDefault="00574368" w:rsidP="00574368">
                                <w:pPr>
                                  <w:spacing w:before="10"/>
                                  <w:ind w:right="120"/>
                                  <w:rPr>
                                    <w:rFonts w:ascii="Times New Roman" w:eastAsia="Times New Roman" w:hAnsi="Times New Roman" w:cs="Times New Roman"/>
                                    <w:sz w:val="23"/>
                                    <w:szCs w:val="23"/>
                                  </w:rPr>
                                </w:pPr>
                              </w:p>
                              <w:p w14:paraId="279B7A74" w14:textId="77777777" w:rsidR="00574368" w:rsidRDefault="00574368" w:rsidP="00574368">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279B7A75" w14:textId="77777777" w:rsidR="00574368" w:rsidRDefault="00574368" w:rsidP="00574368">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279B7A76" w14:textId="77777777" w:rsidR="00574368" w:rsidRDefault="00574368" w:rsidP="00574368">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279B7A77" w14:textId="77777777" w:rsidR="00574368" w:rsidRDefault="00574368" w:rsidP="00574368">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279B7A78" w14:textId="77777777" w:rsidR="00574368" w:rsidRDefault="00574368" w:rsidP="00574368">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279B7A79" w14:textId="77777777" w:rsidR="00574368" w:rsidRDefault="00574368" w:rsidP="00574368">
                                <w:pPr>
                                  <w:ind w:left="107"/>
                                  <w:rPr>
                                    <w:rFonts w:ascii="Times New Roman" w:eastAsia="Times New Roman" w:hAnsi="Times New Roman" w:cs="Times New Roman"/>
                                    <w:sz w:val="24"/>
                                    <w:szCs w:val="24"/>
                                  </w:rPr>
                                </w:pPr>
                                <w:r>
                                  <w:rPr>
                                    <w:rFonts w:ascii="Times New Roman"/>
                                    <w:spacing w:val="-2"/>
                                    <w:sz w:val="24"/>
                                  </w:rPr>
                                  <w:t>206-233-2895</w:t>
                                </w:r>
                              </w:p>
                              <w:p w14:paraId="279B7A7A" w14:textId="77777777" w:rsidR="00574368" w:rsidRDefault="00574368" w:rsidP="00574368">
                                <w:pPr>
                                  <w:spacing w:before="5"/>
                                  <w:ind w:left="107"/>
                                  <w:rPr>
                                    <w:rFonts w:ascii="Times New Roman" w:eastAsia="Times New Roman" w:hAnsi="Times New Roman" w:cs="Times New Roman"/>
                                    <w:sz w:val="24"/>
                                    <w:szCs w:val="24"/>
                                  </w:rPr>
                                </w:pPr>
                                <w:r>
                                  <w:rPr>
                                    <w:rFonts w:ascii="Times New Roman"/>
                                    <w:spacing w:val="-2"/>
                                    <w:sz w:val="24"/>
                                  </w:rPr>
                                  <w:t>Em</w:t>
                                </w:r>
                                <w:hyperlink r:id="rId15">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wps:txbx>
                          <wps:bodyPr rot="0" vert="horz" wrap="square" lIns="0" tIns="0" rIns="0" bIns="0" anchor="t" anchorCtr="0" upright="1">
                            <a:noAutofit/>
                          </wps:bodyPr>
                        </wps:wsp>
                      </wpg:grpSp>
                    </wpg:wgp>
                  </a:graphicData>
                </a:graphic>
              </wp:inline>
            </w:drawing>
          </mc:Choice>
          <mc:Fallback>
            <w:pict>
              <v:group w14:anchorId="279B7A43" id="Group 4" o:spid="_x0000_s1032" style="width:401.25pt;height:124.8pt;mso-position-horizontal-relative:char;mso-position-vertical-relative:line" coordorigin="6,6" coordsize="9210,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">
                <v:group id="Group 3" o:spid="_x0000_s1033" style="position:absolute;left:6;top:6;width:9210;height:2" coordorigin="6,6"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4" style="position:absolute;left:6;top:6;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7/b8A&#10;AADaAAAADwAAAGRycy9kb3ducmV2LnhtbERPTYvCMBC9C/6HMAt703Q9iHSNIrso4kGsLp6HZmyr&#10;zaQm2Vr/vREEj4/3PZ13phYtOV9ZVvA1TEAQ51ZXXCj4OywHExA+IGusLZOCO3mYz/q9Kaba3jij&#10;dh8KEUPYp6igDKFJpfR5SQb90DbEkTtZZzBE6AqpHd5iuKnlKEnG0mDFsaHEhn5Kyi/7f6Mgzjlm&#10;m+Vu83vN2u1lu7Nnt1or9fnRLb5BBOrCW/xyr7WCMTyvxBs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L3v9vwAAANoAAAAPAAAAAAAAAAAAAAAAAJgCAABkcnMvZG93bnJl&#10;di54bWxQSwUGAAAAAAQABAD1AAAAhAMAAAAA&#10;" path="m,l9210,e" filled="f" strokeweight=".58pt">
                    <v:path arrowok="t" o:connecttype="custom" o:connectlocs="0,0;9210,0" o:connectangles="0,0"/>
                  </v:shape>
                </v:group>
                <v:group id="Group 5" o:spid="_x0000_s1035" style="position:absolute;left:11;top:11;width:2;height:2484" coordorigin="1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6" style="position:absolute;left:1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4bsA&#10;AADaAAAADwAAAGRycy9kb3ducmV2LnhtbERPvQrCMBDeBd8hnOAimtZBtDaKioKDi9oHOJqzLW0u&#10;pYla394MguPH959ue9OIF3WusqwgnkUgiHOrKy4UZPfTdAnCeWSNjWVS8CEH281wkGKi7Zuv9Lr5&#10;QoQQdgkqKL1vEyldXpJBN7MtceAetjPoA+wKqTt8h3DTyHkULaTBikNDiS0dSsrr29MokPZ5vOzj&#10;ypx5FR0ey0nmY1krNR71uzUIT73/i3/us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OvuG7AAAA2gAAAA8AAAAAAAAAAAAAAAAAmAIAAGRycy9kb3ducmV2Lnht&#10;bFBLBQYAAAAABAAEAPUAAACAAwAAAAA=&#10;" path="m,l,2484e" filled="f" strokeweight=".58pt">
                    <v:path arrowok="t" o:connecttype="custom" o:connectlocs="0,11;0,2495" o:connectangles="0,0"/>
                  </v:shape>
                </v:group>
                <v:group id="Group 7" o:spid="_x0000_s1037" style="position:absolute;left:6;top:2500;width:9210;height:2" coordorigin="6,2500"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8" style="position:absolute;left:6;top:2500;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Z5sMA&#10;AADbAAAADwAAAGRycy9kb3ducmV2LnhtbESPQW/CMAyF70j7D5GRdoOUHdDUERDaxIQ4IAoTZ6sx&#10;baFxuiSU7t/Ph0m7PcvPz99brAbXqp5CbDwbmE0zUMSltw1XBr5Om8krqJiQLbaeycAPRVgtn0YL&#10;zK1/cEH9MVVKQjjmaKBOqcu1jmVNDuPUd8Syu/jgMMkYKm0DPiTctfoly+baYcPyocaO3msqb8e7&#10;MyA452K3Oew+vot+f9sf/DV8bo15Hg/rN1CJhvRv/rveWsEXeukiAv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PZ5sMAAADbAAAADwAAAAAAAAAAAAAAAACYAgAAZHJzL2Rv&#10;d25yZXYueG1sUEsFBgAAAAAEAAQA9QAAAIgDAAAAAA==&#10;" path="m,l9210,e" filled="f" strokeweight=".58pt">
                    <v:path arrowok="t" o:connecttype="custom" o:connectlocs="0,0;9210,0" o:connectangles="0,0"/>
                  </v:shape>
                </v:group>
                <v:group id="Group 9" o:spid="_x0000_s1039" style="position:absolute;left:4351;top:11;width:2;height:2484" coordorigin="435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0" style="position:absolute;left:435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zm70A&#10;AADbAAAADwAAAGRycy9kb3ducmV2LnhtbERPSwrCMBDdC94hjOBGNK0L0WoqKgou3Pg5wNCMbWkz&#10;KU3UensjCO7m8b6zWnemFk9qXWlZQTyJQBBnVpecK7hdD+M5COeRNdaWScGbHKzTfm+FibYvPtPz&#10;4nMRQtglqKDwvkmkdFlBBt3ENsSBu9vWoA+wzaVu8RXCTS2nUTSTBksODQU2tCsoqy4Po0Dax/60&#10;jUtz5EW0u89HNx/LSqnhoNssQXjq/F/8cx91mD+F7y/hAJ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Vzm70AAADbAAAADwAAAAAAAAAAAAAAAACYAgAAZHJzL2Rvd25yZXYu&#10;eG1sUEsFBgAAAAAEAAQA9QAAAIIDAAAAAA==&#10;" path="m,l,2484e" filled="f" strokeweight=".58pt">
                    <v:path arrowok="t" o:connecttype="custom" o:connectlocs="0,11;0,2495" o:connectangles="0,0"/>
                  </v:shape>
                </v:group>
                <v:group id="Group 11" o:spid="_x0000_s1041" style="position:absolute;left:11;top:6;width:9203;height:2496" coordorigin="11,6" coordsize="9203,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42" style="position:absolute;left:9212;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dL0A&#10;AADbAAAADwAAAGRycy9kb3ducmV2LnhtbERPSwrCMBDdC94hjOBGNK2IaDWKioILN1YPMDRjW2wm&#10;pYlab28Ewd083neW69ZU4kmNKy0riEcRCOLM6pJzBdfLYTgD4TyyxsoyKXiTg/Wq21liou2Lz/RM&#10;fS5CCLsEFRTe14mULivIoBvZmjhwN9sY9AE2udQNvkK4qeQ4iqbSYMmhocCadgVl9/RhFEj72J+2&#10;cWmOPI92t9ng6mN5V6rfazcLEJ5a/xf/3Ec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BOdL0AAADbAAAADwAAAAAAAAAAAAAAAACYAgAAZHJzL2Rvd25yZXYu&#10;eG1sUEsFBgAAAAAEAAQA9QAAAIID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12;top:7;width:920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7DAAAA2wAAAA8AAABkcnMvZG93bnJldi54bWxEj0Frg0AQhe+B/IdlCrklq4K12GykhIb0&#10;kkNNfsDgTlXqzoq7VeOv7wYKvc3w3vvmzb6YTSdGGlxrWUG8i0AQV1a3XCu4XU/bFxDOI2vsLJOC&#10;OzkoDuvVHnNtJ/6ksfS1CBB2OSpovO9zKV3VkEG3sz1x0L7sYNCHdailHnAKcNPJJIqepcGWw4UG&#10;ezo2VH2XPyZQkvh9udI5u4w+XW5x1tetTJXaPM1vryA8zf7f/Jf+0KF+Co9fwgDy8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X7sMAAADbAAAADwAAAAAAAAAAAAAAAACf&#10;AgAAZHJzL2Rvd25yZXYueG1sUEsFBgAAAAAEAAQA9wAAAI8DAAAAAA==&#10;">
                    <v:imagedata r:id="rId16" o:title=""/>
                  </v:shape>
                  <v:shape id="Text Box 14" o:spid="_x0000_s1044" type="#_x0000_t202" style="position:absolute;left:11;top:6;width:5173;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79B7A6C" w14:textId="77777777" w:rsidR="00574368" w:rsidRDefault="00574368" w:rsidP="00574368">
                          <w:pPr>
                            <w:spacing w:before="7"/>
                            <w:rPr>
                              <w:rFonts w:ascii="Times New Roman" w:eastAsia="Times New Roman" w:hAnsi="Times New Roman" w:cs="Times New Roman"/>
                              <w:sz w:val="23"/>
                              <w:szCs w:val="23"/>
                            </w:rPr>
                          </w:pPr>
                        </w:p>
                        <w:p w14:paraId="279B7A6D" w14:textId="77777777" w:rsidR="00574368" w:rsidRDefault="00574368" w:rsidP="00574368">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279B7A6E" w14:textId="77777777" w:rsidR="00574368" w:rsidRDefault="00574368" w:rsidP="00574368">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279B7A6F" w14:textId="77777777" w:rsidR="00574368" w:rsidRDefault="00574368" w:rsidP="00574368">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279B7A70" w14:textId="77777777" w:rsidR="00574368" w:rsidRDefault="00574368" w:rsidP="00574368">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279B7A71" w14:textId="77777777" w:rsidR="00574368" w:rsidRDefault="00574368" w:rsidP="00574368">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279B7A72" w14:textId="77777777" w:rsidR="00574368" w:rsidRDefault="00574368" w:rsidP="00574368">
                          <w:pPr>
                            <w:spacing w:before="5"/>
                            <w:ind w:left="107"/>
                            <w:rPr>
                              <w:rFonts w:ascii="Times New Roman" w:eastAsia="Times New Roman" w:hAnsi="Times New Roman" w:cs="Times New Roman"/>
                              <w:sz w:val="24"/>
                              <w:szCs w:val="24"/>
                            </w:rPr>
                          </w:pPr>
                          <w:r>
                            <w:rPr>
                              <w:rFonts w:ascii="Times New Roman"/>
                              <w:spacing w:val="-2"/>
                              <w:sz w:val="24"/>
                            </w:rPr>
                            <w:t>Em</w:t>
                          </w:r>
                          <w:hyperlink r:id="rId17">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v:textbox>
                  </v:shape>
                  <v:shape id="Text Box 15" o:spid="_x0000_s1045" type="#_x0000_t202" style="position:absolute;left:4351;top:6;width:486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79B7A73" w14:textId="77777777" w:rsidR="00574368" w:rsidRDefault="00574368" w:rsidP="00574368">
                          <w:pPr>
                            <w:spacing w:before="10"/>
                            <w:ind w:right="120"/>
                            <w:rPr>
                              <w:rFonts w:ascii="Times New Roman" w:eastAsia="Times New Roman" w:hAnsi="Times New Roman" w:cs="Times New Roman"/>
                              <w:sz w:val="23"/>
                              <w:szCs w:val="23"/>
                            </w:rPr>
                          </w:pPr>
                        </w:p>
                        <w:p w14:paraId="279B7A74" w14:textId="77777777" w:rsidR="00574368" w:rsidRDefault="00574368" w:rsidP="00574368">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279B7A75" w14:textId="77777777" w:rsidR="00574368" w:rsidRDefault="00574368" w:rsidP="00574368">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279B7A76" w14:textId="77777777" w:rsidR="00574368" w:rsidRDefault="00574368" w:rsidP="00574368">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279B7A77" w14:textId="77777777" w:rsidR="00574368" w:rsidRDefault="00574368" w:rsidP="00574368">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279B7A78" w14:textId="77777777" w:rsidR="00574368" w:rsidRDefault="00574368" w:rsidP="00574368">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279B7A79" w14:textId="77777777" w:rsidR="00574368" w:rsidRDefault="00574368" w:rsidP="00574368">
                          <w:pPr>
                            <w:ind w:left="107"/>
                            <w:rPr>
                              <w:rFonts w:ascii="Times New Roman" w:eastAsia="Times New Roman" w:hAnsi="Times New Roman" w:cs="Times New Roman"/>
                              <w:sz w:val="24"/>
                              <w:szCs w:val="24"/>
                            </w:rPr>
                          </w:pPr>
                          <w:r>
                            <w:rPr>
                              <w:rFonts w:ascii="Times New Roman"/>
                              <w:spacing w:val="-2"/>
                              <w:sz w:val="24"/>
                            </w:rPr>
                            <w:t>206-233-2895</w:t>
                          </w:r>
                        </w:p>
                        <w:p w14:paraId="279B7A7A" w14:textId="77777777" w:rsidR="00574368" w:rsidRDefault="00574368" w:rsidP="00574368">
                          <w:pPr>
                            <w:spacing w:before="5"/>
                            <w:ind w:left="107"/>
                            <w:rPr>
                              <w:rFonts w:ascii="Times New Roman" w:eastAsia="Times New Roman" w:hAnsi="Times New Roman" w:cs="Times New Roman"/>
                              <w:sz w:val="24"/>
                              <w:szCs w:val="24"/>
                            </w:rPr>
                          </w:pPr>
                          <w:r>
                            <w:rPr>
                              <w:rFonts w:ascii="Times New Roman"/>
                              <w:spacing w:val="-2"/>
                              <w:sz w:val="24"/>
                            </w:rPr>
                            <w:t>Em</w:t>
                          </w:r>
                          <w:hyperlink r:id="rId18">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v:textbox>
                  </v:shape>
                </v:group>
                <w10:anchorlock/>
              </v:group>
            </w:pict>
          </mc:Fallback>
        </mc:AlternateContent>
      </w:r>
    </w:p>
    <w:p w14:paraId="279B7A36" w14:textId="77777777" w:rsidR="00574368" w:rsidRDefault="00574368" w:rsidP="00574368">
      <w:pPr>
        <w:ind w:hanging="1"/>
        <w:rPr>
          <w:rFonts w:ascii="Times New Roman" w:eastAsia="Times New Roman" w:hAnsi="Times New Roman" w:cs="Times New Roman"/>
          <w:sz w:val="23"/>
          <w:szCs w:val="23"/>
        </w:rPr>
      </w:pPr>
    </w:p>
    <w:p w14:paraId="279B7A37" w14:textId="77777777" w:rsidR="00574368" w:rsidRDefault="00574368" w:rsidP="00574368">
      <w:pPr>
        <w:pStyle w:val="BodyText"/>
        <w:ind w:left="1462" w:hanging="1"/>
      </w:pPr>
      <w:r>
        <w:t>Dated</w:t>
      </w:r>
      <w:r>
        <w:rPr>
          <w:spacing w:val="-2"/>
        </w:rPr>
        <w:t xml:space="preserve"> </w:t>
      </w:r>
      <w:r>
        <w:rPr>
          <w:spacing w:val="-1"/>
        </w:rPr>
        <w:t xml:space="preserve">at </w:t>
      </w:r>
      <w:r>
        <w:t>McLean,</w:t>
      </w:r>
      <w:r>
        <w:rPr>
          <w:spacing w:val="-2"/>
        </w:rPr>
        <w:t xml:space="preserve"> </w:t>
      </w:r>
      <w:r>
        <w:t>Virginia this</w:t>
      </w:r>
      <w:r>
        <w:rPr>
          <w:spacing w:val="3"/>
        </w:rPr>
        <w:t xml:space="preserve"> </w:t>
      </w:r>
      <w:r>
        <w:t>27th day</w:t>
      </w:r>
      <w:r>
        <w:rPr>
          <w:spacing w:val="-9"/>
        </w:rPr>
        <w:t xml:space="preserve"> </w:t>
      </w:r>
      <w:r>
        <w:t>of</w:t>
      </w:r>
      <w:r>
        <w:rPr>
          <w:spacing w:val="-1"/>
        </w:rPr>
        <w:t xml:space="preserve"> </w:t>
      </w:r>
      <w:r>
        <w:t>January</w:t>
      </w:r>
      <w:r>
        <w:rPr>
          <w:spacing w:val="-1"/>
        </w:rPr>
        <w:t>,</w:t>
      </w:r>
      <w:r>
        <w:rPr>
          <w:spacing w:val="-2"/>
        </w:rPr>
        <w:t xml:space="preserve"> </w:t>
      </w:r>
      <w:r>
        <w:t>2017.</w:t>
      </w:r>
    </w:p>
    <w:p w14:paraId="279B7A38" w14:textId="77777777" w:rsidR="00574368" w:rsidRDefault="00574368" w:rsidP="00574368">
      <w:pPr>
        <w:ind w:hanging="1"/>
        <w:rPr>
          <w:rFonts w:ascii="Times New Roman" w:eastAsia="Times New Roman" w:hAnsi="Times New Roman" w:cs="Times New Roman"/>
          <w:sz w:val="20"/>
          <w:szCs w:val="20"/>
        </w:rPr>
      </w:pPr>
    </w:p>
    <w:p w14:paraId="279B7A39" w14:textId="77777777" w:rsidR="00574368" w:rsidRDefault="00574368" w:rsidP="00574368">
      <w:pPr>
        <w:spacing w:before="1"/>
        <w:ind w:hanging="1"/>
        <w:rPr>
          <w:rFonts w:ascii="Times New Roman" w:eastAsia="Times New Roman" w:hAnsi="Times New Roman" w:cs="Times New Roman"/>
          <w:sz w:val="20"/>
          <w:szCs w:val="20"/>
        </w:rPr>
      </w:pPr>
    </w:p>
    <w:p w14:paraId="279B7A3A" w14:textId="77777777" w:rsidR="00574368" w:rsidRDefault="00574368" w:rsidP="00574368">
      <w:pPr>
        <w:spacing w:line="200" w:lineRule="atLeast"/>
        <w:ind w:left="53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79B7A45" wp14:editId="279B7A46">
            <wp:extent cx="2090927" cy="5600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9" cstate="print"/>
                    <a:stretch>
                      <a:fillRect/>
                    </a:stretch>
                  </pic:blipFill>
                  <pic:spPr>
                    <a:xfrm>
                      <a:off x="0" y="0"/>
                      <a:ext cx="2090927" cy="560070"/>
                    </a:xfrm>
                    <a:prstGeom prst="rect">
                      <a:avLst/>
                    </a:prstGeom>
                  </pic:spPr>
                </pic:pic>
              </a:graphicData>
            </a:graphic>
          </wp:inline>
        </w:drawing>
      </w:r>
    </w:p>
    <w:p w14:paraId="279B7A3B" w14:textId="77777777" w:rsidR="00574368" w:rsidRDefault="00574368" w:rsidP="00574368">
      <w:pPr>
        <w:pStyle w:val="BodyText"/>
        <w:spacing w:before="15"/>
        <w:ind w:left="5610" w:right="1890" w:hanging="1"/>
        <w:rPr>
          <w:spacing w:val="27"/>
        </w:rPr>
      </w:pPr>
      <w:r>
        <w:rPr>
          <w:spacing w:val="-2"/>
        </w:rPr>
        <w:t>Elisheva</w:t>
      </w:r>
      <w:r>
        <w:rPr>
          <w:spacing w:val="-3"/>
        </w:rPr>
        <w:t xml:space="preserve"> S</w:t>
      </w:r>
      <w:r>
        <w:t>imon</w:t>
      </w:r>
      <w:r>
        <w:rPr>
          <w:spacing w:val="27"/>
        </w:rPr>
        <w:t xml:space="preserve"> </w:t>
      </w:r>
    </w:p>
    <w:p w14:paraId="279B7A3C" w14:textId="77777777" w:rsidR="00574368" w:rsidRDefault="00574368" w:rsidP="00574368">
      <w:pPr>
        <w:pStyle w:val="BodyText"/>
        <w:spacing w:before="15"/>
        <w:ind w:left="5610" w:right="1890" w:hanging="1"/>
      </w:pPr>
      <w:r>
        <w:rPr>
          <w:spacing w:val="-2"/>
        </w:rPr>
        <w:t>Legal</w:t>
      </w:r>
      <w:r>
        <w:rPr>
          <w:spacing w:val="-1"/>
        </w:rPr>
        <w:t xml:space="preserve"> </w:t>
      </w:r>
      <w:r>
        <w:t>Assistant</w:t>
      </w:r>
    </w:p>
    <w:p w14:paraId="279B7A3D" w14:textId="77777777" w:rsidR="00574368" w:rsidRPr="008A083C" w:rsidRDefault="00574368" w:rsidP="00574368">
      <w:pPr>
        <w:pStyle w:val="BodyText"/>
        <w:ind w:left="5681"/>
        <w:jc w:val="both"/>
        <w:rPr>
          <w:rFonts w:cs="Times New Roman"/>
        </w:rPr>
      </w:pPr>
    </w:p>
    <w:p w14:paraId="279B7A3E" w14:textId="77777777" w:rsidR="009D44EF" w:rsidRPr="008A083C" w:rsidRDefault="009D44EF">
      <w:pPr>
        <w:pStyle w:val="BodyText"/>
        <w:ind w:left="5681"/>
        <w:jc w:val="both"/>
        <w:rPr>
          <w:rFonts w:cs="Times New Roman"/>
        </w:rPr>
      </w:pPr>
    </w:p>
    <w:sectPr w:rsidR="009D44EF" w:rsidRPr="008A083C" w:rsidSect="00843AC4">
      <w:footerReference w:type="default" r:id="rId20"/>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7A49" w14:textId="77777777" w:rsidR="001D34AE" w:rsidRDefault="001D34AE">
      <w:r>
        <w:separator/>
      </w:r>
    </w:p>
  </w:endnote>
  <w:endnote w:type="continuationSeparator" w:id="0">
    <w:p w14:paraId="279B7A4A" w14:textId="77777777" w:rsidR="001D34AE" w:rsidRDefault="001D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7A4B"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79B7A4C" wp14:editId="279B7A4D">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7B" w14:textId="77777777" w:rsidR="00161A11"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D27AE0">
                            <w:rPr>
                              <w:rFonts w:ascii="Times New Roman"/>
                              <w:sz w:val="20"/>
                            </w:rPr>
                            <w:t xml:space="preserve">ANSWER TO MOTION </w:t>
                          </w:r>
                          <w:r w:rsidR="00B761C4">
                            <w:rPr>
                              <w:rFonts w:ascii="Times New Roman"/>
                              <w:sz w:val="20"/>
                            </w:rPr>
                            <w:t>IN LIMINE</w:t>
                          </w:r>
                          <w:r w:rsidR="00C02F2F">
                            <w:rPr>
                              <w:rFonts w:ascii="Times New Roman"/>
                              <w:sz w:val="20"/>
                            </w:rPr>
                            <w:t xml:space="preserve"> - </w:t>
                          </w:r>
                          <w:r w:rsidR="00C02F2F" w:rsidRPr="00C02F2F">
                            <w:rPr>
                              <w:rFonts w:ascii="Times New Roman"/>
                              <w:sz w:val="20"/>
                            </w:rPr>
                            <w:fldChar w:fldCharType="begin"/>
                          </w:r>
                          <w:r w:rsidR="00C02F2F" w:rsidRPr="00C02F2F">
                            <w:rPr>
                              <w:rFonts w:ascii="Times New Roman"/>
                              <w:sz w:val="20"/>
                            </w:rPr>
                            <w:instrText xml:space="preserve"> PAGE   \* MERGEFORMAT </w:instrText>
                          </w:r>
                          <w:r w:rsidR="00C02F2F" w:rsidRPr="00C02F2F">
                            <w:rPr>
                              <w:rFonts w:ascii="Times New Roman"/>
                              <w:sz w:val="20"/>
                            </w:rPr>
                            <w:fldChar w:fldCharType="separate"/>
                          </w:r>
                          <w:r w:rsidR="00526B98">
                            <w:rPr>
                              <w:rFonts w:ascii="Times New Roman"/>
                              <w:noProof/>
                              <w:sz w:val="20"/>
                            </w:rPr>
                            <w:t>1</w:t>
                          </w:r>
                          <w:r w:rsidR="00C02F2F" w:rsidRPr="00C02F2F">
                            <w:rPr>
                              <w:rFonts w:ascii="Times New Roman"/>
                              <w:noProof/>
                              <w:sz w:val="20"/>
                            </w:rPr>
                            <w:fldChar w:fldCharType="end"/>
                          </w:r>
                        </w:p>
                        <w:p w14:paraId="279B7A7C" w14:textId="77777777" w:rsidR="004F0F97" w:rsidRDefault="00D27AE0" w:rsidP="00161A11">
                          <w:pPr>
                            <w:spacing w:line="224" w:lineRule="exact"/>
                            <w:rPr>
                              <w:rFonts w:ascii="Times New Roman"/>
                              <w:sz w:val="20"/>
                            </w:rPr>
                          </w:pPr>
                          <w:r>
                            <w:rPr>
                              <w:rFonts w:ascii="Times New Roman"/>
                              <w:sz w:val="20"/>
                            </w:rPr>
                            <w:t xml:space="preserv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526B98">
                            <w:rPr>
                              <w:rFonts w:ascii="Times New Roman"/>
                              <w:noProof/>
                              <w:sz w:val="20"/>
                            </w:rPr>
                            <w:t>1</w:t>
                          </w:r>
                          <w:r w:rsidR="00843AC4" w:rsidRPr="00843AC4">
                            <w:rPr>
                              <w:rFonts w:ascii="Times New Roman"/>
                              <w:noProof/>
                              <w:sz w:val="20"/>
                            </w:rPr>
                            <w:fldChar w:fldCharType="end"/>
                          </w:r>
                        </w:p>
                        <w:p w14:paraId="279B7A7D"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526B98">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B7A4C" id="_x0000_t202" coordsize="21600,21600" o:spt="202" path="m,l,21600r21600,l21600,xe">
              <v:stroke joinstyle="miter"/>
              <v:path gradientshapeok="t" o:connecttype="rect"/>
            </v:shapetype>
            <v:shape id="Text Box 1" o:spid="_x0000_s1046"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279B7A7B" w14:textId="77777777" w:rsidR="00161A11"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D27AE0">
                      <w:rPr>
                        <w:rFonts w:ascii="Times New Roman"/>
                        <w:sz w:val="20"/>
                      </w:rPr>
                      <w:t xml:space="preserve">ANSWER TO MOTION </w:t>
                    </w:r>
                    <w:r w:rsidR="00B761C4">
                      <w:rPr>
                        <w:rFonts w:ascii="Times New Roman"/>
                        <w:sz w:val="20"/>
                      </w:rPr>
                      <w:t>IN LIMINE</w:t>
                    </w:r>
                    <w:r w:rsidR="00C02F2F">
                      <w:rPr>
                        <w:rFonts w:ascii="Times New Roman"/>
                        <w:sz w:val="20"/>
                      </w:rPr>
                      <w:t xml:space="preserve"> - </w:t>
                    </w:r>
                    <w:r w:rsidR="00C02F2F" w:rsidRPr="00C02F2F">
                      <w:rPr>
                        <w:rFonts w:ascii="Times New Roman"/>
                        <w:sz w:val="20"/>
                      </w:rPr>
                      <w:fldChar w:fldCharType="begin"/>
                    </w:r>
                    <w:r w:rsidR="00C02F2F" w:rsidRPr="00C02F2F">
                      <w:rPr>
                        <w:rFonts w:ascii="Times New Roman"/>
                        <w:sz w:val="20"/>
                      </w:rPr>
                      <w:instrText xml:space="preserve"> PAGE   \* MERGEFORMAT </w:instrText>
                    </w:r>
                    <w:r w:rsidR="00C02F2F" w:rsidRPr="00C02F2F">
                      <w:rPr>
                        <w:rFonts w:ascii="Times New Roman"/>
                        <w:sz w:val="20"/>
                      </w:rPr>
                      <w:fldChar w:fldCharType="separate"/>
                    </w:r>
                    <w:r w:rsidR="00526B98">
                      <w:rPr>
                        <w:rFonts w:ascii="Times New Roman"/>
                        <w:noProof/>
                        <w:sz w:val="20"/>
                      </w:rPr>
                      <w:t>1</w:t>
                    </w:r>
                    <w:r w:rsidR="00C02F2F" w:rsidRPr="00C02F2F">
                      <w:rPr>
                        <w:rFonts w:ascii="Times New Roman"/>
                        <w:noProof/>
                        <w:sz w:val="20"/>
                      </w:rPr>
                      <w:fldChar w:fldCharType="end"/>
                    </w:r>
                  </w:p>
                  <w:p w14:paraId="279B7A7C" w14:textId="77777777" w:rsidR="004F0F97" w:rsidRDefault="00D27AE0" w:rsidP="00161A11">
                    <w:pPr>
                      <w:spacing w:line="224" w:lineRule="exact"/>
                      <w:rPr>
                        <w:rFonts w:ascii="Times New Roman"/>
                        <w:sz w:val="20"/>
                      </w:rPr>
                    </w:pPr>
                    <w:r>
                      <w:rPr>
                        <w:rFonts w:ascii="Times New Roman"/>
                        <w:sz w:val="20"/>
                      </w:rPr>
                      <w:t xml:space="preserv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526B98">
                      <w:rPr>
                        <w:rFonts w:ascii="Times New Roman"/>
                        <w:noProof/>
                        <w:sz w:val="20"/>
                      </w:rPr>
                      <w:t>1</w:t>
                    </w:r>
                    <w:r w:rsidR="00843AC4" w:rsidRPr="00843AC4">
                      <w:rPr>
                        <w:rFonts w:ascii="Times New Roman"/>
                        <w:noProof/>
                        <w:sz w:val="20"/>
                      </w:rPr>
                      <w:fldChar w:fldCharType="end"/>
                    </w:r>
                  </w:p>
                  <w:p w14:paraId="279B7A7D"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526B98">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B7A47" w14:textId="77777777" w:rsidR="001D34AE" w:rsidRDefault="001D34AE">
      <w:r>
        <w:separator/>
      </w:r>
    </w:p>
  </w:footnote>
  <w:footnote w:type="continuationSeparator" w:id="0">
    <w:p w14:paraId="279B7A48" w14:textId="77777777" w:rsidR="001D34AE" w:rsidRDefault="001D34AE">
      <w:r>
        <w:continuationSeparator/>
      </w:r>
    </w:p>
  </w:footnote>
  <w:footnote w:id="1">
    <w:p w14:paraId="279B7A4E" w14:textId="77777777" w:rsidR="00355DFF" w:rsidRPr="00586DB0" w:rsidRDefault="00355DFF">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And this does not even count the months of discovery delays and need for repeated motions to compel and discovery conferences. </w:t>
      </w:r>
      <w:r w:rsidR="00376F5D" w:rsidRPr="00586DB0">
        <w:rPr>
          <w:rFonts w:ascii="Times New Roman" w:hAnsi="Times New Roman" w:cs="Times New Roman"/>
        </w:rPr>
        <w:t xml:space="preserve"> Nor does it count Speedishuttle’s premature petition for judicial review of Order 08.</w:t>
      </w:r>
      <w:r w:rsidRPr="00586DB0">
        <w:rPr>
          <w:rFonts w:ascii="Times New Roman" w:hAnsi="Times New Roman" w:cs="Times New Roman"/>
        </w:rPr>
        <w:t xml:space="preserve"> </w:t>
      </w:r>
      <w:r w:rsidR="0081449B" w:rsidRPr="00586DB0">
        <w:rPr>
          <w:rFonts w:ascii="Times New Roman" w:hAnsi="Times New Roman" w:cs="Times New Roman"/>
        </w:rPr>
        <w:t>First, Responden</w:t>
      </w:r>
      <w:r w:rsidR="007C738D" w:rsidRPr="00586DB0">
        <w:rPr>
          <w:rFonts w:ascii="Times New Roman" w:hAnsi="Times New Roman" w:cs="Times New Roman"/>
        </w:rPr>
        <w:t xml:space="preserve">t opposed rehearing altogether.  </w:t>
      </w:r>
      <w:r w:rsidR="009D3870" w:rsidRPr="00586DB0">
        <w:rPr>
          <w:rFonts w:ascii="Times New Roman" w:hAnsi="Times New Roman" w:cs="Times New Roman"/>
        </w:rPr>
        <w:t xml:space="preserve">Speedishuttle Answer, </w:t>
      </w:r>
      <w:r w:rsidR="00CF0306" w:rsidRPr="00586DB0">
        <w:rPr>
          <w:rFonts w:ascii="Times New Roman" w:hAnsi="Times New Roman" w:cs="Times New Roman"/>
        </w:rPr>
        <w:t xml:space="preserve">TC-143691, </w:t>
      </w:r>
      <w:r w:rsidR="006F2320" w:rsidRPr="00586DB0">
        <w:rPr>
          <w:rFonts w:ascii="Times New Roman" w:hAnsi="Times New Roman" w:cs="Times New Roman"/>
        </w:rPr>
        <w:t>June 7, 20</w:t>
      </w:r>
      <w:r w:rsidR="009D3870" w:rsidRPr="00586DB0">
        <w:rPr>
          <w:rFonts w:ascii="Times New Roman" w:hAnsi="Times New Roman" w:cs="Times New Roman"/>
        </w:rPr>
        <w:t>16</w:t>
      </w:r>
      <w:r w:rsidR="0081449B" w:rsidRPr="00586DB0">
        <w:rPr>
          <w:rFonts w:ascii="Times New Roman" w:hAnsi="Times New Roman" w:cs="Times New Roman"/>
        </w:rPr>
        <w:t>.  Then it moved to dismiss the Complaint</w:t>
      </w:r>
      <w:r w:rsidR="007C738D" w:rsidRPr="00586DB0">
        <w:rPr>
          <w:rFonts w:ascii="Times New Roman" w:hAnsi="Times New Roman" w:cs="Times New Roman"/>
        </w:rPr>
        <w:t xml:space="preserve">.  </w:t>
      </w:r>
      <w:r w:rsidR="009D3870" w:rsidRPr="00586DB0">
        <w:rPr>
          <w:rFonts w:ascii="Times New Roman" w:hAnsi="Times New Roman" w:cs="Times New Roman"/>
        </w:rPr>
        <w:t xml:space="preserve">Speedishuttle Motion, TC-160516, </w:t>
      </w:r>
      <w:r w:rsidR="006F2320" w:rsidRPr="00586DB0">
        <w:rPr>
          <w:rFonts w:ascii="Times New Roman" w:hAnsi="Times New Roman" w:cs="Times New Roman"/>
        </w:rPr>
        <w:t>June 7, 2016</w:t>
      </w:r>
      <w:r w:rsidR="0081449B" w:rsidRPr="00586DB0">
        <w:rPr>
          <w:rFonts w:ascii="Times New Roman" w:hAnsi="Times New Roman" w:cs="Times New Roman"/>
        </w:rPr>
        <w:t>.  Next it tried to overturn the order granting rehearing</w:t>
      </w:r>
      <w:r w:rsidR="007C738D" w:rsidRPr="00586DB0">
        <w:rPr>
          <w:rFonts w:ascii="Times New Roman" w:hAnsi="Times New Roman" w:cs="Times New Roman"/>
        </w:rPr>
        <w:t xml:space="preserve">.  </w:t>
      </w:r>
      <w:r w:rsidR="009D3870" w:rsidRPr="00586DB0">
        <w:rPr>
          <w:rFonts w:ascii="Times New Roman" w:hAnsi="Times New Roman" w:cs="Times New Roman"/>
        </w:rPr>
        <w:t xml:space="preserve">Speedishuttle Petition, TC-143691, </w:t>
      </w:r>
      <w:r w:rsidR="006F2320" w:rsidRPr="00586DB0">
        <w:rPr>
          <w:rFonts w:ascii="Times New Roman" w:hAnsi="Times New Roman" w:cs="Times New Roman"/>
        </w:rPr>
        <w:t>Aug. 24, 20</w:t>
      </w:r>
      <w:r w:rsidR="009D3870" w:rsidRPr="00586DB0">
        <w:rPr>
          <w:rFonts w:ascii="Times New Roman" w:hAnsi="Times New Roman" w:cs="Times New Roman"/>
        </w:rPr>
        <w:t>16</w:t>
      </w:r>
      <w:r w:rsidR="0081449B" w:rsidRPr="00586DB0">
        <w:rPr>
          <w:rFonts w:ascii="Times New Roman" w:hAnsi="Times New Roman" w:cs="Times New Roman"/>
        </w:rPr>
        <w:t>.  As part of that, it sought to file a repl</w:t>
      </w:r>
      <w:r w:rsidR="007C738D" w:rsidRPr="00586DB0">
        <w:rPr>
          <w:rFonts w:ascii="Times New Roman" w:hAnsi="Times New Roman" w:cs="Times New Roman"/>
        </w:rPr>
        <w:t xml:space="preserve">y that the Commission rejected.  </w:t>
      </w:r>
      <w:r w:rsidR="00B50507" w:rsidRPr="00586DB0">
        <w:rPr>
          <w:rFonts w:ascii="Times New Roman" w:hAnsi="Times New Roman" w:cs="Times New Roman"/>
        </w:rPr>
        <w:t xml:space="preserve">Speedishuttle Petition, TC-143691, </w:t>
      </w:r>
      <w:r w:rsidR="006F2320" w:rsidRPr="00586DB0">
        <w:rPr>
          <w:rFonts w:ascii="Times New Roman" w:hAnsi="Times New Roman" w:cs="Times New Roman"/>
        </w:rPr>
        <w:t>Sept. 12, 20</w:t>
      </w:r>
      <w:r w:rsidR="00B50507" w:rsidRPr="00586DB0">
        <w:rPr>
          <w:rFonts w:ascii="Times New Roman" w:hAnsi="Times New Roman" w:cs="Times New Roman"/>
        </w:rPr>
        <w:t>16</w:t>
      </w:r>
      <w:r w:rsidR="0081449B" w:rsidRPr="00586DB0">
        <w:rPr>
          <w:rFonts w:ascii="Times New Roman" w:hAnsi="Times New Roman" w:cs="Times New Roman"/>
        </w:rPr>
        <w:t>.  And still facing the clearly uncomfortable prospect of a rehearing Respondent filed for a petition for reconsideration of Order 08</w:t>
      </w:r>
      <w:r w:rsidR="007C738D" w:rsidRPr="00586DB0">
        <w:rPr>
          <w:rFonts w:ascii="Times New Roman" w:hAnsi="Times New Roman" w:cs="Times New Roman"/>
        </w:rPr>
        <w:t xml:space="preserve">.  </w:t>
      </w:r>
      <w:r w:rsidR="00B50507" w:rsidRPr="00586DB0">
        <w:rPr>
          <w:rFonts w:ascii="Times New Roman" w:hAnsi="Times New Roman" w:cs="Times New Roman"/>
        </w:rPr>
        <w:t xml:space="preserve">Speedishuttle Petition, TC-143691, </w:t>
      </w:r>
      <w:r w:rsidR="006F2320" w:rsidRPr="00586DB0">
        <w:rPr>
          <w:rFonts w:ascii="Times New Roman" w:hAnsi="Times New Roman" w:cs="Times New Roman"/>
        </w:rPr>
        <w:t>Oct. 4, 20</w:t>
      </w:r>
      <w:r w:rsidR="00B50507" w:rsidRPr="00586DB0">
        <w:rPr>
          <w:rFonts w:ascii="Times New Roman" w:hAnsi="Times New Roman" w:cs="Times New Roman"/>
        </w:rPr>
        <w:t>16</w:t>
      </w:r>
      <w:r w:rsidR="0081449B" w:rsidRPr="00586DB0">
        <w:rPr>
          <w:rFonts w:ascii="Times New Roman" w:hAnsi="Times New Roman" w:cs="Times New Roman"/>
        </w:rPr>
        <w:t>.  That petition requested an indefinite stay of the case.  Id.  After those were denied, Respondent again sought dismissal of the Comp</w:t>
      </w:r>
      <w:r w:rsidR="007C738D" w:rsidRPr="00586DB0">
        <w:rPr>
          <w:rFonts w:ascii="Times New Roman" w:hAnsi="Times New Roman" w:cs="Times New Roman"/>
        </w:rPr>
        <w:t xml:space="preserve">laint by summary determination.  </w:t>
      </w:r>
      <w:r w:rsidR="00B50507" w:rsidRPr="00586DB0">
        <w:rPr>
          <w:rFonts w:ascii="Times New Roman" w:hAnsi="Times New Roman" w:cs="Times New Roman"/>
        </w:rPr>
        <w:t xml:space="preserve">Speedishuttle </w:t>
      </w:r>
      <w:r w:rsidR="00CD5B21" w:rsidRPr="00586DB0">
        <w:rPr>
          <w:rFonts w:ascii="Times New Roman" w:hAnsi="Times New Roman" w:cs="Times New Roman"/>
        </w:rPr>
        <w:t>Motion</w:t>
      </w:r>
      <w:r w:rsidR="00B50507" w:rsidRPr="00586DB0">
        <w:rPr>
          <w:rFonts w:ascii="Times New Roman" w:hAnsi="Times New Roman" w:cs="Times New Roman"/>
        </w:rPr>
        <w:t xml:space="preserve">, TC-143691, </w:t>
      </w:r>
      <w:r w:rsidR="006F2320" w:rsidRPr="00586DB0">
        <w:rPr>
          <w:rFonts w:ascii="Times New Roman" w:hAnsi="Times New Roman" w:cs="Times New Roman"/>
        </w:rPr>
        <w:t>Dec. 21, 20</w:t>
      </w:r>
      <w:r w:rsidR="00B50507" w:rsidRPr="00586DB0">
        <w:rPr>
          <w:rFonts w:ascii="Times New Roman" w:hAnsi="Times New Roman" w:cs="Times New Roman"/>
        </w:rPr>
        <w:t>16</w:t>
      </w:r>
      <w:r w:rsidR="0081449B" w:rsidRPr="00586DB0">
        <w:rPr>
          <w:rFonts w:ascii="Times New Roman" w:hAnsi="Times New Roman" w:cs="Times New Roman"/>
        </w:rPr>
        <w:t>.  And it filed a complaint of its own that alleged no harm, but once again has delayed the mer</w:t>
      </w:r>
      <w:r w:rsidR="007C738D" w:rsidRPr="00586DB0">
        <w:rPr>
          <w:rFonts w:ascii="Times New Roman" w:hAnsi="Times New Roman" w:cs="Times New Roman"/>
        </w:rPr>
        <w:t xml:space="preserve">its hearing by over two months.  </w:t>
      </w:r>
      <w:r w:rsidR="00B50507" w:rsidRPr="00586DB0">
        <w:rPr>
          <w:rFonts w:ascii="Times New Roman" w:hAnsi="Times New Roman" w:cs="Times New Roman"/>
        </w:rPr>
        <w:t xml:space="preserve">Speedishuttle Complaint, TC-161257, </w:t>
      </w:r>
      <w:r w:rsidR="006F2320" w:rsidRPr="00586DB0">
        <w:rPr>
          <w:rFonts w:ascii="Times New Roman" w:hAnsi="Times New Roman" w:cs="Times New Roman"/>
        </w:rPr>
        <w:t>Dec. 1, 20</w:t>
      </w:r>
      <w:r w:rsidR="00B50507" w:rsidRPr="00586DB0">
        <w:rPr>
          <w:rFonts w:ascii="Times New Roman" w:hAnsi="Times New Roman" w:cs="Times New Roman"/>
        </w:rPr>
        <w:t>16</w:t>
      </w:r>
      <w:r w:rsidR="0081449B" w:rsidRPr="00586DB0">
        <w:rPr>
          <w:rFonts w:ascii="Times New Roman" w:hAnsi="Times New Roman" w:cs="Times New Roman"/>
        </w:rPr>
        <w:t xml:space="preserve">.  </w:t>
      </w:r>
    </w:p>
  </w:footnote>
  <w:footnote w:id="2">
    <w:p w14:paraId="279B7A4F" w14:textId="77777777" w:rsidR="00004408" w:rsidRPr="00586DB0" w:rsidRDefault="00004408">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w:t>
      </w:r>
      <w:r w:rsidRPr="00586DB0">
        <w:rPr>
          <w:rFonts w:ascii="Times New Roman" w:hAnsi="Times New Roman" w:cs="Times New Roman"/>
          <w:i/>
        </w:rPr>
        <w:t>See, e.g.,</w:t>
      </w:r>
      <w:r w:rsidRPr="00586DB0">
        <w:rPr>
          <w:rFonts w:ascii="Times New Roman" w:hAnsi="Times New Roman" w:cs="Times New Roman"/>
        </w:rPr>
        <w:t xml:space="preserve"> RCW 80.01.040.</w:t>
      </w:r>
    </w:p>
  </w:footnote>
  <w:footnote w:id="3">
    <w:p w14:paraId="279B7A50" w14:textId="77777777" w:rsidR="00004408" w:rsidRPr="00586DB0" w:rsidRDefault="00004408">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As well as the rights of Shuttle Express under the public service laws.  </w:t>
      </w:r>
    </w:p>
  </w:footnote>
  <w:footnote w:id="4">
    <w:p w14:paraId="279B7A51" w14:textId="77777777" w:rsidR="005C1AFC" w:rsidRPr="00586DB0" w:rsidRDefault="005C1AFC">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And it identifies Evidence Rules 401-403</w:t>
      </w:r>
      <w:r w:rsidR="00753858" w:rsidRPr="00586DB0">
        <w:rPr>
          <w:rFonts w:ascii="Times New Roman" w:hAnsi="Times New Roman" w:cs="Times New Roman"/>
        </w:rPr>
        <w:t>, which are loosely followed by the Commission,</w:t>
      </w:r>
      <w:r w:rsidRPr="00586DB0">
        <w:rPr>
          <w:rFonts w:ascii="Times New Roman" w:hAnsi="Times New Roman" w:cs="Times New Roman"/>
        </w:rPr>
        <w:t xml:space="preserve"> as the foundation for motions in limine in Washington. </w:t>
      </w:r>
    </w:p>
  </w:footnote>
  <w:footnote w:id="5">
    <w:p w14:paraId="279B7A52" w14:textId="77777777" w:rsidR="006A74FC" w:rsidRPr="00586DB0" w:rsidRDefault="006A74FC">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Petitioner did not locate any Commission </w:t>
      </w:r>
      <w:r w:rsidR="00753858" w:rsidRPr="00586DB0">
        <w:rPr>
          <w:rFonts w:ascii="Times New Roman" w:hAnsi="Times New Roman" w:cs="Times New Roman"/>
        </w:rPr>
        <w:t>orders</w:t>
      </w:r>
      <w:r w:rsidRPr="00586DB0">
        <w:rPr>
          <w:rFonts w:ascii="Times New Roman" w:hAnsi="Times New Roman" w:cs="Times New Roman"/>
        </w:rPr>
        <w:t xml:space="preserve"> articulating the grounds for it to grant a motion in limine</w:t>
      </w:r>
      <w:r w:rsidR="00753858" w:rsidRPr="00586DB0">
        <w:rPr>
          <w:rFonts w:ascii="Times New Roman" w:hAnsi="Times New Roman" w:cs="Times New Roman"/>
        </w:rPr>
        <w:t xml:space="preserve"> in an extensive Westlaw search and does not believe that any exist</w:t>
      </w:r>
      <w:r w:rsidRPr="00586DB0">
        <w:rPr>
          <w:rFonts w:ascii="Times New Roman" w:hAnsi="Times New Roman" w:cs="Times New Roman"/>
        </w:rPr>
        <w:t>.</w:t>
      </w:r>
    </w:p>
  </w:footnote>
  <w:footnote w:id="6">
    <w:p w14:paraId="279B7A53" w14:textId="77777777" w:rsidR="00957A35" w:rsidRPr="00586DB0" w:rsidRDefault="00957A35">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Very often they are used in criminal cases to exclude evidence of prior convictions or other bad acts by the de</w:t>
      </w:r>
      <w:r w:rsidR="002564BB">
        <w:rPr>
          <w:rFonts w:ascii="Times New Roman" w:hAnsi="Times New Roman" w:cs="Times New Roman"/>
        </w:rPr>
        <w:t xml:space="preserve">fendant, as in the following case of </w:t>
      </w:r>
      <w:r w:rsidR="002564BB" w:rsidRPr="002564BB">
        <w:rPr>
          <w:rFonts w:ascii="Times New Roman" w:hAnsi="Times New Roman" w:cs="Times New Roman"/>
          <w:i/>
        </w:rPr>
        <w:t>State v. Kelly</w:t>
      </w:r>
      <w:r w:rsidR="002564BB">
        <w:rPr>
          <w:rFonts w:ascii="Times New Roman" w:hAnsi="Times New Roman" w:cs="Times New Roman"/>
        </w:rPr>
        <w:t xml:space="preserve"> (murder trial).</w:t>
      </w:r>
    </w:p>
  </w:footnote>
  <w:footnote w:id="7">
    <w:p w14:paraId="279B7A54" w14:textId="77777777" w:rsidR="00E34827" w:rsidRPr="00586DB0" w:rsidRDefault="00E34827">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As the court noted in </w:t>
      </w:r>
      <w:r w:rsidRPr="00586DB0">
        <w:rPr>
          <w:rFonts w:ascii="Times New Roman" w:hAnsi="Times New Roman" w:cs="Times New Roman"/>
          <w:i/>
        </w:rPr>
        <w:t>Lewis v. Buena Vista, supra,</w:t>
      </w:r>
      <w:r w:rsidRPr="00586DB0">
        <w:rPr>
          <w:rFonts w:ascii="Times New Roman" w:hAnsi="Times New Roman" w:cs="Times New Roman"/>
        </w:rPr>
        <w:t xml:space="preserve"> Shuttle Express should not “be required to try [its case] </w:t>
      </w:r>
      <w:r w:rsidRPr="002564BB">
        <w:rPr>
          <w:rFonts w:ascii="Times New Roman" w:hAnsi="Times New Roman" w:cs="Times New Roman"/>
        </w:rPr>
        <w:t>twice</w:t>
      </w:r>
      <w:r w:rsidR="002564BB" w:rsidRPr="002564BB">
        <w:rPr>
          <w:rFonts w:ascii="Times New Roman" w:hAnsi="Times New Roman" w:cs="Times New Roman"/>
        </w:rPr>
        <w:t>-</w:t>
      </w:r>
      <w:r w:rsidRPr="002564BB">
        <w:rPr>
          <w:rFonts w:ascii="Times New Roman" w:hAnsi="Times New Roman" w:cs="Times New Roman"/>
        </w:rPr>
        <w:t>once</w:t>
      </w:r>
      <w:r w:rsidRPr="00586DB0">
        <w:rPr>
          <w:rFonts w:ascii="Times New Roman" w:hAnsi="Times New Roman" w:cs="Times New Roman"/>
        </w:rPr>
        <w:t xml:space="preserve"> outside the jury's presence to satisfy the trial court of its sufficiency and then again before the jury.”  The extensive arguments on the sufficiency, relevance, and consequences of nearly all of Shuttle Express’s testim</w:t>
      </w:r>
      <w:r w:rsidR="002564BB">
        <w:rPr>
          <w:rFonts w:ascii="Times New Roman" w:hAnsi="Times New Roman" w:cs="Times New Roman"/>
        </w:rPr>
        <w:t>ony should be reserved for post-</w:t>
      </w:r>
      <w:r w:rsidRPr="00586DB0">
        <w:rPr>
          <w:rFonts w:ascii="Times New Roman" w:hAnsi="Times New Roman" w:cs="Times New Roman"/>
        </w:rPr>
        <w:t>hearing brief.  Shuttle Express should not be required to argue its whole case before Respondent has even submitted a single word of its own testimony, especially after repeated motions to dismiss have already been denied.</w:t>
      </w:r>
    </w:p>
  </w:footnote>
  <w:footnote w:id="8">
    <w:p w14:paraId="279B7A55" w14:textId="77777777" w:rsidR="00DF3BA6" w:rsidRPr="00586DB0" w:rsidRDefault="00DF3BA6" w:rsidP="00DF3BA6">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Because the federal cases on motions in limine are based on Federal Evidence Rules 401-403, and those rules mirror the state evidence rules 401-403 on which state cases are based, the federal cases are relevant and instructive.</w:t>
      </w:r>
    </w:p>
  </w:footnote>
  <w:footnote w:id="9">
    <w:p w14:paraId="279B7A56" w14:textId="77777777" w:rsidR="00FE2B10" w:rsidRPr="00586DB0" w:rsidRDefault="00FE2B10">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w:t>
      </w:r>
      <w:r w:rsidR="007A1CE4" w:rsidRPr="00586DB0">
        <w:rPr>
          <w:rFonts w:ascii="Times New Roman" w:hAnsi="Times New Roman" w:cs="Times New Roman"/>
        </w:rPr>
        <w:t xml:space="preserve">“Shuttle Express realleges the allegations contained in paragraphs 2 through 35 above.” Petition and Formal Complaint of Shuttle Express, Dkt. TC-143691, </w:t>
      </w:r>
      <w:r w:rsidR="006F2320" w:rsidRPr="00586DB0">
        <w:rPr>
          <w:rFonts w:ascii="Times New Roman" w:hAnsi="Times New Roman" w:cs="Times New Roman"/>
        </w:rPr>
        <w:t xml:space="preserve">May </w:t>
      </w:r>
      <w:r w:rsidR="007A1CE4" w:rsidRPr="00586DB0">
        <w:rPr>
          <w:rFonts w:ascii="Times New Roman" w:hAnsi="Times New Roman" w:cs="Times New Roman"/>
        </w:rPr>
        <w:t>16</w:t>
      </w:r>
      <w:r w:rsidR="006F2320" w:rsidRPr="00586DB0">
        <w:rPr>
          <w:rFonts w:ascii="Times New Roman" w:hAnsi="Times New Roman" w:cs="Times New Roman"/>
        </w:rPr>
        <w:t>, 20</w:t>
      </w:r>
      <w:r w:rsidR="007A1CE4" w:rsidRPr="00586DB0">
        <w:rPr>
          <w:rFonts w:ascii="Times New Roman" w:hAnsi="Times New Roman" w:cs="Times New Roman"/>
        </w:rPr>
        <w:t>16,</w:t>
      </w:r>
    </w:p>
  </w:footnote>
  <w:footnote w:id="10">
    <w:p w14:paraId="279B7A57" w14:textId="77777777" w:rsidR="00FE2B10" w:rsidRPr="00586DB0" w:rsidRDefault="00FE2B10">
      <w:pPr>
        <w:pStyle w:val="FootnoteText"/>
        <w:rPr>
          <w:rFonts w:ascii="Times New Roman" w:hAnsi="Times New Roman" w:cs="Times New Roman"/>
        </w:rPr>
      </w:pPr>
      <w:r w:rsidRPr="00586DB0">
        <w:rPr>
          <w:rStyle w:val="FootnoteReference"/>
          <w:rFonts w:ascii="Times New Roman" w:hAnsi="Times New Roman" w:cs="Times New Roman"/>
        </w:rPr>
        <w:footnoteRef/>
      </w:r>
      <w:r w:rsidR="00EE5514" w:rsidRPr="00586DB0">
        <w:rPr>
          <w:rFonts w:ascii="Times New Roman" w:hAnsi="Times New Roman" w:cs="Times New Roman"/>
        </w:rPr>
        <w:t xml:space="preserve"> Speedishuttle Motion to Strike, </w:t>
      </w:r>
      <w:r w:rsidR="007A1CE4" w:rsidRPr="00586DB0">
        <w:rPr>
          <w:rFonts w:ascii="Times New Roman" w:hAnsi="Times New Roman" w:cs="Times New Roman"/>
        </w:rPr>
        <w:t xml:space="preserve">Dkt. </w:t>
      </w:r>
      <w:r w:rsidR="00EE5514" w:rsidRPr="00586DB0">
        <w:rPr>
          <w:rFonts w:ascii="Times New Roman" w:hAnsi="Times New Roman" w:cs="Times New Roman"/>
        </w:rPr>
        <w:t xml:space="preserve">TC-143691, </w:t>
      </w:r>
      <w:r w:rsidR="006F2320" w:rsidRPr="00586DB0">
        <w:rPr>
          <w:rFonts w:ascii="Times New Roman" w:hAnsi="Times New Roman" w:cs="Times New Roman"/>
        </w:rPr>
        <w:t>June 14, 20</w:t>
      </w:r>
      <w:r w:rsidR="00DE3D31" w:rsidRPr="00586DB0">
        <w:rPr>
          <w:rFonts w:ascii="Times New Roman" w:hAnsi="Times New Roman" w:cs="Times New Roman"/>
        </w:rPr>
        <w:t>16</w:t>
      </w:r>
      <w:r w:rsidRPr="00586DB0">
        <w:rPr>
          <w:rFonts w:ascii="Times New Roman" w:hAnsi="Times New Roman" w:cs="Times New Roman"/>
        </w:rPr>
        <w:t xml:space="preserve">.  </w:t>
      </w:r>
    </w:p>
  </w:footnote>
  <w:footnote w:id="11">
    <w:p w14:paraId="279B7A58" w14:textId="77777777" w:rsidR="00586DB0" w:rsidRPr="00586DB0" w:rsidRDefault="00586DB0">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Argument could occur at the start of the hearing.  Or, the Commission could request supplemental briefing on the relevance of one or a few specific passages prior to hearing.</w:t>
      </w:r>
    </w:p>
  </w:footnote>
  <w:footnote w:id="12">
    <w:p w14:paraId="279B7A59" w14:textId="77777777" w:rsidR="00F76222" w:rsidRPr="00974033" w:rsidRDefault="00F76222">
      <w:pPr>
        <w:pStyle w:val="FootnoteText"/>
        <w:rPr>
          <w:rFonts w:ascii="Times New Roman" w:hAnsi="Times New Roman" w:cs="Times New Roman"/>
        </w:rPr>
      </w:pPr>
      <w:r w:rsidRPr="00974033">
        <w:rPr>
          <w:rStyle w:val="FootnoteReference"/>
          <w:rFonts w:ascii="Times New Roman" w:hAnsi="Times New Roman" w:cs="Times New Roman"/>
        </w:rPr>
        <w:footnoteRef/>
      </w:r>
      <w:r w:rsidRPr="00974033">
        <w:rPr>
          <w:rFonts w:ascii="Times New Roman" w:hAnsi="Times New Roman" w:cs="Times New Roman"/>
        </w:rPr>
        <w:t xml:space="preserve"> The Petition for Rehearing has been somewhat limited.  The Commission</w:t>
      </w:r>
      <w:r w:rsidR="00974033" w:rsidRPr="00974033">
        <w:rPr>
          <w:rFonts w:ascii="Times New Roman" w:hAnsi="Times New Roman" w:cs="Times New Roman"/>
        </w:rPr>
        <w:t xml:space="preserve"> stated it</w:t>
      </w:r>
      <w:r w:rsidRPr="00974033">
        <w:rPr>
          <w:rFonts w:ascii="Times New Roman" w:hAnsi="Times New Roman" w:cs="Times New Roman"/>
        </w:rPr>
        <w:t xml:space="preserve"> does not intend to “relitigate the BAP” or “permit a collateral attack on [its] rules.”  But those qualifications are based on red-herring arguments by Respondent and an abundance of caution to make it clear that relief will be forward-going, not retroactive.  </w:t>
      </w:r>
      <w:r w:rsidR="00974033" w:rsidRPr="00974033">
        <w:rPr>
          <w:rFonts w:ascii="Times New Roman" w:hAnsi="Times New Roman" w:cs="Times New Roman"/>
        </w:rPr>
        <w:t>To be clear, Shuttle Express’s case is based in part on past acts and omissions and alleged “abuses” (as used in the statu</w:t>
      </w:r>
      <w:r w:rsidR="00DF3BA6">
        <w:rPr>
          <w:rFonts w:ascii="Times New Roman" w:hAnsi="Times New Roman" w:cs="Times New Roman"/>
        </w:rPr>
        <w:t>t</w:t>
      </w:r>
      <w:r w:rsidR="00974033" w:rsidRPr="00974033">
        <w:rPr>
          <w:rFonts w:ascii="Times New Roman" w:hAnsi="Times New Roman" w:cs="Times New Roman"/>
        </w:rPr>
        <w:t xml:space="preserve">e) of Speedishuttle.  But that does not imply or require that the Commission take any </w:t>
      </w:r>
      <w:r w:rsidR="00974033" w:rsidRPr="00974033">
        <w:rPr>
          <w:rFonts w:ascii="Times New Roman" w:hAnsi="Times New Roman" w:cs="Times New Roman"/>
          <w:u w:val="single"/>
        </w:rPr>
        <w:t>retroactive</w:t>
      </w:r>
      <w:r w:rsidR="00974033" w:rsidRPr="00974033">
        <w:rPr>
          <w:rFonts w:ascii="Times New Roman" w:hAnsi="Times New Roman" w:cs="Times New Roman"/>
        </w:rPr>
        <w:t xml:space="preserve"> action.  Both RCW 81.04.110 and 81.04.200 expressly and clearly contemplate that the Commission may take forward-going action based on past “abuses” or even innocent but unexpected consequences resulting from past actions by a carrier and/or the Commission.  Introducing facts regard the BAP and real-world application of the Commission’s rules simply provides background and context that will assist the Commission in determining  what actions to take next in order to protect the public interest and the parties’ rights.   It is not a “re-litigation.”</w:t>
      </w:r>
    </w:p>
  </w:footnote>
  <w:footnote w:id="13">
    <w:p w14:paraId="279B7A5A" w14:textId="77777777" w:rsidR="00974033" w:rsidRPr="00974033" w:rsidRDefault="00974033">
      <w:pPr>
        <w:pStyle w:val="FootnoteText"/>
        <w:rPr>
          <w:rFonts w:ascii="Times New Roman" w:hAnsi="Times New Roman" w:cs="Times New Roman"/>
        </w:rPr>
      </w:pPr>
      <w:r w:rsidRPr="00974033">
        <w:rPr>
          <w:rStyle w:val="FootnoteReference"/>
          <w:rFonts w:ascii="Times New Roman" w:hAnsi="Times New Roman" w:cs="Times New Roman"/>
        </w:rPr>
        <w:footnoteRef/>
      </w:r>
      <w:r w:rsidRPr="00974033">
        <w:rPr>
          <w:rFonts w:ascii="Times New Roman" w:hAnsi="Times New Roman" w:cs="Times New Roman"/>
        </w:rPr>
        <w:t xml:space="preserve"> See Note 12, </w:t>
      </w:r>
      <w:r w:rsidRPr="00974033">
        <w:rPr>
          <w:rFonts w:ascii="Times New Roman" w:hAnsi="Times New Roman" w:cs="Times New Roman"/>
          <w:i/>
        </w:rPr>
        <w:t>supra</w:t>
      </w:r>
      <w:r w:rsidRPr="00974033">
        <w:rPr>
          <w:rFonts w:ascii="Times New Roman" w:hAnsi="Times New Roman" w:cs="Times New Roman"/>
        </w:rPr>
        <w:t>.</w:t>
      </w:r>
    </w:p>
  </w:footnote>
  <w:footnote w:id="14">
    <w:p w14:paraId="279B7A5B" w14:textId="77777777" w:rsidR="00116C96" w:rsidRPr="00586DB0" w:rsidRDefault="00116C96">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Notice of Determination not to Amend Order 04 (Dec. 14, 2015)(“Notice”).</w:t>
      </w:r>
    </w:p>
  </w:footnote>
  <w:footnote w:id="15">
    <w:p w14:paraId="279B7A5C" w14:textId="77777777" w:rsidR="00116C96" w:rsidRPr="00586DB0" w:rsidRDefault="00116C96">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Asserting that “walk-up service” was already “addressed and resolved” in the Notice.  </w:t>
      </w:r>
      <w:r w:rsidRPr="003C722F">
        <w:rPr>
          <w:rFonts w:ascii="Times New Roman" w:hAnsi="Times New Roman" w:cs="Times New Roman"/>
          <w:i/>
        </w:rPr>
        <w:t>Id</w:t>
      </w:r>
      <w:r w:rsidRPr="00586DB0">
        <w:rPr>
          <w:rFonts w:ascii="Times New Roman" w:hAnsi="Times New Roman" w:cs="Times New Roman"/>
        </w:rPr>
        <w:t xml:space="preserve">. at 4.  </w:t>
      </w:r>
    </w:p>
  </w:footnote>
  <w:footnote w:id="16">
    <w:p w14:paraId="279B7A5D" w14:textId="77777777" w:rsidR="007C25C0" w:rsidRPr="007C25C0" w:rsidRDefault="00745AB2" w:rsidP="007C25C0">
      <w:pPr>
        <w:pStyle w:val="FootnoteText"/>
        <w:rPr>
          <w:rFonts w:ascii="Times New Roman" w:hAnsi="Times New Roman" w:cs="Times New Roman"/>
        </w:rPr>
      </w:pPr>
      <w:r w:rsidRPr="007C25C0">
        <w:rPr>
          <w:rStyle w:val="FootnoteReference"/>
          <w:rFonts w:ascii="Times New Roman" w:hAnsi="Times New Roman" w:cs="Times New Roman"/>
        </w:rPr>
        <w:footnoteRef/>
      </w:r>
      <w:r w:rsidRPr="007C25C0">
        <w:rPr>
          <w:rFonts w:ascii="Times New Roman" w:hAnsi="Times New Roman" w:cs="Times New Roman"/>
        </w:rPr>
        <w:t xml:space="preserve"> Briefly, “walk-up” service was not specifically discussed in Order 02 or Order 04.  But both orders relied, in part, on the supposed commitment to offer greeters to all arriving air travelers at baggage.  Since walk-ups cannot be greeted at baggage claim and since Speedishuttle </w:t>
      </w:r>
      <w:r w:rsidR="007C25C0" w:rsidRPr="007C25C0">
        <w:rPr>
          <w:rFonts w:ascii="Times New Roman" w:hAnsi="Times New Roman" w:cs="Times New Roman"/>
        </w:rPr>
        <w:t>denied that it would offer walk-</w:t>
      </w:r>
      <w:r w:rsidRPr="007C25C0">
        <w:rPr>
          <w:rFonts w:ascii="Times New Roman" w:hAnsi="Times New Roman" w:cs="Times New Roman"/>
        </w:rPr>
        <w:t xml:space="preserve">up service at the application hearing in TC-143691, </w:t>
      </w:r>
      <w:r w:rsidR="007C25C0" w:rsidRPr="007C25C0">
        <w:rPr>
          <w:rFonts w:ascii="Times New Roman" w:hAnsi="Times New Roman" w:cs="Times New Roman"/>
        </w:rPr>
        <w:t>the existence of this service could be a changed condition, injurious result not considered, or an effect that was not contemplated.  All of these would fit squarely within the considerations of RCW 81.04.200.</w:t>
      </w:r>
    </w:p>
    <w:p w14:paraId="279B7A5E" w14:textId="77777777" w:rsidR="00745AB2" w:rsidRDefault="00745AB2" w:rsidP="007C25C0">
      <w:pPr>
        <w:pStyle w:val="FootnoteText"/>
      </w:pPr>
    </w:p>
  </w:footnote>
  <w:footnote w:id="17">
    <w:p w14:paraId="279B7A5F" w14:textId="77777777" w:rsidR="00FD3AC2" w:rsidRPr="00586DB0" w:rsidRDefault="00FD3AC2" w:rsidP="00FD3AC2">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Moreover, the rationale was based on the narrow facts, laws, and regulations under consideration at that time.  The Shuttle Express Petition and Complaint go far beyond those considerations, both factually and legally.  </w:t>
      </w:r>
      <w:r w:rsidR="00F30B21" w:rsidRPr="00586DB0">
        <w:rPr>
          <w:rFonts w:ascii="Times New Roman" w:hAnsi="Times New Roman" w:cs="Times New Roman"/>
        </w:rPr>
        <w:t>For example, the Notice did not consider this definition found in WAC 480-30-036:  “‘By-reservation-only service’ means transportation of passengers by an auto transportation company, with routes operated only if passengers have made prior reservations.”  (Emphasis added).  Nor did it consider this provision in WAC 480-30-096(3)(a)(ii), enumerating the requirement contents of an auto transportation application:  “‘Door-to-door service requires a time schedule in compliance with WAC 480-30-281 (2)(c) and may be restricted to ‘by reservation only’….”  (Emphasis added).  Both WAC 480-30-281(2)(c)(ii) and WAC 480-30-356(3)(d)(ii) also reference and acknowledge that service may be limited to “by reservation only.”  Though the Commission’s rules unquestionably both define and allow for “by reservation only” service at least four times, Respondent’s comments in 2015 year omitted that fact, so they weren’t discussed in the Notice.</w:t>
      </w:r>
    </w:p>
  </w:footnote>
  <w:footnote w:id="18">
    <w:p w14:paraId="279B7A60" w14:textId="77777777" w:rsidR="00FD3AC2" w:rsidRPr="00586DB0" w:rsidRDefault="00FD3AC2" w:rsidP="00FD3AC2">
      <w:pPr>
        <w:pStyle w:val="FootnoteText"/>
        <w:rPr>
          <w:rFonts w:ascii="Times New Roman" w:hAnsi="Times New Roman" w:cs="Times New Roman"/>
        </w:rPr>
      </w:pPr>
      <w:r w:rsidRPr="00586DB0">
        <w:rPr>
          <w:rStyle w:val="FootnoteReference"/>
          <w:rFonts w:ascii="Times New Roman" w:hAnsi="Times New Roman" w:cs="Times New Roman"/>
        </w:rPr>
        <w:footnoteRef/>
      </w:r>
      <w:r w:rsidRPr="00586DB0">
        <w:rPr>
          <w:rFonts w:ascii="Times New Roman" w:hAnsi="Times New Roman" w:cs="Times New Roman"/>
        </w:rPr>
        <w:t xml:space="preserve"> Probably with the encouragement of the Respondent’s and Commission’s attorneys.</w:t>
      </w:r>
    </w:p>
  </w:footnote>
  <w:footnote w:id="19">
    <w:p w14:paraId="279B7A61" w14:textId="77777777" w:rsidR="00CE1527" w:rsidRPr="00CE1527" w:rsidRDefault="00CE1527">
      <w:pPr>
        <w:pStyle w:val="FootnoteText"/>
        <w:rPr>
          <w:rFonts w:ascii="Times New Roman" w:hAnsi="Times New Roman" w:cs="Times New Roman"/>
        </w:rPr>
      </w:pPr>
      <w:r w:rsidRPr="00CE1527">
        <w:rPr>
          <w:rStyle w:val="FootnoteReference"/>
          <w:rFonts w:ascii="Times New Roman" w:hAnsi="Times New Roman" w:cs="Times New Roman"/>
        </w:rPr>
        <w:footnoteRef/>
      </w:r>
      <w:r w:rsidRPr="00CE1527">
        <w:rPr>
          <w:rFonts w:ascii="Times New Roman" w:hAnsi="Times New Roman" w:cs="Times New Roman"/>
        </w:rPr>
        <w:t xml:space="preserve"> Only if the Commission has concerns about any specific fact in the proffered testimony, it should require very narrow oral argument or supplemental briefing.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2FBF7574"/>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4"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8"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20"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7D56877"/>
    <w:multiLevelType w:val="hybridMultilevel"/>
    <w:tmpl w:val="F2E041B4"/>
    <w:lvl w:ilvl="0" w:tplc="903E3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17"/>
  </w:num>
  <w:num w:numId="5">
    <w:abstractNumId w:val="20"/>
  </w:num>
  <w:num w:numId="6">
    <w:abstractNumId w:val="5"/>
  </w:num>
  <w:num w:numId="7">
    <w:abstractNumId w:val="1"/>
  </w:num>
  <w:num w:numId="8">
    <w:abstractNumId w:val="13"/>
  </w:num>
  <w:num w:numId="9">
    <w:abstractNumId w:val="4"/>
  </w:num>
  <w:num w:numId="10">
    <w:abstractNumId w:val="3"/>
  </w:num>
  <w:num w:numId="11">
    <w:abstractNumId w:val="18"/>
  </w:num>
  <w:num w:numId="12">
    <w:abstractNumId w:val="23"/>
  </w:num>
  <w:num w:numId="13">
    <w:abstractNumId w:val="21"/>
  </w:num>
  <w:num w:numId="14">
    <w:abstractNumId w:val="6"/>
  </w:num>
  <w:num w:numId="15">
    <w:abstractNumId w:val="11"/>
  </w:num>
  <w:num w:numId="16">
    <w:abstractNumId w:val="2"/>
  </w:num>
  <w:num w:numId="17">
    <w:abstractNumId w:val="8"/>
  </w:num>
  <w:num w:numId="18">
    <w:abstractNumId w:val="9"/>
  </w:num>
  <w:num w:numId="19">
    <w:abstractNumId w:val="15"/>
  </w:num>
  <w:num w:numId="20">
    <w:abstractNumId w:val="16"/>
  </w:num>
  <w:num w:numId="21">
    <w:abstractNumId w:val="22"/>
  </w:num>
  <w:num w:numId="22">
    <w:abstractNumId w:val="0"/>
  </w:num>
  <w:num w:numId="23">
    <w:abstractNumId w:val="1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04408"/>
    <w:rsid w:val="00005FD1"/>
    <w:rsid w:val="0003149B"/>
    <w:rsid w:val="00040F22"/>
    <w:rsid w:val="00042BD6"/>
    <w:rsid w:val="00071D69"/>
    <w:rsid w:val="0009123C"/>
    <w:rsid w:val="000C6E71"/>
    <w:rsid w:val="00101C11"/>
    <w:rsid w:val="00103113"/>
    <w:rsid w:val="00105A1A"/>
    <w:rsid w:val="00116C96"/>
    <w:rsid w:val="00120FA5"/>
    <w:rsid w:val="001217B3"/>
    <w:rsid w:val="00151B7E"/>
    <w:rsid w:val="00160647"/>
    <w:rsid w:val="00161A11"/>
    <w:rsid w:val="00167E39"/>
    <w:rsid w:val="00176AA9"/>
    <w:rsid w:val="00192C08"/>
    <w:rsid w:val="001A4F6F"/>
    <w:rsid w:val="001B018D"/>
    <w:rsid w:val="001B070E"/>
    <w:rsid w:val="001B0B16"/>
    <w:rsid w:val="001B15BC"/>
    <w:rsid w:val="001C3C47"/>
    <w:rsid w:val="001D34AE"/>
    <w:rsid w:val="00202468"/>
    <w:rsid w:val="00215E4E"/>
    <w:rsid w:val="00224C30"/>
    <w:rsid w:val="00244BB9"/>
    <w:rsid w:val="002564BB"/>
    <w:rsid w:val="002612C5"/>
    <w:rsid w:val="0026578C"/>
    <w:rsid w:val="00293637"/>
    <w:rsid w:val="002A6855"/>
    <w:rsid w:val="002D3B25"/>
    <w:rsid w:val="002F3BCD"/>
    <w:rsid w:val="002F6B5C"/>
    <w:rsid w:val="00303C45"/>
    <w:rsid w:val="00345526"/>
    <w:rsid w:val="00355DFF"/>
    <w:rsid w:val="00362F7F"/>
    <w:rsid w:val="003646A6"/>
    <w:rsid w:val="003649F6"/>
    <w:rsid w:val="00373F40"/>
    <w:rsid w:val="00376F5D"/>
    <w:rsid w:val="00381604"/>
    <w:rsid w:val="00387EC0"/>
    <w:rsid w:val="003A05B7"/>
    <w:rsid w:val="003A5C1C"/>
    <w:rsid w:val="003C32CE"/>
    <w:rsid w:val="003C722F"/>
    <w:rsid w:val="003D5BA6"/>
    <w:rsid w:val="0040418B"/>
    <w:rsid w:val="004047E1"/>
    <w:rsid w:val="00407643"/>
    <w:rsid w:val="004171D1"/>
    <w:rsid w:val="00425B6C"/>
    <w:rsid w:val="00433C91"/>
    <w:rsid w:val="00434F3C"/>
    <w:rsid w:val="00451F1B"/>
    <w:rsid w:val="00452DA6"/>
    <w:rsid w:val="00465074"/>
    <w:rsid w:val="00477240"/>
    <w:rsid w:val="004852CA"/>
    <w:rsid w:val="004A0FC7"/>
    <w:rsid w:val="004A464E"/>
    <w:rsid w:val="004A473F"/>
    <w:rsid w:val="004B0DF0"/>
    <w:rsid w:val="004C5E48"/>
    <w:rsid w:val="004D1194"/>
    <w:rsid w:val="004D3DB0"/>
    <w:rsid w:val="004F0F97"/>
    <w:rsid w:val="00500039"/>
    <w:rsid w:val="005016B3"/>
    <w:rsid w:val="00502242"/>
    <w:rsid w:val="00512346"/>
    <w:rsid w:val="00512606"/>
    <w:rsid w:val="0052066F"/>
    <w:rsid w:val="00526B98"/>
    <w:rsid w:val="005276D2"/>
    <w:rsid w:val="00534BCF"/>
    <w:rsid w:val="00534ECF"/>
    <w:rsid w:val="00544214"/>
    <w:rsid w:val="005446AD"/>
    <w:rsid w:val="00556176"/>
    <w:rsid w:val="00572211"/>
    <w:rsid w:val="00572C7F"/>
    <w:rsid w:val="00574368"/>
    <w:rsid w:val="00577341"/>
    <w:rsid w:val="00586DB0"/>
    <w:rsid w:val="005B0179"/>
    <w:rsid w:val="005C1AFC"/>
    <w:rsid w:val="005D7E0E"/>
    <w:rsid w:val="005E23B8"/>
    <w:rsid w:val="005F1194"/>
    <w:rsid w:val="005F6812"/>
    <w:rsid w:val="00605D27"/>
    <w:rsid w:val="006061CA"/>
    <w:rsid w:val="00611B00"/>
    <w:rsid w:val="0063153A"/>
    <w:rsid w:val="006346D4"/>
    <w:rsid w:val="00643422"/>
    <w:rsid w:val="00650105"/>
    <w:rsid w:val="00653901"/>
    <w:rsid w:val="006721A7"/>
    <w:rsid w:val="0068238E"/>
    <w:rsid w:val="006833FC"/>
    <w:rsid w:val="00691400"/>
    <w:rsid w:val="0069170E"/>
    <w:rsid w:val="006978C5"/>
    <w:rsid w:val="006A74FC"/>
    <w:rsid w:val="006B31D0"/>
    <w:rsid w:val="006B6990"/>
    <w:rsid w:val="006D60ED"/>
    <w:rsid w:val="006F2320"/>
    <w:rsid w:val="006F42D8"/>
    <w:rsid w:val="006F6826"/>
    <w:rsid w:val="00713705"/>
    <w:rsid w:val="00715D30"/>
    <w:rsid w:val="00716E5E"/>
    <w:rsid w:val="007302FC"/>
    <w:rsid w:val="00740974"/>
    <w:rsid w:val="00741016"/>
    <w:rsid w:val="007432D5"/>
    <w:rsid w:val="00745AB2"/>
    <w:rsid w:val="00746C1F"/>
    <w:rsid w:val="00751BFE"/>
    <w:rsid w:val="00753858"/>
    <w:rsid w:val="007609FC"/>
    <w:rsid w:val="0077029E"/>
    <w:rsid w:val="00781CED"/>
    <w:rsid w:val="00782A8B"/>
    <w:rsid w:val="00782C42"/>
    <w:rsid w:val="0078399B"/>
    <w:rsid w:val="007948F5"/>
    <w:rsid w:val="007A1CE4"/>
    <w:rsid w:val="007B1AA7"/>
    <w:rsid w:val="007B34DC"/>
    <w:rsid w:val="007B3807"/>
    <w:rsid w:val="007B4176"/>
    <w:rsid w:val="007B7346"/>
    <w:rsid w:val="007B764B"/>
    <w:rsid w:val="007C25C0"/>
    <w:rsid w:val="007C6424"/>
    <w:rsid w:val="007C738D"/>
    <w:rsid w:val="007D4271"/>
    <w:rsid w:val="007E7FE7"/>
    <w:rsid w:val="007F4099"/>
    <w:rsid w:val="008011A4"/>
    <w:rsid w:val="00807D48"/>
    <w:rsid w:val="0081449B"/>
    <w:rsid w:val="00835370"/>
    <w:rsid w:val="00843AC4"/>
    <w:rsid w:val="00845542"/>
    <w:rsid w:val="0085082F"/>
    <w:rsid w:val="0085517D"/>
    <w:rsid w:val="0086245B"/>
    <w:rsid w:val="0086617B"/>
    <w:rsid w:val="008702CB"/>
    <w:rsid w:val="00885FC0"/>
    <w:rsid w:val="00894E51"/>
    <w:rsid w:val="00896AC6"/>
    <w:rsid w:val="008A083C"/>
    <w:rsid w:val="008D37F9"/>
    <w:rsid w:val="008E0966"/>
    <w:rsid w:val="008E30B8"/>
    <w:rsid w:val="00912F6B"/>
    <w:rsid w:val="00920CFD"/>
    <w:rsid w:val="00951561"/>
    <w:rsid w:val="009544EA"/>
    <w:rsid w:val="00957660"/>
    <w:rsid w:val="00957A35"/>
    <w:rsid w:val="00970B37"/>
    <w:rsid w:val="00974033"/>
    <w:rsid w:val="009750CE"/>
    <w:rsid w:val="00982985"/>
    <w:rsid w:val="0099109B"/>
    <w:rsid w:val="009A222F"/>
    <w:rsid w:val="009A61A5"/>
    <w:rsid w:val="009B0F5D"/>
    <w:rsid w:val="009D3870"/>
    <w:rsid w:val="009D44EF"/>
    <w:rsid w:val="009D5483"/>
    <w:rsid w:val="009E3B3C"/>
    <w:rsid w:val="009F0FA2"/>
    <w:rsid w:val="009F55F6"/>
    <w:rsid w:val="00A1032F"/>
    <w:rsid w:val="00A20924"/>
    <w:rsid w:val="00A275D2"/>
    <w:rsid w:val="00A31276"/>
    <w:rsid w:val="00A317ED"/>
    <w:rsid w:val="00A455BE"/>
    <w:rsid w:val="00A50DBF"/>
    <w:rsid w:val="00A82901"/>
    <w:rsid w:val="00AA1E50"/>
    <w:rsid w:val="00AA4128"/>
    <w:rsid w:val="00AB248D"/>
    <w:rsid w:val="00AB3E8F"/>
    <w:rsid w:val="00AD0FE4"/>
    <w:rsid w:val="00AD2337"/>
    <w:rsid w:val="00AD37EF"/>
    <w:rsid w:val="00AE1E6A"/>
    <w:rsid w:val="00AF6865"/>
    <w:rsid w:val="00B03AB4"/>
    <w:rsid w:val="00B24820"/>
    <w:rsid w:val="00B40061"/>
    <w:rsid w:val="00B50507"/>
    <w:rsid w:val="00B6257E"/>
    <w:rsid w:val="00B640C8"/>
    <w:rsid w:val="00B665FD"/>
    <w:rsid w:val="00B673EB"/>
    <w:rsid w:val="00B761C4"/>
    <w:rsid w:val="00B76AE3"/>
    <w:rsid w:val="00B84F7F"/>
    <w:rsid w:val="00BA17FD"/>
    <w:rsid w:val="00BB0E52"/>
    <w:rsid w:val="00BC7CF0"/>
    <w:rsid w:val="00BD0B33"/>
    <w:rsid w:val="00BD6C2A"/>
    <w:rsid w:val="00BD7515"/>
    <w:rsid w:val="00BE0E0C"/>
    <w:rsid w:val="00BE304C"/>
    <w:rsid w:val="00BE4C28"/>
    <w:rsid w:val="00C000C4"/>
    <w:rsid w:val="00C01210"/>
    <w:rsid w:val="00C02F2F"/>
    <w:rsid w:val="00C1417D"/>
    <w:rsid w:val="00C174DB"/>
    <w:rsid w:val="00C202EC"/>
    <w:rsid w:val="00C364DC"/>
    <w:rsid w:val="00C366E7"/>
    <w:rsid w:val="00C41C5D"/>
    <w:rsid w:val="00C44B44"/>
    <w:rsid w:val="00C537FE"/>
    <w:rsid w:val="00C643EE"/>
    <w:rsid w:val="00C64CE9"/>
    <w:rsid w:val="00C70878"/>
    <w:rsid w:val="00C731A2"/>
    <w:rsid w:val="00C748B8"/>
    <w:rsid w:val="00C85456"/>
    <w:rsid w:val="00C85EAE"/>
    <w:rsid w:val="00CA7ED7"/>
    <w:rsid w:val="00CC3861"/>
    <w:rsid w:val="00CD397F"/>
    <w:rsid w:val="00CD3B6E"/>
    <w:rsid w:val="00CD5415"/>
    <w:rsid w:val="00CD5B21"/>
    <w:rsid w:val="00CE1527"/>
    <w:rsid w:val="00CE367F"/>
    <w:rsid w:val="00CF0306"/>
    <w:rsid w:val="00D10946"/>
    <w:rsid w:val="00D17B03"/>
    <w:rsid w:val="00D20A83"/>
    <w:rsid w:val="00D27AE0"/>
    <w:rsid w:val="00D46866"/>
    <w:rsid w:val="00D51107"/>
    <w:rsid w:val="00D531BD"/>
    <w:rsid w:val="00D56130"/>
    <w:rsid w:val="00D56DF5"/>
    <w:rsid w:val="00D66FB7"/>
    <w:rsid w:val="00D851DB"/>
    <w:rsid w:val="00D93788"/>
    <w:rsid w:val="00D95BF6"/>
    <w:rsid w:val="00D97CDA"/>
    <w:rsid w:val="00DA1CBC"/>
    <w:rsid w:val="00DA2A86"/>
    <w:rsid w:val="00DA33FE"/>
    <w:rsid w:val="00DC20F7"/>
    <w:rsid w:val="00DC3AD4"/>
    <w:rsid w:val="00DC4012"/>
    <w:rsid w:val="00DD6E86"/>
    <w:rsid w:val="00DD7733"/>
    <w:rsid w:val="00DE3D31"/>
    <w:rsid w:val="00DE5FFC"/>
    <w:rsid w:val="00DF3BA6"/>
    <w:rsid w:val="00E141F9"/>
    <w:rsid w:val="00E26CCC"/>
    <w:rsid w:val="00E3177F"/>
    <w:rsid w:val="00E34827"/>
    <w:rsid w:val="00E523A9"/>
    <w:rsid w:val="00E52460"/>
    <w:rsid w:val="00E579F1"/>
    <w:rsid w:val="00E715D1"/>
    <w:rsid w:val="00E95352"/>
    <w:rsid w:val="00E97659"/>
    <w:rsid w:val="00EA5270"/>
    <w:rsid w:val="00EA7670"/>
    <w:rsid w:val="00EB688A"/>
    <w:rsid w:val="00EB7DEC"/>
    <w:rsid w:val="00EC4A6C"/>
    <w:rsid w:val="00EC4DDF"/>
    <w:rsid w:val="00ED1E9C"/>
    <w:rsid w:val="00EE5514"/>
    <w:rsid w:val="00EF2126"/>
    <w:rsid w:val="00EF6AFF"/>
    <w:rsid w:val="00F0464A"/>
    <w:rsid w:val="00F108AD"/>
    <w:rsid w:val="00F174AB"/>
    <w:rsid w:val="00F23104"/>
    <w:rsid w:val="00F30B21"/>
    <w:rsid w:val="00F345AB"/>
    <w:rsid w:val="00F509CB"/>
    <w:rsid w:val="00F53E00"/>
    <w:rsid w:val="00F5489B"/>
    <w:rsid w:val="00F57D47"/>
    <w:rsid w:val="00F67B6A"/>
    <w:rsid w:val="00F76222"/>
    <w:rsid w:val="00F76DFB"/>
    <w:rsid w:val="00F934FD"/>
    <w:rsid w:val="00F9517A"/>
    <w:rsid w:val="00F9628C"/>
    <w:rsid w:val="00FA2FE2"/>
    <w:rsid w:val="00FB5CA7"/>
    <w:rsid w:val="00FC7749"/>
    <w:rsid w:val="00FD3AC2"/>
    <w:rsid w:val="00FD7255"/>
    <w:rsid w:val="00FE2B10"/>
    <w:rsid w:val="00FE59DE"/>
    <w:rsid w:val="00FE7EA7"/>
    <w:rsid w:val="00FF1C72"/>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B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wiley@williamskastn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harlow@fcclaw.com" TargetMode="External"/><Relationship Id="rId17" Type="http://schemas.openxmlformats.org/officeDocument/2006/relationships/hyperlink" Target="mailto:jbeattie@utc.wa.gov"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eattie@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2B4A33-C1A3-401C-98B2-AE32301E8C10}"/>
</file>

<file path=customXml/itemProps2.xml><?xml version="1.0" encoding="utf-8"?>
<ds:datastoreItem xmlns:ds="http://schemas.openxmlformats.org/officeDocument/2006/customXml" ds:itemID="{1B49CD92-D85A-429C-878B-0C526FC14F9E}">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6a7bd91e-004b-490a-8704-e368d63d59a0"/>
  </ds:schemaRefs>
</ds:datastoreItem>
</file>

<file path=customXml/itemProps3.xml><?xml version="1.0" encoding="utf-8"?>
<ds:datastoreItem xmlns:ds="http://schemas.openxmlformats.org/officeDocument/2006/customXml" ds:itemID="{1E063509-B17A-4486-96BF-7C490295B903}">
  <ds:schemaRefs>
    <ds:schemaRef ds:uri="http://schemas.microsoft.com/sharepoint/v3/contenttype/forms"/>
  </ds:schemaRefs>
</ds:datastoreItem>
</file>

<file path=customXml/itemProps4.xml><?xml version="1.0" encoding="utf-8"?>
<ds:datastoreItem xmlns:ds="http://schemas.openxmlformats.org/officeDocument/2006/customXml" ds:itemID="{D011D9E6-236D-4115-B755-60C5E43F7B4C}">
  <ds:schemaRefs>
    <ds:schemaRef ds:uri="http://schemas.openxmlformats.org/officeDocument/2006/bibliography"/>
  </ds:schemaRefs>
</ds:datastoreItem>
</file>

<file path=customXml/itemProps5.xml><?xml version="1.0" encoding="utf-8"?>
<ds:datastoreItem xmlns:ds="http://schemas.openxmlformats.org/officeDocument/2006/customXml" ds:itemID="{ECFF5693-E991-452F-A3EB-55F8C8848F01}"/>
</file>

<file path=docProps/app.xml><?xml version="1.0" encoding="utf-8"?>
<Properties xmlns="http://schemas.openxmlformats.org/officeDocument/2006/extended-properties" xmlns:vt="http://schemas.openxmlformats.org/officeDocument/2006/docPropsVTypes">
  <Template>Normal.dotm</Template>
  <TotalTime>0</TotalTime>
  <Pages>17</Pages>
  <Words>3736</Words>
  <Characters>21299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2017-01-27T23:14:00Z</dcterms:created>
  <dcterms:modified xsi:type="dcterms:W3CDTF">2017-01-27T23:14:00Z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