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7E32E" w14:textId="77777777" w:rsidR="001748AA" w:rsidRPr="00347874" w:rsidRDefault="001748AA" w:rsidP="001748AA">
      <w:pPr>
        <w:pStyle w:val="HeadingRomanAllCap"/>
        <w:numPr>
          <w:ilvl w:val="0"/>
          <w:numId w:val="0"/>
        </w:numPr>
      </w:pPr>
      <w:r w:rsidRPr="00347874">
        <w:t>BEFORE THE WASHINGTON</w:t>
      </w:r>
    </w:p>
    <w:p w14:paraId="1D8329DD" w14:textId="77777777" w:rsidR="001748AA" w:rsidRPr="00347874" w:rsidRDefault="001748AA" w:rsidP="001748AA">
      <w:pPr>
        <w:pStyle w:val="HeadingRomanAllCap"/>
        <w:numPr>
          <w:ilvl w:val="0"/>
          <w:numId w:val="0"/>
        </w:numPr>
      </w:pPr>
      <w:r w:rsidRPr="00347874">
        <w:t>UTILITIES AND TRANSPORTATION COMMISSION</w:t>
      </w:r>
    </w:p>
    <w:p w14:paraId="4BE9C812" w14:textId="77777777" w:rsidR="001748AA" w:rsidRPr="00347874" w:rsidRDefault="001748AA" w:rsidP="001748AA">
      <w:pPr>
        <w:pStyle w:val="HeadingRomanAllCap"/>
        <w:numPr>
          <w:ilvl w:val="0"/>
          <w:numId w:val="0"/>
        </w:numPr>
      </w:pPr>
    </w:p>
    <w:tbl>
      <w:tblPr>
        <w:tblW w:w="8963" w:type="dxa"/>
        <w:tblLayout w:type="fixed"/>
        <w:tblLook w:val="0000" w:firstRow="0" w:lastRow="0" w:firstColumn="0" w:lastColumn="0" w:noHBand="0" w:noVBand="0"/>
      </w:tblPr>
      <w:tblGrid>
        <w:gridCol w:w="4608"/>
        <w:gridCol w:w="489"/>
        <w:gridCol w:w="3866"/>
      </w:tblGrid>
      <w:tr w:rsidR="001748AA" w:rsidRPr="00347874" w14:paraId="18EA82FC" w14:textId="77777777" w:rsidTr="00704310">
        <w:tc>
          <w:tcPr>
            <w:tcW w:w="4608" w:type="dxa"/>
            <w:tcBorders>
              <w:bottom w:val="single" w:sz="4" w:space="0" w:color="auto"/>
              <w:right w:val="single" w:sz="4" w:space="0" w:color="auto"/>
            </w:tcBorders>
          </w:tcPr>
          <w:p w14:paraId="65AF09E8" w14:textId="77777777" w:rsidR="00275264" w:rsidRDefault="00275264" w:rsidP="00275264">
            <w:pPr>
              <w:pStyle w:val="NoSpacing"/>
              <w:spacing w:line="264" w:lineRule="auto"/>
            </w:pPr>
            <w:r>
              <w:t>In the Matter of Determining the Proper Carrier Classification of, and Complaint</w:t>
            </w:r>
          </w:p>
          <w:p w14:paraId="071BFACD" w14:textId="77777777" w:rsidR="00275264" w:rsidRDefault="00275264" w:rsidP="00275264">
            <w:pPr>
              <w:pStyle w:val="NoSpacing"/>
              <w:spacing w:line="264" w:lineRule="auto"/>
            </w:pPr>
            <w:r>
              <w:t>for Penalties against:</w:t>
            </w:r>
          </w:p>
          <w:p w14:paraId="57714511" w14:textId="77777777" w:rsidR="00275264" w:rsidRDefault="00275264" w:rsidP="00275264">
            <w:pPr>
              <w:pStyle w:val="NoSpacing"/>
              <w:spacing w:line="264" w:lineRule="auto"/>
            </w:pPr>
          </w:p>
          <w:p w14:paraId="2F7378AA" w14:textId="77777777" w:rsidR="00275264" w:rsidRDefault="00275264" w:rsidP="00275264">
            <w:pPr>
              <w:pStyle w:val="NoSpacing"/>
              <w:spacing w:line="264" w:lineRule="auto"/>
            </w:pPr>
            <w:r>
              <w:t>CHERYL BALL d/b/a ACME MOVING LABOR</w:t>
            </w:r>
          </w:p>
          <w:p w14:paraId="7BE8E347" w14:textId="77777777" w:rsidR="00275264" w:rsidRDefault="00275264" w:rsidP="00275264">
            <w:pPr>
              <w:pStyle w:val="NoSpacing"/>
              <w:spacing w:line="264" w:lineRule="auto"/>
            </w:pPr>
            <w:r>
              <w:t>____________________________________</w:t>
            </w:r>
          </w:p>
          <w:p w14:paraId="30640C9C" w14:textId="77777777" w:rsidR="00275264" w:rsidRDefault="00275264" w:rsidP="00275264">
            <w:pPr>
              <w:pStyle w:val="NoSpacing"/>
              <w:spacing w:line="264" w:lineRule="auto"/>
            </w:pPr>
          </w:p>
          <w:p w14:paraId="09449338" w14:textId="4802482A" w:rsidR="00275264" w:rsidRDefault="00275264" w:rsidP="00275264">
            <w:pPr>
              <w:pStyle w:val="NoSpacing"/>
              <w:spacing w:line="264" w:lineRule="auto"/>
            </w:pPr>
            <w:r>
              <w:t>In re Application of</w:t>
            </w:r>
          </w:p>
          <w:p w14:paraId="26D076F4" w14:textId="77777777" w:rsidR="00275264" w:rsidRDefault="00275264" w:rsidP="00275264">
            <w:pPr>
              <w:pStyle w:val="NoSpacing"/>
              <w:spacing w:line="264" w:lineRule="auto"/>
            </w:pPr>
          </w:p>
          <w:p w14:paraId="26703D8B" w14:textId="77777777" w:rsidR="00275264" w:rsidRDefault="00275264" w:rsidP="00275264">
            <w:pPr>
              <w:pStyle w:val="NoSpacing"/>
              <w:spacing w:line="264" w:lineRule="auto"/>
            </w:pPr>
            <w:r>
              <w:t>CHERYL BALL d/b/a ACME MOVING LABOR</w:t>
            </w:r>
          </w:p>
          <w:p w14:paraId="3AF5BB3D" w14:textId="77777777" w:rsidR="00275264" w:rsidRDefault="00275264" w:rsidP="00275264">
            <w:pPr>
              <w:pStyle w:val="NoSpacing"/>
              <w:spacing w:line="264" w:lineRule="auto"/>
            </w:pPr>
          </w:p>
          <w:p w14:paraId="56C1BAEB" w14:textId="61EBF5A3" w:rsidR="001748AA" w:rsidRDefault="00275264" w:rsidP="00275264">
            <w:pPr>
              <w:keepLines/>
              <w:rPr>
                <w:caps/>
              </w:rPr>
            </w:pPr>
            <w:r>
              <w:t xml:space="preserve">for </w:t>
            </w:r>
            <w:r w:rsidR="00D344F8">
              <w:t>Authority</w:t>
            </w:r>
            <w:r>
              <w:t xml:space="preserve"> to Operate as a Household Goods Moving Company</w:t>
            </w:r>
          </w:p>
          <w:p w14:paraId="36B6DBB6" w14:textId="77777777" w:rsidR="001748AA" w:rsidRPr="00347874" w:rsidRDefault="001748AA" w:rsidP="00704310">
            <w:pPr>
              <w:pStyle w:val="NoSpacing"/>
              <w:spacing w:line="264" w:lineRule="auto"/>
            </w:pPr>
          </w:p>
        </w:tc>
        <w:tc>
          <w:tcPr>
            <w:tcW w:w="489" w:type="dxa"/>
            <w:tcBorders>
              <w:left w:val="single" w:sz="4" w:space="0" w:color="auto"/>
            </w:tcBorders>
          </w:tcPr>
          <w:p w14:paraId="2017AA3D" w14:textId="77777777" w:rsidR="001748AA" w:rsidRPr="00347874" w:rsidRDefault="001748AA" w:rsidP="00704310">
            <w:pPr>
              <w:pStyle w:val="NoSpacing"/>
              <w:spacing w:line="264" w:lineRule="auto"/>
            </w:pPr>
          </w:p>
        </w:tc>
        <w:tc>
          <w:tcPr>
            <w:tcW w:w="3866" w:type="dxa"/>
          </w:tcPr>
          <w:p w14:paraId="552C022E" w14:textId="77777777" w:rsidR="00275264" w:rsidRDefault="00275264" w:rsidP="00275264">
            <w:pPr>
              <w:pStyle w:val="NoSpacing"/>
              <w:spacing w:line="264" w:lineRule="auto"/>
            </w:pPr>
            <w:r>
              <w:t>DOCKET TV-161206</w:t>
            </w:r>
          </w:p>
          <w:p w14:paraId="145C9254" w14:textId="77777777" w:rsidR="00275264" w:rsidRDefault="00275264" w:rsidP="00275264">
            <w:pPr>
              <w:pStyle w:val="NoSpacing"/>
              <w:spacing w:line="264" w:lineRule="auto"/>
            </w:pPr>
          </w:p>
          <w:p w14:paraId="3E665E68" w14:textId="77777777" w:rsidR="00275264" w:rsidRDefault="00275264" w:rsidP="00275264">
            <w:pPr>
              <w:pStyle w:val="NoSpacing"/>
              <w:spacing w:line="264" w:lineRule="auto"/>
            </w:pPr>
          </w:p>
          <w:p w14:paraId="784096F7" w14:textId="77777777" w:rsidR="00275264" w:rsidRDefault="00275264" w:rsidP="00275264">
            <w:pPr>
              <w:pStyle w:val="NoSpacing"/>
              <w:spacing w:line="264" w:lineRule="auto"/>
            </w:pPr>
          </w:p>
          <w:p w14:paraId="60EC841B" w14:textId="77777777" w:rsidR="00275264" w:rsidRDefault="00275264" w:rsidP="00275264">
            <w:pPr>
              <w:pStyle w:val="NoSpacing"/>
              <w:spacing w:line="264" w:lineRule="auto"/>
            </w:pPr>
          </w:p>
          <w:p w14:paraId="6C94DBBE" w14:textId="77777777" w:rsidR="00275264" w:rsidRDefault="00275264" w:rsidP="00275264">
            <w:pPr>
              <w:pStyle w:val="NoSpacing"/>
              <w:spacing w:line="264" w:lineRule="auto"/>
            </w:pPr>
          </w:p>
          <w:p w14:paraId="25BF035B" w14:textId="77777777" w:rsidR="00275264" w:rsidRDefault="00275264" w:rsidP="00275264">
            <w:pPr>
              <w:pStyle w:val="NoSpacing"/>
              <w:spacing w:line="264" w:lineRule="auto"/>
            </w:pPr>
          </w:p>
          <w:p w14:paraId="2BF0934D" w14:textId="77777777" w:rsidR="00275264" w:rsidRDefault="00275264" w:rsidP="00275264">
            <w:pPr>
              <w:pStyle w:val="NoSpacing"/>
              <w:spacing w:line="264" w:lineRule="auto"/>
            </w:pPr>
          </w:p>
          <w:p w14:paraId="474FB143" w14:textId="77777777" w:rsidR="00275264" w:rsidRDefault="00275264" w:rsidP="00275264">
            <w:pPr>
              <w:pStyle w:val="NoSpacing"/>
              <w:spacing w:line="264" w:lineRule="auto"/>
            </w:pPr>
            <w:r>
              <w:t>DOCKET TV- 170103</w:t>
            </w:r>
          </w:p>
          <w:p w14:paraId="34C68957" w14:textId="57502B55" w:rsidR="001748AA" w:rsidRDefault="00275264" w:rsidP="00275264">
            <w:pPr>
              <w:pStyle w:val="NoSpacing"/>
              <w:spacing w:line="264" w:lineRule="auto"/>
            </w:pPr>
            <w:r>
              <w:t>(</w:t>
            </w:r>
            <w:r w:rsidRPr="00275264">
              <w:rPr>
                <w:i/>
              </w:rPr>
              <w:t>consolidated</w:t>
            </w:r>
            <w:r>
              <w:t>)</w:t>
            </w:r>
          </w:p>
          <w:p w14:paraId="3F8F9AE2" w14:textId="77777777" w:rsidR="001748AA" w:rsidRDefault="001748AA" w:rsidP="00704310">
            <w:pPr>
              <w:pStyle w:val="NoSpacing"/>
              <w:spacing w:line="264" w:lineRule="auto"/>
            </w:pPr>
          </w:p>
          <w:p w14:paraId="7EA87A5B" w14:textId="77777777" w:rsidR="001748AA" w:rsidRPr="00347874" w:rsidRDefault="001748AA" w:rsidP="00704310">
            <w:pPr>
              <w:pStyle w:val="NoSpacing"/>
              <w:spacing w:line="264" w:lineRule="auto"/>
            </w:pPr>
          </w:p>
          <w:p w14:paraId="3C411A2C" w14:textId="427E3448" w:rsidR="001748AA" w:rsidRPr="00347874" w:rsidRDefault="001748AA" w:rsidP="00704310">
            <w:pPr>
              <w:pStyle w:val="NoSpacing"/>
              <w:spacing w:line="264" w:lineRule="auto"/>
              <w:rPr>
                <w:b/>
                <w:bCs/>
              </w:rPr>
            </w:pPr>
            <w:r>
              <w:t>SETTLEMENT AGREEMENT</w:t>
            </w:r>
          </w:p>
          <w:p w14:paraId="2895E121" w14:textId="77777777" w:rsidR="001748AA" w:rsidRPr="00347874" w:rsidRDefault="001748AA" w:rsidP="00704310">
            <w:pPr>
              <w:pStyle w:val="NoSpacing"/>
              <w:spacing w:line="264" w:lineRule="auto"/>
              <w:rPr>
                <w:b/>
                <w:bCs/>
              </w:rPr>
            </w:pPr>
          </w:p>
        </w:tc>
      </w:tr>
    </w:tbl>
    <w:p w14:paraId="77AFC8C6" w14:textId="77777777" w:rsidR="001748AA" w:rsidRPr="00347874" w:rsidRDefault="001748AA" w:rsidP="001748AA">
      <w:pPr>
        <w:pStyle w:val="HeadingRomanAllCap"/>
        <w:numPr>
          <w:ilvl w:val="0"/>
          <w:numId w:val="0"/>
        </w:numPr>
        <w:jc w:val="left"/>
      </w:pPr>
    </w:p>
    <w:p w14:paraId="100CC8B2" w14:textId="77777777" w:rsidR="009177A1" w:rsidRPr="00C57D9C" w:rsidRDefault="009177A1" w:rsidP="008B6BDE">
      <w:pPr>
        <w:pStyle w:val="HeadingRomanAllCap"/>
        <w:tabs>
          <w:tab w:val="clear" w:pos="3960"/>
        </w:tabs>
      </w:pPr>
      <w:r w:rsidRPr="00C57D9C">
        <w:t>INTRODUCTION</w:t>
      </w:r>
    </w:p>
    <w:p w14:paraId="557C024B" w14:textId="77777777" w:rsidR="00150332" w:rsidRPr="00C57D9C" w:rsidRDefault="00150332" w:rsidP="008B6BDE">
      <w:pPr>
        <w:pStyle w:val="HeadingRomanAllCap"/>
        <w:numPr>
          <w:ilvl w:val="0"/>
          <w:numId w:val="0"/>
        </w:numPr>
        <w:jc w:val="left"/>
      </w:pPr>
    </w:p>
    <w:p w14:paraId="1170E8D7" w14:textId="568F6638" w:rsidR="0029362D" w:rsidRPr="009507F2" w:rsidRDefault="009177A1" w:rsidP="008B6BDE">
      <w:pPr>
        <w:pStyle w:val="ListParagraph"/>
        <w:numPr>
          <w:ilvl w:val="0"/>
          <w:numId w:val="32"/>
        </w:numPr>
        <w:spacing w:line="480" w:lineRule="auto"/>
        <w:ind w:left="0"/>
        <w:rPr>
          <w:rFonts w:ascii="Times New Roman" w:hAnsi="Times New Roman" w:cs="Times New Roman"/>
          <w:sz w:val="24"/>
          <w:szCs w:val="24"/>
        </w:rPr>
      </w:pPr>
      <w:r w:rsidRPr="009507F2">
        <w:rPr>
          <w:rFonts w:ascii="Times New Roman" w:hAnsi="Times New Roman" w:cs="Times New Roman"/>
          <w:sz w:val="24"/>
          <w:szCs w:val="24"/>
        </w:rPr>
        <w:t xml:space="preserve"> </w:t>
      </w:r>
      <w:r w:rsidRPr="009507F2">
        <w:rPr>
          <w:rFonts w:ascii="Times New Roman" w:hAnsi="Times New Roman" w:cs="Times New Roman"/>
          <w:sz w:val="24"/>
          <w:szCs w:val="24"/>
        </w:rPr>
        <w:tab/>
      </w:r>
      <w:r w:rsidR="0029362D" w:rsidRPr="009507F2">
        <w:rPr>
          <w:rFonts w:ascii="Times New Roman" w:hAnsi="Times New Roman" w:cs="Times New Roman"/>
          <w:sz w:val="24"/>
          <w:szCs w:val="24"/>
        </w:rPr>
        <w:t xml:space="preserve">This Settlement Agreement (“Settlement”) is entered into by the parties in this case: </w:t>
      </w:r>
      <w:r w:rsidR="008F0079">
        <w:rPr>
          <w:rFonts w:ascii="Times New Roman" w:hAnsi="Times New Roman" w:cs="Times New Roman"/>
          <w:sz w:val="24"/>
          <w:szCs w:val="24"/>
        </w:rPr>
        <w:t>Cheryl Ball d/b/a Acme Moving Labor</w:t>
      </w:r>
      <w:r w:rsidR="0029362D" w:rsidRPr="009507F2">
        <w:rPr>
          <w:rFonts w:ascii="Times New Roman" w:hAnsi="Times New Roman" w:cs="Times New Roman"/>
          <w:sz w:val="24"/>
          <w:szCs w:val="24"/>
        </w:rPr>
        <w:t xml:space="preserve"> (</w:t>
      </w:r>
      <w:r w:rsidR="008F0079">
        <w:rPr>
          <w:rFonts w:ascii="Times New Roman" w:hAnsi="Times New Roman" w:cs="Times New Roman"/>
          <w:sz w:val="24"/>
          <w:szCs w:val="24"/>
        </w:rPr>
        <w:t xml:space="preserve">“Ms. Ball,” </w:t>
      </w:r>
      <w:r w:rsidR="0029362D" w:rsidRPr="009507F2">
        <w:rPr>
          <w:rFonts w:ascii="Times New Roman" w:hAnsi="Times New Roman" w:cs="Times New Roman"/>
          <w:sz w:val="24"/>
          <w:szCs w:val="24"/>
        </w:rPr>
        <w:t>“</w:t>
      </w:r>
      <w:r w:rsidR="008F0079">
        <w:rPr>
          <w:rFonts w:ascii="Times New Roman" w:hAnsi="Times New Roman" w:cs="Times New Roman"/>
          <w:sz w:val="24"/>
          <w:szCs w:val="24"/>
        </w:rPr>
        <w:t>Acme Moving Labor,</w:t>
      </w:r>
      <w:r w:rsidR="0029362D" w:rsidRPr="009507F2">
        <w:rPr>
          <w:rFonts w:ascii="Times New Roman" w:hAnsi="Times New Roman" w:cs="Times New Roman"/>
          <w:sz w:val="24"/>
          <w:szCs w:val="24"/>
        </w:rPr>
        <w:t>” or the “Company</w:t>
      </w:r>
      <w:r w:rsidR="001A3EA7">
        <w:rPr>
          <w:rFonts w:ascii="Times New Roman" w:hAnsi="Times New Roman" w:cs="Times New Roman"/>
          <w:sz w:val="24"/>
          <w:szCs w:val="24"/>
        </w:rPr>
        <w:t>”</w:t>
      </w:r>
      <w:r w:rsidR="0029362D" w:rsidRPr="009507F2">
        <w:rPr>
          <w:rFonts w:ascii="Times New Roman" w:hAnsi="Times New Roman" w:cs="Times New Roman"/>
          <w:sz w:val="24"/>
          <w:szCs w:val="24"/>
        </w:rPr>
        <w:t xml:space="preserve">) and staff of the Washington Utilities and Transportation Commission (“Staff”) (hereinafter collectively referred to as “Parties” and individually as “Party”). </w:t>
      </w:r>
    </w:p>
    <w:p w14:paraId="33A141AB" w14:textId="57F0B6F6" w:rsidR="00275264" w:rsidRDefault="009177A1" w:rsidP="008B6BDE">
      <w:pPr>
        <w:pStyle w:val="Header"/>
        <w:widowControl w:val="0"/>
        <w:numPr>
          <w:ilvl w:val="0"/>
          <w:numId w:val="32"/>
        </w:numPr>
        <w:tabs>
          <w:tab w:val="left" w:pos="720"/>
        </w:tabs>
        <w:autoSpaceDE w:val="0"/>
        <w:autoSpaceDN w:val="0"/>
        <w:adjustRightInd w:val="0"/>
        <w:spacing w:line="480" w:lineRule="auto"/>
        <w:ind w:right="18"/>
      </w:pPr>
      <w:r w:rsidRPr="009507F2">
        <w:t xml:space="preserve"> </w:t>
      </w:r>
      <w:r w:rsidRPr="009507F2">
        <w:tab/>
        <w:t xml:space="preserve">This Settlement is a “full settlement” as the term is defined in WAC 480-07-730(1) because it is entered into by </w:t>
      </w:r>
      <w:r w:rsidR="009507F2">
        <w:t>the</w:t>
      </w:r>
      <w:r w:rsidRPr="009507F2">
        <w:t xml:space="preserve"> Parties, and it resolves all issues raised in the above docket</w:t>
      </w:r>
      <w:r w:rsidR="00275264">
        <w:t>s</w:t>
      </w:r>
      <w:r w:rsidR="00612450">
        <w:t xml:space="preserve"> (subject to the Commission’s granting of the Parties’ Motion to Consolidate the two proceedings, filed concurrently with this Settlement Agreement and supporting documentation).</w:t>
      </w:r>
    </w:p>
    <w:p w14:paraId="793CF915" w14:textId="77777777" w:rsidR="00275264" w:rsidRDefault="00275264">
      <w:r>
        <w:br w:type="page"/>
      </w:r>
    </w:p>
    <w:p w14:paraId="4C61147D" w14:textId="77777777" w:rsidR="009177A1" w:rsidRPr="009507F2" w:rsidRDefault="009177A1" w:rsidP="008B6BDE">
      <w:pPr>
        <w:pStyle w:val="HeadingRomanAllCap"/>
        <w:tabs>
          <w:tab w:val="clear" w:pos="3960"/>
        </w:tabs>
      </w:pPr>
      <w:r w:rsidRPr="009507F2">
        <w:lastRenderedPageBreak/>
        <w:t>AGREED FACTS</w:t>
      </w:r>
    </w:p>
    <w:p w14:paraId="435BD14F" w14:textId="77777777" w:rsidR="003F4B34" w:rsidRPr="009507F2" w:rsidRDefault="003F4B34" w:rsidP="008B6BDE">
      <w:pPr>
        <w:pStyle w:val="NoSpacing"/>
        <w:spacing w:line="264" w:lineRule="auto"/>
      </w:pPr>
    </w:p>
    <w:p w14:paraId="47E4BC3D" w14:textId="5E2F0A0B" w:rsidR="00C36246" w:rsidRDefault="001B7C27" w:rsidP="008B6BDE">
      <w:pPr>
        <w:pStyle w:val="Numberedparagraph"/>
        <w:numPr>
          <w:ilvl w:val="0"/>
          <w:numId w:val="32"/>
        </w:numPr>
        <w:spacing w:after="0" w:line="480" w:lineRule="auto"/>
      </w:pPr>
      <w:r>
        <w:tab/>
      </w:r>
      <w:r w:rsidR="000217AD">
        <w:t xml:space="preserve">Ms. </w:t>
      </w:r>
      <w:r w:rsidR="00675F04">
        <w:t>Ball</w:t>
      </w:r>
      <w:r>
        <w:t xml:space="preserve"> is</w:t>
      </w:r>
      <w:r w:rsidR="00E946FD">
        <w:t xml:space="preserve"> </w:t>
      </w:r>
      <w:r w:rsidR="003C65CF">
        <w:t xml:space="preserve">the </w:t>
      </w:r>
      <w:r w:rsidR="00650D7E">
        <w:t xml:space="preserve">owner </w:t>
      </w:r>
      <w:r w:rsidR="00E946FD">
        <w:t xml:space="preserve">of </w:t>
      </w:r>
      <w:r w:rsidR="008F0079">
        <w:t>Acme Moving Labor</w:t>
      </w:r>
      <w:r w:rsidR="000217AD">
        <w:t xml:space="preserve"> and is ultimately responsible for the operations of the Company. Mr. </w:t>
      </w:r>
      <w:r w:rsidR="00675F04">
        <w:t xml:space="preserve">Kedric Jackson is the </w:t>
      </w:r>
      <w:r w:rsidR="000217AD">
        <w:t xml:space="preserve">Company’s </w:t>
      </w:r>
      <w:r w:rsidR="00675F04">
        <w:t>Operations Manager</w:t>
      </w:r>
      <w:r>
        <w:t xml:space="preserve">. </w:t>
      </w:r>
      <w:r w:rsidR="00F61B14">
        <w:t xml:space="preserve">The Company has been </w:t>
      </w:r>
      <w:r w:rsidR="00545F5C">
        <w:t>providing services in the community for</w:t>
      </w:r>
      <w:r w:rsidR="000217AD">
        <w:t xml:space="preserve"> quite some time. As portrayed in many customers’ revie</w:t>
      </w:r>
      <w:bookmarkStart w:id="0" w:name="_GoBack"/>
      <w:bookmarkEnd w:id="0"/>
      <w:r w:rsidR="000217AD">
        <w:t>ws on numerous internet sites, the Company provides a commercially successful and popular service to the community.</w:t>
      </w:r>
    </w:p>
    <w:p w14:paraId="16DB1333" w14:textId="6553602A" w:rsidR="00545F5C" w:rsidRDefault="00545F5C" w:rsidP="003C65CF">
      <w:pPr>
        <w:pStyle w:val="Numberedparagraph"/>
        <w:numPr>
          <w:ilvl w:val="0"/>
          <w:numId w:val="32"/>
        </w:numPr>
        <w:spacing w:after="0" w:line="480" w:lineRule="auto"/>
      </w:pPr>
      <w:r>
        <w:t xml:space="preserve"> </w:t>
      </w:r>
      <w:r>
        <w:tab/>
        <w:t xml:space="preserve">On September 19, 2016, after a brief investigation Staff sent a letter to the Company informing it </w:t>
      </w:r>
      <w:r w:rsidR="004849E2">
        <w:t>of the need to first get</w:t>
      </w:r>
      <w:r>
        <w:t xml:space="preserve"> authority from the Commission </w:t>
      </w:r>
      <w:r w:rsidR="004849E2">
        <w:t>prior to operating</w:t>
      </w:r>
      <w:r>
        <w:t xml:space="preserve"> as a household goods moving company and </w:t>
      </w:r>
      <w:r w:rsidR="004849E2">
        <w:t>to</w:t>
      </w:r>
      <w:r>
        <w:t xml:space="preserve"> cease and desist </w:t>
      </w:r>
      <w:r w:rsidR="004C6DFB">
        <w:t xml:space="preserve">from </w:t>
      </w:r>
      <w:r>
        <w:t xml:space="preserve">any of those operations until it </w:t>
      </w:r>
      <w:r w:rsidR="004849E2">
        <w:t>received the required permit</w:t>
      </w:r>
      <w:r>
        <w:t>.</w:t>
      </w:r>
    </w:p>
    <w:p w14:paraId="3408D157" w14:textId="493F277F" w:rsidR="00353105" w:rsidRDefault="00C36246" w:rsidP="003C65CF">
      <w:pPr>
        <w:pStyle w:val="Numberedparagraph"/>
        <w:numPr>
          <w:ilvl w:val="0"/>
          <w:numId w:val="32"/>
        </w:numPr>
        <w:spacing w:after="0" w:line="480" w:lineRule="auto"/>
      </w:pPr>
      <w:r>
        <w:t xml:space="preserve"> </w:t>
      </w:r>
      <w:r>
        <w:tab/>
      </w:r>
      <w:r w:rsidR="00545F5C">
        <w:t>In response, o</w:t>
      </w:r>
      <w:r w:rsidR="00675F04">
        <w:t xml:space="preserve">n </w:t>
      </w:r>
      <w:r w:rsidR="00627DB3">
        <w:t xml:space="preserve">September 29, 2016, the Company submitted an application to the Commission for a permit to operate as a household goods moving company. On October 19, 2016, the Commission issued a notice of intent to deny that application along with a notice of opportunity for hearing in Docket TV-161097. </w:t>
      </w:r>
      <w:r w:rsidR="00F7470D">
        <w:t>The Company requested a hearing</w:t>
      </w:r>
      <w:r w:rsidR="00627DB3">
        <w:t xml:space="preserve"> but before </w:t>
      </w:r>
      <w:r w:rsidR="00F7470D">
        <w:t>it could be</w:t>
      </w:r>
      <w:r w:rsidR="00627DB3">
        <w:t xml:space="preserve"> held</w:t>
      </w:r>
      <w:r w:rsidR="00F7470D">
        <w:t>,</w:t>
      </w:r>
      <w:r w:rsidR="00627DB3">
        <w:t xml:space="preserve"> the Company voluntarily withdrew its application.</w:t>
      </w:r>
    </w:p>
    <w:p w14:paraId="6C7D66A0" w14:textId="11CEE2AD" w:rsidR="009520E9" w:rsidRPr="00353105" w:rsidRDefault="009520E9" w:rsidP="003C65CF">
      <w:pPr>
        <w:pStyle w:val="Numberedparagraph"/>
        <w:numPr>
          <w:ilvl w:val="0"/>
          <w:numId w:val="32"/>
        </w:numPr>
        <w:spacing w:after="0" w:line="480" w:lineRule="auto"/>
      </w:pPr>
      <w:r>
        <w:t xml:space="preserve"> </w:t>
      </w:r>
      <w:r>
        <w:tab/>
        <w:t>On October 28, 2016, Staff was contacted by a consumer who was having a dispute with the Company over a move that the Company was providing. On December 1-2, 2016, Staff reviewed the Company’s online advertisements and inquired about the Company’s moving services under an alias.</w:t>
      </w:r>
    </w:p>
    <w:p w14:paraId="5D8425DF" w14:textId="77777777" w:rsidR="00D82044" w:rsidRDefault="00353105" w:rsidP="003E46D6">
      <w:pPr>
        <w:pStyle w:val="Numberedparagraph"/>
        <w:numPr>
          <w:ilvl w:val="0"/>
          <w:numId w:val="32"/>
        </w:numPr>
        <w:spacing w:after="0" w:line="480" w:lineRule="auto"/>
      </w:pPr>
      <w:r w:rsidRPr="00353105">
        <w:t xml:space="preserve"> </w:t>
      </w:r>
      <w:r>
        <w:t xml:space="preserve"> </w:t>
      </w:r>
      <w:r>
        <w:tab/>
        <w:t xml:space="preserve">On </w:t>
      </w:r>
      <w:r w:rsidR="00627DB3">
        <w:t>December 19, 2016,</w:t>
      </w:r>
      <w:r>
        <w:t xml:space="preserve"> the Commission </w:t>
      </w:r>
      <w:r w:rsidR="00627DB3">
        <w:t xml:space="preserve">instituted a special proceeding to classify the Company and </w:t>
      </w:r>
      <w:r w:rsidR="00E9291F">
        <w:t xml:space="preserve">issued a complaint and subpoena </w:t>
      </w:r>
      <w:r w:rsidR="00EF1DF3">
        <w:t>to</w:t>
      </w:r>
      <w:r w:rsidR="00E9291F">
        <w:t xml:space="preserve"> the Company, alleging </w:t>
      </w:r>
      <w:r w:rsidR="00627DB3">
        <w:t xml:space="preserve">that the Company had been engaging in business as a household goods moving company without the required Commission-issued permit. </w:t>
      </w:r>
      <w:r w:rsidR="00D82044">
        <w:t>The Commission</w:t>
      </w:r>
      <w:r w:rsidR="00627DB3">
        <w:t xml:space="preserve"> allowed </w:t>
      </w:r>
      <w:r w:rsidR="00D82044">
        <w:t xml:space="preserve">Staff to amend that </w:t>
      </w:r>
      <w:r w:rsidR="00D82044">
        <w:lastRenderedPageBreak/>
        <w:t xml:space="preserve">complaint </w:t>
      </w:r>
      <w:r w:rsidR="00627DB3">
        <w:t>on February 9,</w:t>
      </w:r>
      <w:r w:rsidR="00D82044">
        <w:t xml:space="preserve"> 2017, to include another alleged occurrence of </w:t>
      </w:r>
      <w:r w:rsidR="00627DB3">
        <w:t>the Company engaging</w:t>
      </w:r>
      <w:r w:rsidR="00B119BE">
        <w:t xml:space="preserve"> </w:t>
      </w:r>
      <w:r w:rsidR="00D82044">
        <w:t xml:space="preserve">in the business of a household goods moving company. </w:t>
      </w:r>
    </w:p>
    <w:p w14:paraId="183A4563" w14:textId="77777777" w:rsidR="0064080F" w:rsidRDefault="00D82044" w:rsidP="003E46D6">
      <w:pPr>
        <w:pStyle w:val="Numberedparagraph"/>
        <w:numPr>
          <w:ilvl w:val="0"/>
          <w:numId w:val="32"/>
        </w:numPr>
        <w:spacing w:after="0" w:line="480" w:lineRule="auto"/>
      </w:pPr>
      <w:r>
        <w:t xml:space="preserve"> </w:t>
      </w:r>
      <w:r>
        <w:tab/>
        <w:t>On January 17, 2017, the Company requested a hearing before an administrative law judge</w:t>
      </w:r>
      <w:r w:rsidR="0064080F">
        <w:t>. On January 26, 2017, the Commission granted that request and set a</w:t>
      </w:r>
      <w:r w:rsidR="00675F04">
        <w:t xml:space="preserve"> brief adjudicative proceeding for March 6, 2017. </w:t>
      </w:r>
    </w:p>
    <w:p w14:paraId="2632A764" w14:textId="178BD211" w:rsidR="0064080F" w:rsidRDefault="0064080F" w:rsidP="003E46D6">
      <w:pPr>
        <w:pStyle w:val="Numberedparagraph"/>
        <w:numPr>
          <w:ilvl w:val="0"/>
          <w:numId w:val="32"/>
        </w:numPr>
        <w:spacing w:after="0" w:line="480" w:lineRule="auto"/>
      </w:pPr>
      <w:r>
        <w:t xml:space="preserve"> </w:t>
      </w:r>
      <w:r>
        <w:tab/>
        <w:t>On February 17, 2017, the Company submitted an application to the Commission requesting household goods moving authority. That application was assigned to Docket TV</w:t>
      </w:r>
      <w:r>
        <w:noBreakHyphen/>
        <w:t>170103.</w:t>
      </w:r>
    </w:p>
    <w:p w14:paraId="1C17612D" w14:textId="0572D0DD" w:rsidR="0029362D" w:rsidRPr="009507F2" w:rsidRDefault="0064080F" w:rsidP="003E46D6">
      <w:pPr>
        <w:pStyle w:val="Numberedparagraph"/>
        <w:numPr>
          <w:ilvl w:val="0"/>
          <w:numId w:val="32"/>
        </w:numPr>
        <w:spacing w:after="0" w:line="480" w:lineRule="auto"/>
      </w:pPr>
      <w:r>
        <w:t xml:space="preserve"> </w:t>
      </w:r>
      <w:r>
        <w:tab/>
      </w:r>
      <w:r w:rsidR="00B119BE">
        <w:t>T</w:t>
      </w:r>
      <w:r w:rsidR="00F708DD">
        <w:t>h</w:t>
      </w:r>
      <w:r w:rsidR="0029362D" w:rsidRPr="009507F2">
        <w:t>e Parties engaged in settlement discussions</w:t>
      </w:r>
      <w:r w:rsidR="00B119BE">
        <w:t xml:space="preserve"> in </w:t>
      </w:r>
      <w:r w:rsidR="00675F04">
        <w:t>late</w:t>
      </w:r>
      <w:r w:rsidR="00275264">
        <w:t xml:space="preserve"> </w:t>
      </w:r>
      <w:r w:rsidR="00B119BE">
        <w:t>February</w:t>
      </w:r>
      <w:r>
        <w:t>. O</w:t>
      </w:r>
      <w:r w:rsidR="0061786C">
        <w:t xml:space="preserve">n </w:t>
      </w:r>
      <w:r w:rsidR="00B119BE">
        <w:t>February</w:t>
      </w:r>
      <w:r>
        <w:t> </w:t>
      </w:r>
      <w:r w:rsidR="00675F04">
        <w:t>28</w:t>
      </w:r>
      <w:r w:rsidR="00B119BE">
        <w:t>, 2017</w:t>
      </w:r>
      <w:r w:rsidR="0061786C">
        <w:t xml:space="preserve">, </w:t>
      </w:r>
      <w:r w:rsidR="0029362D" w:rsidRPr="009507F2">
        <w:t>Staff notified the Commission that the Parties had reached a settlement in principle</w:t>
      </w:r>
      <w:r w:rsidR="00675F04">
        <w:t>, requested suspension of the procedural schedule</w:t>
      </w:r>
      <w:r w:rsidR="00275264">
        <w:t>,</w:t>
      </w:r>
      <w:r w:rsidR="00675F04">
        <w:t xml:space="preserve"> including the hearing set for March 6, 2017, and requested additional time</w:t>
      </w:r>
      <w:r w:rsidR="0029362D" w:rsidRPr="009507F2">
        <w:t xml:space="preserve"> to memorialize </w:t>
      </w:r>
      <w:r w:rsidR="00675F04">
        <w:t>the Parties’</w:t>
      </w:r>
      <w:r w:rsidR="0029362D" w:rsidRPr="009507F2">
        <w:t xml:space="preserve"> ag</w:t>
      </w:r>
      <w:r w:rsidR="00050F0C" w:rsidRPr="009507F2">
        <w:t>reement</w:t>
      </w:r>
      <w:r w:rsidR="00B119BE">
        <w:t xml:space="preserve"> by March</w:t>
      </w:r>
      <w:r>
        <w:t> </w:t>
      </w:r>
      <w:r w:rsidR="00675F04">
        <w:t>14</w:t>
      </w:r>
      <w:r w:rsidR="00B119BE">
        <w:t>, 2017</w:t>
      </w:r>
      <w:r w:rsidR="00675F04">
        <w:t>.</w:t>
      </w:r>
      <w:r w:rsidR="00B119BE">
        <w:t xml:space="preserve"> </w:t>
      </w:r>
      <w:r w:rsidR="005A6638" w:rsidRPr="009507F2">
        <w:t>T</w:t>
      </w:r>
      <w:r w:rsidR="0029362D" w:rsidRPr="009507F2">
        <w:t xml:space="preserve">he Commission </w:t>
      </w:r>
      <w:r w:rsidR="00675F04">
        <w:t xml:space="preserve">granted the Parties’ requests </w:t>
      </w:r>
      <w:r w:rsidR="00B119BE">
        <w:t xml:space="preserve">and instructed </w:t>
      </w:r>
      <w:r w:rsidR="005A6638" w:rsidRPr="009507F2">
        <w:t>the Parties</w:t>
      </w:r>
      <w:r w:rsidR="0029362D" w:rsidRPr="009507F2">
        <w:t xml:space="preserve"> to file a settlement agreement and supporting document</w:t>
      </w:r>
      <w:r w:rsidR="00275264">
        <w:t>s</w:t>
      </w:r>
      <w:r w:rsidR="00BB2748">
        <w:t>,</w:t>
      </w:r>
      <w:r w:rsidR="0029362D" w:rsidRPr="009507F2">
        <w:t xml:space="preserve"> or a </w:t>
      </w:r>
      <w:r w:rsidR="005A6638" w:rsidRPr="009507F2">
        <w:t xml:space="preserve">status </w:t>
      </w:r>
      <w:r w:rsidR="0029362D" w:rsidRPr="009507F2">
        <w:t>report on their progress</w:t>
      </w:r>
      <w:r w:rsidR="00DD2B8B" w:rsidRPr="00DD2B8B">
        <w:t xml:space="preserve"> </w:t>
      </w:r>
      <w:r w:rsidR="00DD2B8B" w:rsidRPr="009507F2">
        <w:t xml:space="preserve">by </w:t>
      </w:r>
      <w:r w:rsidR="00B119BE">
        <w:t>March</w:t>
      </w:r>
      <w:r>
        <w:t> </w:t>
      </w:r>
      <w:r w:rsidR="00675F04">
        <w:t>14</w:t>
      </w:r>
      <w:r w:rsidR="00B119BE">
        <w:t>, 2017.</w:t>
      </w:r>
    </w:p>
    <w:p w14:paraId="47F7AF1F" w14:textId="3B39B604" w:rsidR="005B25CC" w:rsidRPr="009507F2" w:rsidRDefault="0029362D" w:rsidP="003E46D6">
      <w:pPr>
        <w:pStyle w:val="Numberedparagraph"/>
        <w:numPr>
          <w:ilvl w:val="0"/>
          <w:numId w:val="32"/>
        </w:numPr>
        <w:spacing w:after="0" w:line="480" w:lineRule="auto"/>
      </w:pPr>
      <w:r w:rsidRPr="009507F2">
        <w:t xml:space="preserve"> </w:t>
      </w:r>
      <w:r w:rsidRPr="009507F2">
        <w:tab/>
        <w:t xml:space="preserve">The Parties’ full agreement is reflected </w:t>
      </w:r>
      <w:r w:rsidR="00275264">
        <w:t>herein and</w:t>
      </w:r>
      <w:r w:rsidRPr="009507F2">
        <w:t xml:space="preserve"> was entered into voluntarily to resolve all matters in dispute. The Par</w:t>
      </w:r>
      <w:r w:rsidR="00F77840">
        <w:t>ties now wish to present this Settlement Agreement</w:t>
      </w:r>
      <w:r w:rsidRPr="009507F2">
        <w:t xml:space="preserve"> for the Commission’s consideration and approval. This Settlement is filed in the interest of expediting the orderly</w:t>
      </w:r>
      <w:r w:rsidR="0064080F">
        <w:t xml:space="preserve"> and efficient</w:t>
      </w:r>
      <w:r w:rsidRPr="009507F2">
        <w:t xml:space="preserve"> disposition of this proceeding.</w:t>
      </w:r>
      <w:r w:rsidR="00675F04">
        <w:t xml:space="preserve"> This Settlement is the product of negotiation and compromise</w:t>
      </w:r>
      <w:r w:rsidR="0064080F">
        <w:t xml:space="preserve">, </w:t>
      </w:r>
      <w:r w:rsidR="00675F04">
        <w:t>represent</w:t>
      </w:r>
      <w:r w:rsidR="0064080F">
        <w:t>ing</w:t>
      </w:r>
      <w:r w:rsidR="00675F04">
        <w:t xml:space="preserve"> a delicate balance between the positions of the Parties.</w:t>
      </w:r>
      <w:r w:rsidRPr="009507F2">
        <w:t xml:space="preserve"> The Parties understand that this Settlement is subject to Commission approval, and hereby respectfully request that the Commission issue an order approving this Settlement in its entirety</w:t>
      </w:r>
      <w:r w:rsidR="0064080F">
        <w:t xml:space="preserve">, concurrently with an order granting the Parties’ joint motion for </w:t>
      </w:r>
      <w:r w:rsidR="0064080F">
        <w:lastRenderedPageBreak/>
        <w:t>consolidation</w:t>
      </w:r>
      <w:r w:rsidRPr="009507F2">
        <w:t>. The Parties will jointly file supporting documentation, as req</w:t>
      </w:r>
      <w:r w:rsidR="00050F0C" w:rsidRPr="009507F2">
        <w:t>uired by WAC 480-07-740(2)</w:t>
      </w:r>
      <w:r w:rsidR="00EF1DF3">
        <w:t>, in the form of a settlement narrative</w:t>
      </w:r>
      <w:r w:rsidR="00050F0C" w:rsidRPr="009507F2">
        <w:t>.</w:t>
      </w:r>
    </w:p>
    <w:p w14:paraId="040625D0" w14:textId="77777777" w:rsidR="007D5002" w:rsidRPr="009507F2" w:rsidRDefault="00050F0C" w:rsidP="008B6BDE">
      <w:pPr>
        <w:pStyle w:val="HeadingRomanAllCap"/>
        <w:tabs>
          <w:tab w:val="clear" w:pos="3960"/>
        </w:tabs>
        <w:spacing w:line="480" w:lineRule="auto"/>
      </w:pPr>
      <w:r w:rsidRPr="009507F2">
        <w:t>AGREEMENT</w:t>
      </w:r>
    </w:p>
    <w:p w14:paraId="6E21E98C" w14:textId="584F3838" w:rsidR="00124947" w:rsidRDefault="00F61B14" w:rsidP="008B6BDE">
      <w:pPr>
        <w:numPr>
          <w:ilvl w:val="0"/>
          <w:numId w:val="32"/>
        </w:numPr>
        <w:spacing w:line="480" w:lineRule="auto"/>
      </w:pPr>
      <w:r>
        <w:rPr>
          <w:b/>
          <w:u w:val="single"/>
        </w:rPr>
        <w:t>Household Goods Moving Company</w:t>
      </w:r>
      <w:r w:rsidR="00691A70" w:rsidRPr="00BB2748">
        <w:rPr>
          <w:b/>
        </w:rPr>
        <w:t>.</w:t>
      </w:r>
      <w:r w:rsidR="007C4FA3">
        <w:t xml:space="preserve"> </w:t>
      </w:r>
    </w:p>
    <w:p w14:paraId="39E963F3" w14:textId="7B905A7D" w:rsidR="00F97AE3" w:rsidRDefault="00F61B14" w:rsidP="00CE5B32">
      <w:pPr>
        <w:numPr>
          <w:ilvl w:val="1"/>
          <w:numId w:val="32"/>
        </w:numPr>
        <w:spacing w:line="480" w:lineRule="auto"/>
      </w:pPr>
      <w:r w:rsidRPr="00F61B14">
        <w:rPr>
          <w:u w:val="single"/>
        </w:rPr>
        <w:t>Classification</w:t>
      </w:r>
      <w:r w:rsidR="00756DEF" w:rsidRPr="00F61B14">
        <w:rPr>
          <w:u w:val="single"/>
        </w:rPr>
        <w:t>.</w:t>
      </w:r>
      <w:r w:rsidR="00CF6739">
        <w:t xml:space="preserve"> </w:t>
      </w:r>
      <w:r w:rsidR="006D53E7">
        <w:t>The Parties agree</w:t>
      </w:r>
      <w:r w:rsidR="008B6BDE">
        <w:t xml:space="preserve"> that</w:t>
      </w:r>
      <w:r w:rsidR="002F0544">
        <w:t xml:space="preserve"> the Company </w:t>
      </w:r>
      <w:r>
        <w:t>should be classified as a household goods moving company, subject to the regulatory jurisdiction of the Commission.</w:t>
      </w:r>
    </w:p>
    <w:p w14:paraId="12E8E292" w14:textId="763E322E" w:rsidR="00EF1DF3" w:rsidRPr="007C4FA3" w:rsidRDefault="00902EE0" w:rsidP="00EF1DF3">
      <w:pPr>
        <w:numPr>
          <w:ilvl w:val="0"/>
          <w:numId w:val="32"/>
        </w:numPr>
        <w:spacing w:line="480" w:lineRule="auto"/>
        <w:rPr>
          <w:b/>
        </w:rPr>
      </w:pPr>
      <w:r>
        <w:rPr>
          <w:b/>
          <w:u w:val="single"/>
        </w:rPr>
        <w:t>Application for Authority to Operate as a Household Goods Moving Company</w:t>
      </w:r>
      <w:r w:rsidR="00EF1DF3" w:rsidRPr="007C4FA3">
        <w:rPr>
          <w:b/>
        </w:rPr>
        <w:t>.</w:t>
      </w:r>
    </w:p>
    <w:p w14:paraId="67419CD9" w14:textId="64C72E98" w:rsidR="00F61B14" w:rsidRDefault="00902EE0" w:rsidP="00F61B14">
      <w:pPr>
        <w:numPr>
          <w:ilvl w:val="1"/>
          <w:numId w:val="32"/>
        </w:numPr>
        <w:spacing w:line="480" w:lineRule="auto"/>
      </w:pPr>
      <w:r>
        <w:rPr>
          <w:u w:val="single"/>
        </w:rPr>
        <w:t>Grant of Authority</w:t>
      </w:r>
      <w:r w:rsidR="00F61B14" w:rsidRPr="00F61B14">
        <w:rPr>
          <w:u w:val="single"/>
        </w:rPr>
        <w:t>.</w:t>
      </w:r>
      <w:r w:rsidR="00F61B14">
        <w:t xml:space="preserve"> The Parties agree that</w:t>
      </w:r>
      <w:r>
        <w:t xml:space="preserve"> </w:t>
      </w:r>
      <w:r w:rsidR="008A7C41">
        <w:t xml:space="preserve">Acme Moving Labor qualifies for, and the </w:t>
      </w:r>
      <w:r>
        <w:t>Commission should approve</w:t>
      </w:r>
      <w:r w:rsidR="008A7C41">
        <w:t>,</w:t>
      </w:r>
      <w:r>
        <w:t xml:space="preserve"> the Company’s application</w:t>
      </w:r>
      <w:r w:rsidR="008A7C41">
        <w:t xml:space="preserve"> of February 17, 2017,</w:t>
      </w:r>
      <w:r>
        <w:t xml:space="preserve"> for provisional authority </w:t>
      </w:r>
      <w:r w:rsidR="008A7C41">
        <w:t xml:space="preserve">to operate as a household goods moving company </w:t>
      </w:r>
      <w:r>
        <w:t>under WAC 480</w:t>
      </w:r>
      <w:r>
        <w:noBreakHyphen/>
        <w:t>15</w:t>
      </w:r>
      <w:r>
        <w:noBreakHyphen/>
        <w:t xml:space="preserve">302. </w:t>
      </w:r>
      <w:r w:rsidR="003B4871">
        <w:t>The</w:t>
      </w:r>
      <w:r>
        <w:t xml:space="preserve"> Parties understand that this grant of authority by the Commission is the same as is extended to other companies that apply for authority</w:t>
      </w:r>
      <w:r w:rsidR="008A7C41">
        <w:t>:</w:t>
      </w:r>
      <w:r>
        <w:t xml:space="preserve"> to attain permanent authority under WAC 480</w:t>
      </w:r>
      <w:r>
        <w:noBreakHyphen/>
        <w:t>15</w:t>
      </w:r>
      <w:r>
        <w:noBreakHyphen/>
        <w:t xml:space="preserve">305, the Company must undergo the same provisional period of not less than six months (and not more than </w:t>
      </w:r>
      <w:r w:rsidR="00F77840">
        <w:t>18</w:t>
      </w:r>
      <w:r>
        <w:t xml:space="preserve"> months)</w:t>
      </w:r>
      <w:r w:rsidR="003B4871">
        <w:t xml:space="preserve"> as every company who is granted authority to operate as a household goods moving company</w:t>
      </w:r>
      <w:r w:rsidR="008A7C41">
        <w:t xml:space="preserve">. </w:t>
      </w:r>
      <w:r w:rsidR="003B4871">
        <w:t>The</w:t>
      </w:r>
      <w:r w:rsidR="008A7C41">
        <w:t xml:space="preserve"> Parties understand that this requires the Company to meet the same obligations and criteria as any other company that is granted provisional authority, e.g.</w:t>
      </w:r>
      <w:r w:rsidR="00F77840">
        <w:t>,</w:t>
      </w:r>
      <w:r w:rsidR="008A7C41">
        <w:t xml:space="preserve"> attending a commission-sponsored household goods carrier training class pursuant to WAC 480</w:t>
      </w:r>
      <w:r w:rsidR="008A7C41">
        <w:noBreakHyphen/>
        <w:t>15</w:t>
      </w:r>
      <w:r w:rsidR="008A7C41">
        <w:noBreakHyphen/>
        <w:t>305.</w:t>
      </w:r>
      <w:r w:rsidR="008A7C41">
        <w:rPr>
          <w:rStyle w:val="FootnoteReference"/>
        </w:rPr>
        <w:footnoteReference w:id="1"/>
      </w:r>
      <w:r w:rsidR="0081263D" w:rsidRPr="0081263D">
        <w:t xml:space="preserve"> </w:t>
      </w:r>
      <w:r w:rsidR="0081263D">
        <w:t xml:space="preserve">When the Commission has approved this Settlement and the Company has satisfied the preconditions contained </w:t>
      </w:r>
      <w:r w:rsidR="00216780">
        <w:t>herein</w:t>
      </w:r>
      <w:r w:rsidR="0081263D">
        <w:t xml:space="preserve">, the Company will be sent a letter from the </w:t>
      </w:r>
      <w:r w:rsidR="0081263D">
        <w:lastRenderedPageBreak/>
        <w:t>Commission outlining the grant of authority and the following documentation: provisional permit; tariff 15-C; rules governing residential household goods carriers (WAC 480</w:t>
      </w:r>
      <w:r w:rsidR="0081263D">
        <w:noBreakHyphen/>
        <w:t>15); safety manual; and, customer survey forms. Every applicant approved for authority to operate as a household goods moving company receives these documents upon issuance of their permit.</w:t>
      </w:r>
    </w:p>
    <w:p w14:paraId="2D5FEFBA" w14:textId="52D4FCCA" w:rsidR="00F5263C" w:rsidRDefault="00F5263C" w:rsidP="00F61B14">
      <w:pPr>
        <w:numPr>
          <w:ilvl w:val="1"/>
          <w:numId w:val="32"/>
        </w:numPr>
        <w:spacing w:line="480" w:lineRule="auto"/>
      </w:pPr>
      <w:r>
        <w:rPr>
          <w:u w:val="single"/>
        </w:rPr>
        <w:t>Timing.</w:t>
      </w:r>
      <w:r>
        <w:t xml:space="preserve"> The Parties agree that the Company’s authority to operate will be </w:t>
      </w:r>
      <w:r w:rsidR="00AE13D0">
        <w:t xml:space="preserve">effective once the Company has satisfied the monetary obligations </w:t>
      </w:r>
      <w:r w:rsidR="0081263D">
        <w:t>contained</w:t>
      </w:r>
      <w:r w:rsidR="00AE13D0">
        <w:t xml:space="preserve"> in the following section</w:t>
      </w:r>
      <w:r w:rsidR="003B4871">
        <w:t>s of this Settlement.</w:t>
      </w:r>
      <w:r w:rsidR="0081263D">
        <w:t xml:space="preserve"> </w:t>
      </w:r>
    </w:p>
    <w:p w14:paraId="6856B25D" w14:textId="7411EBF4" w:rsidR="00EF1DF3" w:rsidRPr="007C4FA3" w:rsidRDefault="00F5263C" w:rsidP="00EF1DF3">
      <w:pPr>
        <w:numPr>
          <w:ilvl w:val="0"/>
          <w:numId w:val="32"/>
        </w:numPr>
        <w:spacing w:line="480" w:lineRule="auto"/>
        <w:rPr>
          <w:b/>
        </w:rPr>
      </w:pPr>
      <w:r>
        <w:rPr>
          <w:b/>
          <w:u w:val="single"/>
        </w:rPr>
        <w:t>Penalties</w:t>
      </w:r>
      <w:r w:rsidR="00EF1DF3">
        <w:rPr>
          <w:b/>
          <w:u w:val="single"/>
        </w:rPr>
        <w:t>.</w:t>
      </w:r>
    </w:p>
    <w:p w14:paraId="5A357BF1" w14:textId="043301C4" w:rsidR="00CF6739" w:rsidRPr="00CF6739" w:rsidRDefault="00CF6739" w:rsidP="00756DEF">
      <w:pPr>
        <w:numPr>
          <w:ilvl w:val="1"/>
          <w:numId w:val="32"/>
        </w:numPr>
        <w:spacing w:line="480" w:lineRule="auto"/>
        <w:rPr>
          <w:u w:val="single"/>
        </w:rPr>
      </w:pPr>
      <w:r w:rsidRPr="00CF6739">
        <w:rPr>
          <w:u w:val="single"/>
        </w:rPr>
        <w:t>Penalty</w:t>
      </w:r>
      <w:r w:rsidR="006F4D90">
        <w:rPr>
          <w:u w:val="single"/>
        </w:rPr>
        <w:t xml:space="preserve"> Amount</w:t>
      </w:r>
      <w:r w:rsidRPr="00CF6739">
        <w:rPr>
          <w:u w:val="single"/>
        </w:rPr>
        <w:t>.</w:t>
      </w:r>
      <w:r>
        <w:t xml:space="preserve"> </w:t>
      </w:r>
      <w:r w:rsidR="00F7470D">
        <w:t>The Parties agree that the Company operated without the proper Commission authority and that</w:t>
      </w:r>
      <w:r w:rsidR="00650D7E">
        <w:t xml:space="preserve"> a</w:t>
      </w:r>
      <w:r>
        <w:t xml:space="preserve"> penalty</w:t>
      </w:r>
      <w:r w:rsidR="00650D7E">
        <w:t xml:space="preserve"> is warranted. While the Commission has the authority to impose up to $</w:t>
      </w:r>
      <w:r w:rsidR="00F7470D">
        <w:t>5</w:t>
      </w:r>
      <w:r w:rsidR="00650D7E">
        <w:t>,000 for each violation, the Parties agreed through negotiation that in combination with the other elements of this Settlement</w:t>
      </w:r>
      <w:r w:rsidR="006F4D90" w:rsidRPr="006F4D90">
        <w:t xml:space="preserve"> </w:t>
      </w:r>
      <w:r w:rsidR="006F4D90">
        <w:t>a smaller amount</w:t>
      </w:r>
      <w:r w:rsidR="00650D7E">
        <w:t xml:space="preserve"> </w:t>
      </w:r>
      <w:r w:rsidR="00F7470D">
        <w:t>is fair, just, and reasonable</w:t>
      </w:r>
      <w:r w:rsidR="00650D7E">
        <w:t>.</w:t>
      </w:r>
      <w:r w:rsidR="00F7470D">
        <w:t xml:space="preserve"> The Parties agree </w:t>
      </w:r>
      <w:r w:rsidR="0016719C">
        <w:t>to</w:t>
      </w:r>
      <w:r w:rsidR="00F7470D">
        <w:t xml:space="preserve"> </w:t>
      </w:r>
      <w:r w:rsidR="00071B5F">
        <w:t>a $1,000 penalty</w:t>
      </w:r>
      <w:r w:rsidR="009520E9">
        <w:t xml:space="preserve"> (due to the Commission)</w:t>
      </w:r>
      <w:r w:rsidR="00071B5F">
        <w:t xml:space="preserve"> </w:t>
      </w:r>
      <w:r w:rsidR="009520E9">
        <w:t xml:space="preserve">for </w:t>
      </w:r>
      <w:r w:rsidR="0016719C">
        <w:t>the Company’s</w:t>
      </w:r>
      <w:r w:rsidR="009520E9">
        <w:t xml:space="preserve"> operations without first receiving </w:t>
      </w:r>
      <w:r w:rsidR="00E973B5">
        <w:t>authority from the Commission to operate as a household goods moving company</w:t>
      </w:r>
      <w:r w:rsidR="00071B5F">
        <w:t>.</w:t>
      </w:r>
      <w:r w:rsidR="009D5100">
        <w:t xml:space="preserve"> Staff will consider this monetary obligation satisfied immediately upon the Commission’s receipt of the $1,000 penalty amount.</w:t>
      </w:r>
    </w:p>
    <w:p w14:paraId="39AF838C" w14:textId="4B8004FA" w:rsidR="00650D7E" w:rsidRPr="00650D7E" w:rsidRDefault="005E4853" w:rsidP="005E4853">
      <w:pPr>
        <w:numPr>
          <w:ilvl w:val="1"/>
          <w:numId w:val="32"/>
        </w:numPr>
        <w:spacing w:line="480" w:lineRule="auto"/>
        <w:rPr>
          <w:u w:val="single"/>
        </w:rPr>
      </w:pPr>
      <w:r>
        <w:rPr>
          <w:u w:val="single"/>
        </w:rPr>
        <w:t xml:space="preserve">Consumer </w:t>
      </w:r>
      <w:r w:rsidR="00F5263C">
        <w:rPr>
          <w:u w:val="single"/>
        </w:rPr>
        <w:t>Refund</w:t>
      </w:r>
      <w:r w:rsidR="00650D7E">
        <w:rPr>
          <w:u w:val="single"/>
        </w:rPr>
        <w:t>.</w:t>
      </w:r>
      <w:r w:rsidR="00650D7E">
        <w:t xml:space="preserve"> The Parties agree that </w:t>
      </w:r>
      <w:r>
        <w:t>the consumer</w:t>
      </w:r>
      <w:r>
        <w:rPr>
          <w:rStyle w:val="FootnoteReference"/>
        </w:rPr>
        <w:footnoteReference w:id="2"/>
      </w:r>
      <w:r>
        <w:t xml:space="preserve"> who initiated an inquiry at the Commission in late</w:t>
      </w:r>
      <w:r w:rsidR="00F77840">
        <w:t xml:space="preserve"> </w:t>
      </w:r>
      <w:r>
        <w:t>October of 2016 regarding a dispute with the Company will be refunded a total of $2,000</w:t>
      </w:r>
      <w:r w:rsidR="00650D7E">
        <w:t>.</w:t>
      </w:r>
      <w:r>
        <w:t xml:space="preserve"> </w:t>
      </w:r>
      <w:r w:rsidR="00283B9F">
        <w:t xml:space="preserve">To dispel any concerns for negative </w:t>
      </w:r>
      <w:r w:rsidR="00283B9F">
        <w:lastRenderedPageBreak/>
        <w:t xml:space="preserve">interactions with </w:t>
      </w:r>
      <w:r w:rsidR="0063020F">
        <w:t>the</w:t>
      </w:r>
      <w:r w:rsidR="00283B9F">
        <w:t xml:space="preserve"> consumer, the Company agrees that it will send a </w:t>
      </w:r>
      <w:r w:rsidR="00B90ACA">
        <w:t xml:space="preserve">cashier’s </w:t>
      </w:r>
      <w:r w:rsidR="00283B9F">
        <w:t xml:space="preserve">check </w:t>
      </w:r>
      <w:r w:rsidR="0063020F">
        <w:t xml:space="preserve">(made payable to the consumer’s name) </w:t>
      </w:r>
      <w:r w:rsidR="00283B9F">
        <w:t>via certified mail to the consumer for the total refund amount. The Company agrees to provide confirmation of the refunded amount and its delivery</w:t>
      </w:r>
      <w:r w:rsidR="00B90ACA">
        <w:t xml:space="preserve"> by sending to Staff</w:t>
      </w:r>
      <w:r w:rsidR="00283B9F">
        <w:t xml:space="preserve">: a photocopy of the </w:t>
      </w:r>
      <w:r w:rsidR="0063020F">
        <w:t xml:space="preserve">cashier’s </w:t>
      </w:r>
      <w:r w:rsidR="00283B9F">
        <w:t>check</w:t>
      </w:r>
      <w:r w:rsidR="0063020F">
        <w:t xml:space="preserve"> (made payable to the consumer’s name)</w:t>
      </w:r>
      <w:r w:rsidR="00283B9F">
        <w:t xml:space="preserve">; and, a photocopy of the certified mail receipt indicating date mailed and address to which the refund was mailed. </w:t>
      </w:r>
      <w:r>
        <w:t>After the</w:t>
      </w:r>
      <w:r w:rsidRPr="005E4853">
        <w:t xml:space="preserve"> consumer has </w:t>
      </w:r>
      <w:r>
        <w:t>received the</w:t>
      </w:r>
      <w:r w:rsidRPr="005E4853">
        <w:t xml:space="preserve"> refund</w:t>
      </w:r>
      <w:r>
        <w:t>,</w:t>
      </w:r>
      <w:r w:rsidRPr="005E4853">
        <w:t xml:space="preserve"> </w:t>
      </w:r>
      <w:r w:rsidR="0016719C">
        <w:t xml:space="preserve">there </w:t>
      </w:r>
      <w:r>
        <w:t>will be</w:t>
      </w:r>
      <w:r w:rsidRPr="005E4853">
        <w:t xml:space="preserve"> no further dispute and no other </w:t>
      </w:r>
      <w:r>
        <w:t>outstanding matters between</w:t>
      </w:r>
      <w:r w:rsidRPr="005E4853">
        <w:t xml:space="preserve"> </w:t>
      </w:r>
      <w:r w:rsidR="0016719C">
        <w:t>the</w:t>
      </w:r>
      <w:r w:rsidRPr="005E4853">
        <w:t xml:space="preserve"> consumer </w:t>
      </w:r>
      <w:r>
        <w:t>and the Company.</w:t>
      </w:r>
      <w:r w:rsidR="0063020F">
        <w:t xml:space="preserve"> After Staff has received </w:t>
      </w:r>
      <w:r w:rsidR="009D5100">
        <w:t xml:space="preserve">the above </w:t>
      </w:r>
      <w:r w:rsidR="0063020F">
        <w:t xml:space="preserve">confirmation that the refund has been made to the consumer, Staff will consider this monetary obligation satisfied for purposes </w:t>
      </w:r>
      <w:r w:rsidR="009D5100">
        <w:t>the Commission’s issuance of</w:t>
      </w:r>
      <w:r w:rsidR="0063020F">
        <w:t xml:space="preserve"> </w:t>
      </w:r>
      <w:r w:rsidR="009D5100">
        <w:t>a</w:t>
      </w:r>
      <w:r w:rsidR="0063020F">
        <w:t xml:space="preserve"> permit</w:t>
      </w:r>
      <w:r w:rsidR="009D5100">
        <w:t xml:space="preserve"> to the Company</w:t>
      </w:r>
      <w:r w:rsidR="0063020F">
        <w:t xml:space="preserve">. </w:t>
      </w:r>
    </w:p>
    <w:p w14:paraId="55008B78" w14:textId="77777777" w:rsidR="00BE6DF1" w:rsidRPr="009507F2" w:rsidRDefault="00BE6DF1" w:rsidP="008B6BDE">
      <w:pPr>
        <w:pStyle w:val="HeadingRomanAllCap"/>
        <w:tabs>
          <w:tab w:val="clear" w:pos="3960"/>
        </w:tabs>
      </w:pPr>
      <w:r w:rsidRPr="009507F2">
        <w:t>GENERAL PROVISIONS</w:t>
      </w:r>
    </w:p>
    <w:p w14:paraId="10F35569" w14:textId="77777777" w:rsidR="00BE6DF1" w:rsidRPr="009507F2" w:rsidRDefault="00BE6DF1" w:rsidP="008B6BDE">
      <w:pPr>
        <w:pStyle w:val="BodyTextIndent2"/>
        <w:spacing w:line="240" w:lineRule="auto"/>
        <w:ind w:firstLine="0"/>
      </w:pPr>
    </w:p>
    <w:p w14:paraId="62205650" w14:textId="7980AF0C" w:rsidR="00D211B7" w:rsidRPr="009507F2" w:rsidRDefault="00170839" w:rsidP="008B6BDE">
      <w:pPr>
        <w:numPr>
          <w:ilvl w:val="0"/>
          <w:numId w:val="32"/>
        </w:numPr>
        <w:spacing w:line="480" w:lineRule="auto"/>
      </w:pPr>
      <w:r w:rsidRPr="009507F2">
        <w:tab/>
      </w:r>
      <w:r w:rsidR="00D211B7" w:rsidRPr="009507F2">
        <w:t xml:space="preserve">The Parties agree that this </w:t>
      </w:r>
      <w:r w:rsidR="00F77840">
        <w:t>Agreement</w:t>
      </w:r>
      <w:r w:rsidR="00D211B7" w:rsidRPr="009507F2">
        <w:t xml:space="preserve"> reflects </w:t>
      </w:r>
      <w:r w:rsidR="00071B5F">
        <w:t>a</w:t>
      </w:r>
      <w:r w:rsidR="00D211B7" w:rsidRPr="009507F2">
        <w:t xml:space="preserve"> settlement of all contested issues.</w:t>
      </w:r>
      <w:r w:rsidR="00726F31">
        <w:t xml:space="preserve"> The Parties note that this Settlement is the result of a negotiated </w:t>
      </w:r>
      <w:r w:rsidR="00071B5F">
        <w:t>effort,</w:t>
      </w:r>
      <w:r w:rsidR="00726F31">
        <w:t xml:space="preserve"> seeking compromise from both sides </w:t>
      </w:r>
      <w:r w:rsidR="00071B5F">
        <w:t>in efficiently resolving</w:t>
      </w:r>
      <w:r w:rsidR="00726F31">
        <w:t xml:space="preserve"> the disputes arising in this case</w:t>
      </w:r>
      <w:r w:rsidR="00071B5F">
        <w:t>. The Settlement represents a delicate balance between the positions of the Parties</w:t>
      </w:r>
      <w:r w:rsidR="00726F31">
        <w:t>.</w:t>
      </w:r>
      <w:r w:rsidR="00D211B7" w:rsidRPr="009507F2">
        <w:t xml:space="preserve"> The Parties understand that this Settlement is not binding unless and unt</w:t>
      </w:r>
      <w:r w:rsidR="00093A43" w:rsidRPr="009507F2">
        <w:t>il accepted by the Commission.</w:t>
      </w:r>
    </w:p>
    <w:p w14:paraId="0D9C2B9C" w14:textId="77777777" w:rsidR="00093A43" w:rsidRPr="009507F2" w:rsidRDefault="00093A43" w:rsidP="008B6BDE">
      <w:pPr>
        <w:numPr>
          <w:ilvl w:val="0"/>
          <w:numId w:val="32"/>
        </w:numPr>
        <w:spacing w:line="480" w:lineRule="auto"/>
      </w:pPr>
      <w:r w:rsidRPr="009507F2">
        <w:t xml:space="preserve"> </w:t>
      </w:r>
      <w:r w:rsidRPr="009507F2">
        <w:tab/>
        <w:t>The Parties agree that this Agreement promotes the public interest, and that it is appropriate for unconditional Commission acceptance under WAC 480-07-750.</w:t>
      </w:r>
    </w:p>
    <w:p w14:paraId="185D1593" w14:textId="6CEB1B9E" w:rsidR="00F44B3D" w:rsidRDefault="00D211B7" w:rsidP="008B6BDE">
      <w:pPr>
        <w:numPr>
          <w:ilvl w:val="0"/>
          <w:numId w:val="32"/>
        </w:numPr>
        <w:spacing w:line="480" w:lineRule="auto"/>
      </w:pPr>
      <w:r w:rsidRPr="009507F2">
        <w:tab/>
      </w:r>
      <w:r w:rsidR="00F44B3D" w:rsidRPr="00F44B3D">
        <w:t xml:space="preserve">The </w:t>
      </w:r>
      <w:r w:rsidR="00F44B3D">
        <w:t>P</w:t>
      </w:r>
      <w:r w:rsidR="00F44B3D" w:rsidRPr="00F44B3D">
        <w:t xml:space="preserve">arties agree to advocate for acceptance of this </w:t>
      </w:r>
      <w:r w:rsidR="00F44B3D">
        <w:t>Settlement</w:t>
      </w:r>
      <w:r w:rsidR="00F44B3D" w:rsidRPr="00F44B3D">
        <w:t xml:space="preserve"> before the Commission. After the Commission accepts this </w:t>
      </w:r>
      <w:r w:rsidR="00F44B3D">
        <w:t>Settlement</w:t>
      </w:r>
      <w:r w:rsidR="00F44B3D" w:rsidRPr="00F44B3D">
        <w:t xml:space="preserve">, no party or its agents, employees, consultants, or attorneys will engage in advocacy contrary to the </w:t>
      </w:r>
      <w:r w:rsidR="00F44B3D">
        <w:t>Settlement</w:t>
      </w:r>
      <w:r w:rsidR="00F44B3D" w:rsidRPr="00F44B3D">
        <w:t>.</w:t>
      </w:r>
      <w:r w:rsidR="00F44B3D">
        <w:t xml:space="preserve"> </w:t>
      </w:r>
      <w:r w:rsidR="00F44B3D" w:rsidRPr="00F44B3D">
        <w:t>The Parties shall take all actions necessary, as appropriate, to carry out this Settlement.</w:t>
      </w:r>
    </w:p>
    <w:p w14:paraId="23402384" w14:textId="31467FD9" w:rsidR="00D211B7" w:rsidRPr="009507F2" w:rsidRDefault="00D211B7" w:rsidP="008B6BDE">
      <w:pPr>
        <w:numPr>
          <w:ilvl w:val="0"/>
          <w:numId w:val="32"/>
        </w:numPr>
        <w:spacing w:line="480" w:lineRule="auto"/>
      </w:pPr>
      <w:r w:rsidRPr="009507F2">
        <w:lastRenderedPageBreak/>
        <w:tab/>
        <w:t xml:space="preserve">The Parties have negotiated this Settlement as an integrated document to be effective upon execution and Commission approval. This Settlement supersedes all prior oral and written agreements on issues addressed herein. </w:t>
      </w:r>
    </w:p>
    <w:p w14:paraId="6E660846" w14:textId="69FD5BAB" w:rsidR="00D211B7" w:rsidRPr="009507F2" w:rsidRDefault="00D211B7" w:rsidP="00F44B3D">
      <w:pPr>
        <w:numPr>
          <w:ilvl w:val="0"/>
          <w:numId w:val="32"/>
        </w:numPr>
        <w:spacing w:line="480" w:lineRule="auto"/>
      </w:pPr>
      <w:r w:rsidRPr="009507F2">
        <w:tab/>
        <w:t>The Parties may execute this Settlement in counterparts</w:t>
      </w:r>
      <w:r w:rsidR="00F44B3D">
        <w:t>,</w:t>
      </w:r>
      <w:r w:rsidRPr="009507F2">
        <w:t xml:space="preserve"> and as executed</w:t>
      </w:r>
      <w:r w:rsidR="00977533">
        <w:t>,</w:t>
      </w:r>
      <w:r w:rsidRPr="009507F2">
        <w:t xml:space="preserve"> shall constitute one agreement. Copies sent by facsimile or electronic mail are as effective as original documents.</w:t>
      </w:r>
    </w:p>
    <w:p w14:paraId="5B5856F2" w14:textId="35E29752" w:rsidR="00D211B7" w:rsidRPr="009507F2" w:rsidRDefault="00D211B7" w:rsidP="008B6BDE">
      <w:pPr>
        <w:numPr>
          <w:ilvl w:val="0"/>
          <w:numId w:val="32"/>
        </w:numPr>
        <w:spacing w:line="480" w:lineRule="auto"/>
      </w:pPr>
      <w:r w:rsidRPr="009507F2">
        <w:tab/>
        <w:t xml:space="preserve">In the event that the Commission rejects or modifies any portion of this Settlement, each Party reserves the right to withdraw from this Settlement by written notice to the other Parties and the Commission. </w:t>
      </w:r>
      <w:r w:rsidR="00EF1DF3">
        <w:t>N</w:t>
      </w:r>
      <w:r w:rsidRPr="009507F2">
        <w:t>otice</w:t>
      </w:r>
      <w:r w:rsidR="00EF1DF3">
        <w:t>, whether written or electronic,</w:t>
      </w:r>
      <w:r w:rsidRPr="009507F2">
        <w:t xml:space="preserve"> must be </w:t>
      </w:r>
      <w:r w:rsidR="00EF1DF3">
        <w:t>filed with this docket</w:t>
      </w:r>
      <w:r w:rsidRPr="009507F2">
        <w:t xml:space="preserve"> within ten (10) business days of the Order rejecting part or all of this Settlement. In such event, no Party will be bound or prejudiced by the terms of this Settlement, and any Party shall be entitled to seek reconsideration of the Order.</w:t>
      </w:r>
    </w:p>
    <w:p w14:paraId="670C62F2" w14:textId="77777777" w:rsidR="00093A43" w:rsidRPr="009507F2" w:rsidRDefault="00093A43" w:rsidP="008B6BDE">
      <w:pPr>
        <w:numPr>
          <w:ilvl w:val="0"/>
          <w:numId w:val="32"/>
        </w:numPr>
        <w:spacing w:line="480" w:lineRule="auto"/>
      </w:pPr>
      <w:r w:rsidRPr="009507F2">
        <w:t xml:space="preserve"> </w:t>
      </w:r>
      <w:r w:rsidRPr="009507F2">
        <w:tab/>
        <w:t xml:space="preserve">Each person signing this </w:t>
      </w:r>
      <w:r w:rsidR="001E1749" w:rsidRPr="009507F2">
        <w:t>Settlement</w:t>
      </w:r>
      <w:r w:rsidRPr="009507F2">
        <w:t xml:space="preserve"> warrants that he or she has authority to bind the </w:t>
      </w:r>
      <w:r w:rsidR="001E1749" w:rsidRPr="009507F2">
        <w:t>P</w:t>
      </w:r>
      <w:r w:rsidRPr="009507F2">
        <w:t>arty that he or she represents.</w:t>
      </w:r>
    </w:p>
    <w:p w14:paraId="613CC05E" w14:textId="2080F758" w:rsidR="00D211B7" w:rsidRDefault="009507F2" w:rsidP="008B6BDE">
      <w:r>
        <w:tab/>
      </w:r>
      <w:r w:rsidR="00D211B7" w:rsidRPr="009507F2">
        <w:t xml:space="preserve">Respectfully submitted this _____ day of </w:t>
      </w:r>
      <w:r w:rsidR="00EF1DF3">
        <w:t>___________________</w:t>
      </w:r>
      <w:r w:rsidR="00F33F13" w:rsidRPr="009507F2">
        <w:t>,</w:t>
      </w:r>
      <w:r w:rsidR="00D211B7" w:rsidRPr="009507F2">
        <w:t xml:space="preserve"> </w:t>
      </w:r>
      <w:r w:rsidR="00EF1DF3">
        <w:t>2017</w:t>
      </w:r>
      <w:r w:rsidR="00D211B7" w:rsidRPr="009507F2">
        <w:t>.</w:t>
      </w:r>
    </w:p>
    <w:p w14:paraId="16C6249C" w14:textId="77777777" w:rsidR="004E5CDE" w:rsidRPr="009507F2" w:rsidRDefault="004E5CDE" w:rsidP="008B6BDE"/>
    <w:tbl>
      <w:tblPr>
        <w:tblW w:w="9378" w:type="dxa"/>
        <w:tblLook w:val="00A0" w:firstRow="1" w:lastRow="0" w:firstColumn="1" w:lastColumn="0" w:noHBand="0" w:noVBand="0"/>
      </w:tblPr>
      <w:tblGrid>
        <w:gridCol w:w="4878"/>
        <w:gridCol w:w="4500"/>
      </w:tblGrid>
      <w:tr w:rsidR="00964937" w:rsidRPr="009507F2" w14:paraId="122A7D66" w14:textId="77777777" w:rsidTr="00EB44D3">
        <w:tc>
          <w:tcPr>
            <w:tcW w:w="4878" w:type="dxa"/>
          </w:tcPr>
          <w:p w14:paraId="69CAE1D5" w14:textId="77777777" w:rsidR="00964937" w:rsidRPr="009507F2" w:rsidRDefault="00964937" w:rsidP="008B6BDE">
            <w:r w:rsidRPr="009507F2">
              <w:t>WASHINGTON UTILITIES AND</w:t>
            </w:r>
          </w:p>
          <w:p w14:paraId="2746A1B1" w14:textId="77777777" w:rsidR="00964937" w:rsidRPr="009507F2" w:rsidRDefault="00964937" w:rsidP="008B6BDE">
            <w:r w:rsidRPr="009507F2">
              <w:t>TRANSPORTATION COMMISSION</w:t>
            </w:r>
          </w:p>
          <w:p w14:paraId="5BB5B9B3" w14:textId="77777777" w:rsidR="00964937" w:rsidRPr="009507F2" w:rsidRDefault="00964937" w:rsidP="008B6BDE"/>
        </w:tc>
        <w:tc>
          <w:tcPr>
            <w:tcW w:w="4500" w:type="dxa"/>
          </w:tcPr>
          <w:p w14:paraId="0DA51BDC" w14:textId="63E00892" w:rsidR="00964937" w:rsidRPr="009507F2" w:rsidRDefault="008F0079" w:rsidP="008B6BDE">
            <w:pPr>
              <w:keepLines/>
              <w:rPr>
                <w:caps/>
              </w:rPr>
            </w:pPr>
            <w:r>
              <w:rPr>
                <w:caps/>
                <w:color w:val="000000"/>
              </w:rPr>
              <w:t>ACME MOVING LABOR</w:t>
            </w:r>
          </w:p>
        </w:tc>
      </w:tr>
      <w:tr w:rsidR="005D2420" w:rsidRPr="009507F2" w14:paraId="546BD863" w14:textId="77777777" w:rsidTr="00EB44D3">
        <w:tc>
          <w:tcPr>
            <w:tcW w:w="4878" w:type="dxa"/>
          </w:tcPr>
          <w:p w14:paraId="0319678F" w14:textId="77777777" w:rsidR="005D2420" w:rsidRPr="009507F2" w:rsidRDefault="005D2420" w:rsidP="008B6BDE">
            <w:r w:rsidRPr="009507F2">
              <w:t>ROBERT W. FERGUSON</w:t>
            </w:r>
          </w:p>
          <w:p w14:paraId="00A68097" w14:textId="77777777" w:rsidR="005D2420" w:rsidRPr="009507F2" w:rsidRDefault="005D2420" w:rsidP="008B6BDE">
            <w:r w:rsidRPr="009507F2">
              <w:t>Attorney General</w:t>
            </w:r>
          </w:p>
          <w:p w14:paraId="0E9FD7B5" w14:textId="77777777" w:rsidR="005D2420" w:rsidRPr="009507F2" w:rsidRDefault="005D2420" w:rsidP="008B6BDE"/>
          <w:p w14:paraId="252303BB" w14:textId="77777777" w:rsidR="005D2420" w:rsidRPr="009507F2" w:rsidRDefault="005D2420" w:rsidP="008B6BDE"/>
          <w:p w14:paraId="4B52E080" w14:textId="77777777" w:rsidR="00EB44D3" w:rsidRPr="009507F2" w:rsidRDefault="00EB44D3" w:rsidP="008B6BDE">
            <w:r w:rsidRPr="009507F2">
              <w:t>___</w:t>
            </w:r>
            <w:r w:rsidR="00A93C11" w:rsidRPr="009507F2">
              <w:t>_______________________________</w:t>
            </w:r>
            <w:r w:rsidRPr="009507F2">
              <w:tab/>
            </w:r>
          </w:p>
          <w:p w14:paraId="457B6A10" w14:textId="5847BF3F" w:rsidR="00EB44D3" w:rsidRPr="009507F2" w:rsidRDefault="00EF1DF3" w:rsidP="008B6BDE">
            <w:r>
              <w:t>ANDREW J. O’CONNELL</w:t>
            </w:r>
          </w:p>
          <w:p w14:paraId="2AA0C04E" w14:textId="77777777" w:rsidR="00EB44D3" w:rsidRPr="009507F2" w:rsidRDefault="00EB44D3" w:rsidP="008B6BDE">
            <w:r w:rsidRPr="009507F2">
              <w:t>Assistant Attorney General</w:t>
            </w:r>
          </w:p>
          <w:p w14:paraId="73FE37AA" w14:textId="77777777" w:rsidR="00EB44D3" w:rsidRPr="009507F2" w:rsidRDefault="00EB44D3" w:rsidP="008B6BDE">
            <w:r w:rsidRPr="009507F2">
              <w:t xml:space="preserve">Counsel for the Utilities and </w:t>
            </w:r>
          </w:p>
          <w:p w14:paraId="7AAA71F6" w14:textId="77777777" w:rsidR="00EB44D3" w:rsidRPr="009507F2" w:rsidRDefault="00EB44D3" w:rsidP="008B6BDE">
            <w:r w:rsidRPr="009507F2">
              <w:t>Transportation Commission Staff</w:t>
            </w:r>
          </w:p>
          <w:p w14:paraId="77E2D849" w14:textId="77777777" w:rsidR="00EB44D3" w:rsidRPr="009507F2" w:rsidRDefault="00EB44D3" w:rsidP="008B6BDE"/>
          <w:p w14:paraId="54905457" w14:textId="18D9D509" w:rsidR="00C814AD" w:rsidRPr="009507F2" w:rsidRDefault="00EB44D3" w:rsidP="008B6BDE">
            <w:r w:rsidRPr="009507F2">
              <w:t xml:space="preserve">Dated: ___________________, </w:t>
            </w:r>
            <w:r w:rsidR="00EF1DF3">
              <w:t>2017</w:t>
            </w:r>
          </w:p>
          <w:p w14:paraId="387C01F4" w14:textId="77777777" w:rsidR="00C814AD" w:rsidRPr="009507F2" w:rsidRDefault="00C814AD" w:rsidP="008B6BDE"/>
        </w:tc>
        <w:tc>
          <w:tcPr>
            <w:tcW w:w="4500" w:type="dxa"/>
          </w:tcPr>
          <w:p w14:paraId="0863B8A6" w14:textId="77777777" w:rsidR="006845AD" w:rsidRPr="009507F2" w:rsidRDefault="006845AD" w:rsidP="008B6BDE"/>
          <w:p w14:paraId="74AF64F6" w14:textId="77777777" w:rsidR="00170083" w:rsidRPr="009507F2" w:rsidRDefault="00170083" w:rsidP="008B6BDE"/>
          <w:p w14:paraId="07C1151A" w14:textId="77777777" w:rsidR="00170083" w:rsidRPr="009507F2" w:rsidRDefault="00170083" w:rsidP="008B6BDE"/>
          <w:p w14:paraId="155330EF" w14:textId="77777777" w:rsidR="00170083" w:rsidRPr="009507F2" w:rsidRDefault="00170083" w:rsidP="008B6BDE"/>
          <w:p w14:paraId="3388F3ED" w14:textId="77777777" w:rsidR="00EB44D3" w:rsidRPr="009507F2" w:rsidRDefault="00EB44D3" w:rsidP="008B6BDE">
            <w:r w:rsidRPr="009507F2">
              <w:t>___________________________________</w:t>
            </w:r>
          </w:p>
          <w:p w14:paraId="2802A04B" w14:textId="6F8234F3" w:rsidR="00EB44D3" w:rsidRPr="009507F2" w:rsidRDefault="00071B5F" w:rsidP="008B6BDE">
            <w:r>
              <w:t>ELIZABETH DE BAGARA STEEN</w:t>
            </w:r>
            <w:r w:rsidR="00F44B3D">
              <w:t xml:space="preserve"> </w:t>
            </w:r>
          </w:p>
          <w:p w14:paraId="07CC24E2" w14:textId="24B5C619" w:rsidR="00170083" w:rsidRPr="009507F2" w:rsidRDefault="00071B5F" w:rsidP="008B6BDE">
            <w:r>
              <w:t xml:space="preserve">Attorney for Cheryl Ball d/b/a </w:t>
            </w:r>
            <w:r w:rsidR="008F0079">
              <w:t>Acme Moving Labor</w:t>
            </w:r>
          </w:p>
          <w:p w14:paraId="14B95BA8" w14:textId="77777777" w:rsidR="008A45F0" w:rsidRPr="009507F2" w:rsidRDefault="008A45F0" w:rsidP="008B6BDE"/>
          <w:p w14:paraId="146A87B8" w14:textId="77777777" w:rsidR="00A93C11" w:rsidRPr="009507F2" w:rsidRDefault="00A93C11" w:rsidP="008B6BDE"/>
          <w:p w14:paraId="53CF57E5" w14:textId="5839B060" w:rsidR="006845AD" w:rsidRPr="009507F2" w:rsidRDefault="00EB44D3" w:rsidP="00EF1DF3">
            <w:r w:rsidRPr="009507F2">
              <w:t xml:space="preserve">Dated: ___________________, </w:t>
            </w:r>
            <w:r w:rsidR="00EF1DF3">
              <w:t>2017</w:t>
            </w:r>
          </w:p>
        </w:tc>
      </w:tr>
    </w:tbl>
    <w:p w14:paraId="485932E5" w14:textId="77777777" w:rsidR="00BE6DF1" w:rsidRPr="009507F2" w:rsidRDefault="00BE6DF1" w:rsidP="008B6BDE"/>
    <w:sectPr w:rsidR="00BE6DF1" w:rsidRPr="009507F2" w:rsidSect="003E46D6">
      <w:footerReference w:type="default" r:id="rId12"/>
      <w:pgSz w:w="12240" w:h="15840" w:code="1"/>
      <w:pgMar w:top="1440" w:right="1440" w:bottom="720" w:left="1872" w:header="1440"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B5E97" w14:textId="77777777" w:rsidR="00F415C8" w:rsidRDefault="00F415C8">
      <w:r>
        <w:separator/>
      </w:r>
    </w:p>
  </w:endnote>
  <w:endnote w:type="continuationSeparator" w:id="0">
    <w:p w14:paraId="4747F970" w14:textId="77777777" w:rsidR="00F415C8" w:rsidRDefault="00F4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63A07" w14:textId="77777777" w:rsidR="003E46D6" w:rsidRDefault="003E46D6">
    <w:pPr>
      <w:pStyle w:val="Footer"/>
      <w:rPr>
        <w:sz w:val="22"/>
        <w:szCs w:val="22"/>
      </w:rPr>
    </w:pPr>
  </w:p>
  <w:p w14:paraId="6A06A663" w14:textId="77777777" w:rsidR="00F415C8" w:rsidRDefault="00F415C8">
    <w:pPr>
      <w:pStyle w:val="Footer"/>
      <w:rPr>
        <w:rStyle w:val="PageNumber"/>
        <w:sz w:val="22"/>
        <w:szCs w:val="22"/>
      </w:rPr>
    </w:pPr>
    <w:r w:rsidRPr="00530582">
      <w:rPr>
        <w:sz w:val="22"/>
        <w:szCs w:val="22"/>
      </w:rPr>
      <w:t xml:space="preserve">SETTLEMENT AGREEMENT - Page </w:t>
    </w:r>
    <w:r w:rsidRPr="00530582">
      <w:rPr>
        <w:rStyle w:val="PageNumber"/>
        <w:sz w:val="22"/>
        <w:szCs w:val="22"/>
      </w:rPr>
      <w:fldChar w:fldCharType="begin"/>
    </w:r>
    <w:r w:rsidRPr="00530582">
      <w:rPr>
        <w:rStyle w:val="PageNumber"/>
        <w:sz w:val="22"/>
        <w:szCs w:val="22"/>
      </w:rPr>
      <w:instrText xml:space="preserve"> PAGE </w:instrText>
    </w:r>
    <w:r w:rsidRPr="00530582">
      <w:rPr>
        <w:rStyle w:val="PageNumber"/>
        <w:sz w:val="22"/>
        <w:szCs w:val="22"/>
      </w:rPr>
      <w:fldChar w:fldCharType="separate"/>
    </w:r>
    <w:r w:rsidR="00D344F8">
      <w:rPr>
        <w:rStyle w:val="PageNumber"/>
        <w:noProof/>
        <w:sz w:val="22"/>
        <w:szCs w:val="22"/>
      </w:rPr>
      <w:t>1</w:t>
    </w:r>
    <w:r w:rsidRPr="00530582">
      <w:rPr>
        <w:rStyle w:val="PageNumber"/>
        <w:sz w:val="22"/>
        <w:szCs w:val="22"/>
      </w:rPr>
      <w:fldChar w:fldCharType="end"/>
    </w:r>
    <w:r w:rsidRPr="00530582">
      <w:rPr>
        <w:rStyle w:val="PageNumber"/>
        <w:sz w:val="22"/>
        <w:szCs w:val="22"/>
      </w:rPr>
      <w:t xml:space="preserve"> of </w:t>
    </w:r>
    <w:r w:rsidRPr="00530582">
      <w:rPr>
        <w:rStyle w:val="PageNumber"/>
        <w:sz w:val="22"/>
        <w:szCs w:val="22"/>
      </w:rPr>
      <w:fldChar w:fldCharType="begin"/>
    </w:r>
    <w:r w:rsidRPr="00530582">
      <w:rPr>
        <w:rStyle w:val="PageNumber"/>
        <w:sz w:val="22"/>
        <w:szCs w:val="22"/>
      </w:rPr>
      <w:instrText xml:space="preserve"> NUMPAGES </w:instrText>
    </w:r>
    <w:r w:rsidRPr="00530582">
      <w:rPr>
        <w:rStyle w:val="PageNumber"/>
        <w:sz w:val="22"/>
        <w:szCs w:val="22"/>
      </w:rPr>
      <w:fldChar w:fldCharType="separate"/>
    </w:r>
    <w:r w:rsidR="00D344F8">
      <w:rPr>
        <w:rStyle w:val="PageNumber"/>
        <w:noProof/>
        <w:sz w:val="22"/>
        <w:szCs w:val="22"/>
      </w:rPr>
      <w:t>7</w:t>
    </w:r>
    <w:r w:rsidRPr="00530582">
      <w:rPr>
        <w:rStyle w:val="PageNumber"/>
        <w:sz w:val="22"/>
        <w:szCs w:val="22"/>
      </w:rPr>
      <w:fldChar w:fldCharType="end"/>
    </w:r>
  </w:p>
  <w:p w14:paraId="1C2A018E" w14:textId="77777777" w:rsidR="00F415C8" w:rsidRDefault="00F415C8"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54AA0" w14:textId="77777777" w:rsidR="00F415C8" w:rsidRDefault="00F415C8">
      <w:r>
        <w:separator/>
      </w:r>
    </w:p>
  </w:footnote>
  <w:footnote w:type="continuationSeparator" w:id="0">
    <w:p w14:paraId="71290114" w14:textId="77777777" w:rsidR="00F415C8" w:rsidRDefault="00F415C8">
      <w:r>
        <w:continuationSeparator/>
      </w:r>
    </w:p>
  </w:footnote>
  <w:footnote w:id="1">
    <w:p w14:paraId="7BBFE1C5" w14:textId="5AC24650" w:rsidR="008A7C41" w:rsidRDefault="008A7C41">
      <w:pPr>
        <w:pStyle w:val="FootnoteText"/>
      </w:pPr>
      <w:r>
        <w:rPr>
          <w:rStyle w:val="FootnoteReference"/>
        </w:rPr>
        <w:footnoteRef/>
      </w:r>
      <w:r>
        <w:t xml:space="preserve"> </w:t>
      </w:r>
      <w:r w:rsidRPr="008A7C41">
        <w:rPr>
          <w:i/>
        </w:rPr>
        <w:t>See</w:t>
      </w:r>
      <w:r>
        <w:t xml:space="preserve"> WAC 480-15-305(1) for a full list of the criteria for permanent authority.</w:t>
      </w:r>
    </w:p>
  </w:footnote>
  <w:footnote w:id="2">
    <w:p w14:paraId="211B47FC" w14:textId="6C78C4CA" w:rsidR="005E4853" w:rsidRDefault="005E4853">
      <w:pPr>
        <w:pStyle w:val="FootnoteText"/>
      </w:pPr>
      <w:r>
        <w:rPr>
          <w:rStyle w:val="FootnoteReference"/>
        </w:rPr>
        <w:footnoteRef/>
      </w:r>
      <w:r>
        <w:t xml:space="preserve"> While the Parties respectfully omit the name of the consumer in this Settlement, the Parties have no confusion abo</w:t>
      </w:r>
      <w:r w:rsidR="0029197F">
        <w:t>ut the identity of the consumer. The Parties are aware of the name and address of the consumer. T</w:t>
      </w:r>
      <w:r>
        <w:t>his consumer is identified in the Declaration of Michelle Shepler supporting the Amended Complaint in this docket</w:t>
      </w:r>
      <w:r w:rsidR="0029197F">
        <w:t xml:space="preserve"> and t</w:t>
      </w:r>
      <w:r>
        <w:t>he Parties refer to Ms. Shepler’s Declaration and its supporting documents to resolve any confusion regarding the identity of the consumer.</w:t>
      </w:r>
      <w:r w:rsidR="00DD3527">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3A2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8B1DE2"/>
    <w:multiLevelType w:val="hybridMultilevel"/>
    <w:tmpl w:val="D49E43E8"/>
    <w:lvl w:ilvl="0" w:tplc="E32CAA6E">
      <w:start w:val="1"/>
      <w:numFmt w:val="decimal"/>
      <w:lvlText w:val="%1"/>
      <w:lvlJc w:val="left"/>
      <w:pPr>
        <w:ind w:left="0" w:hanging="72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D450C6"/>
    <w:multiLevelType w:val="hybridMultilevel"/>
    <w:tmpl w:val="CBE22FCC"/>
    <w:lvl w:ilvl="0" w:tplc="10BA2BAC">
      <w:start w:val="1"/>
      <w:numFmt w:val="decimal"/>
      <w:lvlText w:val="%1"/>
      <w:lvlJc w:val="left"/>
      <w:pPr>
        <w:ind w:hanging="720"/>
      </w:pPr>
      <w:rPr>
        <w:rFonts w:ascii="Times New Roman" w:hAnsi="Times New Roman" w:cs="Times New Roman" w:hint="default"/>
        <w:b w:val="0"/>
        <w:i/>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53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1A75CEB"/>
    <w:multiLevelType w:val="hybridMultilevel"/>
    <w:tmpl w:val="7F1CE4F0"/>
    <w:lvl w:ilvl="0" w:tplc="92BA89B0">
      <w:start w:val="1"/>
      <w:numFmt w:val="decimal"/>
      <w:lvlText w:val="%1"/>
      <w:lvlJc w:val="left"/>
      <w:pPr>
        <w:ind w:left="720" w:hanging="360"/>
      </w:pPr>
      <w:rPr>
        <w:rFonts w:ascii="Times New Roman" w:hAnsi="Times New Roman" w:cs="Times New Roman" w:hint="default"/>
        <w:b w:val="0"/>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7E0338"/>
    <w:multiLevelType w:val="hybridMultilevel"/>
    <w:tmpl w:val="132E1BE4"/>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273508E"/>
    <w:multiLevelType w:val="hybridMultilevel"/>
    <w:tmpl w:val="5A90BAF6"/>
    <w:lvl w:ilvl="0" w:tplc="09FC8DE8">
      <w:start w:val="1"/>
      <w:numFmt w:val="upperRoman"/>
      <w:pStyle w:val="HeadingRomanAllCap"/>
      <w:lvlText w:val="%1."/>
      <w:lvlJc w:val="left"/>
      <w:pPr>
        <w:tabs>
          <w:tab w:val="num" w:pos="3960"/>
        </w:tabs>
        <w:ind w:left="396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B043FCF"/>
    <w:multiLevelType w:val="hybridMultilevel"/>
    <w:tmpl w:val="4420D8D4"/>
    <w:lvl w:ilvl="0" w:tplc="DD905C02">
      <w:start w:val="1"/>
      <w:numFmt w:val="decimal"/>
      <w:pStyle w:val="Numberedparagraph"/>
      <w:lvlText w:val="%1"/>
      <w:lvlJc w:val="left"/>
      <w:pPr>
        <w:tabs>
          <w:tab w:val="num" w:pos="0"/>
        </w:tabs>
        <w:ind w:left="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30"/>
  </w:num>
  <w:num w:numId="4">
    <w:abstractNumId w:val="7"/>
  </w:num>
  <w:num w:numId="5">
    <w:abstractNumId w:val="13"/>
  </w:num>
  <w:num w:numId="6">
    <w:abstractNumId w:val="10"/>
  </w:num>
  <w:num w:numId="7">
    <w:abstractNumId w:val="8"/>
  </w:num>
  <w:num w:numId="8">
    <w:abstractNumId w:val="14"/>
  </w:num>
  <w:num w:numId="9">
    <w:abstractNumId w:val="24"/>
  </w:num>
  <w:num w:numId="10">
    <w:abstractNumId w:val="29"/>
  </w:num>
  <w:num w:numId="11">
    <w:abstractNumId w:val="6"/>
  </w:num>
  <w:num w:numId="12">
    <w:abstractNumId w:val="5"/>
  </w:num>
  <w:num w:numId="13">
    <w:abstractNumId w:val="9"/>
  </w:num>
  <w:num w:numId="14">
    <w:abstractNumId w:val="23"/>
  </w:num>
  <w:num w:numId="15">
    <w:abstractNumId w:val="26"/>
  </w:num>
  <w:num w:numId="16">
    <w:abstractNumId w:val="28"/>
  </w:num>
  <w:num w:numId="17">
    <w:abstractNumId w:val="25"/>
  </w:num>
  <w:num w:numId="18">
    <w:abstractNumId w:val="21"/>
  </w:num>
  <w:num w:numId="19">
    <w:abstractNumId w:val="20"/>
  </w:num>
  <w:num w:numId="20">
    <w:abstractNumId w:val="19"/>
  </w:num>
  <w:num w:numId="21">
    <w:abstractNumId w:val="11"/>
  </w:num>
  <w:num w:numId="22">
    <w:abstractNumId w:val="1"/>
  </w:num>
  <w:num w:numId="23">
    <w:abstractNumId w:val="27"/>
  </w:num>
  <w:num w:numId="24">
    <w:abstractNumId w:val="31"/>
  </w:num>
  <w:num w:numId="25">
    <w:abstractNumId w:val="12"/>
  </w:num>
  <w:num w:numId="26">
    <w:abstractNumId w:val="3"/>
  </w:num>
  <w:num w:numId="27">
    <w:abstractNumId w:val="2"/>
  </w:num>
  <w:num w:numId="28">
    <w:abstractNumId w:val="18"/>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74"/>
    <w:rsid w:val="00006201"/>
    <w:rsid w:val="000066F4"/>
    <w:rsid w:val="00012979"/>
    <w:rsid w:val="000155B7"/>
    <w:rsid w:val="000217AD"/>
    <w:rsid w:val="00021833"/>
    <w:rsid w:val="000245F0"/>
    <w:rsid w:val="00026370"/>
    <w:rsid w:val="0003682E"/>
    <w:rsid w:val="00041AB1"/>
    <w:rsid w:val="00041BF8"/>
    <w:rsid w:val="00045D08"/>
    <w:rsid w:val="00046335"/>
    <w:rsid w:val="00047CD3"/>
    <w:rsid w:val="00050F0C"/>
    <w:rsid w:val="0005368D"/>
    <w:rsid w:val="000549E3"/>
    <w:rsid w:val="00055E0E"/>
    <w:rsid w:val="00060A03"/>
    <w:rsid w:val="000621AE"/>
    <w:rsid w:val="000668B2"/>
    <w:rsid w:val="00067379"/>
    <w:rsid w:val="00071B5F"/>
    <w:rsid w:val="0007411A"/>
    <w:rsid w:val="00074440"/>
    <w:rsid w:val="00085416"/>
    <w:rsid w:val="000922E2"/>
    <w:rsid w:val="00093A43"/>
    <w:rsid w:val="00095D41"/>
    <w:rsid w:val="000A1F7A"/>
    <w:rsid w:val="000A580A"/>
    <w:rsid w:val="000A6498"/>
    <w:rsid w:val="000A6B9F"/>
    <w:rsid w:val="000A7096"/>
    <w:rsid w:val="000C0F97"/>
    <w:rsid w:val="000C2B8A"/>
    <w:rsid w:val="000C3CFE"/>
    <w:rsid w:val="000C569E"/>
    <w:rsid w:val="000E08E3"/>
    <w:rsid w:val="000E09E8"/>
    <w:rsid w:val="000E1F88"/>
    <w:rsid w:val="000E327C"/>
    <w:rsid w:val="000E37B9"/>
    <w:rsid w:val="000E6B02"/>
    <w:rsid w:val="000F2AEC"/>
    <w:rsid w:val="001024DF"/>
    <w:rsid w:val="00107C95"/>
    <w:rsid w:val="001101D0"/>
    <w:rsid w:val="001129EF"/>
    <w:rsid w:val="00113228"/>
    <w:rsid w:val="00114A08"/>
    <w:rsid w:val="0012120F"/>
    <w:rsid w:val="00124947"/>
    <w:rsid w:val="00126DC1"/>
    <w:rsid w:val="00133B80"/>
    <w:rsid w:val="00135465"/>
    <w:rsid w:val="00135551"/>
    <w:rsid w:val="00144C09"/>
    <w:rsid w:val="00150332"/>
    <w:rsid w:val="00151034"/>
    <w:rsid w:val="00156B9F"/>
    <w:rsid w:val="001644C2"/>
    <w:rsid w:val="0016719C"/>
    <w:rsid w:val="00170083"/>
    <w:rsid w:val="00170839"/>
    <w:rsid w:val="0017480F"/>
    <w:rsid w:val="001748AA"/>
    <w:rsid w:val="00176BE7"/>
    <w:rsid w:val="001806A0"/>
    <w:rsid w:val="00183745"/>
    <w:rsid w:val="0018375F"/>
    <w:rsid w:val="00185A2F"/>
    <w:rsid w:val="00190A07"/>
    <w:rsid w:val="00193878"/>
    <w:rsid w:val="00196F38"/>
    <w:rsid w:val="00197AB3"/>
    <w:rsid w:val="001A0D96"/>
    <w:rsid w:val="001A3EA7"/>
    <w:rsid w:val="001A4EF9"/>
    <w:rsid w:val="001A5485"/>
    <w:rsid w:val="001A6D20"/>
    <w:rsid w:val="001A7FB6"/>
    <w:rsid w:val="001B4607"/>
    <w:rsid w:val="001B65BF"/>
    <w:rsid w:val="001B6E07"/>
    <w:rsid w:val="001B708C"/>
    <w:rsid w:val="001B746D"/>
    <w:rsid w:val="001B7C27"/>
    <w:rsid w:val="001C18E9"/>
    <w:rsid w:val="001C517C"/>
    <w:rsid w:val="001D1C69"/>
    <w:rsid w:val="001D3046"/>
    <w:rsid w:val="001D4007"/>
    <w:rsid w:val="001D4EBF"/>
    <w:rsid w:val="001D6912"/>
    <w:rsid w:val="001E1749"/>
    <w:rsid w:val="001E25D5"/>
    <w:rsid w:val="001E3D52"/>
    <w:rsid w:val="001E51AC"/>
    <w:rsid w:val="001E7C87"/>
    <w:rsid w:val="001F1DF8"/>
    <w:rsid w:val="00216780"/>
    <w:rsid w:val="002175F5"/>
    <w:rsid w:val="00231F91"/>
    <w:rsid w:val="002327CC"/>
    <w:rsid w:val="00233BB9"/>
    <w:rsid w:val="00237664"/>
    <w:rsid w:val="002403A1"/>
    <w:rsid w:val="00242465"/>
    <w:rsid w:val="002705B7"/>
    <w:rsid w:val="00275264"/>
    <w:rsid w:val="002803EC"/>
    <w:rsid w:val="002811F5"/>
    <w:rsid w:val="002832E3"/>
    <w:rsid w:val="00283B9F"/>
    <w:rsid w:val="002840D7"/>
    <w:rsid w:val="0029197F"/>
    <w:rsid w:val="0029362D"/>
    <w:rsid w:val="002A3268"/>
    <w:rsid w:val="002A354B"/>
    <w:rsid w:val="002B1DE7"/>
    <w:rsid w:val="002B23E0"/>
    <w:rsid w:val="002B2817"/>
    <w:rsid w:val="002B2883"/>
    <w:rsid w:val="002B3B66"/>
    <w:rsid w:val="002B3E85"/>
    <w:rsid w:val="002C314B"/>
    <w:rsid w:val="002C41CD"/>
    <w:rsid w:val="002C657D"/>
    <w:rsid w:val="002C6D93"/>
    <w:rsid w:val="002C7DE0"/>
    <w:rsid w:val="002D4DA6"/>
    <w:rsid w:val="002D5D7B"/>
    <w:rsid w:val="002E4EA0"/>
    <w:rsid w:val="002F0544"/>
    <w:rsid w:val="002F0A01"/>
    <w:rsid w:val="002F253F"/>
    <w:rsid w:val="002F3B9B"/>
    <w:rsid w:val="002F47C9"/>
    <w:rsid w:val="00301F57"/>
    <w:rsid w:val="003046AD"/>
    <w:rsid w:val="0031329E"/>
    <w:rsid w:val="003136DD"/>
    <w:rsid w:val="003156E2"/>
    <w:rsid w:val="00317152"/>
    <w:rsid w:val="00320BB4"/>
    <w:rsid w:val="003215C4"/>
    <w:rsid w:val="00323831"/>
    <w:rsid w:val="00330089"/>
    <w:rsid w:val="00333BC4"/>
    <w:rsid w:val="003452AB"/>
    <w:rsid w:val="00345D81"/>
    <w:rsid w:val="00347919"/>
    <w:rsid w:val="00353105"/>
    <w:rsid w:val="0035420B"/>
    <w:rsid w:val="003566B5"/>
    <w:rsid w:val="00365EB7"/>
    <w:rsid w:val="00366EFF"/>
    <w:rsid w:val="00371A45"/>
    <w:rsid w:val="00373A03"/>
    <w:rsid w:val="00375222"/>
    <w:rsid w:val="0037779B"/>
    <w:rsid w:val="003816A3"/>
    <w:rsid w:val="00382E6C"/>
    <w:rsid w:val="003833D9"/>
    <w:rsid w:val="00384E11"/>
    <w:rsid w:val="003850BA"/>
    <w:rsid w:val="0039394B"/>
    <w:rsid w:val="003A0799"/>
    <w:rsid w:val="003B4871"/>
    <w:rsid w:val="003B5C54"/>
    <w:rsid w:val="003C198F"/>
    <w:rsid w:val="003C1E14"/>
    <w:rsid w:val="003C65CF"/>
    <w:rsid w:val="003C661A"/>
    <w:rsid w:val="003C7002"/>
    <w:rsid w:val="003D2C41"/>
    <w:rsid w:val="003D2C9A"/>
    <w:rsid w:val="003D3B72"/>
    <w:rsid w:val="003D3C30"/>
    <w:rsid w:val="003D4830"/>
    <w:rsid w:val="003D6596"/>
    <w:rsid w:val="003D74B6"/>
    <w:rsid w:val="003E0334"/>
    <w:rsid w:val="003E22E6"/>
    <w:rsid w:val="003E46D6"/>
    <w:rsid w:val="003F21B8"/>
    <w:rsid w:val="003F2CC2"/>
    <w:rsid w:val="003F4B34"/>
    <w:rsid w:val="003F5A8F"/>
    <w:rsid w:val="00401710"/>
    <w:rsid w:val="00402FCB"/>
    <w:rsid w:val="004049C8"/>
    <w:rsid w:val="00404C9F"/>
    <w:rsid w:val="00406E61"/>
    <w:rsid w:val="00407DAA"/>
    <w:rsid w:val="00411780"/>
    <w:rsid w:val="00413267"/>
    <w:rsid w:val="00413B95"/>
    <w:rsid w:val="00413C36"/>
    <w:rsid w:val="00413EB7"/>
    <w:rsid w:val="00414913"/>
    <w:rsid w:val="00414E58"/>
    <w:rsid w:val="00423263"/>
    <w:rsid w:val="004247E9"/>
    <w:rsid w:val="00425BA0"/>
    <w:rsid w:val="00425C05"/>
    <w:rsid w:val="00425FB0"/>
    <w:rsid w:val="004273BA"/>
    <w:rsid w:val="004310E9"/>
    <w:rsid w:val="00432556"/>
    <w:rsid w:val="00437912"/>
    <w:rsid w:val="00442A6A"/>
    <w:rsid w:val="00444FA0"/>
    <w:rsid w:val="00450CF4"/>
    <w:rsid w:val="00452C47"/>
    <w:rsid w:val="00456D94"/>
    <w:rsid w:val="00464DB9"/>
    <w:rsid w:val="00471433"/>
    <w:rsid w:val="00472890"/>
    <w:rsid w:val="00473218"/>
    <w:rsid w:val="00473B9B"/>
    <w:rsid w:val="00480570"/>
    <w:rsid w:val="00481E35"/>
    <w:rsid w:val="004849E2"/>
    <w:rsid w:val="004943B1"/>
    <w:rsid w:val="004A3099"/>
    <w:rsid w:val="004A393F"/>
    <w:rsid w:val="004A53AB"/>
    <w:rsid w:val="004A5A61"/>
    <w:rsid w:val="004B0829"/>
    <w:rsid w:val="004C0A11"/>
    <w:rsid w:val="004C1835"/>
    <w:rsid w:val="004C6DFB"/>
    <w:rsid w:val="004D0BE1"/>
    <w:rsid w:val="004D4E4B"/>
    <w:rsid w:val="004D66D4"/>
    <w:rsid w:val="004E0688"/>
    <w:rsid w:val="004E5B35"/>
    <w:rsid w:val="004E5CDE"/>
    <w:rsid w:val="0050033F"/>
    <w:rsid w:val="005005B7"/>
    <w:rsid w:val="00500E37"/>
    <w:rsid w:val="00503464"/>
    <w:rsid w:val="00505552"/>
    <w:rsid w:val="00513DB3"/>
    <w:rsid w:val="0052052B"/>
    <w:rsid w:val="00530514"/>
    <w:rsid w:val="00530582"/>
    <w:rsid w:val="0053623A"/>
    <w:rsid w:val="005362D0"/>
    <w:rsid w:val="005403A5"/>
    <w:rsid w:val="00541484"/>
    <w:rsid w:val="00545F5C"/>
    <w:rsid w:val="00546FCB"/>
    <w:rsid w:val="00550DF5"/>
    <w:rsid w:val="0055414E"/>
    <w:rsid w:val="00555D23"/>
    <w:rsid w:val="005611BA"/>
    <w:rsid w:val="005613AF"/>
    <w:rsid w:val="005633B0"/>
    <w:rsid w:val="00567FCB"/>
    <w:rsid w:val="005710F2"/>
    <w:rsid w:val="00572F2E"/>
    <w:rsid w:val="0057529C"/>
    <w:rsid w:val="005853F5"/>
    <w:rsid w:val="00590F10"/>
    <w:rsid w:val="00593428"/>
    <w:rsid w:val="00596066"/>
    <w:rsid w:val="005A3632"/>
    <w:rsid w:val="005A545D"/>
    <w:rsid w:val="005A6638"/>
    <w:rsid w:val="005B25CC"/>
    <w:rsid w:val="005B34B4"/>
    <w:rsid w:val="005B3EB3"/>
    <w:rsid w:val="005B4D21"/>
    <w:rsid w:val="005C0CA2"/>
    <w:rsid w:val="005C21ED"/>
    <w:rsid w:val="005D2420"/>
    <w:rsid w:val="005E0634"/>
    <w:rsid w:val="005E40E6"/>
    <w:rsid w:val="005E47C7"/>
    <w:rsid w:val="005E4853"/>
    <w:rsid w:val="005E5700"/>
    <w:rsid w:val="005E6924"/>
    <w:rsid w:val="005F4652"/>
    <w:rsid w:val="00603C94"/>
    <w:rsid w:val="00607DAD"/>
    <w:rsid w:val="00612450"/>
    <w:rsid w:val="0061786C"/>
    <w:rsid w:val="00620086"/>
    <w:rsid w:val="0062571C"/>
    <w:rsid w:val="00627DB3"/>
    <w:rsid w:val="0063020F"/>
    <w:rsid w:val="00630323"/>
    <w:rsid w:val="00630565"/>
    <w:rsid w:val="006313AB"/>
    <w:rsid w:val="00637453"/>
    <w:rsid w:val="0064080F"/>
    <w:rsid w:val="00650D7E"/>
    <w:rsid w:val="0065354D"/>
    <w:rsid w:val="00654654"/>
    <w:rsid w:val="00656AD8"/>
    <w:rsid w:val="006600D5"/>
    <w:rsid w:val="00675F04"/>
    <w:rsid w:val="0067633F"/>
    <w:rsid w:val="00680BD7"/>
    <w:rsid w:val="00681ED6"/>
    <w:rsid w:val="006845AD"/>
    <w:rsid w:val="00684DB7"/>
    <w:rsid w:val="006919C8"/>
    <w:rsid w:val="00691A70"/>
    <w:rsid w:val="006A33EC"/>
    <w:rsid w:val="006A3B41"/>
    <w:rsid w:val="006A446F"/>
    <w:rsid w:val="006A51BE"/>
    <w:rsid w:val="006B142D"/>
    <w:rsid w:val="006B2015"/>
    <w:rsid w:val="006B399B"/>
    <w:rsid w:val="006B3D54"/>
    <w:rsid w:val="006B570F"/>
    <w:rsid w:val="006B588B"/>
    <w:rsid w:val="006C3E8D"/>
    <w:rsid w:val="006C430B"/>
    <w:rsid w:val="006D4510"/>
    <w:rsid w:val="006D53E7"/>
    <w:rsid w:val="006E0CFA"/>
    <w:rsid w:val="006E2F3B"/>
    <w:rsid w:val="006F0C93"/>
    <w:rsid w:val="006F187B"/>
    <w:rsid w:val="006F1CCE"/>
    <w:rsid w:val="006F36B4"/>
    <w:rsid w:val="006F36BA"/>
    <w:rsid w:val="006F4422"/>
    <w:rsid w:val="006F4D90"/>
    <w:rsid w:val="006F77B3"/>
    <w:rsid w:val="00701278"/>
    <w:rsid w:val="00712251"/>
    <w:rsid w:val="00713EAC"/>
    <w:rsid w:val="00717074"/>
    <w:rsid w:val="007201F1"/>
    <w:rsid w:val="00721AB6"/>
    <w:rsid w:val="0072306B"/>
    <w:rsid w:val="00726E63"/>
    <w:rsid w:val="00726F31"/>
    <w:rsid w:val="00727943"/>
    <w:rsid w:val="00732B90"/>
    <w:rsid w:val="007339AD"/>
    <w:rsid w:val="00735F37"/>
    <w:rsid w:val="00744EF7"/>
    <w:rsid w:val="00746426"/>
    <w:rsid w:val="00747021"/>
    <w:rsid w:val="007476CA"/>
    <w:rsid w:val="00752C85"/>
    <w:rsid w:val="00753733"/>
    <w:rsid w:val="00755D18"/>
    <w:rsid w:val="00756DA0"/>
    <w:rsid w:val="00756DEF"/>
    <w:rsid w:val="0076051E"/>
    <w:rsid w:val="00761123"/>
    <w:rsid w:val="007725E9"/>
    <w:rsid w:val="00772C93"/>
    <w:rsid w:val="00776A14"/>
    <w:rsid w:val="007802B7"/>
    <w:rsid w:val="007821BA"/>
    <w:rsid w:val="00786AD1"/>
    <w:rsid w:val="00792D6E"/>
    <w:rsid w:val="007951E6"/>
    <w:rsid w:val="00796A85"/>
    <w:rsid w:val="00796E58"/>
    <w:rsid w:val="00796F6A"/>
    <w:rsid w:val="007A1128"/>
    <w:rsid w:val="007A315C"/>
    <w:rsid w:val="007A4064"/>
    <w:rsid w:val="007A50C8"/>
    <w:rsid w:val="007A67D1"/>
    <w:rsid w:val="007B0FF2"/>
    <w:rsid w:val="007B1490"/>
    <w:rsid w:val="007B5666"/>
    <w:rsid w:val="007C343F"/>
    <w:rsid w:val="007C3763"/>
    <w:rsid w:val="007C4E9E"/>
    <w:rsid w:val="007C4FA3"/>
    <w:rsid w:val="007C55EE"/>
    <w:rsid w:val="007D1107"/>
    <w:rsid w:val="007D1B6E"/>
    <w:rsid w:val="007D3D33"/>
    <w:rsid w:val="007D5002"/>
    <w:rsid w:val="007D5D10"/>
    <w:rsid w:val="007D7911"/>
    <w:rsid w:val="007E2018"/>
    <w:rsid w:val="007E4FAF"/>
    <w:rsid w:val="007E7701"/>
    <w:rsid w:val="008003BB"/>
    <w:rsid w:val="008114CF"/>
    <w:rsid w:val="0081263D"/>
    <w:rsid w:val="00815279"/>
    <w:rsid w:val="00816425"/>
    <w:rsid w:val="0082584E"/>
    <w:rsid w:val="00825B0E"/>
    <w:rsid w:val="0083193E"/>
    <w:rsid w:val="00837676"/>
    <w:rsid w:val="008417A7"/>
    <w:rsid w:val="00842A43"/>
    <w:rsid w:val="0085203E"/>
    <w:rsid w:val="00856755"/>
    <w:rsid w:val="008644B2"/>
    <w:rsid w:val="00866980"/>
    <w:rsid w:val="00871CD8"/>
    <w:rsid w:val="00875E86"/>
    <w:rsid w:val="0087758A"/>
    <w:rsid w:val="00882F4B"/>
    <w:rsid w:val="00883BF1"/>
    <w:rsid w:val="0088441D"/>
    <w:rsid w:val="008851A1"/>
    <w:rsid w:val="0088521F"/>
    <w:rsid w:val="00891122"/>
    <w:rsid w:val="008916D1"/>
    <w:rsid w:val="00895E17"/>
    <w:rsid w:val="0089643E"/>
    <w:rsid w:val="00896AD7"/>
    <w:rsid w:val="00896E44"/>
    <w:rsid w:val="008A0F54"/>
    <w:rsid w:val="008A45F0"/>
    <w:rsid w:val="008A7C41"/>
    <w:rsid w:val="008B23D2"/>
    <w:rsid w:val="008B3832"/>
    <w:rsid w:val="008B6BDE"/>
    <w:rsid w:val="008B7EA8"/>
    <w:rsid w:val="008C31A8"/>
    <w:rsid w:val="008C7905"/>
    <w:rsid w:val="008C7C40"/>
    <w:rsid w:val="008D4539"/>
    <w:rsid w:val="008E00C9"/>
    <w:rsid w:val="008E30AA"/>
    <w:rsid w:val="008E56A5"/>
    <w:rsid w:val="008F0079"/>
    <w:rsid w:val="008F1737"/>
    <w:rsid w:val="008F2AD4"/>
    <w:rsid w:val="00902EE0"/>
    <w:rsid w:val="00903880"/>
    <w:rsid w:val="009055CC"/>
    <w:rsid w:val="00911947"/>
    <w:rsid w:val="0091251B"/>
    <w:rsid w:val="00914C1E"/>
    <w:rsid w:val="009177A1"/>
    <w:rsid w:val="009213FA"/>
    <w:rsid w:val="009264D0"/>
    <w:rsid w:val="00926D6F"/>
    <w:rsid w:val="009275A8"/>
    <w:rsid w:val="009314D4"/>
    <w:rsid w:val="00942FFE"/>
    <w:rsid w:val="009507F2"/>
    <w:rsid w:val="009520E1"/>
    <w:rsid w:val="009520E9"/>
    <w:rsid w:val="00954745"/>
    <w:rsid w:val="009618DF"/>
    <w:rsid w:val="00962B0A"/>
    <w:rsid w:val="00964937"/>
    <w:rsid w:val="00967F0D"/>
    <w:rsid w:val="0097086B"/>
    <w:rsid w:val="00971135"/>
    <w:rsid w:val="009761E6"/>
    <w:rsid w:val="00977533"/>
    <w:rsid w:val="00980FB6"/>
    <w:rsid w:val="00981ECF"/>
    <w:rsid w:val="00983F16"/>
    <w:rsid w:val="009925E5"/>
    <w:rsid w:val="00993F30"/>
    <w:rsid w:val="00996D2B"/>
    <w:rsid w:val="00997202"/>
    <w:rsid w:val="009A131D"/>
    <w:rsid w:val="009A19B3"/>
    <w:rsid w:val="009A3F8B"/>
    <w:rsid w:val="009B0743"/>
    <w:rsid w:val="009B5710"/>
    <w:rsid w:val="009B5EB7"/>
    <w:rsid w:val="009B681E"/>
    <w:rsid w:val="009C1C62"/>
    <w:rsid w:val="009C2726"/>
    <w:rsid w:val="009C43A2"/>
    <w:rsid w:val="009C446E"/>
    <w:rsid w:val="009C44C8"/>
    <w:rsid w:val="009C5A85"/>
    <w:rsid w:val="009C5DFE"/>
    <w:rsid w:val="009D2DCA"/>
    <w:rsid w:val="009D3549"/>
    <w:rsid w:val="009D5100"/>
    <w:rsid w:val="009D5820"/>
    <w:rsid w:val="009D6AB2"/>
    <w:rsid w:val="009D7C35"/>
    <w:rsid w:val="009E33C1"/>
    <w:rsid w:val="009E6E30"/>
    <w:rsid w:val="009F7EE6"/>
    <w:rsid w:val="00A00B00"/>
    <w:rsid w:val="00A0367E"/>
    <w:rsid w:val="00A04687"/>
    <w:rsid w:val="00A051D0"/>
    <w:rsid w:val="00A1190D"/>
    <w:rsid w:val="00A14BE4"/>
    <w:rsid w:val="00A15378"/>
    <w:rsid w:val="00A17E65"/>
    <w:rsid w:val="00A2249A"/>
    <w:rsid w:val="00A23258"/>
    <w:rsid w:val="00A259BA"/>
    <w:rsid w:val="00A33F8D"/>
    <w:rsid w:val="00A40410"/>
    <w:rsid w:val="00A41576"/>
    <w:rsid w:val="00A4561F"/>
    <w:rsid w:val="00A47567"/>
    <w:rsid w:val="00A53978"/>
    <w:rsid w:val="00A636B8"/>
    <w:rsid w:val="00A6701D"/>
    <w:rsid w:val="00A6727F"/>
    <w:rsid w:val="00A70C48"/>
    <w:rsid w:val="00A728D3"/>
    <w:rsid w:val="00A75406"/>
    <w:rsid w:val="00A763A8"/>
    <w:rsid w:val="00A76A17"/>
    <w:rsid w:val="00A84F22"/>
    <w:rsid w:val="00A851BC"/>
    <w:rsid w:val="00A87016"/>
    <w:rsid w:val="00A87284"/>
    <w:rsid w:val="00A91D25"/>
    <w:rsid w:val="00A93C11"/>
    <w:rsid w:val="00A96C3B"/>
    <w:rsid w:val="00A97024"/>
    <w:rsid w:val="00A9736D"/>
    <w:rsid w:val="00AA38E5"/>
    <w:rsid w:val="00AB1274"/>
    <w:rsid w:val="00AB2680"/>
    <w:rsid w:val="00AB3FAA"/>
    <w:rsid w:val="00AC05B0"/>
    <w:rsid w:val="00AC1217"/>
    <w:rsid w:val="00AC2281"/>
    <w:rsid w:val="00AC3577"/>
    <w:rsid w:val="00AD0406"/>
    <w:rsid w:val="00AD0B5A"/>
    <w:rsid w:val="00AD161D"/>
    <w:rsid w:val="00AD2894"/>
    <w:rsid w:val="00AE111E"/>
    <w:rsid w:val="00AE13D0"/>
    <w:rsid w:val="00AE1B14"/>
    <w:rsid w:val="00AE340A"/>
    <w:rsid w:val="00AE3412"/>
    <w:rsid w:val="00AE3DF7"/>
    <w:rsid w:val="00AE6EAA"/>
    <w:rsid w:val="00AF220A"/>
    <w:rsid w:val="00AF57CD"/>
    <w:rsid w:val="00AF6067"/>
    <w:rsid w:val="00AF764B"/>
    <w:rsid w:val="00B015EA"/>
    <w:rsid w:val="00B04F2B"/>
    <w:rsid w:val="00B04FCF"/>
    <w:rsid w:val="00B0574C"/>
    <w:rsid w:val="00B10226"/>
    <w:rsid w:val="00B115BB"/>
    <w:rsid w:val="00B119BE"/>
    <w:rsid w:val="00B21B1D"/>
    <w:rsid w:val="00B23781"/>
    <w:rsid w:val="00B2429E"/>
    <w:rsid w:val="00B2572C"/>
    <w:rsid w:val="00B25874"/>
    <w:rsid w:val="00B270E6"/>
    <w:rsid w:val="00B27C7A"/>
    <w:rsid w:val="00B315A7"/>
    <w:rsid w:val="00B3469D"/>
    <w:rsid w:val="00B412A5"/>
    <w:rsid w:val="00B429BE"/>
    <w:rsid w:val="00B4646E"/>
    <w:rsid w:val="00B465D1"/>
    <w:rsid w:val="00B46616"/>
    <w:rsid w:val="00B46E1F"/>
    <w:rsid w:val="00B50E06"/>
    <w:rsid w:val="00B5156F"/>
    <w:rsid w:val="00B57F1D"/>
    <w:rsid w:val="00B61269"/>
    <w:rsid w:val="00B6150B"/>
    <w:rsid w:val="00B643A8"/>
    <w:rsid w:val="00B70A4E"/>
    <w:rsid w:val="00B73DB4"/>
    <w:rsid w:val="00B77567"/>
    <w:rsid w:val="00B83628"/>
    <w:rsid w:val="00B85BB7"/>
    <w:rsid w:val="00B90ACA"/>
    <w:rsid w:val="00B91225"/>
    <w:rsid w:val="00BA13A1"/>
    <w:rsid w:val="00BA21F5"/>
    <w:rsid w:val="00BB1C2E"/>
    <w:rsid w:val="00BB2529"/>
    <w:rsid w:val="00BB2748"/>
    <w:rsid w:val="00BB366C"/>
    <w:rsid w:val="00BB4507"/>
    <w:rsid w:val="00BC2A59"/>
    <w:rsid w:val="00BD4037"/>
    <w:rsid w:val="00BD5C78"/>
    <w:rsid w:val="00BD77B8"/>
    <w:rsid w:val="00BE19AA"/>
    <w:rsid w:val="00BE1A22"/>
    <w:rsid w:val="00BE1E3F"/>
    <w:rsid w:val="00BE6DF1"/>
    <w:rsid w:val="00BF1A9A"/>
    <w:rsid w:val="00BF3813"/>
    <w:rsid w:val="00C01D26"/>
    <w:rsid w:val="00C04E55"/>
    <w:rsid w:val="00C0511A"/>
    <w:rsid w:val="00C107F6"/>
    <w:rsid w:val="00C11D21"/>
    <w:rsid w:val="00C122E3"/>
    <w:rsid w:val="00C16C56"/>
    <w:rsid w:val="00C20B1A"/>
    <w:rsid w:val="00C2455C"/>
    <w:rsid w:val="00C24FA6"/>
    <w:rsid w:val="00C306D4"/>
    <w:rsid w:val="00C35FC6"/>
    <w:rsid w:val="00C36246"/>
    <w:rsid w:val="00C37D69"/>
    <w:rsid w:val="00C459C5"/>
    <w:rsid w:val="00C474E1"/>
    <w:rsid w:val="00C506D8"/>
    <w:rsid w:val="00C55B29"/>
    <w:rsid w:val="00C57D9C"/>
    <w:rsid w:val="00C63170"/>
    <w:rsid w:val="00C63523"/>
    <w:rsid w:val="00C65ED5"/>
    <w:rsid w:val="00C72846"/>
    <w:rsid w:val="00C75FDE"/>
    <w:rsid w:val="00C764C5"/>
    <w:rsid w:val="00C80F30"/>
    <w:rsid w:val="00C814AD"/>
    <w:rsid w:val="00C85BD8"/>
    <w:rsid w:val="00C86CA0"/>
    <w:rsid w:val="00C919B5"/>
    <w:rsid w:val="00C92249"/>
    <w:rsid w:val="00C92348"/>
    <w:rsid w:val="00C92F68"/>
    <w:rsid w:val="00C93FF9"/>
    <w:rsid w:val="00C94628"/>
    <w:rsid w:val="00C957B1"/>
    <w:rsid w:val="00CA1A45"/>
    <w:rsid w:val="00CA7B6A"/>
    <w:rsid w:val="00CB5CF1"/>
    <w:rsid w:val="00CC2E08"/>
    <w:rsid w:val="00CD59B5"/>
    <w:rsid w:val="00CD6AF9"/>
    <w:rsid w:val="00CE5BA5"/>
    <w:rsid w:val="00CF0F9F"/>
    <w:rsid w:val="00CF4D8D"/>
    <w:rsid w:val="00CF6739"/>
    <w:rsid w:val="00CF6C6F"/>
    <w:rsid w:val="00D00641"/>
    <w:rsid w:val="00D02F5F"/>
    <w:rsid w:val="00D03446"/>
    <w:rsid w:val="00D04941"/>
    <w:rsid w:val="00D0677E"/>
    <w:rsid w:val="00D11E7C"/>
    <w:rsid w:val="00D12A55"/>
    <w:rsid w:val="00D14541"/>
    <w:rsid w:val="00D20574"/>
    <w:rsid w:val="00D211B7"/>
    <w:rsid w:val="00D22085"/>
    <w:rsid w:val="00D24905"/>
    <w:rsid w:val="00D24D7D"/>
    <w:rsid w:val="00D26EB7"/>
    <w:rsid w:val="00D344F8"/>
    <w:rsid w:val="00D35BE3"/>
    <w:rsid w:val="00D403FC"/>
    <w:rsid w:val="00D43B8D"/>
    <w:rsid w:val="00D46E14"/>
    <w:rsid w:val="00D47A03"/>
    <w:rsid w:val="00D51018"/>
    <w:rsid w:val="00D575D9"/>
    <w:rsid w:val="00D60086"/>
    <w:rsid w:val="00D61F32"/>
    <w:rsid w:val="00D61F9E"/>
    <w:rsid w:val="00D628C1"/>
    <w:rsid w:val="00D6698D"/>
    <w:rsid w:val="00D722D2"/>
    <w:rsid w:val="00D728C4"/>
    <w:rsid w:val="00D72CF1"/>
    <w:rsid w:val="00D75BF0"/>
    <w:rsid w:val="00D80C2B"/>
    <w:rsid w:val="00D8127B"/>
    <w:rsid w:val="00D82044"/>
    <w:rsid w:val="00D902D0"/>
    <w:rsid w:val="00D93AFD"/>
    <w:rsid w:val="00D9488E"/>
    <w:rsid w:val="00D954EF"/>
    <w:rsid w:val="00DA2223"/>
    <w:rsid w:val="00DA297F"/>
    <w:rsid w:val="00DA6268"/>
    <w:rsid w:val="00DA7A94"/>
    <w:rsid w:val="00DB46F4"/>
    <w:rsid w:val="00DB5129"/>
    <w:rsid w:val="00DB79BF"/>
    <w:rsid w:val="00DD2B8B"/>
    <w:rsid w:val="00DD3527"/>
    <w:rsid w:val="00DD5F1A"/>
    <w:rsid w:val="00DE27B5"/>
    <w:rsid w:val="00DE292A"/>
    <w:rsid w:val="00DE52FF"/>
    <w:rsid w:val="00DF02B5"/>
    <w:rsid w:val="00E052A6"/>
    <w:rsid w:val="00E058CD"/>
    <w:rsid w:val="00E14251"/>
    <w:rsid w:val="00E15980"/>
    <w:rsid w:val="00E16D4A"/>
    <w:rsid w:val="00E1762F"/>
    <w:rsid w:val="00E232C9"/>
    <w:rsid w:val="00E30E79"/>
    <w:rsid w:val="00E32F30"/>
    <w:rsid w:val="00E3496E"/>
    <w:rsid w:val="00E357C4"/>
    <w:rsid w:val="00E47A3E"/>
    <w:rsid w:val="00E52255"/>
    <w:rsid w:val="00E55617"/>
    <w:rsid w:val="00E56819"/>
    <w:rsid w:val="00E60D81"/>
    <w:rsid w:val="00E662B3"/>
    <w:rsid w:val="00E758B9"/>
    <w:rsid w:val="00E822AE"/>
    <w:rsid w:val="00E83E90"/>
    <w:rsid w:val="00E8470A"/>
    <w:rsid w:val="00E86C23"/>
    <w:rsid w:val="00E9291F"/>
    <w:rsid w:val="00E938B3"/>
    <w:rsid w:val="00E93B08"/>
    <w:rsid w:val="00E946FD"/>
    <w:rsid w:val="00E973B5"/>
    <w:rsid w:val="00EA181B"/>
    <w:rsid w:val="00EA3E79"/>
    <w:rsid w:val="00EB12E8"/>
    <w:rsid w:val="00EB4250"/>
    <w:rsid w:val="00EB44D3"/>
    <w:rsid w:val="00EB6C78"/>
    <w:rsid w:val="00EB7168"/>
    <w:rsid w:val="00EC1E2F"/>
    <w:rsid w:val="00EC7B50"/>
    <w:rsid w:val="00ED1528"/>
    <w:rsid w:val="00EE030F"/>
    <w:rsid w:val="00EE0AEB"/>
    <w:rsid w:val="00EE2C18"/>
    <w:rsid w:val="00EE37D6"/>
    <w:rsid w:val="00EF14B0"/>
    <w:rsid w:val="00EF1DF3"/>
    <w:rsid w:val="00EF503C"/>
    <w:rsid w:val="00EF7D04"/>
    <w:rsid w:val="00F02CB0"/>
    <w:rsid w:val="00F04412"/>
    <w:rsid w:val="00F05462"/>
    <w:rsid w:val="00F14F28"/>
    <w:rsid w:val="00F16E3D"/>
    <w:rsid w:val="00F2134C"/>
    <w:rsid w:val="00F23C9A"/>
    <w:rsid w:val="00F244C4"/>
    <w:rsid w:val="00F27CE7"/>
    <w:rsid w:val="00F311CB"/>
    <w:rsid w:val="00F329C1"/>
    <w:rsid w:val="00F3396C"/>
    <w:rsid w:val="00F33F13"/>
    <w:rsid w:val="00F37998"/>
    <w:rsid w:val="00F415C8"/>
    <w:rsid w:val="00F44B3D"/>
    <w:rsid w:val="00F4626D"/>
    <w:rsid w:val="00F51BB3"/>
    <w:rsid w:val="00F5263C"/>
    <w:rsid w:val="00F55239"/>
    <w:rsid w:val="00F57151"/>
    <w:rsid w:val="00F61702"/>
    <w:rsid w:val="00F61B14"/>
    <w:rsid w:val="00F623AB"/>
    <w:rsid w:val="00F623F1"/>
    <w:rsid w:val="00F633CA"/>
    <w:rsid w:val="00F65557"/>
    <w:rsid w:val="00F708DD"/>
    <w:rsid w:val="00F7470D"/>
    <w:rsid w:val="00F74F97"/>
    <w:rsid w:val="00F75E58"/>
    <w:rsid w:val="00F76EEC"/>
    <w:rsid w:val="00F77840"/>
    <w:rsid w:val="00F8695D"/>
    <w:rsid w:val="00F90FF6"/>
    <w:rsid w:val="00F924B9"/>
    <w:rsid w:val="00F97AE3"/>
    <w:rsid w:val="00FA1DF6"/>
    <w:rsid w:val="00FA2B46"/>
    <w:rsid w:val="00FB0956"/>
    <w:rsid w:val="00FC434A"/>
    <w:rsid w:val="00FD17BF"/>
    <w:rsid w:val="00FD6C30"/>
    <w:rsid w:val="00FE2661"/>
    <w:rsid w:val="00FE61F2"/>
    <w:rsid w:val="00FE629A"/>
    <w:rsid w:val="00FE6AEE"/>
    <w:rsid w:val="00FF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837B917"/>
  <w15:docId w15:val="{7C55C1E0-A366-4CC0-8DDE-05385F1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link w:val="HeaderChar"/>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semiHidden/>
    <w:rsid w:val="00ED1528"/>
    <w:rPr>
      <w:vertAlign w:val="superscript"/>
    </w:rPr>
  </w:style>
  <w:style w:type="paragraph" w:styleId="BodyTextIndent3">
    <w:name w:val="Body Text Indent 3"/>
    <w:basedOn w:val="Normal"/>
    <w:rsid w:val="00ED1528"/>
    <w:pPr>
      <w:ind w:left="1440"/>
    </w:pPr>
  </w:style>
  <w:style w:type="paragraph" w:customStyle="1" w:styleId="LightGrid-Accent31">
    <w:name w:val="Light Grid - Accent 31"/>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spacing w:line="240" w:lineRule="auto"/>
      <w:ind w:left="0" w:firstLine="0"/>
    </w:pPr>
  </w:style>
  <w:style w:type="character" w:styleId="CommentReference">
    <w:name w:val="annotation reference"/>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link w:val="CommentSubject"/>
    <w:rsid w:val="00701278"/>
    <w:rPr>
      <w:b/>
      <w:bCs/>
    </w:rPr>
  </w:style>
  <w:style w:type="character" w:customStyle="1" w:styleId="zzmpTrailerItem">
    <w:name w:val="zzmpTrailerItem"/>
    <w:rsid w:val="00AF6067"/>
    <w:rPr>
      <w:rFonts w:ascii="Arial" w:hAnsi="Arial" w:cs="Times New Roman"/>
      <w:dstrike w:val="0"/>
      <w:noProof/>
      <w:color w:val="auto"/>
      <w:spacing w:val="0"/>
      <w:position w:val="0"/>
      <w:sz w:val="16"/>
      <w:szCs w:val="16"/>
      <w:u w:val="none"/>
      <w:effect w:val="none"/>
      <w:vertAlign w:val="baseline"/>
    </w:rPr>
  </w:style>
  <w:style w:type="character" w:customStyle="1" w:styleId="HeaderChar">
    <w:name w:val="Header Char"/>
    <w:link w:val="Header"/>
    <w:rsid w:val="00135551"/>
    <w:rPr>
      <w:sz w:val="24"/>
      <w:szCs w:val="24"/>
    </w:rPr>
  </w:style>
  <w:style w:type="paragraph" w:styleId="NoSpacing">
    <w:name w:val="No Spacing"/>
    <w:uiPriority w:val="1"/>
    <w:qFormat/>
    <w:rsid w:val="005B25CC"/>
    <w:rPr>
      <w:sz w:val="24"/>
      <w:szCs w:val="24"/>
    </w:rPr>
  </w:style>
  <w:style w:type="paragraph" w:styleId="ListParagraph">
    <w:name w:val="List Paragraph"/>
    <w:basedOn w:val="Normal"/>
    <w:uiPriority w:val="99"/>
    <w:qFormat/>
    <w:rsid w:val="009177A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473">
      <w:bodyDiv w:val="1"/>
      <w:marLeft w:val="0"/>
      <w:marRight w:val="0"/>
      <w:marTop w:val="0"/>
      <w:marBottom w:val="0"/>
      <w:divBdr>
        <w:top w:val="none" w:sz="0" w:space="0" w:color="auto"/>
        <w:left w:val="none" w:sz="0" w:space="0" w:color="auto"/>
        <w:bottom w:val="none" w:sz="0" w:space="0" w:color="auto"/>
        <w:right w:val="none" w:sz="0" w:space="0" w:color="auto"/>
      </w:divBdr>
    </w:div>
    <w:div w:id="650869056">
      <w:bodyDiv w:val="1"/>
      <w:marLeft w:val="0"/>
      <w:marRight w:val="0"/>
      <w:marTop w:val="0"/>
      <w:marBottom w:val="0"/>
      <w:divBdr>
        <w:top w:val="none" w:sz="0" w:space="0" w:color="auto"/>
        <w:left w:val="none" w:sz="0" w:space="0" w:color="auto"/>
        <w:bottom w:val="none" w:sz="0" w:space="0" w:color="auto"/>
        <w:right w:val="none" w:sz="0" w:space="0" w:color="auto"/>
      </w:divBdr>
    </w:div>
    <w:div w:id="796879420">
      <w:bodyDiv w:val="1"/>
      <w:marLeft w:val="0"/>
      <w:marRight w:val="0"/>
      <w:marTop w:val="0"/>
      <w:marBottom w:val="0"/>
      <w:divBdr>
        <w:top w:val="none" w:sz="0" w:space="0" w:color="auto"/>
        <w:left w:val="none" w:sz="0" w:space="0" w:color="auto"/>
        <w:bottom w:val="none" w:sz="0" w:space="0" w:color="auto"/>
        <w:right w:val="none" w:sz="0" w:space="0" w:color="auto"/>
      </w:divBdr>
    </w:div>
    <w:div w:id="906720304">
      <w:bodyDiv w:val="1"/>
      <w:marLeft w:val="0"/>
      <w:marRight w:val="0"/>
      <w:marTop w:val="0"/>
      <w:marBottom w:val="0"/>
      <w:divBdr>
        <w:top w:val="none" w:sz="0" w:space="0" w:color="auto"/>
        <w:left w:val="none" w:sz="0" w:space="0" w:color="auto"/>
        <w:bottom w:val="none" w:sz="0" w:space="0" w:color="auto"/>
        <w:right w:val="none" w:sz="0" w:space="0" w:color="auto"/>
      </w:divBdr>
    </w:div>
    <w:div w:id="1143353941">
      <w:bodyDiv w:val="1"/>
      <w:marLeft w:val="0"/>
      <w:marRight w:val="0"/>
      <w:marTop w:val="0"/>
      <w:marBottom w:val="0"/>
      <w:divBdr>
        <w:top w:val="none" w:sz="0" w:space="0" w:color="auto"/>
        <w:left w:val="none" w:sz="0" w:space="0" w:color="auto"/>
        <w:bottom w:val="none" w:sz="0" w:space="0" w:color="auto"/>
        <w:right w:val="none" w:sz="0" w:space="0" w:color="auto"/>
      </w:divBdr>
    </w:div>
    <w:div w:id="1598757711">
      <w:bodyDiv w:val="1"/>
      <w:marLeft w:val="0"/>
      <w:marRight w:val="0"/>
      <w:marTop w:val="0"/>
      <w:marBottom w:val="0"/>
      <w:divBdr>
        <w:top w:val="none" w:sz="0" w:space="0" w:color="auto"/>
        <w:left w:val="none" w:sz="0" w:space="0" w:color="auto"/>
        <w:bottom w:val="none" w:sz="0" w:space="0" w:color="auto"/>
        <w:right w:val="none" w:sz="0" w:space="0" w:color="auto"/>
      </w:divBdr>
    </w:div>
    <w:div w:id="197652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C6885560DC3940BA123E448BB80B0D" ma:contentTypeVersion="104" ma:contentTypeDescription="" ma:contentTypeScope="" ma:versionID="69cea98254df171e8612d1c788f9e7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Agreement</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2017-03-14T23:59:32+00:00</Date1>
    <IsDocumentOrder xmlns="dc463f71-b30c-4ab2-9473-d307f9d35888" xsi:nil="true"/>
    <IsHighlyConfidential xmlns="dc463f71-b30c-4ab2-9473-d307f9d35888">false</IsHighlyConfidential>
    <CaseCompanyNames xmlns="dc463f71-b30c-4ab2-9473-d307f9d35888">Ball, Cheryl Ann</CaseCompanyNames>
    <Nickname xmlns="http://schemas.microsoft.com/sharepoint/v3" xsi:nil="true"/>
    <DocketNumber xmlns="dc463f71-b30c-4ab2-9473-d307f9d35888">161206</DocketNumber>
    <DelegatedOrder xmlns="dc463f71-b30c-4ab2-9473-d307f9d35888">false</DelegatedOrder>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CCC3083-D42A-4649-89DD-4D8F59B9B696}"/>
</file>

<file path=customXml/itemProps2.xml><?xml version="1.0" encoding="utf-8"?>
<ds:datastoreItem xmlns:ds="http://schemas.openxmlformats.org/officeDocument/2006/customXml" ds:itemID="{C1FB81AE-126B-4E09-8544-DB57AEC0F0FC}">
  <ds:schemaRefs>
    <ds:schemaRef ds:uri="http://schemas.microsoft.com/office/2006/metadata/longProperties"/>
  </ds:schemaRefs>
</ds:datastoreItem>
</file>

<file path=customXml/itemProps3.xml><?xml version="1.0" encoding="utf-8"?>
<ds:datastoreItem xmlns:ds="http://schemas.openxmlformats.org/officeDocument/2006/customXml" ds:itemID="{884A5E25-D7A8-4E15-BB26-D2FDD95B4FC8}">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03ED9F0C-4FB4-494C-B24B-88128C12F3FB}">
  <ds:schemaRefs>
    <ds:schemaRef ds:uri="http://schemas.microsoft.com/sharepoint/v3/contenttype/forms"/>
  </ds:schemaRefs>
</ds:datastoreItem>
</file>

<file path=customXml/itemProps5.xml><?xml version="1.0" encoding="utf-8"?>
<ds:datastoreItem xmlns:ds="http://schemas.openxmlformats.org/officeDocument/2006/customXml" ds:itemID="{B476D5F9-D935-4400-A805-045803540946}">
  <ds:schemaRefs>
    <ds:schemaRef ds:uri="http://schemas.openxmlformats.org/officeDocument/2006/bibliography"/>
  </ds:schemaRefs>
</ds:datastoreItem>
</file>

<file path=customXml/itemProps6.xml><?xml version="1.0" encoding="utf-8"?>
<ds:datastoreItem xmlns:ds="http://schemas.openxmlformats.org/officeDocument/2006/customXml" ds:itemID="{1C95213E-1759-4F2A-B5F3-3F7D9147D0DC}"/>
</file>

<file path=docProps/app.xml><?xml version="1.0" encoding="utf-8"?>
<Properties xmlns="http://schemas.openxmlformats.org/officeDocument/2006/extended-properties" xmlns:vt="http://schemas.openxmlformats.org/officeDocument/2006/docPropsVTypes">
  <Template>Normal</Template>
  <TotalTime>90</TotalTime>
  <Pages>7</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Graham &amp; Dunn</Company>
  <LinksUpToDate>false</LinksUpToDate>
  <CharactersWithSpaces>11034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Young, Betty (UTC)</dc:creator>
  <cp:keywords> </cp:keywords>
  <dc:description/>
  <cp:lastModifiedBy>Andrew J. O'Connell</cp:lastModifiedBy>
  <cp:revision>13</cp:revision>
  <cp:lastPrinted>2015-09-01T21:30:00Z</cp:lastPrinted>
  <dcterms:created xsi:type="dcterms:W3CDTF">2017-03-02T18:26:00Z</dcterms:created>
  <dcterms:modified xsi:type="dcterms:W3CDTF">2017-03-07T16:40:00Z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EmailFrom">
    <vt:lpwstr/>
  </property>
  <property fmtid="{D5CDD505-2E9C-101B-9397-08002B2CF9AE}" pid="6" name="display_urn:schemas-microsoft-com:office:office#Editor">
    <vt:lpwstr>Young, Betty (UTC)</vt:lpwstr>
  </property>
  <property fmtid="{D5CDD505-2E9C-101B-9397-08002B2CF9AE}" pid="7" name="display_urn:schemas-microsoft-com:office:office#Author">
    <vt:lpwstr>Young, Betty (UTC)</vt:lpwstr>
  </property>
  <property fmtid="{D5CDD505-2E9C-101B-9397-08002B2CF9AE}" pid="8" name="EmailSender">
    <vt:lpwstr/>
  </property>
  <property fmtid="{D5CDD505-2E9C-101B-9397-08002B2CF9AE}" pid="9" name="EmailTo">
    <vt:lpwstr/>
  </property>
  <property fmtid="{D5CDD505-2E9C-101B-9397-08002B2CF9AE}" pid="10" name="EmailCc">
    <vt:lpwstr/>
  </property>
  <property fmtid="{D5CDD505-2E9C-101B-9397-08002B2CF9AE}" pid="11" name="EmailSubject">
    <vt:lpwstr/>
  </property>
  <property fmtid="{D5CDD505-2E9C-101B-9397-08002B2CF9AE}" pid="12" name="IsHighlyConfidential">
    <vt:lpwstr>0</vt:lpwstr>
  </property>
  <property fmtid="{D5CDD505-2E9C-101B-9397-08002B2CF9AE}" pid="13" name="IsConfidential">
    <vt:lpwstr>0</vt:lpwstr>
  </property>
  <property fmtid="{D5CDD505-2E9C-101B-9397-08002B2CF9AE}" pid="14" name="_docset_NoMedatataSyncRequired">
    <vt:lpwstr>False</vt:lpwstr>
  </property>
  <property fmtid="{D5CDD505-2E9C-101B-9397-08002B2CF9AE}" pid="15" name="DocumentSetType">
    <vt:lpwstr>Document</vt:lpwstr>
  </property>
  <property fmtid="{D5CDD505-2E9C-101B-9397-08002B2CF9AE}" pid="16" name="DocketNumber">
    <vt:lpwstr>141380</vt:lpwstr>
  </property>
  <property fmtid="{D5CDD505-2E9C-101B-9397-08002B2CF9AE}" pid="17" name="Date1">
    <vt:lpwstr>2014-10-03T14:18:22Z</vt:lpwstr>
  </property>
  <property fmtid="{D5CDD505-2E9C-101B-9397-08002B2CF9AE}" pid="18" name="CaseType">
    <vt:lpwstr>Staff Investigation</vt:lpwstr>
  </property>
  <property fmtid="{D5CDD505-2E9C-101B-9397-08002B2CF9AE}" pid="19" name="OpenedDate">
    <vt:lpwstr>2014-07-03T00:00:00Z</vt:lpwstr>
  </property>
  <property fmtid="{D5CDD505-2E9C-101B-9397-08002B2CF9AE}" pid="20" name="Prefix">
    <vt:lpwstr>TG</vt:lpwstr>
  </property>
  <property fmtid="{D5CDD505-2E9C-101B-9397-08002B2CF9AE}" pid="21" name="CaseCompanyNames">
    <vt:lpwstr>PRICE, DARRELL</vt:lpwstr>
  </property>
  <property fmtid="{D5CDD505-2E9C-101B-9397-08002B2CF9AE}" pid="22" name="IndustryCode">
    <vt:lpwstr>227</vt:lpwstr>
  </property>
  <property fmtid="{D5CDD505-2E9C-101B-9397-08002B2CF9AE}" pid="23" name="CaseStatus">
    <vt:lpwstr>Closed</vt:lpwstr>
  </property>
  <property fmtid="{D5CDD505-2E9C-101B-9397-08002B2CF9AE}" pid="24" name="AgendaOrder">
    <vt:lpwstr>0</vt:lpwstr>
  </property>
  <property fmtid="{D5CDD505-2E9C-101B-9397-08002B2CF9AE}" pid="25" name="IsDocumentOrder">
    <vt:lpwstr>0</vt:lpwstr>
  </property>
  <property fmtid="{D5CDD505-2E9C-101B-9397-08002B2CF9AE}" pid="26" name="DelegatedOrder">
    <vt:lpwstr>0</vt:lpwstr>
  </property>
  <property fmtid="{D5CDD505-2E9C-101B-9397-08002B2CF9AE}" pid="27" name="DocType">
    <vt:lpwstr/>
  </property>
  <property fmtid="{D5CDD505-2E9C-101B-9397-08002B2CF9AE}" pid="28" name="ContentTypeId">
    <vt:lpwstr>0x0101006E56B4D1795A2E4DB2F0B01679ED314A0087C6885560DC3940BA123E448BB80B0D</vt:lpwstr>
  </property>
  <property fmtid="{D5CDD505-2E9C-101B-9397-08002B2CF9AE}" pid="29" name="IsEFSEC">
    <vt:bool>false</vt:bool>
  </property>
</Properties>
</file>