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4C" w:rsidRPr="00DB344C" w:rsidRDefault="008555E6" w:rsidP="00DB344C">
      <w:pPr>
        <w:ind w:left="-18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AD94FE" wp14:editId="7F39ACE9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4C" w:rsidRDefault="00DB344C" w:rsidP="00DB344C">
      <w:pPr>
        <w:rPr>
          <w:sz w:val="24"/>
          <w:szCs w:val="24"/>
        </w:rPr>
      </w:pPr>
    </w:p>
    <w:p w:rsidR="00D139D0" w:rsidRDefault="00D139D0" w:rsidP="00DB344C">
      <w:pPr>
        <w:rPr>
          <w:sz w:val="24"/>
          <w:szCs w:val="24"/>
        </w:rPr>
      </w:pPr>
    </w:p>
    <w:p w:rsidR="002F6AA2" w:rsidRDefault="00101EA6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July</w:t>
      </w:r>
      <w:r w:rsidR="00582E2D">
        <w:rPr>
          <w:sz w:val="24"/>
          <w:szCs w:val="24"/>
        </w:rPr>
        <w:t xml:space="preserve"> </w:t>
      </w:r>
      <w:r w:rsidR="00DB344C">
        <w:rPr>
          <w:sz w:val="24"/>
          <w:szCs w:val="24"/>
        </w:rPr>
        <w:t>2</w:t>
      </w:r>
      <w:r w:rsidR="002D7B03">
        <w:rPr>
          <w:sz w:val="24"/>
          <w:szCs w:val="24"/>
        </w:rPr>
        <w:t>8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DB344C" w:rsidRDefault="00DB344C" w:rsidP="00E90AC7">
      <w:pPr>
        <w:rPr>
          <w:sz w:val="24"/>
          <w:szCs w:val="24"/>
        </w:rPr>
      </w:pPr>
    </w:p>
    <w:p w:rsidR="00D139D0" w:rsidRDefault="00D139D0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090F91" w:rsidRPr="00DB344C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DB344C" w:rsidRDefault="00DB344C" w:rsidP="00E90AC7">
      <w:pPr>
        <w:rPr>
          <w:b/>
          <w:sz w:val="24"/>
          <w:szCs w:val="24"/>
        </w:rPr>
      </w:pPr>
    </w:p>
    <w:p w:rsidR="00D139D0" w:rsidRPr="00CE27B5" w:rsidRDefault="00D139D0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151128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</w:t>
      </w:r>
      <w:r w:rsidR="00051DE8">
        <w:rPr>
          <w:sz w:val="24"/>
          <w:szCs w:val="24"/>
        </w:rPr>
        <w:t>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D139D0" w:rsidRDefault="00D139D0" w:rsidP="00E90AC7">
      <w:pPr>
        <w:rPr>
          <w:sz w:val="24"/>
        </w:rPr>
      </w:pPr>
    </w:p>
    <w:p w:rsidR="00DB344C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582E2D">
        <w:rPr>
          <w:sz w:val="24"/>
          <w:szCs w:val="24"/>
        </w:rPr>
        <w:t>51128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155B4F">
        <w:rPr>
          <w:sz w:val="24"/>
          <w:szCs w:val="24"/>
        </w:rPr>
        <w:t xml:space="preserve">substituted </w:t>
      </w:r>
      <w:r w:rsidR="00582E2D">
        <w:rPr>
          <w:sz w:val="24"/>
          <w:szCs w:val="24"/>
        </w:rPr>
        <w:t xml:space="preserve">tariff </w:t>
      </w:r>
      <w:r w:rsidR="00DB344C">
        <w:rPr>
          <w:sz w:val="24"/>
          <w:szCs w:val="24"/>
        </w:rPr>
        <w:t>sheet</w:t>
      </w:r>
      <w:r w:rsidR="00155B4F">
        <w:rPr>
          <w:sz w:val="24"/>
          <w:szCs w:val="24"/>
        </w:rPr>
        <w:t xml:space="preserve"> and </w:t>
      </w:r>
      <w:r w:rsidR="00582E2D">
        <w:rPr>
          <w:sz w:val="24"/>
          <w:szCs w:val="24"/>
        </w:rPr>
        <w:t xml:space="preserve">attachment </w:t>
      </w:r>
      <w:r w:rsidR="00155B4F">
        <w:rPr>
          <w:sz w:val="24"/>
          <w:szCs w:val="24"/>
        </w:rPr>
        <w:t xml:space="preserve">which </w:t>
      </w:r>
      <w:r w:rsidR="00582E2D">
        <w:rPr>
          <w:sz w:val="24"/>
          <w:szCs w:val="24"/>
        </w:rPr>
        <w:t xml:space="preserve">replace </w:t>
      </w:r>
      <w:r w:rsidR="00D139D0">
        <w:rPr>
          <w:sz w:val="24"/>
          <w:szCs w:val="24"/>
        </w:rPr>
        <w:t xml:space="preserve">tariff </w:t>
      </w:r>
      <w:r w:rsidR="00155B4F">
        <w:rPr>
          <w:sz w:val="24"/>
          <w:szCs w:val="24"/>
        </w:rPr>
        <w:t xml:space="preserve">sheets and attachments </w:t>
      </w:r>
      <w:r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="00582E2D">
        <w:rPr>
          <w:sz w:val="24"/>
          <w:szCs w:val="24"/>
        </w:rPr>
        <w:t xml:space="preserve"> </w:t>
      </w:r>
      <w:r w:rsidR="00155B4F">
        <w:rPr>
          <w:sz w:val="24"/>
          <w:szCs w:val="24"/>
        </w:rPr>
        <w:t xml:space="preserve">original </w:t>
      </w:r>
      <w:r w:rsidR="00582E2D">
        <w:rPr>
          <w:sz w:val="24"/>
          <w:szCs w:val="24"/>
        </w:rPr>
        <w:t>May 28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</w:t>
      </w:r>
      <w:r w:rsidR="00101EA6">
        <w:rPr>
          <w:sz w:val="24"/>
          <w:szCs w:val="24"/>
        </w:rPr>
        <w:t>and subsequent substitute filings,</w:t>
      </w:r>
      <w:r w:rsidR="00DB344C">
        <w:rPr>
          <w:sz w:val="24"/>
          <w:szCs w:val="24"/>
        </w:rPr>
        <w:t xml:space="preserve"> the last of which was submitted on July 8, 2015.  The initial filing and substitute filings</w:t>
      </w:r>
      <w:r>
        <w:rPr>
          <w:sz w:val="24"/>
          <w:szCs w:val="24"/>
        </w:rPr>
        <w:t xml:space="preserve"> w</w:t>
      </w:r>
      <w:r w:rsidR="00101EA6">
        <w:rPr>
          <w:sz w:val="24"/>
          <w:szCs w:val="24"/>
        </w:rPr>
        <w:t>ere</w:t>
      </w:r>
      <w:r>
        <w:rPr>
          <w:sz w:val="24"/>
          <w:szCs w:val="24"/>
        </w:rPr>
        <w:t xml:space="preserve">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F45D2A">
        <w:rPr>
          <w:sz w:val="24"/>
          <w:szCs w:val="24"/>
        </w:rPr>
        <w:t>1</w:t>
      </w:r>
      <w:r w:rsidR="00CE5DDA">
        <w:rPr>
          <w:sz w:val="24"/>
          <w:szCs w:val="24"/>
        </w:rPr>
        <w:t>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>
        <w:rPr>
          <w:sz w:val="24"/>
          <w:szCs w:val="24"/>
        </w:rPr>
        <w:t xml:space="preserve">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155B4F" w:rsidRPr="00155B4F" w:rsidRDefault="00155B4F" w:rsidP="00155B4F">
      <w:pPr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  <w:u w:val="single"/>
        </w:rPr>
        <w:t>WN U-60, Tariff G - (Electric Tariff)</w:t>
      </w:r>
      <w:r w:rsidRPr="00155B4F">
        <w:rPr>
          <w:sz w:val="24"/>
          <w:szCs w:val="24"/>
        </w:rPr>
        <w:t>: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      - Substation and Related Equipment Capacity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A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2</w:t>
      </w:r>
      <w:r w:rsidRPr="00155B4F">
        <w:rPr>
          <w:sz w:val="24"/>
          <w:szCs w:val="24"/>
          <w:vertAlign w:val="superscript"/>
        </w:rPr>
        <w:t>nd</w:t>
      </w:r>
      <w:r w:rsidRPr="00155B4F">
        <w:rPr>
          <w:sz w:val="24"/>
          <w:szCs w:val="24"/>
        </w:rPr>
        <w:t xml:space="preserve"> Revision of Sheet No. 62-</w:t>
      </w:r>
      <w:proofErr w:type="gramStart"/>
      <w:r w:rsidRPr="00155B4F">
        <w:rPr>
          <w:sz w:val="24"/>
          <w:szCs w:val="24"/>
        </w:rPr>
        <w:t>B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C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D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D139D0" w:rsidRPr="00155B4F" w:rsidRDefault="00D139D0" w:rsidP="00D139D0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Original Sheet No. 62-E</w:t>
      </w:r>
      <w:r w:rsidRPr="00155B4F">
        <w:rPr>
          <w:sz w:val="24"/>
          <w:szCs w:val="24"/>
        </w:rPr>
        <w:tab/>
        <w:t>- Substation and Related Equipment Capacity (Continued)</w:t>
      </w:r>
    </w:p>
    <w:p w:rsidR="00D139D0" w:rsidRPr="00155B4F" w:rsidRDefault="00D139D0" w:rsidP="00D139D0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Original Sheet No. 62-F</w:t>
      </w:r>
      <w:r w:rsidRPr="00155B4F">
        <w:rPr>
          <w:sz w:val="24"/>
          <w:szCs w:val="24"/>
        </w:rPr>
        <w:tab/>
        <w:t>- Substation and Related Equipment Capacity (Continued)</w:t>
      </w:r>
    </w:p>
    <w:p w:rsidR="00D139D0" w:rsidRPr="00155B4F" w:rsidRDefault="00D139D0" w:rsidP="00D139D0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“A” to Schedule 62</w:t>
      </w:r>
      <w:r w:rsidRPr="00155B4F">
        <w:rPr>
          <w:sz w:val="24"/>
          <w:szCs w:val="24"/>
        </w:rPr>
        <w:tab/>
        <w:t>- Facilities Agreement</w:t>
      </w:r>
    </w:p>
    <w:p w:rsidR="00D139D0" w:rsidRPr="00155B4F" w:rsidRDefault="00D139D0" w:rsidP="00D139D0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“B” to Schedule 62</w:t>
      </w:r>
      <w:r w:rsidRPr="00155B4F">
        <w:rPr>
          <w:sz w:val="24"/>
          <w:szCs w:val="24"/>
        </w:rPr>
        <w:tab/>
        <w:t>- Fixed Charge Rates</w:t>
      </w:r>
    </w:p>
    <w:p w:rsidR="00D139D0" w:rsidRPr="00155B4F" w:rsidRDefault="00D139D0" w:rsidP="00D139D0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“C” to Schedule 62</w:t>
      </w:r>
      <w:r w:rsidRPr="00155B4F">
        <w:rPr>
          <w:sz w:val="24"/>
          <w:szCs w:val="24"/>
        </w:rPr>
        <w:tab/>
        <w:t>- Rate Methodology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8555E6" w:rsidRPr="00101EA6" w:rsidRDefault="008555E6" w:rsidP="008555E6">
      <w:pPr>
        <w:rPr>
          <w:sz w:val="24"/>
          <w:szCs w:val="24"/>
        </w:rPr>
      </w:pPr>
      <w:r w:rsidRPr="00101EA6">
        <w:rPr>
          <w:sz w:val="24"/>
          <w:szCs w:val="24"/>
        </w:rPr>
        <w:t xml:space="preserve">The </w:t>
      </w:r>
      <w:r w:rsidR="00B35B74" w:rsidRPr="00101EA6">
        <w:rPr>
          <w:sz w:val="24"/>
          <w:szCs w:val="24"/>
        </w:rPr>
        <w:t>purpose</w:t>
      </w:r>
      <w:r w:rsidRPr="00101EA6">
        <w:rPr>
          <w:sz w:val="24"/>
          <w:szCs w:val="24"/>
        </w:rPr>
        <w:t xml:space="preserve"> </w:t>
      </w:r>
      <w:r w:rsidR="00B218EC">
        <w:rPr>
          <w:sz w:val="24"/>
          <w:szCs w:val="24"/>
        </w:rPr>
        <w:t xml:space="preserve">of this substitute tariff filing is to incorporate edits based on </w:t>
      </w:r>
      <w:r w:rsidR="00DB344C">
        <w:rPr>
          <w:sz w:val="24"/>
          <w:szCs w:val="24"/>
        </w:rPr>
        <w:t xml:space="preserve">additional </w:t>
      </w:r>
      <w:r w:rsidR="00B218EC">
        <w:rPr>
          <w:sz w:val="24"/>
          <w:szCs w:val="24"/>
        </w:rPr>
        <w:t>suggestions and input from the Industrial Customers of Northwes</w:t>
      </w:r>
      <w:r w:rsidR="00DB344C">
        <w:rPr>
          <w:sz w:val="24"/>
          <w:szCs w:val="24"/>
        </w:rPr>
        <w:t>t Utilities (“ICNU”)</w:t>
      </w:r>
      <w:r w:rsidR="00B218EC">
        <w:rPr>
          <w:sz w:val="24"/>
          <w:szCs w:val="24"/>
        </w:rPr>
        <w:t xml:space="preserve"> </w:t>
      </w:r>
      <w:r w:rsidR="00D139D0">
        <w:rPr>
          <w:sz w:val="24"/>
          <w:szCs w:val="24"/>
        </w:rPr>
        <w:t xml:space="preserve">to Sheet No. 92-C and Attachment “C” </w:t>
      </w:r>
      <w:r w:rsidR="00B218EC">
        <w:rPr>
          <w:sz w:val="24"/>
          <w:szCs w:val="24"/>
        </w:rPr>
        <w:t>and to extend the effective d</w:t>
      </w:r>
      <w:r w:rsidR="00DB344C">
        <w:rPr>
          <w:sz w:val="24"/>
          <w:szCs w:val="24"/>
        </w:rPr>
        <w:t xml:space="preserve">ate of the entire filing to September </w:t>
      </w:r>
      <w:r w:rsidR="00B218EC">
        <w:rPr>
          <w:sz w:val="24"/>
          <w:szCs w:val="24"/>
        </w:rPr>
        <w:t>1, 2015.  </w:t>
      </w:r>
      <w:r w:rsidRPr="00101EA6">
        <w:rPr>
          <w:sz w:val="24"/>
          <w:szCs w:val="24"/>
        </w:rPr>
        <w:t xml:space="preserve">This </w:t>
      </w:r>
      <w:r w:rsidRPr="00101EA6">
        <w:rPr>
          <w:sz w:val="24"/>
          <w:szCs w:val="24"/>
        </w:rPr>
        <w:lastRenderedPageBreak/>
        <w:t xml:space="preserve">substitution is </w:t>
      </w:r>
      <w:r w:rsidR="00F45D2A" w:rsidRPr="00101EA6">
        <w:rPr>
          <w:sz w:val="24"/>
          <w:szCs w:val="24"/>
        </w:rPr>
        <w:t>provided for in WAC 480-80-111(b</w:t>
      </w:r>
      <w:r w:rsidRPr="00101EA6">
        <w:rPr>
          <w:sz w:val="24"/>
          <w:szCs w:val="24"/>
        </w:rPr>
        <w:t xml:space="preserve">) as </w:t>
      </w:r>
      <w:r w:rsidR="00F45D2A" w:rsidRPr="00101EA6">
        <w:rPr>
          <w:sz w:val="24"/>
          <w:szCs w:val="24"/>
        </w:rPr>
        <w:t>the revisions have no impact on the rates contained in</w:t>
      </w:r>
      <w:r w:rsidRPr="00101EA6">
        <w:rPr>
          <w:sz w:val="24"/>
          <w:szCs w:val="24"/>
        </w:rPr>
        <w:t xml:space="preserve"> the pending tariff sheet</w:t>
      </w:r>
      <w:r w:rsidR="00DA5A61" w:rsidRPr="00101EA6">
        <w:rPr>
          <w:sz w:val="24"/>
          <w:szCs w:val="24"/>
        </w:rPr>
        <w:t>s</w:t>
      </w:r>
      <w:r w:rsidRPr="00101EA6">
        <w:rPr>
          <w:sz w:val="24"/>
          <w:szCs w:val="24"/>
        </w:rPr>
        <w:t xml:space="preserve">.  </w:t>
      </w:r>
    </w:p>
    <w:p w:rsidR="00F45D2A" w:rsidRPr="00101EA6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 xml:space="preserve">Please contact </w:t>
      </w:r>
      <w:r w:rsidR="00D50283" w:rsidRPr="00CC4113">
        <w:rPr>
          <w:sz w:val="24"/>
          <w:szCs w:val="24"/>
        </w:rPr>
        <w:t xml:space="preserve">Lynn Logen at (425) 462-3872 or at </w:t>
      </w:r>
      <w:r w:rsidR="00D50283" w:rsidRPr="00D50283">
        <w:rPr>
          <w:sz w:val="24"/>
          <w:szCs w:val="24"/>
        </w:rPr>
        <w:t>lynn.logen@pse.com</w:t>
      </w:r>
      <w:r w:rsidR="00D50283">
        <w:rPr>
          <w:sz w:val="24"/>
          <w:szCs w:val="24"/>
        </w:rPr>
        <w:t xml:space="preserve"> </w:t>
      </w:r>
      <w:r w:rsidRPr="00CC4113">
        <w:rPr>
          <w:sz w:val="24"/>
          <w:szCs w:val="24"/>
        </w:rPr>
        <w:t>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DB344C" w:rsidRDefault="00DB344C" w:rsidP="008555E6">
      <w:pPr>
        <w:rPr>
          <w:sz w:val="24"/>
          <w:szCs w:val="24"/>
        </w:rPr>
      </w:pPr>
    </w:p>
    <w:p w:rsidR="00DB344C" w:rsidRDefault="00DB344C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DB344C" w:rsidRDefault="00DB344C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D139D0" w:rsidRDefault="00D139D0" w:rsidP="008555E6">
      <w:pPr>
        <w:rPr>
          <w:sz w:val="24"/>
          <w:szCs w:val="24"/>
        </w:rPr>
      </w:pP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  <w:r w:rsidR="00DB344C">
        <w:rPr>
          <w:sz w:val="24"/>
          <w:szCs w:val="24"/>
        </w:rPr>
        <w:t>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D139D0">
      <w:headerReference w:type="default" r:id="rId9"/>
      <w:footerReference w:type="first" r:id="rId10"/>
      <w:pgSz w:w="12240" w:h="15840"/>
      <w:pgMar w:top="1440" w:right="1440" w:bottom="14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6E" w:rsidRDefault="00267C6E">
      <w:r>
        <w:separator/>
      </w:r>
    </w:p>
  </w:endnote>
  <w:endnote w:type="continuationSeparator" w:id="0">
    <w:p w:rsidR="00267C6E" w:rsidRDefault="002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6E" w:rsidRDefault="00267C6E">
      <w:r>
        <w:separator/>
      </w:r>
    </w:p>
  </w:footnote>
  <w:footnote w:type="continuationSeparator" w:id="0">
    <w:p w:rsidR="00267C6E" w:rsidRDefault="0026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0B0AA1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0B0AA1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</w:t>
    </w:r>
    <w:r w:rsidR="00E573A0">
      <w:rPr>
        <w:rStyle w:val="PageNumber"/>
        <w:sz w:val="24"/>
        <w:szCs w:val="24"/>
      </w:rPr>
      <w:t>1128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101EA6">
      <w:rPr>
        <w:rStyle w:val="PageNumber"/>
        <w:sz w:val="24"/>
        <w:szCs w:val="24"/>
      </w:rPr>
      <w:t xml:space="preserve">July </w:t>
    </w:r>
    <w:r w:rsidR="00DB344C">
      <w:rPr>
        <w:rStyle w:val="PageNumber"/>
        <w:sz w:val="24"/>
        <w:szCs w:val="24"/>
      </w:rPr>
      <w:t>2</w:t>
    </w:r>
    <w:r w:rsidR="002D7B03">
      <w:rPr>
        <w:rStyle w:val="PageNumber"/>
        <w:sz w:val="24"/>
        <w:szCs w:val="24"/>
      </w:rPr>
      <w:t>8</w:t>
    </w:r>
    <w:r w:rsidR="00101EA6">
      <w:rPr>
        <w:rStyle w:val="PageNumber"/>
        <w:sz w:val="24"/>
        <w:szCs w:val="24"/>
      </w:rPr>
      <w:t>, 2015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573A0">
      <w:rPr>
        <w:rStyle w:val="PageNumber"/>
        <w:sz w:val="24"/>
        <w:szCs w:val="24"/>
      </w:rPr>
      <w:t>1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0AA1"/>
    <w:rsid w:val="000B5F1E"/>
    <w:rsid w:val="000B7D74"/>
    <w:rsid w:val="000C1A1C"/>
    <w:rsid w:val="000E1C34"/>
    <w:rsid w:val="000F1F79"/>
    <w:rsid w:val="000F30EF"/>
    <w:rsid w:val="000F730A"/>
    <w:rsid w:val="00101EA6"/>
    <w:rsid w:val="001303CC"/>
    <w:rsid w:val="00136478"/>
    <w:rsid w:val="0014028F"/>
    <w:rsid w:val="00151603"/>
    <w:rsid w:val="001537DC"/>
    <w:rsid w:val="0015590C"/>
    <w:rsid w:val="00155B4F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67C6E"/>
    <w:rsid w:val="002706FC"/>
    <w:rsid w:val="00276A45"/>
    <w:rsid w:val="0028567B"/>
    <w:rsid w:val="00294214"/>
    <w:rsid w:val="002A25A3"/>
    <w:rsid w:val="002B0477"/>
    <w:rsid w:val="002B5A47"/>
    <w:rsid w:val="002D1A00"/>
    <w:rsid w:val="002D7B03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47520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24C3C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8F0888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E6FFE"/>
    <w:rsid w:val="00AF6D1A"/>
    <w:rsid w:val="00B00F9D"/>
    <w:rsid w:val="00B02618"/>
    <w:rsid w:val="00B059D2"/>
    <w:rsid w:val="00B07500"/>
    <w:rsid w:val="00B118DA"/>
    <w:rsid w:val="00B21448"/>
    <w:rsid w:val="00B218EC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139D0"/>
    <w:rsid w:val="00D22A5C"/>
    <w:rsid w:val="00D25EF6"/>
    <w:rsid w:val="00D3251E"/>
    <w:rsid w:val="00D36136"/>
    <w:rsid w:val="00D428C4"/>
    <w:rsid w:val="00D451B9"/>
    <w:rsid w:val="00D472AB"/>
    <w:rsid w:val="00D47A63"/>
    <w:rsid w:val="00D5028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B344C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0F71"/>
    <w:rsid w:val="00E15CB6"/>
    <w:rsid w:val="00E2682E"/>
    <w:rsid w:val="00E321F4"/>
    <w:rsid w:val="00E32DAC"/>
    <w:rsid w:val="00E35DC4"/>
    <w:rsid w:val="00E453FD"/>
    <w:rsid w:val="00E56C27"/>
    <w:rsid w:val="00E573A0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75A18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character" w:styleId="Hyperlink">
    <w:name w:val="Hyperlink"/>
    <w:basedOn w:val="DefaultParagraphFont"/>
    <w:rsid w:val="00D50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character" w:styleId="Hyperlink">
    <w:name w:val="Hyperlink"/>
    <w:basedOn w:val="DefaultParagraphFont"/>
    <w:rsid w:val="00D50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84BB45-9320-4F61-8CD0-94CB4203A955}"/>
</file>

<file path=customXml/itemProps2.xml><?xml version="1.0" encoding="utf-8"?>
<ds:datastoreItem xmlns:ds="http://schemas.openxmlformats.org/officeDocument/2006/customXml" ds:itemID="{7985F418-A9CB-463B-BF04-597C9C3DF0FA}"/>
</file>

<file path=customXml/itemProps3.xml><?xml version="1.0" encoding="utf-8"?>
<ds:datastoreItem xmlns:ds="http://schemas.openxmlformats.org/officeDocument/2006/customXml" ds:itemID="{E40983D7-898A-468D-ADB8-80DE9E8D5ED1}"/>
</file>

<file path=customXml/itemProps4.xml><?xml version="1.0" encoding="utf-8"?>
<ds:datastoreItem xmlns:ds="http://schemas.openxmlformats.org/officeDocument/2006/customXml" ds:itemID="{1886EAA1-BA4C-4063-808E-339714E32B2F}"/>
</file>

<file path=customXml/itemProps5.xml><?xml version="1.0" encoding="utf-8"?>
<ds:datastoreItem xmlns:ds="http://schemas.openxmlformats.org/officeDocument/2006/customXml" ds:itemID="{25CF8F7B-1CFF-4B91-8A9D-C3EA3DCF8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8</cp:revision>
  <cp:lastPrinted>2015-07-28T00:31:00Z</cp:lastPrinted>
  <dcterms:created xsi:type="dcterms:W3CDTF">2015-07-27T22:57:00Z</dcterms:created>
  <dcterms:modified xsi:type="dcterms:W3CDTF">2015-07-28T00:32:00Z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0x0101006E56B4D1795A2E4DB2F0B01679ED314A00F49F5FDC37269E4AA08686A105FA3FD1</vt:lpwstr>
  </property>
  <property fmtid="{D5CDD505-2E9C-101B-9397-08002B2CF9AE}" pid="7" name="_docset_NoMedatataSyncRequired">
    <vt:lpwstr>False</vt:lpwstr>
  </property>
</Properties>
</file>