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F7CB8" w14:textId="77777777" w:rsidR="000253B0" w:rsidRDefault="00AB4CD3" w:rsidP="00A714A2">
      <w:pPr>
        <w:spacing w:line="264" w:lineRule="auto"/>
        <w:jc w:val="center"/>
        <w:rPr>
          <w:b/>
          <w:bCs/>
          <w:sz w:val="25"/>
          <w:szCs w:val="25"/>
        </w:rPr>
      </w:pPr>
      <w:r w:rsidRPr="00BE4847">
        <w:rPr>
          <w:b/>
          <w:bCs/>
          <w:sz w:val="25"/>
          <w:szCs w:val="25"/>
        </w:rPr>
        <w:t xml:space="preserve">BEFORE THE </w:t>
      </w:r>
      <w:r>
        <w:rPr>
          <w:b/>
          <w:bCs/>
          <w:sz w:val="25"/>
          <w:szCs w:val="25"/>
        </w:rPr>
        <w:t>WASHINGTON</w:t>
      </w:r>
    </w:p>
    <w:p w14:paraId="78D07575" w14:textId="77777777" w:rsidR="00AB4CD3" w:rsidRPr="0089650D" w:rsidRDefault="00AB4CD3" w:rsidP="000253B0">
      <w:pPr>
        <w:spacing w:line="264" w:lineRule="auto"/>
        <w:jc w:val="center"/>
        <w:rPr>
          <w:bCs/>
          <w:sz w:val="25"/>
          <w:szCs w:val="25"/>
        </w:rPr>
      </w:pPr>
      <w:r w:rsidRPr="00BE4847">
        <w:rPr>
          <w:b/>
          <w:bCs/>
          <w:sz w:val="25"/>
          <w:szCs w:val="25"/>
        </w:rPr>
        <w:t>UTILITIES AND TRANSPORTATION COMMISSION</w:t>
      </w:r>
    </w:p>
    <w:p w14:paraId="703708CE" w14:textId="77777777" w:rsidR="00AB4CD3" w:rsidRPr="0089650D" w:rsidRDefault="00AB4CD3" w:rsidP="0089650D">
      <w:pPr>
        <w:spacing w:line="264" w:lineRule="auto"/>
        <w:rPr>
          <w:bCs/>
          <w:sz w:val="25"/>
          <w:szCs w:val="25"/>
        </w:rPr>
      </w:pPr>
    </w:p>
    <w:tbl>
      <w:tblPr>
        <w:tblW w:w="0" w:type="auto"/>
        <w:tblLook w:val="0000" w:firstRow="0" w:lastRow="0" w:firstColumn="0" w:lastColumn="0" w:noHBand="0" w:noVBand="0"/>
      </w:tblPr>
      <w:tblGrid>
        <w:gridCol w:w="4248"/>
        <w:gridCol w:w="360"/>
        <w:gridCol w:w="3888"/>
      </w:tblGrid>
      <w:tr w:rsidR="00C929E0" w:rsidRPr="00BD1EB2" w14:paraId="0D53B023" w14:textId="77777777" w:rsidTr="00C929E0">
        <w:tc>
          <w:tcPr>
            <w:tcW w:w="4248" w:type="dxa"/>
          </w:tcPr>
          <w:p w14:paraId="0A59B80E" w14:textId="77777777" w:rsidR="00C929E0" w:rsidRPr="00BD1EB2" w:rsidRDefault="00C929E0" w:rsidP="000253B0">
            <w:pPr>
              <w:rPr>
                <w:sz w:val="25"/>
                <w:szCs w:val="25"/>
              </w:rPr>
            </w:pPr>
          </w:p>
        </w:tc>
        <w:tc>
          <w:tcPr>
            <w:tcW w:w="360" w:type="dxa"/>
          </w:tcPr>
          <w:p w14:paraId="2EF6B63F" w14:textId="77777777" w:rsidR="00C929E0" w:rsidRPr="00BD1EB2" w:rsidRDefault="00C929E0" w:rsidP="000253B0">
            <w:pPr>
              <w:rPr>
                <w:sz w:val="25"/>
                <w:szCs w:val="25"/>
              </w:rPr>
            </w:pPr>
          </w:p>
        </w:tc>
        <w:tc>
          <w:tcPr>
            <w:tcW w:w="3888" w:type="dxa"/>
          </w:tcPr>
          <w:p w14:paraId="49BA5B77" w14:textId="77777777" w:rsidR="00C929E0" w:rsidRPr="00C72753" w:rsidRDefault="00C929E0" w:rsidP="00C929E0">
            <w:pPr>
              <w:rPr>
                <w:sz w:val="25"/>
                <w:szCs w:val="25"/>
              </w:rPr>
            </w:pPr>
          </w:p>
        </w:tc>
      </w:tr>
      <w:tr w:rsidR="00C929E0" w:rsidRPr="00BD1EB2" w14:paraId="066391D9" w14:textId="77777777" w:rsidTr="00C929E0">
        <w:tc>
          <w:tcPr>
            <w:tcW w:w="4248" w:type="dxa"/>
          </w:tcPr>
          <w:p w14:paraId="5E98E244" w14:textId="77777777" w:rsidR="00C929E0" w:rsidRDefault="00C929E0" w:rsidP="00C929E0">
            <w:pPr>
              <w:rPr>
                <w:sz w:val="25"/>
                <w:szCs w:val="25"/>
              </w:rPr>
            </w:pPr>
            <w:r>
              <w:rPr>
                <w:sz w:val="25"/>
                <w:szCs w:val="25"/>
              </w:rPr>
              <w:t xml:space="preserve">In the </w:t>
            </w:r>
            <w:r w:rsidR="000253B0">
              <w:rPr>
                <w:sz w:val="25"/>
                <w:szCs w:val="25"/>
              </w:rPr>
              <w:t>M</w:t>
            </w:r>
            <w:r>
              <w:rPr>
                <w:sz w:val="25"/>
                <w:szCs w:val="25"/>
              </w:rPr>
              <w:t>atter of</w:t>
            </w:r>
          </w:p>
          <w:p w14:paraId="2A2D2358" w14:textId="77777777" w:rsidR="00C929E0" w:rsidRDefault="00C929E0" w:rsidP="00C929E0">
            <w:pPr>
              <w:rPr>
                <w:sz w:val="25"/>
                <w:szCs w:val="25"/>
              </w:rPr>
            </w:pPr>
          </w:p>
          <w:p w14:paraId="20B1BC3D" w14:textId="77777777" w:rsidR="00C929E0" w:rsidRDefault="00C929E0" w:rsidP="00C929E0">
            <w:pPr>
              <w:rPr>
                <w:sz w:val="25"/>
                <w:szCs w:val="25"/>
              </w:rPr>
            </w:pPr>
            <w:r>
              <w:rPr>
                <w:sz w:val="25"/>
                <w:szCs w:val="25"/>
              </w:rPr>
              <w:t xml:space="preserve">PUGET SOUND ENERGY, </w:t>
            </w:r>
          </w:p>
          <w:p w14:paraId="5D8F3EC2" w14:textId="77777777" w:rsidR="00C929E0" w:rsidRDefault="00C929E0" w:rsidP="00C929E0">
            <w:pPr>
              <w:rPr>
                <w:sz w:val="25"/>
                <w:szCs w:val="25"/>
              </w:rPr>
            </w:pPr>
          </w:p>
          <w:p w14:paraId="5B678712" w14:textId="77777777" w:rsidR="00C929E0" w:rsidRDefault="00C929E0" w:rsidP="00C929E0">
            <w:pPr>
              <w:rPr>
                <w:sz w:val="25"/>
                <w:szCs w:val="25"/>
              </w:rPr>
            </w:pPr>
            <w:r>
              <w:rPr>
                <w:sz w:val="25"/>
                <w:szCs w:val="25"/>
              </w:rPr>
              <w:t>Report Identifying Its 2014-2023 Ten-Year Achievable Electric Conservation Potential and Its 2014-2015 Electric Biennial Conservation Target Under RCW 19.285.040 and WAC 480-109-010</w:t>
            </w:r>
          </w:p>
          <w:p w14:paraId="2DB59B47" w14:textId="77777777" w:rsidR="00C929E0" w:rsidRPr="00BD1EB2" w:rsidRDefault="00C929E0" w:rsidP="00C929E0">
            <w:pPr>
              <w:rPr>
                <w:sz w:val="25"/>
                <w:szCs w:val="25"/>
              </w:rPr>
            </w:pPr>
            <w:r w:rsidRPr="00BD1EB2">
              <w:rPr>
                <w:sz w:val="25"/>
                <w:szCs w:val="25"/>
              </w:rPr>
              <w:t xml:space="preserve">. . . . . . . . . . . . . . . . . . . . . . . . . . . . . . </w:t>
            </w:r>
          </w:p>
        </w:tc>
        <w:tc>
          <w:tcPr>
            <w:tcW w:w="360" w:type="dxa"/>
          </w:tcPr>
          <w:p w14:paraId="2B12AF30" w14:textId="77777777" w:rsidR="00C929E0" w:rsidRPr="00BD1EB2" w:rsidRDefault="00C929E0" w:rsidP="00C929E0">
            <w:pPr>
              <w:rPr>
                <w:sz w:val="25"/>
                <w:szCs w:val="25"/>
              </w:rPr>
            </w:pPr>
            <w:r w:rsidRPr="00BD1EB2">
              <w:rPr>
                <w:sz w:val="25"/>
                <w:szCs w:val="25"/>
              </w:rPr>
              <w:t>)</w:t>
            </w:r>
          </w:p>
          <w:p w14:paraId="06D7875A" w14:textId="77777777" w:rsidR="00C929E0" w:rsidRPr="00BD1EB2" w:rsidRDefault="00C929E0" w:rsidP="00C929E0">
            <w:pPr>
              <w:rPr>
                <w:sz w:val="25"/>
                <w:szCs w:val="25"/>
              </w:rPr>
            </w:pPr>
            <w:r w:rsidRPr="00BD1EB2">
              <w:rPr>
                <w:sz w:val="25"/>
                <w:szCs w:val="25"/>
              </w:rPr>
              <w:t>)</w:t>
            </w:r>
          </w:p>
          <w:p w14:paraId="1570430B" w14:textId="77777777" w:rsidR="00C929E0" w:rsidRPr="00BD1EB2" w:rsidRDefault="00C929E0" w:rsidP="00C929E0">
            <w:pPr>
              <w:rPr>
                <w:sz w:val="25"/>
                <w:szCs w:val="25"/>
              </w:rPr>
            </w:pPr>
            <w:r w:rsidRPr="00BD1EB2">
              <w:rPr>
                <w:sz w:val="25"/>
                <w:szCs w:val="25"/>
              </w:rPr>
              <w:t>)</w:t>
            </w:r>
          </w:p>
          <w:p w14:paraId="0EC8AB15" w14:textId="77777777" w:rsidR="00C929E0" w:rsidRPr="00BD1EB2" w:rsidRDefault="00C929E0" w:rsidP="00C929E0">
            <w:pPr>
              <w:rPr>
                <w:sz w:val="25"/>
                <w:szCs w:val="25"/>
              </w:rPr>
            </w:pPr>
            <w:r w:rsidRPr="00BD1EB2">
              <w:rPr>
                <w:sz w:val="25"/>
                <w:szCs w:val="25"/>
              </w:rPr>
              <w:t>)</w:t>
            </w:r>
          </w:p>
          <w:p w14:paraId="4357ECF1" w14:textId="77777777" w:rsidR="00C929E0" w:rsidRPr="00BD1EB2" w:rsidRDefault="00C929E0" w:rsidP="00C929E0">
            <w:pPr>
              <w:rPr>
                <w:sz w:val="25"/>
                <w:szCs w:val="25"/>
              </w:rPr>
            </w:pPr>
            <w:r w:rsidRPr="00BD1EB2">
              <w:rPr>
                <w:sz w:val="25"/>
                <w:szCs w:val="25"/>
              </w:rPr>
              <w:t>)</w:t>
            </w:r>
          </w:p>
          <w:p w14:paraId="1F29A8C1" w14:textId="77777777" w:rsidR="00C929E0" w:rsidRPr="00BD1EB2" w:rsidRDefault="00C929E0" w:rsidP="00C929E0">
            <w:pPr>
              <w:rPr>
                <w:sz w:val="25"/>
                <w:szCs w:val="25"/>
              </w:rPr>
            </w:pPr>
            <w:r w:rsidRPr="00BD1EB2">
              <w:rPr>
                <w:sz w:val="25"/>
                <w:szCs w:val="25"/>
              </w:rPr>
              <w:t>)</w:t>
            </w:r>
          </w:p>
          <w:p w14:paraId="1C3BA75E" w14:textId="77777777" w:rsidR="00C929E0" w:rsidRPr="00BD1EB2" w:rsidRDefault="00C929E0" w:rsidP="00C929E0">
            <w:pPr>
              <w:rPr>
                <w:sz w:val="25"/>
                <w:szCs w:val="25"/>
              </w:rPr>
            </w:pPr>
            <w:r w:rsidRPr="00BD1EB2">
              <w:rPr>
                <w:sz w:val="25"/>
                <w:szCs w:val="25"/>
              </w:rPr>
              <w:t>)</w:t>
            </w:r>
          </w:p>
          <w:p w14:paraId="37907DEB" w14:textId="77777777" w:rsidR="00C929E0" w:rsidRPr="00BD1EB2" w:rsidRDefault="00C929E0" w:rsidP="00C929E0">
            <w:pPr>
              <w:rPr>
                <w:sz w:val="25"/>
                <w:szCs w:val="25"/>
              </w:rPr>
            </w:pPr>
            <w:r w:rsidRPr="00BD1EB2">
              <w:rPr>
                <w:sz w:val="25"/>
                <w:szCs w:val="25"/>
              </w:rPr>
              <w:t>)</w:t>
            </w:r>
          </w:p>
          <w:p w14:paraId="3D3B5FC3" w14:textId="77777777" w:rsidR="00C929E0" w:rsidRPr="00BD1EB2" w:rsidRDefault="00C929E0" w:rsidP="00C929E0">
            <w:pPr>
              <w:rPr>
                <w:sz w:val="25"/>
                <w:szCs w:val="25"/>
              </w:rPr>
            </w:pPr>
            <w:r w:rsidRPr="00BD1EB2">
              <w:rPr>
                <w:sz w:val="25"/>
                <w:szCs w:val="25"/>
              </w:rPr>
              <w:t>)</w:t>
            </w:r>
          </w:p>
          <w:p w14:paraId="29D588F1" w14:textId="77777777" w:rsidR="00C929E0" w:rsidRPr="00BD1EB2" w:rsidRDefault="00C929E0" w:rsidP="00C929E0">
            <w:pPr>
              <w:rPr>
                <w:sz w:val="25"/>
                <w:szCs w:val="25"/>
              </w:rPr>
            </w:pPr>
            <w:r w:rsidRPr="00BD1EB2">
              <w:rPr>
                <w:sz w:val="25"/>
                <w:szCs w:val="25"/>
              </w:rPr>
              <w:t>)</w:t>
            </w:r>
          </w:p>
          <w:p w14:paraId="7FF35BDD" w14:textId="77777777" w:rsidR="00C929E0" w:rsidRDefault="00C929E0" w:rsidP="00C929E0">
            <w:pPr>
              <w:rPr>
                <w:sz w:val="25"/>
                <w:szCs w:val="25"/>
              </w:rPr>
            </w:pPr>
            <w:r w:rsidRPr="00BD1EB2">
              <w:rPr>
                <w:sz w:val="25"/>
                <w:szCs w:val="25"/>
              </w:rPr>
              <w:t>)</w:t>
            </w:r>
          </w:p>
          <w:p w14:paraId="36183714" w14:textId="77777777" w:rsidR="00C929E0" w:rsidRPr="00BD1EB2" w:rsidRDefault="00C929E0" w:rsidP="00C929E0">
            <w:pPr>
              <w:rPr>
                <w:sz w:val="25"/>
                <w:szCs w:val="25"/>
              </w:rPr>
            </w:pPr>
          </w:p>
        </w:tc>
        <w:tc>
          <w:tcPr>
            <w:tcW w:w="3888" w:type="dxa"/>
          </w:tcPr>
          <w:p w14:paraId="5A05D59A" w14:textId="77777777" w:rsidR="00C929E0" w:rsidRPr="00C72753" w:rsidRDefault="00C929E0" w:rsidP="00C929E0">
            <w:pPr>
              <w:rPr>
                <w:sz w:val="25"/>
                <w:szCs w:val="25"/>
              </w:rPr>
            </w:pPr>
            <w:r w:rsidRPr="00C72753">
              <w:rPr>
                <w:sz w:val="25"/>
                <w:szCs w:val="25"/>
              </w:rPr>
              <w:t xml:space="preserve">DOCKET </w:t>
            </w:r>
            <w:r w:rsidRPr="00C72753">
              <w:rPr>
                <w:bCs/>
                <w:sz w:val="25"/>
                <w:szCs w:val="25"/>
              </w:rPr>
              <w:t>UE-132043</w:t>
            </w:r>
          </w:p>
          <w:p w14:paraId="2CE05EE5" w14:textId="77777777" w:rsidR="00C929E0" w:rsidRPr="00C72753" w:rsidRDefault="00C929E0" w:rsidP="00C929E0">
            <w:pPr>
              <w:rPr>
                <w:sz w:val="25"/>
                <w:szCs w:val="25"/>
              </w:rPr>
            </w:pPr>
          </w:p>
          <w:p w14:paraId="36A54AE3" w14:textId="77777777" w:rsidR="00C72753" w:rsidRPr="00C72753" w:rsidRDefault="00C72753" w:rsidP="00C72753">
            <w:pPr>
              <w:rPr>
                <w:sz w:val="25"/>
                <w:szCs w:val="25"/>
              </w:rPr>
            </w:pPr>
            <w:r w:rsidRPr="00C72753">
              <w:rPr>
                <w:sz w:val="25"/>
                <w:szCs w:val="25"/>
              </w:rPr>
              <w:t>ORDER 0</w:t>
            </w:r>
            <w:r w:rsidR="00EB046C">
              <w:rPr>
                <w:bCs/>
                <w:sz w:val="25"/>
                <w:szCs w:val="25"/>
              </w:rPr>
              <w:t>3</w:t>
            </w:r>
          </w:p>
          <w:p w14:paraId="7E36BC2E" w14:textId="77777777" w:rsidR="00C72753" w:rsidRPr="00C72753" w:rsidRDefault="00C72753" w:rsidP="00C72753">
            <w:pPr>
              <w:rPr>
                <w:sz w:val="25"/>
                <w:szCs w:val="25"/>
              </w:rPr>
            </w:pPr>
          </w:p>
          <w:p w14:paraId="14DE2920" w14:textId="77777777" w:rsidR="00C72753" w:rsidRPr="00C72753" w:rsidRDefault="00C72753" w:rsidP="00C72753">
            <w:pPr>
              <w:rPr>
                <w:sz w:val="25"/>
                <w:szCs w:val="25"/>
              </w:rPr>
            </w:pPr>
            <w:r w:rsidRPr="00C72753">
              <w:rPr>
                <w:sz w:val="25"/>
                <w:szCs w:val="25"/>
              </w:rPr>
              <w:t xml:space="preserve">ORDER </w:t>
            </w:r>
            <w:r w:rsidR="00EB046C">
              <w:rPr>
                <w:sz w:val="25"/>
                <w:szCs w:val="25"/>
              </w:rPr>
              <w:t xml:space="preserve">ESTABLISHING DECOUPLING CONSERVATION COMMITMENT; REQUIRING PERFORMANCE OF COMMITMENT </w:t>
            </w:r>
          </w:p>
          <w:p w14:paraId="29DC6035" w14:textId="77777777" w:rsidR="00C929E0" w:rsidRPr="00C72753" w:rsidRDefault="00C929E0" w:rsidP="00C929E0">
            <w:pPr>
              <w:pStyle w:val="Header"/>
              <w:tabs>
                <w:tab w:val="clear" w:pos="4320"/>
                <w:tab w:val="clear" w:pos="8640"/>
              </w:tabs>
              <w:rPr>
                <w:sz w:val="25"/>
                <w:szCs w:val="25"/>
              </w:rPr>
            </w:pPr>
          </w:p>
        </w:tc>
      </w:tr>
    </w:tbl>
    <w:p w14:paraId="34DED4F9" w14:textId="77777777" w:rsidR="004003BD" w:rsidRPr="00781D7E" w:rsidRDefault="00781D7E" w:rsidP="004003BD">
      <w:pPr>
        <w:spacing w:line="264" w:lineRule="auto"/>
        <w:jc w:val="center"/>
        <w:rPr>
          <w:b/>
          <w:sz w:val="25"/>
          <w:szCs w:val="25"/>
        </w:rPr>
      </w:pPr>
      <w:r w:rsidRPr="00781D7E">
        <w:rPr>
          <w:b/>
          <w:sz w:val="25"/>
          <w:szCs w:val="25"/>
        </w:rPr>
        <w:t xml:space="preserve">BACKGROUND </w:t>
      </w:r>
      <w:r w:rsidRPr="00781D7E">
        <w:rPr>
          <w:b/>
          <w:sz w:val="25"/>
          <w:szCs w:val="25"/>
        </w:rPr>
        <w:br/>
      </w:r>
    </w:p>
    <w:p w14:paraId="639D3590" w14:textId="77777777" w:rsidR="00C72753" w:rsidRPr="004003BD" w:rsidRDefault="00C72753" w:rsidP="004003BD">
      <w:pPr>
        <w:numPr>
          <w:ilvl w:val="0"/>
          <w:numId w:val="1"/>
        </w:numPr>
        <w:tabs>
          <w:tab w:val="clear" w:pos="720"/>
        </w:tabs>
        <w:spacing w:line="264" w:lineRule="auto"/>
        <w:ind w:left="0"/>
        <w:rPr>
          <w:b/>
          <w:sz w:val="25"/>
          <w:szCs w:val="25"/>
          <w:u w:val="single"/>
        </w:rPr>
      </w:pPr>
      <w:r>
        <w:rPr>
          <w:sz w:val="25"/>
          <w:szCs w:val="25"/>
        </w:rPr>
        <w:t xml:space="preserve">The </w:t>
      </w:r>
      <w:r w:rsidRPr="00844847">
        <w:rPr>
          <w:sz w:val="25"/>
          <w:szCs w:val="25"/>
        </w:rPr>
        <w:t>Energy Independence Act (EIA</w:t>
      </w:r>
      <w:r>
        <w:rPr>
          <w:sz w:val="25"/>
          <w:szCs w:val="25"/>
        </w:rPr>
        <w:t xml:space="preserve"> or Act</w:t>
      </w:r>
      <w:r w:rsidRPr="00844847">
        <w:rPr>
          <w:sz w:val="25"/>
          <w:szCs w:val="25"/>
        </w:rPr>
        <w:t>)</w:t>
      </w:r>
      <w:r>
        <w:rPr>
          <w:rStyle w:val="FootnoteReference"/>
          <w:sz w:val="25"/>
          <w:szCs w:val="25"/>
        </w:rPr>
        <w:footnoteReference w:id="2"/>
      </w:r>
      <w:r w:rsidRPr="00844847">
        <w:rPr>
          <w:sz w:val="25"/>
          <w:szCs w:val="25"/>
        </w:rPr>
        <w:t xml:space="preserve"> </w:t>
      </w:r>
      <w:r>
        <w:rPr>
          <w:sz w:val="25"/>
          <w:szCs w:val="25"/>
        </w:rPr>
        <w:t>requires</w:t>
      </w:r>
      <w:r w:rsidRPr="00844847">
        <w:rPr>
          <w:sz w:val="25"/>
          <w:szCs w:val="25"/>
        </w:rPr>
        <w:t xml:space="preserve"> </w:t>
      </w:r>
      <w:r>
        <w:rPr>
          <w:sz w:val="25"/>
          <w:szCs w:val="25"/>
        </w:rPr>
        <w:t xml:space="preserve">electric utilities with 25,000 or more customers </w:t>
      </w:r>
      <w:r w:rsidRPr="00844847">
        <w:rPr>
          <w:sz w:val="25"/>
          <w:szCs w:val="25"/>
        </w:rPr>
        <w:t>to set and meet energy conservation targets</w:t>
      </w:r>
      <w:r>
        <w:rPr>
          <w:sz w:val="25"/>
          <w:szCs w:val="25"/>
        </w:rPr>
        <w:t>.</w:t>
      </w:r>
      <w:r w:rsidR="00C33DAC">
        <w:rPr>
          <w:sz w:val="25"/>
          <w:szCs w:val="25"/>
        </w:rPr>
        <w:t xml:space="preserve">  The Washington Utilities and Transportation Commission (Commission) promulgated rules implementing the EIA, including a requirement for utilities to biannually file a report identifying a ten-year achievable conservation potential and a biennial conservation target.</w:t>
      </w:r>
      <w:r w:rsidR="00C33DAC">
        <w:rPr>
          <w:rStyle w:val="FootnoteReference"/>
          <w:sz w:val="25"/>
          <w:szCs w:val="25"/>
        </w:rPr>
        <w:footnoteReference w:id="3"/>
      </w:r>
    </w:p>
    <w:p w14:paraId="211CBEBD" w14:textId="77777777" w:rsidR="004003BD" w:rsidRPr="00A41DE7" w:rsidRDefault="004003BD" w:rsidP="004003BD">
      <w:pPr>
        <w:spacing w:line="264" w:lineRule="auto"/>
        <w:rPr>
          <w:b/>
          <w:sz w:val="25"/>
          <w:szCs w:val="25"/>
          <w:u w:val="single"/>
        </w:rPr>
      </w:pPr>
    </w:p>
    <w:p w14:paraId="66CE21F0" w14:textId="77777777" w:rsidR="00C72753" w:rsidRDefault="00EB046C" w:rsidP="004003BD">
      <w:pPr>
        <w:numPr>
          <w:ilvl w:val="0"/>
          <w:numId w:val="1"/>
        </w:numPr>
        <w:tabs>
          <w:tab w:val="clear" w:pos="720"/>
        </w:tabs>
        <w:spacing w:line="264" w:lineRule="auto"/>
        <w:ind w:left="0"/>
        <w:rPr>
          <w:sz w:val="25"/>
          <w:szCs w:val="25"/>
        </w:rPr>
      </w:pPr>
      <w:r>
        <w:rPr>
          <w:b/>
          <w:sz w:val="25"/>
          <w:szCs w:val="25"/>
        </w:rPr>
        <w:t xml:space="preserve">Procedural History.  </w:t>
      </w:r>
      <w:r w:rsidR="00C72753">
        <w:rPr>
          <w:sz w:val="25"/>
          <w:szCs w:val="25"/>
        </w:rPr>
        <w:t xml:space="preserve">On November 1, 2013, Puget Sound Energy (PSE or Company) filed with the </w:t>
      </w:r>
      <w:r w:rsidR="00C33DAC">
        <w:rPr>
          <w:sz w:val="25"/>
          <w:szCs w:val="25"/>
        </w:rPr>
        <w:t xml:space="preserve">Commission </w:t>
      </w:r>
      <w:r w:rsidR="00C72753">
        <w:rPr>
          <w:sz w:val="25"/>
          <w:szCs w:val="25"/>
        </w:rPr>
        <w:t xml:space="preserve">its Biennial Conservation Plan (BCP) identifying </w:t>
      </w:r>
      <w:r w:rsidR="006A4051">
        <w:rPr>
          <w:sz w:val="25"/>
          <w:szCs w:val="25"/>
        </w:rPr>
        <w:t>the Company’s</w:t>
      </w:r>
      <w:r w:rsidR="00C72753">
        <w:rPr>
          <w:sz w:val="25"/>
          <w:szCs w:val="25"/>
        </w:rPr>
        <w:t xml:space="preserve"> 2014-2023 ten-year achievable conservation potential and </w:t>
      </w:r>
      <w:r w:rsidR="003B6ABC">
        <w:rPr>
          <w:sz w:val="25"/>
          <w:szCs w:val="25"/>
        </w:rPr>
        <w:t>its</w:t>
      </w:r>
      <w:r w:rsidR="00C72753">
        <w:rPr>
          <w:sz w:val="25"/>
          <w:szCs w:val="25"/>
        </w:rPr>
        <w:t xml:space="preserve"> 2014-2015 biennial conservation target.  </w:t>
      </w:r>
    </w:p>
    <w:p w14:paraId="0CF8E6C2" w14:textId="77777777" w:rsidR="004003BD" w:rsidRDefault="004003BD" w:rsidP="004003BD">
      <w:pPr>
        <w:spacing w:line="264" w:lineRule="auto"/>
        <w:rPr>
          <w:sz w:val="25"/>
          <w:szCs w:val="25"/>
        </w:rPr>
      </w:pPr>
    </w:p>
    <w:p w14:paraId="43B9498A" w14:textId="77777777" w:rsidR="004003BD" w:rsidRPr="00F83C09" w:rsidRDefault="00C72753" w:rsidP="00A176BA">
      <w:pPr>
        <w:numPr>
          <w:ilvl w:val="0"/>
          <w:numId w:val="1"/>
        </w:numPr>
        <w:tabs>
          <w:tab w:val="clear" w:pos="720"/>
        </w:tabs>
        <w:spacing w:line="264" w:lineRule="auto"/>
        <w:ind w:left="0"/>
        <w:rPr>
          <w:b/>
          <w:sz w:val="25"/>
          <w:szCs w:val="25"/>
          <w:u w:val="single"/>
        </w:rPr>
      </w:pPr>
      <w:r w:rsidRPr="00F83C09">
        <w:rPr>
          <w:sz w:val="25"/>
          <w:szCs w:val="25"/>
        </w:rPr>
        <w:t>On December 19, 2013, the Commission entered Order 01</w:t>
      </w:r>
      <w:r w:rsidR="008B7AF2" w:rsidRPr="00F83C09">
        <w:rPr>
          <w:sz w:val="25"/>
          <w:szCs w:val="25"/>
        </w:rPr>
        <w:t xml:space="preserve"> in</w:t>
      </w:r>
      <w:r w:rsidR="00D36F58">
        <w:rPr>
          <w:sz w:val="25"/>
          <w:szCs w:val="25"/>
        </w:rPr>
        <w:t xml:space="preserve"> this docket</w:t>
      </w:r>
      <w:r w:rsidRPr="00F83C09">
        <w:rPr>
          <w:sz w:val="25"/>
          <w:szCs w:val="25"/>
        </w:rPr>
        <w:t xml:space="preserve">, </w:t>
      </w:r>
      <w:r w:rsidRPr="00F83C09">
        <w:rPr>
          <w:i/>
          <w:sz w:val="25"/>
          <w:szCs w:val="25"/>
        </w:rPr>
        <w:t>Order Approving Puget Sound Energy’s 2014-2023 Achievable Conservation Potential and Its 2014-2015 Biennial Conservation Target Subject to Conditions</w:t>
      </w:r>
      <w:r w:rsidR="003B6ABC" w:rsidRPr="00F83C09">
        <w:rPr>
          <w:sz w:val="25"/>
          <w:szCs w:val="25"/>
        </w:rPr>
        <w:t xml:space="preserve">.  </w:t>
      </w:r>
      <w:r w:rsidR="00D36F58">
        <w:rPr>
          <w:sz w:val="25"/>
          <w:szCs w:val="25"/>
        </w:rPr>
        <w:br/>
      </w:r>
    </w:p>
    <w:p w14:paraId="3646FB4A" w14:textId="3046928A" w:rsidR="00E54C05" w:rsidRPr="00E54C05" w:rsidRDefault="00424723" w:rsidP="00202987">
      <w:pPr>
        <w:numPr>
          <w:ilvl w:val="0"/>
          <w:numId w:val="1"/>
        </w:numPr>
        <w:tabs>
          <w:tab w:val="clear" w:pos="720"/>
        </w:tabs>
        <w:spacing w:line="264" w:lineRule="auto"/>
        <w:ind w:left="0"/>
        <w:rPr>
          <w:b/>
          <w:sz w:val="25"/>
          <w:szCs w:val="25"/>
        </w:rPr>
      </w:pPr>
      <w:r w:rsidRPr="00424723">
        <w:rPr>
          <w:b/>
          <w:sz w:val="25"/>
          <w:szCs w:val="25"/>
        </w:rPr>
        <w:t>Petition for Declaratory Order</w:t>
      </w:r>
      <w:r>
        <w:rPr>
          <w:b/>
          <w:sz w:val="25"/>
          <w:szCs w:val="25"/>
        </w:rPr>
        <w:t xml:space="preserve">.  </w:t>
      </w:r>
      <w:r w:rsidR="00DA3D0D">
        <w:rPr>
          <w:sz w:val="25"/>
          <w:szCs w:val="25"/>
        </w:rPr>
        <w:t>On June 27, 2014, PSE filed with the Commission a petition for declaratory order in Docket UE-141357</w:t>
      </w:r>
      <w:r w:rsidR="00EB446E">
        <w:rPr>
          <w:sz w:val="25"/>
          <w:szCs w:val="25"/>
        </w:rPr>
        <w:t>.  The petition addressed PSE’s 2012 Petition for Decoupling Mechanism in Dockets UE-121697 and UG-121705</w:t>
      </w:r>
      <w:r w:rsidR="001F6CD9">
        <w:rPr>
          <w:sz w:val="25"/>
          <w:szCs w:val="25"/>
        </w:rPr>
        <w:t xml:space="preserve">, </w:t>
      </w:r>
      <w:r w:rsidR="00EB446E">
        <w:rPr>
          <w:sz w:val="25"/>
          <w:szCs w:val="25"/>
        </w:rPr>
        <w:t xml:space="preserve">in which PSE proposed to accelerate its electric conservation achievement while the </w:t>
      </w:r>
      <w:r w:rsidR="00EB446E">
        <w:rPr>
          <w:sz w:val="25"/>
          <w:szCs w:val="25"/>
        </w:rPr>
        <w:lastRenderedPageBreak/>
        <w:t xml:space="preserve">decoupling mechanism </w:t>
      </w:r>
      <w:r w:rsidR="00E54C05">
        <w:rPr>
          <w:sz w:val="25"/>
          <w:szCs w:val="25"/>
        </w:rPr>
        <w:t>i</w:t>
      </w:r>
      <w:r w:rsidR="00EB446E">
        <w:rPr>
          <w:sz w:val="25"/>
          <w:szCs w:val="25"/>
        </w:rPr>
        <w:t xml:space="preserve">s in place.  </w:t>
      </w:r>
      <w:r w:rsidR="009C7962">
        <w:rPr>
          <w:sz w:val="25"/>
          <w:szCs w:val="25"/>
        </w:rPr>
        <w:t xml:space="preserve">Per the terms of the </w:t>
      </w:r>
      <w:r w:rsidR="001F6CD9">
        <w:rPr>
          <w:sz w:val="25"/>
          <w:szCs w:val="25"/>
        </w:rPr>
        <w:t xml:space="preserve">Final </w:t>
      </w:r>
      <w:r w:rsidR="003F5608">
        <w:rPr>
          <w:sz w:val="25"/>
          <w:szCs w:val="25"/>
        </w:rPr>
        <w:t>D</w:t>
      </w:r>
      <w:r w:rsidR="009C7962">
        <w:rPr>
          <w:sz w:val="25"/>
          <w:szCs w:val="25"/>
        </w:rPr>
        <w:t xml:space="preserve">ecoupling </w:t>
      </w:r>
      <w:r w:rsidR="003F5608">
        <w:rPr>
          <w:sz w:val="25"/>
          <w:szCs w:val="25"/>
        </w:rPr>
        <w:t>O</w:t>
      </w:r>
      <w:r w:rsidR="009C7962">
        <w:rPr>
          <w:sz w:val="25"/>
          <w:szCs w:val="25"/>
        </w:rPr>
        <w:t>rder</w:t>
      </w:r>
      <w:r w:rsidR="001F6CD9">
        <w:rPr>
          <w:sz w:val="25"/>
          <w:szCs w:val="25"/>
        </w:rPr>
        <w:t xml:space="preserve"> issued in those dockets</w:t>
      </w:r>
      <w:r w:rsidR="009C7962">
        <w:rPr>
          <w:sz w:val="25"/>
          <w:szCs w:val="25"/>
        </w:rPr>
        <w:t xml:space="preserve">, PSE is required to achieve </w:t>
      </w:r>
      <w:r w:rsidR="001F6CD9">
        <w:rPr>
          <w:sz w:val="25"/>
          <w:szCs w:val="25"/>
        </w:rPr>
        <w:t>five</w:t>
      </w:r>
      <w:r w:rsidR="009C7962">
        <w:rPr>
          <w:sz w:val="25"/>
          <w:szCs w:val="25"/>
        </w:rPr>
        <w:t xml:space="preserve"> percent</w:t>
      </w:r>
      <w:r w:rsidR="001F6CD9">
        <w:rPr>
          <w:sz w:val="25"/>
          <w:szCs w:val="25"/>
        </w:rPr>
        <w:t xml:space="preserve"> (5%)</w:t>
      </w:r>
      <w:r w:rsidR="009C7962">
        <w:rPr>
          <w:sz w:val="25"/>
          <w:szCs w:val="25"/>
        </w:rPr>
        <w:t xml:space="preserve"> over its Commission-approved savings target each biennium.</w:t>
      </w:r>
      <w:r w:rsidR="00E3765A">
        <w:rPr>
          <w:rStyle w:val="FootnoteReference"/>
          <w:sz w:val="25"/>
          <w:szCs w:val="25"/>
        </w:rPr>
        <w:footnoteReference w:id="4"/>
      </w:r>
      <w:r w:rsidR="009C7962">
        <w:rPr>
          <w:sz w:val="25"/>
          <w:szCs w:val="25"/>
        </w:rPr>
        <w:t xml:space="preserve">  </w:t>
      </w:r>
      <w:r w:rsidR="00E54C05">
        <w:rPr>
          <w:sz w:val="25"/>
          <w:szCs w:val="25"/>
        </w:rPr>
        <w:t xml:space="preserve">PSE’s decoupling mechanism became effective in July 2013, triggering the accelerated achievement.  </w:t>
      </w:r>
      <w:r w:rsidR="007F4A65">
        <w:rPr>
          <w:sz w:val="25"/>
          <w:szCs w:val="25"/>
        </w:rPr>
        <w:t xml:space="preserve">In the 2012-13 biennium, PSE </w:t>
      </w:r>
      <w:r w:rsidR="00CE1CCE">
        <w:rPr>
          <w:sz w:val="25"/>
          <w:szCs w:val="25"/>
        </w:rPr>
        <w:t>reported that i</w:t>
      </w:r>
      <w:r w:rsidR="00E31265">
        <w:rPr>
          <w:sz w:val="25"/>
          <w:szCs w:val="25"/>
        </w:rPr>
        <w:t>t</w:t>
      </w:r>
      <w:r w:rsidR="00CE1CCE">
        <w:rPr>
          <w:sz w:val="25"/>
          <w:szCs w:val="25"/>
        </w:rPr>
        <w:t xml:space="preserve"> </w:t>
      </w:r>
      <w:r w:rsidR="007F4A65">
        <w:rPr>
          <w:sz w:val="25"/>
          <w:szCs w:val="25"/>
        </w:rPr>
        <w:t>achieved 104.8 percent of its conservation target.</w:t>
      </w:r>
      <w:r w:rsidR="00E54C05">
        <w:rPr>
          <w:sz w:val="25"/>
          <w:szCs w:val="25"/>
        </w:rPr>
        <w:t xml:space="preserve"> </w:t>
      </w:r>
      <w:r w:rsidR="007F4A65">
        <w:rPr>
          <w:sz w:val="25"/>
          <w:szCs w:val="25"/>
        </w:rPr>
        <w:t xml:space="preserve"> </w:t>
      </w:r>
      <w:r w:rsidR="00E54C05">
        <w:rPr>
          <w:sz w:val="25"/>
          <w:szCs w:val="25"/>
        </w:rPr>
        <w:br/>
      </w:r>
    </w:p>
    <w:p w14:paraId="5C231CA6" w14:textId="70928972" w:rsidR="00EB446E" w:rsidRPr="00EB446E" w:rsidRDefault="00EB446E" w:rsidP="00202987">
      <w:pPr>
        <w:numPr>
          <w:ilvl w:val="0"/>
          <w:numId w:val="1"/>
        </w:numPr>
        <w:tabs>
          <w:tab w:val="clear" w:pos="720"/>
        </w:tabs>
        <w:spacing w:line="264" w:lineRule="auto"/>
        <w:ind w:left="0"/>
        <w:rPr>
          <w:b/>
          <w:sz w:val="25"/>
          <w:szCs w:val="25"/>
        </w:rPr>
      </w:pPr>
      <w:r>
        <w:rPr>
          <w:sz w:val="25"/>
          <w:szCs w:val="25"/>
        </w:rPr>
        <w:t xml:space="preserve">In </w:t>
      </w:r>
      <w:r w:rsidR="009C7962">
        <w:rPr>
          <w:sz w:val="25"/>
          <w:szCs w:val="25"/>
        </w:rPr>
        <w:t xml:space="preserve">its petition, PSE </w:t>
      </w:r>
      <w:r w:rsidR="00E54C05">
        <w:rPr>
          <w:sz w:val="25"/>
          <w:szCs w:val="25"/>
        </w:rPr>
        <w:t xml:space="preserve">argued that the commitment should be prorated to become effective in July 2013, when the decoupling mechanism commenced.  PSE contrasted its position with that of Commission Staff (Staff), who </w:t>
      </w:r>
      <w:r w:rsidR="00FB527B">
        <w:rPr>
          <w:sz w:val="25"/>
          <w:szCs w:val="25"/>
        </w:rPr>
        <w:t>assert</w:t>
      </w:r>
      <w:r w:rsidR="00CE1CCE">
        <w:rPr>
          <w:sz w:val="25"/>
          <w:szCs w:val="25"/>
        </w:rPr>
        <w:t xml:space="preserve"> that </w:t>
      </w:r>
      <w:r w:rsidR="00E54C05">
        <w:rPr>
          <w:sz w:val="25"/>
          <w:szCs w:val="25"/>
        </w:rPr>
        <w:t>the Company</w:t>
      </w:r>
      <w:r w:rsidR="009C7962">
        <w:rPr>
          <w:sz w:val="25"/>
          <w:szCs w:val="25"/>
        </w:rPr>
        <w:t xml:space="preserve"> was required to achieve the additional f</w:t>
      </w:r>
      <w:r w:rsidR="00F74413">
        <w:rPr>
          <w:sz w:val="25"/>
          <w:szCs w:val="25"/>
        </w:rPr>
        <w:t xml:space="preserve">ive percent </w:t>
      </w:r>
      <w:r w:rsidR="00E54C05">
        <w:rPr>
          <w:sz w:val="25"/>
          <w:szCs w:val="25"/>
        </w:rPr>
        <w:t xml:space="preserve">over its </w:t>
      </w:r>
      <w:r w:rsidR="00F74413">
        <w:rPr>
          <w:sz w:val="25"/>
          <w:szCs w:val="25"/>
        </w:rPr>
        <w:t xml:space="preserve">conservation </w:t>
      </w:r>
      <w:r w:rsidR="00E54C05">
        <w:rPr>
          <w:sz w:val="25"/>
          <w:szCs w:val="25"/>
        </w:rPr>
        <w:t xml:space="preserve">target </w:t>
      </w:r>
      <w:r w:rsidR="00F74413">
        <w:rPr>
          <w:sz w:val="25"/>
          <w:szCs w:val="25"/>
        </w:rPr>
        <w:t xml:space="preserve">for the </w:t>
      </w:r>
      <w:r w:rsidR="007F4A65">
        <w:rPr>
          <w:sz w:val="25"/>
          <w:szCs w:val="25"/>
        </w:rPr>
        <w:t xml:space="preserve">entirety of </w:t>
      </w:r>
      <w:r w:rsidR="00E54C05">
        <w:rPr>
          <w:sz w:val="25"/>
          <w:szCs w:val="25"/>
        </w:rPr>
        <w:t xml:space="preserve">the </w:t>
      </w:r>
      <w:r w:rsidR="00F74413">
        <w:rPr>
          <w:sz w:val="25"/>
          <w:szCs w:val="25"/>
        </w:rPr>
        <w:t>2012-13 biennium</w:t>
      </w:r>
      <w:r w:rsidR="00E54C05">
        <w:rPr>
          <w:sz w:val="25"/>
          <w:szCs w:val="25"/>
        </w:rPr>
        <w:t>.</w:t>
      </w:r>
      <w:r w:rsidR="007F4A65">
        <w:rPr>
          <w:sz w:val="25"/>
          <w:szCs w:val="25"/>
        </w:rPr>
        <w:t xml:space="preserve"> </w:t>
      </w:r>
      <w:r w:rsidR="00FB527B">
        <w:rPr>
          <w:sz w:val="25"/>
          <w:szCs w:val="25"/>
        </w:rPr>
        <w:t>The Northwest Energy Coalition filed comments stating that because both the EIA and Commission rules are silent with respect to how a change that occurs mid-reporting period affects targets for that period, penalizing PSE for achieving 104.8 percent of its target would be inappropriate.</w:t>
      </w:r>
      <w:r w:rsidR="00E54C05">
        <w:rPr>
          <w:sz w:val="25"/>
          <w:szCs w:val="25"/>
        </w:rPr>
        <w:br/>
      </w:r>
    </w:p>
    <w:p w14:paraId="4A0EF32E" w14:textId="63B966DD" w:rsidR="009A0ADE" w:rsidRPr="006139B8" w:rsidRDefault="003C7BEE" w:rsidP="00202987">
      <w:pPr>
        <w:numPr>
          <w:ilvl w:val="0"/>
          <w:numId w:val="1"/>
        </w:numPr>
        <w:tabs>
          <w:tab w:val="clear" w:pos="720"/>
        </w:tabs>
        <w:spacing w:line="264" w:lineRule="auto"/>
        <w:ind w:left="0"/>
        <w:rPr>
          <w:b/>
          <w:sz w:val="25"/>
          <w:szCs w:val="25"/>
        </w:rPr>
      </w:pPr>
      <w:r>
        <w:rPr>
          <w:sz w:val="25"/>
          <w:szCs w:val="25"/>
        </w:rPr>
        <w:t>The</w:t>
      </w:r>
      <w:r w:rsidR="00F74413">
        <w:rPr>
          <w:sz w:val="25"/>
          <w:szCs w:val="25"/>
        </w:rPr>
        <w:t xml:space="preserve"> Company’s petition for declaratory order requested</w:t>
      </w:r>
      <w:r w:rsidR="00DA3D0D" w:rsidRPr="006139B8">
        <w:rPr>
          <w:sz w:val="25"/>
          <w:szCs w:val="25"/>
        </w:rPr>
        <w:t xml:space="preserve"> a Commission determination that: 1) PSE’s commitment to accelerate its acquisition of energy efficiency commenced with the implementation of the decoupling mechanism in July 2013; 2) it is appropriate to prorate the commitment over the biennium to reflect only the period when the decoupling mechanism is in effect; and 3) PSE has not violated its commitment to accelerate its acquisition of energy efficiency by achieving 104.8 percent of its conservation target in the 2012-2013 biennium.</w:t>
      </w:r>
    </w:p>
    <w:p w14:paraId="3A94149C" w14:textId="77777777" w:rsidR="00DA3D0D" w:rsidRPr="006139B8" w:rsidRDefault="00DA3D0D" w:rsidP="00DA3D0D">
      <w:pPr>
        <w:pStyle w:val="ListParagraph"/>
        <w:rPr>
          <w:b/>
          <w:sz w:val="25"/>
          <w:szCs w:val="25"/>
        </w:rPr>
      </w:pPr>
    </w:p>
    <w:p w14:paraId="5DE789E6" w14:textId="16F1FA2C" w:rsidR="006139B8" w:rsidRPr="006139B8" w:rsidRDefault="007C304E" w:rsidP="00202987">
      <w:pPr>
        <w:numPr>
          <w:ilvl w:val="0"/>
          <w:numId w:val="1"/>
        </w:numPr>
        <w:tabs>
          <w:tab w:val="clear" w:pos="720"/>
        </w:tabs>
        <w:spacing w:line="264" w:lineRule="auto"/>
        <w:ind w:left="0"/>
        <w:rPr>
          <w:b/>
          <w:sz w:val="25"/>
          <w:szCs w:val="25"/>
        </w:rPr>
      </w:pPr>
      <w:r>
        <w:rPr>
          <w:sz w:val="25"/>
          <w:szCs w:val="25"/>
        </w:rPr>
        <w:t>Staff</w:t>
      </w:r>
      <w:r w:rsidR="006139B8" w:rsidRPr="006139B8">
        <w:rPr>
          <w:sz w:val="25"/>
          <w:szCs w:val="25"/>
        </w:rPr>
        <w:t xml:space="preserve"> recommended the Commission find that PSE’s decoupling commitment applies to the entire 2012-13 biennium, or</w:t>
      </w:r>
      <w:r w:rsidR="00C67815">
        <w:rPr>
          <w:sz w:val="25"/>
          <w:szCs w:val="25"/>
        </w:rPr>
        <w:t>,</w:t>
      </w:r>
      <w:r w:rsidR="006139B8" w:rsidRPr="006139B8">
        <w:rPr>
          <w:sz w:val="25"/>
          <w:szCs w:val="25"/>
        </w:rPr>
        <w:t xml:space="preserve"> in the alternative, that any factual findings required to determine compliance with the </w:t>
      </w:r>
      <w:r w:rsidR="001F6CD9">
        <w:rPr>
          <w:sz w:val="25"/>
          <w:szCs w:val="25"/>
        </w:rPr>
        <w:t xml:space="preserve">Final </w:t>
      </w:r>
      <w:r w:rsidR="006139B8" w:rsidRPr="006139B8">
        <w:rPr>
          <w:sz w:val="25"/>
          <w:szCs w:val="25"/>
        </w:rPr>
        <w:t>Decoupling Order be decided in Docket UE-111881, which addresses PSE’s 2012-13 Biennial Conservation Target.</w:t>
      </w:r>
    </w:p>
    <w:p w14:paraId="16A2259B" w14:textId="77777777" w:rsidR="006139B8" w:rsidRPr="006139B8" w:rsidRDefault="006139B8" w:rsidP="006139B8">
      <w:pPr>
        <w:pStyle w:val="ListParagraph"/>
        <w:rPr>
          <w:sz w:val="25"/>
          <w:szCs w:val="25"/>
        </w:rPr>
      </w:pPr>
    </w:p>
    <w:p w14:paraId="6589781C" w14:textId="77777777" w:rsidR="002B0D64" w:rsidRPr="002B0D64" w:rsidRDefault="006139B8" w:rsidP="00202987">
      <w:pPr>
        <w:numPr>
          <w:ilvl w:val="0"/>
          <w:numId w:val="1"/>
        </w:numPr>
        <w:tabs>
          <w:tab w:val="clear" w:pos="720"/>
        </w:tabs>
        <w:spacing w:line="264" w:lineRule="auto"/>
        <w:ind w:left="0"/>
        <w:rPr>
          <w:b/>
          <w:sz w:val="25"/>
          <w:szCs w:val="25"/>
        </w:rPr>
      </w:pPr>
      <w:r w:rsidRPr="002B0D64">
        <w:rPr>
          <w:sz w:val="25"/>
          <w:szCs w:val="25"/>
        </w:rPr>
        <w:t xml:space="preserve">On July 28, 2014, the Commission issued a notice declining to enter a declaratory order, stating that the uncertainty described </w:t>
      </w:r>
      <w:r w:rsidR="002B0D64" w:rsidRPr="002B0D64">
        <w:rPr>
          <w:sz w:val="25"/>
          <w:szCs w:val="25"/>
        </w:rPr>
        <w:t xml:space="preserve">in PSE’s </w:t>
      </w:r>
      <w:r w:rsidR="003F5608">
        <w:rPr>
          <w:sz w:val="25"/>
          <w:szCs w:val="25"/>
        </w:rPr>
        <w:t>p</w:t>
      </w:r>
      <w:r w:rsidR="002B0D64" w:rsidRPr="002B0D64">
        <w:rPr>
          <w:sz w:val="25"/>
          <w:szCs w:val="25"/>
        </w:rPr>
        <w:t xml:space="preserve">etition and the responses does not give rise to an actual controversy that can, or should, be resolved by means of a declaratory order. </w:t>
      </w:r>
      <w:r w:rsidR="003F5608">
        <w:rPr>
          <w:sz w:val="25"/>
          <w:szCs w:val="25"/>
        </w:rPr>
        <w:t xml:space="preserve"> </w:t>
      </w:r>
      <w:r w:rsidR="002B0D64">
        <w:rPr>
          <w:sz w:val="25"/>
          <w:szCs w:val="25"/>
        </w:rPr>
        <w:t>Rather, s</w:t>
      </w:r>
      <w:r w:rsidR="002B0D64" w:rsidRPr="002B0D64">
        <w:rPr>
          <w:sz w:val="25"/>
          <w:szCs w:val="25"/>
        </w:rPr>
        <w:t>uch a controversy would only arise if Staff, or the Commission on its own motion, initiate</w:t>
      </w:r>
      <w:r w:rsidR="002B0D64">
        <w:rPr>
          <w:sz w:val="25"/>
          <w:szCs w:val="25"/>
        </w:rPr>
        <w:t>d</w:t>
      </w:r>
      <w:r w:rsidR="002B0D64" w:rsidRPr="002B0D64">
        <w:rPr>
          <w:sz w:val="25"/>
          <w:szCs w:val="25"/>
        </w:rPr>
        <w:t xml:space="preserve"> a complaint against PSE for failing to satisfy its commitments. </w:t>
      </w:r>
      <w:r w:rsidR="002B0D64">
        <w:rPr>
          <w:sz w:val="25"/>
          <w:szCs w:val="25"/>
        </w:rPr>
        <w:t xml:space="preserve"> The Commission decided, however, to initiate a review of Order 01 in this docket to resolve ambiguity and prevent future conflict.</w:t>
      </w:r>
    </w:p>
    <w:p w14:paraId="65D1AAFA" w14:textId="77777777" w:rsidR="002B0D64" w:rsidRDefault="002B0D64" w:rsidP="002B0D64">
      <w:pPr>
        <w:pStyle w:val="ListParagraph"/>
        <w:rPr>
          <w:sz w:val="25"/>
          <w:szCs w:val="25"/>
        </w:rPr>
      </w:pPr>
    </w:p>
    <w:p w14:paraId="37992CBC" w14:textId="77777777" w:rsidR="00DA3D0D" w:rsidRPr="002B0D64" w:rsidRDefault="002B0D64" w:rsidP="00202987">
      <w:pPr>
        <w:numPr>
          <w:ilvl w:val="0"/>
          <w:numId w:val="1"/>
        </w:numPr>
        <w:tabs>
          <w:tab w:val="clear" w:pos="720"/>
        </w:tabs>
        <w:spacing w:line="264" w:lineRule="auto"/>
        <w:ind w:left="0"/>
        <w:rPr>
          <w:b/>
          <w:sz w:val="25"/>
          <w:szCs w:val="25"/>
        </w:rPr>
      </w:pPr>
      <w:r>
        <w:rPr>
          <w:b/>
          <w:sz w:val="25"/>
          <w:szCs w:val="25"/>
        </w:rPr>
        <w:t xml:space="preserve">Notice in this Docket.  </w:t>
      </w:r>
      <w:r>
        <w:rPr>
          <w:sz w:val="25"/>
          <w:szCs w:val="25"/>
        </w:rPr>
        <w:t>On August 19, 2014, the Commission issued a Notice of Opportunity to File Written Comments by August 28, 2014, and a Notice of Open Meeting set for September 11, 2014, at 9:30 a.m.  The notice informed interested parties that the Commission intended to determine the application of PSE’s commitment to accelerate its acquisition of energy efficiency at the September 11 open meeting, and provided an opportunity to submit written comments in advance.</w:t>
      </w:r>
    </w:p>
    <w:p w14:paraId="0A560211" w14:textId="77777777" w:rsidR="002B0D64" w:rsidRDefault="002B0D64" w:rsidP="002B0D64">
      <w:pPr>
        <w:pStyle w:val="ListParagraph"/>
        <w:rPr>
          <w:b/>
          <w:sz w:val="25"/>
          <w:szCs w:val="25"/>
        </w:rPr>
      </w:pPr>
    </w:p>
    <w:p w14:paraId="2099EA85" w14:textId="7F9DF4D8" w:rsidR="005B3C0E" w:rsidRPr="00482604" w:rsidRDefault="000A5706" w:rsidP="005B3C0E">
      <w:pPr>
        <w:numPr>
          <w:ilvl w:val="0"/>
          <w:numId w:val="1"/>
        </w:numPr>
        <w:tabs>
          <w:tab w:val="clear" w:pos="720"/>
        </w:tabs>
        <w:spacing w:line="264" w:lineRule="auto"/>
        <w:ind w:left="0"/>
        <w:rPr>
          <w:b/>
          <w:sz w:val="25"/>
          <w:szCs w:val="25"/>
        </w:rPr>
      </w:pPr>
      <w:r>
        <w:rPr>
          <w:b/>
          <w:sz w:val="25"/>
          <w:szCs w:val="25"/>
        </w:rPr>
        <w:t xml:space="preserve">PSE and Staff Comments.  </w:t>
      </w:r>
      <w:r w:rsidR="005B3C0E">
        <w:rPr>
          <w:sz w:val="25"/>
          <w:szCs w:val="25"/>
        </w:rPr>
        <w:t>Both parties submitted written comments agreeing to the following conditions</w:t>
      </w:r>
      <w:r w:rsidR="00E31265">
        <w:rPr>
          <w:sz w:val="25"/>
          <w:szCs w:val="25"/>
        </w:rPr>
        <w:t xml:space="preserve"> with one exception</w:t>
      </w:r>
      <w:r w:rsidR="00C67815">
        <w:rPr>
          <w:sz w:val="25"/>
          <w:szCs w:val="25"/>
        </w:rPr>
        <w:t>, italicized below</w:t>
      </w:r>
      <w:r w:rsidR="005B3C0E">
        <w:rPr>
          <w:sz w:val="25"/>
          <w:szCs w:val="25"/>
        </w:rPr>
        <w:t>:</w:t>
      </w:r>
    </w:p>
    <w:p w14:paraId="4BC6A777" w14:textId="77777777" w:rsidR="005B3C0E" w:rsidRDefault="005B3C0E" w:rsidP="005B3C0E">
      <w:pPr>
        <w:pStyle w:val="ListParagraph"/>
        <w:rPr>
          <w:b/>
          <w:sz w:val="25"/>
          <w:szCs w:val="25"/>
        </w:rPr>
      </w:pPr>
    </w:p>
    <w:p w14:paraId="1F134E15" w14:textId="77777777" w:rsidR="005B3C0E" w:rsidRPr="006046D2" w:rsidRDefault="005B3C0E" w:rsidP="005B3C0E">
      <w:pPr>
        <w:pStyle w:val="ListParagraph"/>
        <w:widowControl w:val="0"/>
        <w:numPr>
          <w:ilvl w:val="0"/>
          <w:numId w:val="4"/>
        </w:numPr>
        <w:autoSpaceDE w:val="0"/>
        <w:autoSpaceDN w:val="0"/>
        <w:adjustRightInd w:val="0"/>
        <w:spacing w:line="276" w:lineRule="auto"/>
        <w:contextualSpacing/>
        <w:rPr>
          <w:sz w:val="25"/>
          <w:szCs w:val="25"/>
        </w:rPr>
      </w:pPr>
      <w:r w:rsidRPr="006046D2">
        <w:rPr>
          <w:sz w:val="25"/>
          <w:szCs w:val="25"/>
        </w:rPr>
        <w:t>Staff will not dispute PSE’s compliance with the Final Decoupling Order as it relates to conservation performance during the 2012-13 biennium, and for purposes of settlement will agree that PSE fully met its conservation commitment for that biennium.</w:t>
      </w:r>
    </w:p>
    <w:p w14:paraId="42A74AE7" w14:textId="6CB83376" w:rsidR="005B3C0E" w:rsidRPr="006046D2" w:rsidRDefault="005B3C0E" w:rsidP="005B3C0E">
      <w:pPr>
        <w:widowControl w:val="0"/>
        <w:numPr>
          <w:ilvl w:val="0"/>
          <w:numId w:val="3"/>
        </w:numPr>
        <w:autoSpaceDE w:val="0"/>
        <w:autoSpaceDN w:val="0"/>
        <w:adjustRightInd w:val="0"/>
        <w:spacing w:line="276" w:lineRule="auto"/>
        <w:rPr>
          <w:sz w:val="25"/>
          <w:szCs w:val="25"/>
        </w:rPr>
      </w:pPr>
      <w:r w:rsidRPr="006046D2">
        <w:rPr>
          <w:sz w:val="25"/>
          <w:szCs w:val="25"/>
        </w:rPr>
        <w:t>In return, PSE will agree to exceed its commission-approved biennial conservation target by five percent (5%) for any biennium after 2012-13 in which its decoupling program is in effect</w:t>
      </w:r>
      <w:r w:rsidR="00FB527B">
        <w:rPr>
          <w:sz w:val="25"/>
          <w:szCs w:val="25"/>
        </w:rPr>
        <w:t xml:space="preserve">, </w:t>
      </w:r>
      <w:r w:rsidR="00FB527B">
        <w:rPr>
          <w:i/>
          <w:sz w:val="25"/>
          <w:szCs w:val="25"/>
        </w:rPr>
        <w:t>through December 2017</w:t>
      </w:r>
      <w:r w:rsidR="00E31265">
        <w:rPr>
          <w:sz w:val="25"/>
          <w:szCs w:val="25"/>
        </w:rPr>
        <w:t>.</w:t>
      </w:r>
    </w:p>
    <w:p w14:paraId="26F16081" w14:textId="77777777" w:rsidR="005B3C0E" w:rsidRPr="006046D2" w:rsidRDefault="005B3C0E" w:rsidP="005B3C0E">
      <w:pPr>
        <w:widowControl w:val="0"/>
        <w:numPr>
          <w:ilvl w:val="0"/>
          <w:numId w:val="3"/>
        </w:numPr>
        <w:autoSpaceDE w:val="0"/>
        <w:autoSpaceDN w:val="0"/>
        <w:adjustRightInd w:val="0"/>
        <w:spacing w:line="276" w:lineRule="auto"/>
        <w:rPr>
          <w:sz w:val="25"/>
          <w:szCs w:val="25"/>
        </w:rPr>
      </w:pPr>
      <w:r w:rsidRPr="006046D2">
        <w:rPr>
          <w:sz w:val="25"/>
          <w:szCs w:val="25"/>
        </w:rPr>
        <w:t>Should PSE’s decoupling program be terminated or withdrawn prior to the end of a biennium, PSE agrees to exceed its commission-approved biennial conservation target by five percent (5%) through the full biennium.</w:t>
      </w:r>
    </w:p>
    <w:p w14:paraId="150FED83" w14:textId="77777777" w:rsidR="005B3C0E" w:rsidRDefault="005B3C0E" w:rsidP="005B3C0E">
      <w:pPr>
        <w:spacing w:line="264" w:lineRule="auto"/>
        <w:rPr>
          <w:sz w:val="25"/>
          <w:szCs w:val="25"/>
        </w:rPr>
      </w:pPr>
    </w:p>
    <w:p w14:paraId="3D616BD8" w14:textId="154B619A" w:rsidR="00C61F49" w:rsidRDefault="00090707" w:rsidP="005B3C0E">
      <w:pPr>
        <w:spacing w:line="264" w:lineRule="auto"/>
        <w:rPr>
          <w:sz w:val="25"/>
          <w:szCs w:val="25"/>
        </w:rPr>
      </w:pPr>
      <w:r>
        <w:rPr>
          <w:sz w:val="25"/>
          <w:szCs w:val="25"/>
        </w:rPr>
        <w:t xml:space="preserve">The italicized phrase </w:t>
      </w:r>
      <w:r w:rsidR="00CD0F58">
        <w:rPr>
          <w:sz w:val="25"/>
          <w:szCs w:val="25"/>
        </w:rPr>
        <w:t>in the second bullet point</w:t>
      </w:r>
      <w:r>
        <w:rPr>
          <w:sz w:val="25"/>
          <w:szCs w:val="25"/>
        </w:rPr>
        <w:t xml:space="preserve"> was included in PSE</w:t>
      </w:r>
      <w:r w:rsidR="00CD0F58">
        <w:rPr>
          <w:sz w:val="25"/>
          <w:szCs w:val="25"/>
        </w:rPr>
        <w:t xml:space="preserve">’s comments only; </w:t>
      </w:r>
      <w:r w:rsidR="003C7BEE">
        <w:rPr>
          <w:sz w:val="25"/>
          <w:szCs w:val="25"/>
        </w:rPr>
        <w:t>b</w:t>
      </w:r>
      <w:r w:rsidR="00E36104">
        <w:rPr>
          <w:sz w:val="25"/>
          <w:szCs w:val="25"/>
        </w:rPr>
        <w:t xml:space="preserve">ecause the decoupling mechanism has no firm end date, Staff is uncomfortable </w:t>
      </w:r>
      <w:r w:rsidR="0066576F">
        <w:rPr>
          <w:sz w:val="25"/>
          <w:szCs w:val="25"/>
        </w:rPr>
        <w:t>with letting the</w:t>
      </w:r>
      <w:r w:rsidR="00E36104">
        <w:rPr>
          <w:sz w:val="25"/>
          <w:szCs w:val="25"/>
        </w:rPr>
        <w:t xml:space="preserve"> Company’s commitment</w:t>
      </w:r>
      <w:r w:rsidR="0066576F">
        <w:rPr>
          <w:sz w:val="25"/>
          <w:szCs w:val="25"/>
        </w:rPr>
        <w:t xml:space="preserve"> expire</w:t>
      </w:r>
      <w:r w:rsidR="00E36104">
        <w:rPr>
          <w:sz w:val="25"/>
          <w:szCs w:val="25"/>
        </w:rPr>
        <w:t xml:space="preserve">. </w:t>
      </w:r>
      <w:r w:rsidR="00FB527B">
        <w:rPr>
          <w:sz w:val="25"/>
          <w:szCs w:val="25"/>
        </w:rPr>
        <w:t xml:space="preserve"> </w:t>
      </w:r>
    </w:p>
    <w:p w14:paraId="62BDBEA3" w14:textId="71ACE6D3" w:rsidR="005B3C0E" w:rsidRDefault="005B3C0E" w:rsidP="003C7BEE">
      <w:pPr>
        <w:pStyle w:val="ListParagraph"/>
        <w:ind w:left="0"/>
        <w:rPr>
          <w:b/>
          <w:sz w:val="25"/>
          <w:szCs w:val="25"/>
        </w:rPr>
      </w:pPr>
    </w:p>
    <w:p w14:paraId="42472513" w14:textId="243DF22D" w:rsidR="003C7BEE" w:rsidRPr="00C67815" w:rsidRDefault="003C7BEE" w:rsidP="002F3AE3">
      <w:pPr>
        <w:pStyle w:val="ListParagraph"/>
        <w:numPr>
          <w:ilvl w:val="0"/>
          <w:numId w:val="1"/>
        </w:numPr>
        <w:tabs>
          <w:tab w:val="clear" w:pos="720"/>
          <w:tab w:val="num" w:pos="90"/>
        </w:tabs>
        <w:spacing w:line="264" w:lineRule="auto"/>
        <w:ind w:left="0"/>
        <w:rPr>
          <w:sz w:val="25"/>
          <w:szCs w:val="25"/>
        </w:rPr>
      </w:pPr>
      <w:r w:rsidRPr="00C67815">
        <w:rPr>
          <w:sz w:val="25"/>
          <w:szCs w:val="25"/>
        </w:rPr>
        <w:t xml:space="preserve">Staff recommended the Commission issue an order establishing PSE’s 2014-15 decoupling conservation commitment as 27,920 </w:t>
      </w:r>
      <w:proofErr w:type="spellStart"/>
      <w:r w:rsidRPr="00C67815">
        <w:rPr>
          <w:sz w:val="25"/>
          <w:szCs w:val="25"/>
        </w:rPr>
        <w:t>MWh</w:t>
      </w:r>
      <w:proofErr w:type="spellEnd"/>
      <w:r w:rsidRPr="00C67815">
        <w:rPr>
          <w:sz w:val="25"/>
          <w:szCs w:val="25"/>
        </w:rPr>
        <w:t xml:space="preserve"> and requiring PSE to perform its decoupling </w:t>
      </w:r>
      <w:r w:rsidR="00BB7D76">
        <w:rPr>
          <w:sz w:val="25"/>
          <w:szCs w:val="25"/>
        </w:rPr>
        <w:t xml:space="preserve">conservation commitment </w:t>
      </w:r>
      <w:r w:rsidRPr="00C67815">
        <w:rPr>
          <w:sz w:val="25"/>
          <w:szCs w:val="25"/>
        </w:rPr>
        <w:t xml:space="preserve">for the full duration of the 2014-15 biennium and for any biennium during which its decoupling </w:t>
      </w:r>
      <w:r w:rsidR="00BB7D76">
        <w:rPr>
          <w:sz w:val="25"/>
          <w:szCs w:val="25"/>
        </w:rPr>
        <w:t xml:space="preserve">mechanism </w:t>
      </w:r>
      <w:r w:rsidRPr="00C67815">
        <w:rPr>
          <w:sz w:val="25"/>
          <w:szCs w:val="25"/>
        </w:rPr>
        <w:t xml:space="preserve">is in effect. </w:t>
      </w:r>
      <w:r w:rsidR="00C67815" w:rsidRPr="00C67815">
        <w:rPr>
          <w:sz w:val="25"/>
          <w:szCs w:val="25"/>
        </w:rPr>
        <w:t xml:space="preserve"> </w:t>
      </w:r>
      <w:r w:rsidRPr="00C67815">
        <w:rPr>
          <w:sz w:val="25"/>
          <w:szCs w:val="25"/>
        </w:rPr>
        <w:t>No other party filed comments.</w:t>
      </w:r>
      <w:r w:rsidR="00C67815">
        <w:rPr>
          <w:sz w:val="25"/>
          <w:szCs w:val="25"/>
        </w:rPr>
        <w:br/>
      </w:r>
    </w:p>
    <w:p w14:paraId="0A51E12E" w14:textId="77777777" w:rsidR="00E3765A" w:rsidRDefault="00E3765A" w:rsidP="003C7BEE">
      <w:pPr>
        <w:spacing w:line="264" w:lineRule="auto"/>
        <w:jc w:val="center"/>
        <w:rPr>
          <w:b/>
          <w:sz w:val="25"/>
          <w:szCs w:val="25"/>
        </w:rPr>
      </w:pPr>
    </w:p>
    <w:p w14:paraId="023867EC" w14:textId="77777777" w:rsidR="00E3765A" w:rsidRDefault="00E3765A" w:rsidP="003C7BEE">
      <w:pPr>
        <w:spacing w:line="264" w:lineRule="auto"/>
        <w:jc w:val="center"/>
        <w:rPr>
          <w:b/>
          <w:sz w:val="25"/>
          <w:szCs w:val="25"/>
        </w:rPr>
      </w:pPr>
    </w:p>
    <w:p w14:paraId="07EC01CD" w14:textId="70AC73BA" w:rsidR="003C7BEE" w:rsidRDefault="003C7BEE" w:rsidP="003C7BEE">
      <w:pPr>
        <w:spacing w:line="264" w:lineRule="auto"/>
        <w:jc w:val="center"/>
        <w:rPr>
          <w:sz w:val="25"/>
          <w:szCs w:val="25"/>
        </w:rPr>
      </w:pPr>
      <w:r>
        <w:rPr>
          <w:b/>
          <w:sz w:val="25"/>
          <w:szCs w:val="25"/>
        </w:rPr>
        <w:t>DISCUSSION</w:t>
      </w:r>
      <w:r>
        <w:rPr>
          <w:sz w:val="25"/>
          <w:szCs w:val="25"/>
        </w:rPr>
        <w:br/>
      </w:r>
    </w:p>
    <w:p w14:paraId="24475B4B" w14:textId="3E9C6E14" w:rsidR="005B3C0E" w:rsidRDefault="001D5FD5" w:rsidP="005B3C0E">
      <w:pPr>
        <w:numPr>
          <w:ilvl w:val="0"/>
          <w:numId w:val="1"/>
        </w:numPr>
        <w:tabs>
          <w:tab w:val="clear" w:pos="720"/>
        </w:tabs>
        <w:spacing w:line="264" w:lineRule="auto"/>
        <w:ind w:left="0"/>
        <w:rPr>
          <w:sz w:val="25"/>
          <w:szCs w:val="25"/>
        </w:rPr>
      </w:pPr>
      <w:r>
        <w:rPr>
          <w:sz w:val="25"/>
          <w:szCs w:val="25"/>
        </w:rPr>
        <w:t xml:space="preserve">The Commission </w:t>
      </w:r>
      <w:r w:rsidR="000A5706">
        <w:rPr>
          <w:sz w:val="25"/>
          <w:szCs w:val="25"/>
        </w:rPr>
        <w:t xml:space="preserve">finds the </w:t>
      </w:r>
      <w:r w:rsidR="009868F1">
        <w:rPr>
          <w:sz w:val="25"/>
          <w:szCs w:val="25"/>
        </w:rPr>
        <w:t xml:space="preserve">terms of the </w:t>
      </w:r>
      <w:r w:rsidR="007C304E">
        <w:rPr>
          <w:sz w:val="25"/>
          <w:szCs w:val="25"/>
        </w:rPr>
        <w:t>parties’ agreement</w:t>
      </w:r>
      <w:r w:rsidR="009868F1">
        <w:rPr>
          <w:sz w:val="25"/>
          <w:szCs w:val="25"/>
        </w:rPr>
        <w:t xml:space="preserve"> to be</w:t>
      </w:r>
      <w:r w:rsidR="000A5706">
        <w:rPr>
          <w:sz w:val="25"/>
          <w:szCs w:val="25"/>
        </w:rPr>
        <w:t xml:space="preserve"> </w:t>
      </w:r>
      <w:r w:rsidR="007C304E">
        <w:rPr>
          <w:sz w:val="25"/>
          <w:szCs w:val="25"/>
        </w:rPr>
        <w:t>consistent with the settlement agreement approved in Order 01</w:t>
      </w:r>
      <w:r w:rsidR="00E36104">
        <w:rPr>
          <w:sz w:val="25"/>
          <w:szCs w:val="25"/>
        </w:rPr>
        <w:t xml:space="preserve"> in this docket</w:t>
      </w:r>
      <w:r w:rsidR="007C304E">
        <w:rPr>
          <w:sz w:val="25"/>
          <w:szCs w:val="25"/>
        </w:rPr>
        <w:t>, and a reasonable balancing of the</w:t>
      </w:r>
      <w:r w:rsidR="0066576F">
        <w:rPr>
          <w:sz w:val="25"/>
          <w:szCs w:val="25"/>
        </w:rPr>
        <w:t xml:space="preserve"> parties’</w:t>
      </w:r>
      <w:r w:rsidR="007C304E">
        <w:rPr>
          <w:sz w:val="25"/>
          <w:szCs w:val="25"/>
        </w:rPr>
        <w:t xml:space="preserve"> interests.</w:t>
      </w:r>
      <w:r w:rsidR="00FB527B">
        <w:rPr>
          <w:sz w:val="25"/>
          <w:szCs w:val="25"/>
        </w:rPr>
        <w:t xml:space="preserve">  We agree with Staff that </w:t>
      </w:r>
      <w:r w:rsidR="0066576F">
        <w:rPr>
          <w:sz w:val="25"/>
          <w:szCs w:val="25"/>
        </w:rPr>
        <w:t xml:space="preserve">adopting the Company’s proposed </w:t>
      </w:r>
      <w:r w:rsidR="00E36104">
        <w:rPr>
          <w:sz w:val="25"/>
          <w:szCs w:val="25"/>
        </w:rPr>
        <w:t xml:space="preserve">end date </w:t>
      </w:r>
      <w:r w:rsidR="00C67815">
        <w:rPr>
          <w:sz w:val="25"/>
          <w:szCs w:val="25"/>
        </w:rPr>
        <w:t xml:space="preserve">of December 2017 </w:t>
      </w:r>
      <w:r w:rsidR="00077FF2">
        <w:rPr>
          <w:sz w:val="25"/>
          <w:szCs w:val="25"/>
        </w:rPr>
        <w:t>for</w:t>
      </w:r>
      <w:r w:rsidR="00C67815">
        <w:rPr>
          <w:sz w:val="25"/>
          <w:szCs w:val="25"/>
        </w:rPr>
        <w:t xml:space="preserve"> exceeding</w:t>
      </w:r>
      <w:r w:rsidR="00077FF2">
        <w:rPr>
          <w:sz w:val="25"/>
          <w:szCs w:val="25"/>
        </w:rPr>
        <w:t xml:space="preserve"> its conservation </w:t>
      </w:r>
      <w:r w:rsidR="00C67815">
        <w:rPr>
          <w:sz w:val="25"/>
          <w:szCs w:val="25"/>
        </w:rPr>
        <w:t>target</w:t>
      </w:r>
      <w:r w:rsidR="00077FF2">
        <w:rPr>
          <w:sz w:val="25"/>
          <w:szCs w:val="25"/>
        </w:rPr>
        <w:t xml:space="preserve"> would be</w:t>
      </w:r>
      <w:r w:rsidR="0066576F">
        <w:rPr>
          <w:sz w:val="25"/>
          <w:szCs w:val="25"/>
        </w:rPr>
        <w:t xml:space="preserve"> imprudent</w:t>
      </w:r>
      <w:r w:rsidR="00E36104">
        <w:rPr>
          <w:sz w:val="25"/>
          <w:szCs w:val="25"/>
        </w:rPr>
        <w:t xml:space="preserve">.  If the decoupling mechanism </w:t>
      </w:r>
      <w:r w:rsidR="00077FF2">
        <w:rPr>
          <w:sz w:val="25"/>
          <w:szCs w:val="25"/>
        </w:rPr>
        <w:t xml:space="preserve">has, in fact, </w:t>
      </w:r>
      <w:r w:rsidR="009F5C8F">
        <w:rPr>
          <w:sz w:val="25"/>
          <w:szCs w:val="25"/>
        </w:rPr>
        <w:t>terminated</w:t>
      </w:r>
      <w:r w:rsidR="00E36104">
        <w:rPr>
          <w:sz w:val="25"/>
          <w:szCs w:val="25"/>
        </w:rPr>
        <w:t xml:space="preserve"> by December 2017, th</w:t>
      </w:r>
      <w:r w:rsidR="0066576F">
        <w:rPr>
          <w:sz w:val="25"/>
          <w:szCs w:val="25"/>
        </w:rPr>
        <w:t>e</w:t>
      </w:r>
      <w:r w:rsidR="00E36104">
        <w:rPr>
          <w:sz w:val="25"/>
          <w:szCs w:val="25"/>
        </w:rPr>
        <w:t xml:space="preserve"> commitment will </w:t>
      </w:r>
      <w:r w:rsidR="00077FF2">
        <w:rPr>
          <w:sz w:val="25"/>
          <w:szCs w:val="25"/>
        </w:rPr>
        <w:t xml:space="preserve">automatically sunset at the end of the biennium; </w:t>
      </w:r>
      <w:r w:rsidR="00E36104">
        <w:rPr>
          <w:sz w:val="25"/>
          <w:szCs w:val="25"/>
        </w:rPr>
        <w:t xml:space="preserve">if the mechanism is still in place, </w:t>
      </w:r>
      <w:r w:rsidR="00BB6584">
        <w:rPr>
          <w:sz w:val="25"/>
          <w:szCs w:val="25"/>
        </w:rPr>
        <w:t xml:space="preserve">however, </w:t>
      </w:r>
      <w:r w:rsidR="00E36104">
        <w:rPr>
          <w:sz w:val="25"/>
          <w:szCs w:val="25"/>
        </w:rPr>
        <w:t>the</w:t>
      </w:r>
      <w:r w:rsidR="00077FF2">
        <w:rPr>
          <w:sz w:val="25"/>
          <w:szCs w:val="25"/>
        </w:rPr>
        <w:t xml:space="preserve"> Company’s proposed</w:t>
      </w:r>
      <w:r w:rsidR="00E36104">
        <w:rPr>
          <w:sz w:val="25"/>
          <w:szCs w:val="25"/>
        </w:rPr>
        <w:t xml:space="preserve"> </w:t>
      </w:r>
      <w:r w:rsidR="0066576F">
        <w:rPr>
          <w:sz w:val="25"/>
          <w:szCs w:val="25"/>
        </w:rPr>
        <w:t xml:space="preserve">language would cause </w:t>
      </w:r>
      <w:r w:rsidR="00E36104">
        <w:rPr>
          <w:sz w:val="25"/>
          <w:szCs w:val="25"/>
        </w:rPr>
        <w:t xml:space="preserve">the </w:t>
      </w:r>
      <w:r w:rsidR="00077FF2">
        <w:rPr>
          <w:sz w:val="25"/>
          <w:szCs w:val="25"/>
        </w:rPr>
        <w:t xml:space="preserve">commitment </w:t>
      </w:r>
      <w:r w:rsidR="0066576F">
        <w:rPr>
          <w:sz w:val="25"/>
          <w:szCs w:val="25"/>
        </w:rPr>
        <w:t>to</w:t>
      </w:r>
      <w:r w:rsidR="00E36104">
        <w:rPr>
          <w:sz w:val="25"/>
          <w:szCs w:val="25"/>
        </w:rPr>
        <w:t xml:space="preserve"> expire</w:t>
      </w:r>
      <w:r w:rsidR="0066576F">
        <w:rPr>
          <w:sz w:val="25"/>
          <w:szCs w:val="25"/>
        </w:rPr>
        <w:t xml:space="preserve">.  </w:t>
      </w:r>
      <w:r w:rsidR="00C67815">
        <w:rPr>
          <w:sz w:val="25"/>
          <w:szCs w:val="25"/>
        </w:rPr>
        <w:t xml:space="preserve"> </w:t>
      </w:r>
      <w:r w:rsidR="0066576F">
        <w:rPr>
          <w:sz w:val="25"/>
          <w:szCs w:val="25"/>
        </w:rPr>
        <w:t xml:space="preserve">The latter result is inconsistent </w:t>
      </w:r>
      <w:r w:rsidR="00077FF2">
        <w:rPr>
          <w:sz w:val="25"/>
          <w:szCs w:val="25"/>
        </w:rPr>
        <w:t>with PSE’s</w:t>
      </w:r>
      <w:r w:rsidR="00E36104">
        <w:rPr>
          <w:sz w:val="25"/>
          <w:szCs w:val="25"/>
        </w:rPr>
        <w:t xml:space="preserve"> commitment </w:t>
      </w:r>
      <w:r w:rsidR="00290C91">
        <w:rPr>
          <w:sz w:val="25"/>
          <w:szCs w:val="25"/>
        </w:rPr>
        <w:t>to</w:t>
      </w:r>
      <w:r w:rsidR="00C67815">
        <w:rPr>
          <w:sz w:val="25"/>
          <w:szCs w:val="25"/>
        </w:rPr>
        <w:t xml:space="preserve"> exceed its Commission-approved biennial conservation</w:t>
      </w:r>
      <w:r w:rsidR="00E36104">
        <w:rPr>
          <w:sz w:val="25"/>
          <w:szCs w:val="25"/>
        </w:rPr>
        <w:t xml:space="preserve"> </w:t>
      </w:r>
      <w:r w:rsidR="008C0E98">
        <w:rPr>
          <w:sz w:val="25"/>
          <w:szCs w:val="25"/>
        </w:rPr>
        <w:t>while</w:t>
      </w:r>
      <w:r w:rsidR="00BB7D76">
        <w:rPr>
          <w:sz w:val="25"/>
          <w:szCs w:val="25"/>
        </w:rPr>
        <w:t xml:space="preserve"> </w:t>
      </w:r>
      <w:r w:rsidR="00E36104">
        <w:rPr>
          <w:sz w:val="25"/>
          <w:szCs w:val="25"/>
        </w:rPr>
        <w:t>the decoupling mechanism</w:t>
      </w:r>
      <w:r w:rsidR="00CF6B10">
        <w:rPr>
          <w:sz w:val="25"/>
          <w:szCs w:val="25"/>
        </w:rPr>
        <w:t xml:space="preserve"> is in </w:t>
      </w:r>
      <w:r w:rsidR="00290C91">
        <w:rPr>
          <w:sz w:val="25"/>
          <w:szCs w:val="25"/>
        </w:rPr>
        <w:t>place</w:t>
      </w:r>
      <w:r w:rsidR="00E36104">
        <w:rPr>
          <w:sz w:val="25"/>
          <w:szCs w:val="25"/>
        </w:rPr>
        <w:t>.</w:t>
      </w:r>
      <w:r w:rsidR="00290C91">
        <w:rPr>
          <w:rStyle w:val="FootnoteReference"/>
          <w:sz w:val="25"/>
          <w:szCs w:val="25"/>
        </w:rPr>
        <w:footnoteReference w:id="5"/>
      </w:r>
      <w:r w:rsidR="00E36104">
        <w:rPr>
          <w:sz w:val="25"/>
          <w:szCs w:val="25"/>
        </w:rPr>
        <w:t xml:space="preserve">  Accordingly, we adopt Staff’s comments</w:t>
      </w:r>
      <w:r w:rsidR="00C75B7A">
        <w:rPr>
          <w:sz w:val="25"/>
          <w:szCs w:val="25"/>
        </w:rPr>
        <w:t xml:space="preserve"> in our findings</w:t>
      </w:r>
      <w:r w:rsidR="00166906">
        <w:rPr>
          <w:sz w:val="25"/>
          <w:szCs w:val="25"/>
        </w:rPr>
        <w:t>.</w:t>
      </w:r>
      <w:r w:rsidR="009F5C8F">
        <w:rPr>
          <w:sz w:val="25"/>
          <w:szCs w:val="25"/>
        </w:rPr>
        <w:br/>
      </w:r>
    </w:p>
    <w:p w14:paraId="60860B2F" w14:textId="77777777" w:rsidR="00D36F58" w:rsidRDefault="00D36F58" w:rsidP="004003BD">
      <w:pPr>
        <w:spacing w:line="264" w:lineRule="auto"/>
        <w:rPr>
          <w:sz w:val="25"/>
          <w:szCs w:val="25"/>
        </w:rPr>
      </w:pPr>
    </w:p>
    <w:p w14:paraId="1167FA18" w14:textId="77777777" w:rsidR="00D36F58" w:rsidRPr="00D36F58" w:rsidRDefault="000A5706" w:rsidP="005B3C0E">
      <w:pPr>
        <w:spacing w:line="264" w:lineRule="auto"/>
        <w:jc w:val="center"/>
        <w:rPr>
          <w:b/>
          <w:sz w:val="25"/>
          <w:szCs w:val="25"/>
        </w:rPr>
      </w:pPr>
      <w:r>
        <w:rPr>
          <w:b/>
          <w:sz w:val="25"/>
          <w:szCs w:val="25"/>
        </w:rPr>
        <w:t>FINDINGS AND CONCLUSIONS</w:t>
      </w:r>
      <w:r w:rsidR="00D36F58">
        <w:rPr>
          <w:b/>
          <w:sz w:val="25"/>
          <w:szCs w:val="25"/>
        </w:rPr>
        <w:br/>
      </w:r>
    </w:p>
    <w:p w14:paraId="5CF23366" w14:textId="77777777" w:rsidR="003F5608" w:rsidRPr="003F5608" w:rsidRDefault="003F5608" w:rsidP="005B3C0E">
      <w:pPr>
        <w:numPr>
          <w:ilvl w:val="0"/>
          <w:numId w:val="1"/>
        </w:numPr>
        <w:tabs>
          <w:tab w:val="clear" w:pos="720"/>
        </w:tabs>
        <w:spacing w:line="264" w:lineRule="auto"/>
        <w:ind w:left="0"/>
        <w:rPr>
          <w:b/>
          <w:sz w:val="25"/>
          <w:szCs w:val="25"/>
        </w:rPr>
      </w:pPr>
      <w:r>
        <w:rPr>
          <w:sz w:val="25"/>
          <w:szCs w:val="25"/>
        </w:rPr>
        <w:t>(1)</w:t>
      </w:r>
      <w:r>
        <w:rPr>
          <w:sz w:val="25"/>
          <w:szCs w:val="25"/>
        </w:rPr>
        <w:tab/>
      </w:r>
      <w:r w:rsidRPr="00745823">
        <w:rPr>
          <w:sz w:val="25"/>
          <w:szCs w:val="25"/>
        </w:rPr>
        <w:t xml:space="preserve">The Washington Utilities and Transportation Commission is an agency of the </w:t>
      </w:r>
      <w:r w:rsidR="001D5FD5">
        <w:rPr>
          <w:sz w:val="25"/>
          <w:szCs w:val="25"/>
        </w:rPr>
        <w:br/>
        <w:t xml:space="preserve"> </w:t>
      </w:r>
      <w:r w:rsidR="001D5FD5">
        <w:rPr>
          <w:sz w:val="25"/>
          <w:szCs w:val="25"/>
        </w:rPr>
        <w:tab/>
      </w:r>
      <w:r w:rsidRPr="00745823">
        <w:rPr>
          <w:sz w:val="25"/>
          <w:szCs w:val="25"/>
        </w:rPr>
        <w:t xml:space="preserve">state of Washington vested by statute with the authority to regulate the rates, </w:t>
      </w:r>
      <w:r w:rsidR="001D5FD5">
        <w:rPr>
          <w:sz w:val="25"/>
          <w:szCs w:val="25"/>
        </w:rPr>
        <w:br/>
        <w:t xml:space="preserve"> </w:t>
      </w:r>
      <w:r w:rsidR="001D5FD5">
        <w:rPr>
          <w:sz w:val="25"/>
          <w:szCs w:val="25"/>
        </w:rPr>
        <w:tab/>
      </w:r>
      <w:r w:rsidRPr="00745823">
        <w:rPr>
          <w:sz w:val="25"/>
          <w:szCs w:val="25"/>
        </w:rPr>
        <w:t>rules, regulations, practices, accounts</w:t>
      </w:r>
      <w:proofErr w:type="gramStart"/>
      <w:r w:rsidRPr="00745823">
        <w:rPr>
          <w:sz w:val="25"/>
          <w:szCs w:val="25"/>
        </w:rPr>
        <w:t xml:space="preserve">, securities, transfers of property and </w:t>
      </w:r>
      <w:r w:rsidR="001D5FD5">
        <w:rPr>
          <w:sz w:val="25"/>
          <w:szCs w:val="25"/>
        </w:rPr>
        <w:br/>
        <w:t xml:space="preserve"> </w:t>
      </w:r>
      <w:proofErr w:type="gramEnd"/>
      <w:r w:rsidR="001D5FD5">
        <w:rPr>
          <w:sz w:val="25"/>
          <w:szCs w:val="25"/>
        </w:rPr>
        <w:tab/>
      </w:r>
      <w:r w:rsidRPr="00745823">
        <w:rPr>
          <w:sz w:val="25"/>
          <w:szCs w:val="25"/>
        </w:rPr>
        <w:t>affiliated interests of public service companies, including electric</w:t>
      </w:r>
      <w:r w:rsidRPr="00745823">
        <w:rPr>
          <w:b/>
          <w:sz w:val="25"/>
          <w:szCs w:val="25"/>
        </w:rPr>
        <w:t xml:space="preserve"> </w:t>
      </w:r>
      <w:r w:rsidRPr="00745823">
        <w:rPr>
          <w:sz w:val="25"/>
          <w:szCs w:val="25"/>
        </w:rPr>
        <w:t xml:space="preserve">companies.  </w:t>
      </w:r>
      <w:r>
        <w:rPr>
          <w:sz w:val="25"/>
          <w:szCs w:val="25"/>
        </w:rPr>
        <w:br/>
      </w:r>
    </w:p>
    <w:p w14:paraId="52AAB13C" w14:textId="77777777" w:rsidR="00AB4CD3" w:rsidRPr="004003BD" w:rsidRDefault="00AB4CD3" w:rsidP="005B3C0E">
      <w:pPr>
        <w:numPr>
          <w:ilvl w:val="0"/>
          <w:numId w:val="1"/>
        </w:numPr>
        <w:tabs>
          <w:tab w:val="clear" w:pos="720"/>
        </w:tabs>
        <w:spacing w:line="264" w:lineRule="auto"/>
        <w:ind w:left="0"/>
        <w:rPr>
          <w:b/>
          <w:sz w:val="25"/>
          <w:szCs w:val="25"/>
        </w:rPr>
      </w:pPr>
      <w:r w:rsidRPr="00A92A98">
        <w:rPr>
          <w:sz w:val="25"/>
          <w:szCs w:val="25"/>
        </w:rPr>
        <w:t>(2)</w:t>
      </w:r>
      <w:r w:rsidRPr="00A92A98">
        <w:rPr>
          <w:sz w:val="25"/>
          <w:szCs w:val="25"/>
        </w:rPr>
        <w:tab/>
      </w:r>
      <w:r w:rsidR="006F611D" w:rsidRPr="00A92A98">
        <w:rPr>
          <w:sz w:val="25"/>
          <w:szCs w:val="25"/>
        </w:rPr>
        <w:t>Puget Sound Energy</w:t>
      </w:r>
      <w:r w:rsidR="008466D1" w:rsidRPr="00A92A98">
        <w:rPr>
          <w:sz w:val="25"/>
          <w:szCs w:val="25"/>
        </w:rPr>
        <w:t xml:space="preserve"> </w:t>
      </w:r>
      <w:r w:rsidRPr="00A92A98">
        <w:rPr>
          <w:sz w:val="25"/>
          <w:szCs w:val="25"/>
        </w:rPr>
        <w:t>is an</w:t>
      </w:r>
      <w:r w:rsidRPr="00A92A98">
        <w:rPr>
          <w:b/>
          <w:sz w:val="25"/>
          <w:szCs w:val="25"/>
        </w:rPr>
        <w:t xml:space="preserve"> </w:t>
      </w:r>
      <w:r w:rsidRPr="00A92A98">
        <w:rPr>
          <w:sz w:val="25"/>
          <w:szCs w:val="25"/>
        </w:rPr>
        <w:t xml:space="preserve">electric company and a public service company </w:t>
      </w:r>
      <w:r w:rsidR="001D5FD5">
        <w:rPr>
          <w:sz w:val="25"/>
          <w:szCs w:val="25"/>
        </w:rPr>
        <w:br/>
        <w:t xml:space="preserve"> </w:t>
      </w:r>
      <w:r w:rsidR="001D5FD5">
        <w:rPr>
          <w:sz w:val="25"/>
          <w:szCs w:val="25"/>
        </w:rPr>
        <w:tab/>
      </w:r>
      <w:r w:rsidRPr="00A92A98">
        <w:rPr>
          <w:sz w:val="25"/>
          <w:szCs w:val="25"/>
        </w:rPr>
        <w:t>subject to Commission jurisdiction.</w:t>
      </w:r>
    </w:p>
    <w:p w14:paraId="795E3B30" w14:textId="77777777" w:rsidR="004003BD" w:rsidRPr="00A92A98" w:rsidRDefault="004003BD" w:rsidP="004003BD">
      <w:pPr>
        <w:spacing w:line="264" w:lineRule="auto"/>
        <w:rPr>
          <w:b/>
          <w:sz w:val="25"/>
          <w:szCs w:val="25"/>
        </w:rPr>
      </w:pPr>
    </w:p>
    <w:p w14:paraId="2F118BF6" w14:textId="77777777" w:rsidR="00A3299A" w:rsidRPr="004003BD" w:rsidRDefault="0028106A" w:rsidP="005B3C0E">
      <w:pPr>
        <w:numPr>
          <w:ilvl w:val="0"/>
          <w:numId w:val="1"/>
        </w:numPr>
        <w:tabs>
          <w:tab w:val="clear" w:pos="720"/>
        </w:tabs>
        <w:spacing w:line="264" w:lineRule="auto"/>
        <w:ind w:left="0"/>
        <w:rPr>
          <w:b/>
          <w:sz w:val="25"/>
          <w:szCs w:val="25"/>
        </w:rPr>
      </w:pPr>
      <w:r>
        <w:rPr>
          <w:sz w:val="25"/>
          <w:szCs w:val="25"/>
        </w:rPr>
        <w:t>(</w:t>
      </w:r>
      <w:r w:rsidR="00A92A98">
        <w:rPr>
          <w:sz w:val="25"/>
          <w:szCs w:val="25"/>
        </w:rPr>
        <w:t>3</w:t>
      </w:r>
      <w:r w:rsidR="00A3299A">
        <w:rPr>
          <w:sz w:val="25"/>
          <w:szCs w:val="25"/>
        </w:rPr>
        <w:t>)</w:t>
      </w:r>
      <w:r w:rsidR="00A3299A">
        <w:rPr>
          <w:sz w:val="25"/>
          <w:szCs w:val="25"/>
        </w:rPr>
        <w:tab/>
      </w:r>
      <w:r w:rsidR="003F5608" w:rsidRPr="00F83C09">
        <w:rPr>
          <w:sz w:val="25"/>
          <w:szCs w:val="25"/>
        </w:rPr>
        <w:t>On December 19, 2013, the Commission entered Order 01 in</w:t>
      </w:r>
      <w:r w:rsidR="003F5608">
        <w:rPr>
          <w:sz w:val="25"/>
          <w:szCs w:val="25"/>
        </w:rPr>
        <w:t xml:space="preserve"> this docket</w:t>
      </w:r>
      <w:r w:rsidR="003F5608" w:rsidRPr="00F83C09">
        <w:rPr>
          <w:sz w:val="25"/>
          <w:szCs w:val="25"/>
        </w:rPr>
        <w:t xml:space="preserve">, </w:t>
      </w:r>
      <w:r w:rsidR="003F5608" w:rsidRPr="00F83C09">
        <w:rPr>
          <w:i/>
          <w:sz w:val="25"/>
          <w:szCs w:val="25"/>
        </w:rPr>
        <w:t xml:space="preserve">Order </w:t>
      </w:r>
      <w:r w:rsidR="001D5FD5">
        <w:rPr>
          <w:i/>
          <w:sz w:val="25"/>
          <w:szCs w:val="25"/>
        </w:rPr>
        <w:br/>
        <w:t xml:space="preserve"> </w:t>
      </w:r>
      <w:r w:rsidR="001D5FD5">
        <w:rPr>
          <w:i/>
          <w:sz w:val="25"/>
          <w:szCs w:val="25"/>
        </w:rPr>
        <w:tab/>
      </w:r>
      <w:r w:rsidR="003F5608" w:rsidRPr="00F83C09">
        <w:rPr>
          <w:i/>
          <w:sz w:val="25"/>
          <w:szCs w:val="25"/>
        </w:rPr>
        <w:t xml:space="preserve">Approving Puget Sound Energy’s 2014-2023 Achievable Conservation Potential </w:t>
      </w:r>
      <w:r w:rsidR="001D5FD5">
        <w:rPr>
          <w:i/>
          <w:sz w:val="25"/>
          <w:szCs w:val="25"/>
        </w:rPr>
        <w:br/>
        <w:t xml:space="preserve"> </w:t>
      </w:r>
      <w:r w:rsidR="001D5FD5">
        <w:rPr>
          <w:i/>
          <w:sz w:val="25"/>
          <w:szCs w:val="25"/>
        </w:rPr>
        <w:tab/>
      </w:r>
      <w:r w:rsidR="003F5608" w:rsidRPr="00F83C09">
        <w:rPr>
          <w:i/>
          <w:sz w:val="25"/>
          <w:szCs w:val="25"/>
        </w:rPr>
        <w:t>and Its 2014-2015 Biennial Conservation Target Subject to Conditions</w:t>
      </w:r>
      <w:r w:rsidR="003F5608" w:rsidRPr="00F83C09">
        <w:rPr>
          <w:sz w:val="25"/>
          <w:szCs w:val="25"/>
        </w:rPr>
        <w:t xml:space="preserve">.  </w:t>
      </w:r>
    </w:p>
    <w:p w14:paraId="4F332905" w14:textId="77777777" w:rsidR="004003BD" w:rsidRPr="00BB60CD" w:rsidRDefault="004003BD" w:rsidP="004003BD">
      <w:pPr>
        <w:spacing w:line="264" w:lineRule="auto"/>
        <w:rPr>
          <w:b/>
          <w:sz w:val="25"/>
          <w:szCs w:val="25"/>
        </w:rPr>
      </w:pPr>
    </w:p>
    <w:p w14:paraId="78B977AF" w14:textId="77777777" w:rsidR="00BA1D52" w:rsidRPr="004003BD" w:rsidRDefault="0028106A" w:rsidP="005B3C0E">
      <w:pPr>
        <w:numPr>
          <w:ilvl w:val="0"/>
          <w:numId w:val="1"/>
        </w:numPr>
        <w:tabs>
          <w:tab w:val="clear" w:pos="720"/>
        </w:tabs>
        <w:spacing w:line="264" w:lineRule="auto"/>
        <w:ind w:left="0"/>
        <w:rPr>
          <w:b/>
          <w:sz w:val="25"/>
          <w:szCs w:val="25"/>
        </w:rPr>
      </w:pPr>
      <w:r w:rsidRPr="00A92A98">
        <w:rPr>
          <w:sz w:val="25"/>
          <w:szCs w:val="25"/>
        </w:rPr>
        <w:t>(</w:t>
      </w:r>
      <w:r w:rsidR="00A92A98">
        <w:rPr>
          <w:sz w:val="25"/>
          <w:szCs w:val="25"/>
        </w:rPr>
        <w:t>4</w:t>
      </w:r>
      <w:r w:rsidR="00BB60CD" w:rsidRPr="00A92A98">
        <w:rPr>
          <w:sz w:val="25"/>
          <w:szCs w:val="25"/>
        </w:rPr>
        <w:t>)</w:t>
      </w:r>
      <w:r w:rsidR="00BB60CD" w:rsidRPr="00A92A98">
        <w:rPr>
          <w:sz w:val="25"/>
          <w:szCs w:val="25"/>
        </w:rPr>
        <w:tab/>
      </w:r>
      <w:r w:rsidR="003F5608">
        <w:rPr>
          <w:sz w:val="25"/>
          <w:szCs w:val="25"/>
        </w:rPr>
        <w:t xml:space="preserve">On June 27, 2014, PSE filed with the Commission a petition for declaratory </w:t>
      </w:r>
      <w:r w:rsidR="001D5FD5">
        <w:rPr>
          <w:sz w:val="25"/>
          <w:szCs w:val="25"/>
        </w:rPr>
        <w:br/>
        <w:t xml:space="preserve"> </w:t>
      </w:r>
      <w:r w:rsidR="001D5FD5">
        <w:rPr>
          <w:sz w:val="25"/>
          <w:szCs w:val="25"/>
        </w:rPr>
        <w:tab/>
      </w:r>
      <w:r w:rsidR="003F5608">
        <w:rPr>
          <w:sz w:val="25"/>
          <w:szCs w:val="25"/>
        </w:rPr>
        <w:t xml:space="preserve">order in Docket UE-141357 requesting </w:t>
      </w:r>
      <w:r w:rsidR="001F6CD9">
        <w:rPr>
          <w:sz w:val="25"/>
          <w:szCs w:val="25"/>
        </w:rPr>
        <w:t xml:space="preserve">the Commission make </w:t>
      </w:r>
      <w:r w:rsidR="003F5608">
        <w:rPr>
          <w:sz w:val="25"/>
          <w:szCs w:val="25"/>
        </w:rPr>
        <w:t xml:space="preserve">certain findings </w:t>
      </w:r>
      <w:r w:rsidR="001F6CD9">
        <w:rPr>
          <w:sz w:val="25"/>
          <w:szCs w:val="25"/>
        </w:rPr>
        <w:t xml:space="preserve"> </w:t>
      </w:r>
      <w:r w:rsidR="001F6CD9">
        <w:rPr>
          <w:sz w:val="25"/>
          <w:szCs w:val="25"/>
        </w:rPr>
        <w:br/>
        <w:t xml:space="preserve">  </w:t>
      </w:r>
      <w:r w:rsidR="001F6CD9">
        <w:rPr>
          <w:sz w:val="25"/>
          <w:szCs w:val="25"/>
        </w:rPr>
        <w:tab/>
        <w:t>to establish the Company’s compliance with</w:t>
      </w:r>
      <w:r w:rsidR="003F5608">
        <w:rPr>
          <w:sz w:val="25"/>
          <w:szCs w:val="25"/>
        </w:rPr>
        <w:t xml:space="preserve"> </w:t>
      </w:r>
      <w:r w:rsidR="001F6CD9">
        <w:rPr>
          <w:sz w:val="25"/>
          <w:szCs w:val="25"/>
        </w:rPr>
        <w:t xml:space="preserve">its 2012-13 </w:t>
      </w:r>
      <w:r w:rsidR="005056EE">
        <w:rPr>
          <w:sz w:val="25"/>
          <w:szCs w:val="25"/>
        </w:rPr>
        <w:t xml:space="preserve">biennial conservation </w:t>
      </w:r>
      <w:r w:rsidR="005056EE">
        <w:rPr>
          <w:sz w:val="25"/>
          <w:szCs w:val="25"/>
        </w:rPr>
        <w:br/>
        <w:t xml:space="preserve"> </w:t>
      </w:r>
      <w:r w:rsidR="005056EE">
        <w:rPr>
          <w:sz w:val="25"/>
          <w:szCs w:val="25"/>
        </w:rPr>
        <w:tab/>
        <w:t>achievement</w:t>
      </w:r>
      <w:r w:rsidR="00BA1D52" w:rsidRPr="00A92A98">
        <w:rPr>
          <w:sz w:val="25"/>
          <w:szCs w:val="25"/>
        </w:rPr>
        <w:t>.</w:t>
      </w:r>
      <w:r w:rsidR="003F5608">
        <w:rPr>
          <w:sz w:val="25"/>
          <w:szCs w:val="25"/>
        </w:rPr>
        <w:t xml:space="preserve">  </w:t>
      </w:r>
    </w:p>
    <w:p w14:paraId="7E3170BA" w14:textId="77777777" w:rsidR="004003BD" w:rsidRPr="00A92A98" w:rsidRDefault="004003BD" w:rsidP="004003BD">
      <w:pPr>
        <w:spacing w:line="264" w:lineRule="auto"/>
        <w:rPr>
          <w:b/>
          <w:sz w:val="25"/>
          <w:szCs w:val="25"/>
        </w:rPr>
      </w:pPr>
    </w:p>
    <w:p w14:paraId="49BE8F06" w14:textId="77777777" w:rsidR="00A92A98" w:rsidRPr="004003BD" w:rsidRDefault="00A92A98" w:rsidP="005B3C0E">
      <w:pPr>
        <w:numPr>
          <w:ilvl w:val="0"/>
          <w:numId w:val="1"/>
        </w:numPr>
        <w:tabs>
          <w:tab w:val="clear" w:pos="720"/>
        </w:tabs>
        <w:spacing w:line="264" w:lineRule="auto"/>
        <w:ind w:left="0"/>
        <w:rPr>
          <w:b/>
          <w:sz w:val="25"/>
          <w:szCs w:val="25"/>
        </w:rPr>
      </w:pPr>
      <w:r w:rsidRPr="008B7AF2">
        <w:rPr>
          <w:sz w:val="25"/>
          <w:szCs w:val="25"/>
        </w:rPr>
        <w:t>(5)</w:t>
      </w:r>
      <w:r w:rsidRPr="008B7AF2">
        <w:rPr>
          <w:sz w:val="25"/>
          <w:szCs w:val="25"/>
        </w:rPr>
        <w:tab/>
      </w:r>
      <w:r w:rsidR="003F5608" w:rsidRPr="002B0D64">
        <w:rPr>
          <w:sz w:val="25"/>
          <w:szCs w:val="25"/>
        </w:rPr>
        <w:t xml:space="preserve">On July 28, 2014, the Commission issued a notice declining to enter a </w:t>
      </w:r>
      <w:r w:rsidR="001D5FD5">
        <w:rPr>
          <w:sz w:val="25"/>
          <w:szCs w:val="25"/>
        </w:rPr>
        <w:br/>
        <w:t xml:space="preserve"> </w:t>
      </w:r>
      <w:r w:rsidR="001D5FD5">
        <w:rPr>
          <w:sz w:val="25"/>
          <w:szCs w:val="25"/>
        </w:rPr>
        <w:tab/>
      </w:r>
      <w:r w:rsidR="003F5608" w:rsidRPr="002B0D64">
        <w:rPr>
          <w:sz w:val="25"/>
          <w:szCs w:val="25"/>
        </w:rPr>
        <w:t>declaratory order</w:t>
      </w:r>
      <w:r w:rsidR="003F5608">
        <w:rPr>
          <w:sz w:val="25"/>
          <w:szCs w:val="25"/>
        </w:rPr>
        <w:t xml:space="preserve"> and initiating review of Order 01</w:t>
      </w:r>
      <w:r w:rsidR="005056EE">
        <w:rPr>
          <w:sz w:val="25"/>
          <w:szCs w:val="25"/>
        </w:rPr>
        <w:t xml:space="preserve"> in this docket</w:t>
      </w:r>
      <w:r w:rsidR="003F5608">
        <w:rPr>
          <w:sz w:val="25"/>
          <w:szCs w:val="25"/>
        </w:rPr>
        <w:t>.</w:t>
      </w:r>
    </w:p>
    <w:p w14:paraId="2E81B1F9" w14:textId="77777777" w:rsidR="004003BD" w:rsidRPr="008B7AF2" w:rsidRDefault="004003BD" w:rsidP="004003BD">
      <w:pPr>
        <w:spacing w:line="264" w:lineRule="auto"/>
        <w:rPr>
          <w:b/>
          <w:sz w:val="25"/>
          <w:szCs w:val="25"/>
        </w:rPr>
      </w:pPr>
    </w:p>
    <w:p w14:paraId="40955A4D" w14:textId="03B8CA89" w:rsidR="008B7AF2" w:rsidRPr="003F5608" w:rsidRDefault="008B7AF2" w:rsidP="005B3C0E">
      <w:pPr>
        <w:numPr>
          <w:ilvl w:val="0"/>
          <w:numId w:val="1"/>
        </w:numPr>
        <w:tabs>
          <w:tab w:val="clear" w:pos="720"/>
        </w:tabs>
        <w:spacing w:line="264" w:lineRule="auto"/>
        <w:ind w:left="0" w:hanging="810"/>
        <w:rPr>
          <w:b/>
          <w:sz w:val="25"/>
          <w:szCs w:val="25"/>
        </w:rPr>
      </w:pPr>
      <w:r>
        <w:rPr>
          <w:sz w:val="25"/>
          <w:szCs w:val="25"/>
        </w:rPr>
        <w:t>(6)</w:t>
      </w:r>
      <w:r>
        <w:rPr>
          <w:sz w:val="25"/>
          <w:szCs w:val="25"/>
        </w:rPr>
        <w:tab/>
      </w:r>
      <w:r w:rsidR="003F5608">
        <w:rPr>
          <w:sz w:val="25"/>
          <w:szCs w:val="25"/>
        </w:rPr>
        <w:t xml:space="preserve">On August 28, 2014, Staff filed comments outlining </w:t>
      </w:r>
      <w:r w:rsidR="009F5C8F">
        <w:rPr>
          <w:sz w:val="25"/>
          <w:szCs w:val="25"/>
        </w:rPr>
        <w:t>t</w:t>
      </w:r>
      <w:r w:rsidR="005056EE">
        <w:rPr>
          <w:sz w:val="25"/>
          <w:szCs w:val="25"/>
        </w:rPr>
        <w:t xml:space="preserve">he terms of </w:t>
      </w:r>
      <w:r w:rsidR="007C304E">
        <w:rPr>
          <w:sz w:val="25"/>
          <w:szCs w:val="25"/>
        </w:rPr>
        <w:t>an agreement</w:t>
      </w:r>
      <w:r w:rsidR="003F5608">
        <w:rPr>
          <w:sz w:val="25"/>
          <w:szCs w:val="25"/>
        </w:rPr>
        <w:t xml:space="preserve"> </w:t>
      </w:r>
      <w:r w:rsidR="009F5C8F">
        <w:rPr>
          <w:sz w:val="25"/>
          <w:szCs w:val="25"/>
        </w:rPr>
        <w:br/>
        <w:t xml:space="preserve"> </w:t>
      </w:r>
      <w:r w:rsidR="009F5C8F">
        <w:rPr>
          <w:sz w:val="25"/>
          <w:szCs w:val="25"/>
        </w:rPr>
        <w:tab/>
      </w:r>
      <w:r w:rsidR="005056EE">
        <w:rPr>
          <w:sz w:val="25"/>
          <w:szCs w:val="25"/>
        </w:rPr>
        <w:t xml:space="preserve">reached by the </w:t>
      </w:r>
      <w:r w:rsidR="003F5608">
        <w:rPr>
          <w:sz w:val="25"/>
          <w:szCs w:val="25"/>
        </w:rPr>
        <w:t>parties</w:t>
      </w:r>
      <w:r w:rsidR="005056EE">
        <w:rPr>
          <w:sz w:val="25"/>
          <w:szCs w:val="25"/>
        </w:rPr>
        <w:t>,</w:t>
      </w:r>
      <w:r w:rsidR="003F5608">
        <w:rPr>
          <w:sz w:val="25"/>
          <w:szCs w:val="25"/>
        </w:rPr>
        <w:t xml:space="preserve"> </w:t>
      </w:r>
      <w:r w:rsidR="005056EE">
        <w:rPr>
          <w:sz w:val="25"/>
          <w:szCs w:val="25"/>
        </w:rPr>
        <w:t>as follows</w:t>
      </w:r>
      <w:r w:rsidR="003F5608">
        <w:rPr>
          <w:sz w:val="25"/>
          <w:szCs w:val="25"/>
        </w:rPr>
        <w:t>:</w:t>
      </w:r>
      <w:r w:rsidR="001D5FD5">
        <w:rPr>
          <w:sz w:val="25"/>
          <w:szCs w:val="25"/>
        </w:rPr>
        <w:br/>
      </w:r>
    </w:p>
    <w:p w14:paraId="3CB60255" w14:textId="77777777" w:rsidR="003F5608" w:rsidRPr="006046D2" w:rsidRDefault="003F5608" w:rsidP="001D5FD5">
      <w:pPr>
        <w:pStyle w:val="ListParagraph"/>
        <w:widowControl w:val="0"/>
        <w:numPr>
          <w:ilvl w:val="0"/>
          <w:numId w:val="4"/>
        </w:numPr>
        <w:autoSpaceDE w:val="0"/>
        <w:autoSpaceDN w:val="0"/>
        <w:adjustRightInd w:val="0"/>
        <w:spacing w:line="276" w:lineRule="auto"/>
        <w:ind w:left="1260"/>
        <w:contextualSpacing/>
        <w:rPr>
          <w:sz w:val="25"/>
          <w:szCs w:val="25"/>
        </w:rPr>
      </w:pPr>
      <w:r w:rsidRPr="006046D2">
        <w:rPr>
          <w:sz w:val="25"/>
          <w:szCs w:val="25"/>
        </w:rPr>
        <w:t>Staff will not dispute PSE’s compliance with the Final Decoupling Order as it relates to conservation performance during the 2012-13 biennium, and for purposes of settlement will agree that PSE fully met its conservation commitment for that biennium.</w:t>
      </w:r>
    </w:p>
    <w:p w14:paraId="2D843FDC" w14:textId="37D0E312" w:rsidR="003F5608" w:rsidRPr="006046D2" w:rsidRDefault="003F5608" w:rsidP="001D5FD5">
      <w:pPr>
        <w:widowControl w:val="0"/>
        <w:numPr>
          <w:ilvl w:val="0"/>
          <w:numId w:val="3"/>
        </w:numPr>
        <w:autoSpaceDE w:val="0"/>
        <w:autoSpaceDN w:val="0"/>
        <w:adjustRightInd w:val="0"/>
        <w:spacing w:line="276" w:lineRule="auto"/>
        <w:ind w:left="1260"/>
        <w:rPr>
          <w:sz w:val="25"/>
          <w:szCs w:val="25"/>
        </w:rPr>
      </w:pPr>
      <w:r w:rsidRPr="006046D2">
        <w:rPr>
          <w:sz w:val="25"/>
          <w:szCs w:val="25"/>
        </w:rPr>
        <w:t>In return, PSE will agree to exceed its commission-approved biennial conservation target by five percent (5%) for any biennium after 2012-13 in which its decoupling program is in effect.</w:t>
      </w:r>
    </w:p>
    <w:p w14:paraId="4592B19D" w14:textId="77777777" w:rsidR="003F5608" w:rsidRPr="006046D2" w:rsidRDefault="003F5608" w:rsidP="001D5FD5">
      <w:pPr>
        <w:widowControl w:val="0"/>
        <w:numPr>
          <w:ilvl w:val="0"/>
          <w:numId w:val="3"/>
        </w:numPr>
        <w:autoSpaceDE w:val="0"/>
        <w:autoSpaceDN w:val="0"/>
        <w:adjustRightInd w:val="0"/>
        <w:spacing w:line="276" w:lineRule="auto"/>
        <w:ind w:left="1260"/>
        <w:rPr>
          <w:sz w:val="25"/>
          <w:szCs w:val="25"/>
        </w:rPr>
      </w:pPr>
      <w:r w:rsidRPr="006046D2">
        <w:rPr>
          <w:sz w:val="25"/>
          <w:szCs w:val="25"/>
        </w:rPr>
        <w:t>Should PSE’s decoupling program be terminated or withdrawn prior to the end of a biennium, PSE agrees to exceed its commission-approved biennial conservation target by five percent (5%) through the full biennium.</w:t>
      </w:r>
    </w:p>
    <w:p w14:paraId="27B4B3F2" w14:textId="77777777" w:rsidR="00D36F58" w:rsidRDefault="00D36F58" w:rsidP="004003BD">
      <w:pPr>
        <w:spacing w:line="264" w:lineRule="auto"/>
        <w:rPr>
          <w:b/>
          <w:sz w:val="25"/>
          <w:szCs w:val="25"/>
        </w:rPr>
      </w:pPr>
    </w:p>
    <w:p w14:paraId="2CF9A3DA" w14:textId="78F857C7" w:rsidR="00BB6584" w:rsidRPr="00BB6584" w:rsidRDefault="009755E7" w:rsidP="00BB6584">
      <w:pPr>
        <w:numPr>
          <w:ilvl w:val="0"/>
          <w:numId w:val="1"/>
        </w:numPr>
        <w:tabs>
          <w:tab w:val="clear" w:pos="720"/>
        </w:tabs>
        <w:spacing w:line="264" w:lineRule="auto"/>
        <w:ind w:left="0" w:hanging="810"/>
        <w:rPr>
          <w:b/>
          <w:sz w:val="25"/>
          <w:szCs w:val="25"/>
        </w:rPr>
      </w:pPr>
      <w:r>
        <w:rPr>
          <w:sz w:val="25"/>
          <w:szCs w:val="25"/>
        </w:rPr>
        <w:t xml:space="preserve">(7) </w:t>
      </w:r>
      <w:r>
        <w:rPr>
          <w:sz w:val="25"/>
          <w:szCs w:val="25"/>
        </w:rPr>
        <w:tab/>
      </w:r>
      <w:r w:rsidR="00BB6584">
        <w:rPr>
          <w:sz w:val="25"/>
          <w:szCs w:val="25"/>
        </w:rPr>
        <w:t>PSE’s comments include</w:t>
      </w:r>
      <w:r w:rsidR="00C75B7A">
        <w:rPr>
          <w:sz w:val="25"/>
          <w:szCs w:val="25"/>
        </w:rPr>
        <w:t>d</w:t>
      </w:r>
      <w:r w:rsidR="00BB6584">
        <w:rPr>
          <w:sz w:val="25"/>
          <w:szCs w:val="25"/>
        </w:rPr>
        <w:t xml:space="preserve"> an end date of December 2017 for exceeding its  </w:t>
      </w:r>
      <w:r w:rsidR="00BB6584">
        <w:rPr>
          <w:sz w:val="25"/>
          <w:szCs w:val="25"/>
        </w:rPr>
        <w:br/>
        <w:t xml:space="preserve"> </w:t>
      </w:r>
      <w:r w:rsidR="00BB6584">
        <w:rPr>
          <w:sz w:val="25"/>
          <w:szCs w:val="25"/>
        </w:rPr>
        <w:tab/>
        <w:t xml:space="preserve">conservation target, which </w:t>
      </w:r>
      <w:r w:rsidR="00C75B7A">
        <w:rPr>
          <w:sz w:val="25"/>
          <w:szCs w:val="25"/>
        </w:rPr>
        <w:t>c</w:t>
      </w:r>
      <w:r w:rsidR="00BB6584">
        <w:rPr>
          <w:sz w:val="25"/>
          <w:szCs w:val="25"/>
        </w:rPr>
        <w:t xml:space="preserve">ould create </w:t>
      </w:r>
      <w:r w:rsidR="00C75B7A">
        <w:rPr>
          <w:sz w:val="25"/>
          <w:szCs w:val="25"/>
        </w:rPr>
        <w:t>a result</w:t>
      </w:r>
      <w:r w:rsidR="00BB6584">
        <w:rPr>
          <w:sz w:val="25"/>
          <w:szCs w:val="25"/>
        </w:rPr>
        <w:t xml:space="preserve"> inconsistent </w:t>
      </w:r>
      <w:r w:rsidR="00C75B7A">
        <w:rPr>
          <w:sz w:val="25"/>
          <w:szCs w:val="25"/>
        </w:rPr>
        <w:t>with the</w:t>
      </w:r>
      <w:r w:rsidR="00BB6584">
        <w:rPr>
          <w:sz w:val="25"/>
          <w:szCs w:val="25"/>
        </w:rPr>
        <w:t xml:space="preserve">  </w:t>
      </w:r>
      <w:r w:rsidR="00BB6584">
        <w:rPr>
          <w:sz w:val="25"/>
          <w:szCs w:val="25"/>
        </w:rPr>
        <w:br/>
        <w:t xml:space="preserve"> </w:t>
      </w:r>
      <w:r w:rsidR="00BB6584">
        <w:rPr>
          <w:sz w:val="25"/>
          <w:szCs w:val="25"/>
        </w:rPr>
        <w:tab/>
        <w:t xml:space="preserve">Company’s commitment </w:t>
      </w:r>
      <w:r w:rsidR="00C75B7A">
        <w:rPr>
          <w:sz w:val="25"/>
          <w:szCs w:val="25"/>
        </w:rPr>
        <w:t xml:space="preserve">in the Final Decoupling Order </w:t>
      </w:r>
      <w:r w:rsidR="00BB6584">
        <w:rPr>
          <w:sz w:val="25"/>
          <w:szCs w:val="25"/>
        </w:rPr>
        <w:t xml:space="preserve">to exceed its target for </w:t>
      </w:r>
      <w:r w:rsidR="00C75B7A">
        <w:rPr>
          <w:sz w:val="25"/>
          <w:szCs w:val="25"/>
        </w:rPr>
        <w:t xml:space="preserve"> </w:t>
      </w:r>
      <w:r w:rsidR="00C75B7A">
        <w:rPr>
          <w:sz w:val="25"/>
          <w:szCs w:val="25"/>
        </w:rPr>
        <w:br/>
        <w:t xml:space="preserve"> </w:t>
      </w:r>
      <w:r w:rsidR="00C75B7A">
        <w:rPr>
          <w:sz w:val="25"/>
          <w:szCs w:val="25"/>
        </w:rPr>
        <w:tab/>
      </w:r>
      <w:r w:rsidR="00BB6584">
        <w:rPr>
          <w:sz w:val="25"/>
          <w:szCs w:val="25"/>
        </w:rPr>
        <w:t xml:space="preserve">the duration of the decoupling </w:t>
      </w:r>
      <w:r w:rsidR="00C75B7A">
        <w:rPr>
          <w:sz w:val="25"/>
          <w:szCs w:val="25"/>
        </w:rPr>
        <w:t>mechanism.</w:t>
      </w:r>
      <w:r w:rsidR="00BB6584">
        <w:rPr>
          <w:sz w:val="25"/>
          <w:szCs w:val="25"/>
        </w:rPr>
        <w:t xml:space="preserve"> </w:t>
      </w:r>
      <w:r w:rsidR="00BB6584">
        <w:rPr>
          <w:sz w:val="25"/>
          <w:szCs w:val="25"/>
        </w:rPr>
        <w:br/>
      </w:r>
    </w:p>
    <w:p w14:paraId="5A681192" w14:textId="383038A3" w:rsidR="009755E7" w:rsidRPr="009755E7" w:rsidRDefault="00BB6584" w:rsidP="005B3C0E">
      <w:pPr>
        <w:numPr>
          <w:ilvl w:val="0"/>
          <w:numId w:val="1"/>
        </w:numPr>
        <w:tabs>
          <w:tab w:val="clear" w:pos="720"/>
        </w:tabs>
        <w:spacing w:line="264" w:lineRule="auto"/>
        <w:ind w:left="0" w:hanging="810"/>
        <w:rPr>
          <w:b/>
          <w:sz w:val="25"/>
          <w:szCs w:val="25"/>
        </w:rPr>
      </w:pPr>
      <w:r>
        <w:rPr>
          <w:sz w:val="25"/>
          <w:szCs w:val="25"/>
        </w:rPr>
        <w:t>(8)</w:t>
      </w:r>
      <w:r>
        <w:rPr>
          <w:sz w:val="25"/>
          <w:szCs w:val="25"/>
        </w:rPr>
        <w:tab/>
      </w:r>
      <w:r w:rsidR="009755E7">
        <w:rPr>
          <w:sz w:val="25"/>
          <w:szCs w:val="25"/>
        </w:rPr>
        <w:t xml:space="preserve">This matter came before the Commission at its regularly scheduled open    </w:t>
      </w:r>
      <w:r w:rsidR="009755E7">
        <w:rPr>
          <w:sz w:val="25"/>
          <w:szCs w:val="25"/>
        </w:rPr>
        <w:br/>
        <w:t xml:space="preserve"> </w:t>
      </w:r>
      <w:r w:rsidR="009755E7">
        <w:rPr>
          <w:sz w:val="25"/>
          <w:szCs w:val="25"/>
        </w:rPr>
        <w:tab/>
        <w:t>meeting on September 11, 2014.</w:t>
      </w:r>
      <w:r w:rsidR="009755E7">
        <w:rPr>
          <w:sz w:val="25"/>
          <w:szCs w:val="25"/>
        </w:rPr>
        <w:br/>
      </w:r>
    </w:p>
    <w:p w14:paraId="6576F2E4" w14:textId="21AA7B14" w:rsidR="00D36F58" w:rsidRPr="004003BD" w:rsidRDefault="00D36F58" w:rsidP="005B3C0E">
      <w:pPr>
        <w:numPr>
          <w:ilvl w:val="0"/>
          <w:numId w:val="1"/>
        </w:numPr>
        <w:tabs>
          <w:tab w:val="clear" w:pos="720"/>
        </w:tabs>
        <w:spacing w:line="264" w:lineRule="auto"/>
        <w:ind w:left="0" w:hanging="810"/>
        <w:rPr>
          <w:b/>
          <w:sz w:val="25"/>
          <w:szCs w:val="25"/>
        </w:rPr>
      </w:pPr>
      <w:r w:rsidRPr="00745823">
        <w:rPr>
          <w:sz w:val="25"/>
          <w:szCs w:val="25"/>
        </w:rPr>
        <w:t>(</w:t>
      </w:r>
      <w:r w:rsidR="006C1823">
        <w:rPr>
          <w:sz w:val="25"/>
          <w:szCs w:val="25"/>
        </w:rPr>
        <w:t>9</w:t>
      </w:r>
      <w:bookmarkStart w:id="0" w:name="_GoBack"/>
      <w:bookmarkEnd w:id="0"/>
      <w:r w:rsidRPr="00745823">
        <w:rPr>
          <w:sz w:val="25"/>
          <w:szCs w:val="25"/>
        </w:rPr>
        <w:t>)</w:t>
      </w:r>
      <w:r w:rsidRPr="00745823">
        <w:rPr>
          <w:sz w:val="25"/>
          <w:szCs w:val="25"/>
        </w:rPr>
        <w:tab/>
      </w:r>
      <w:r w:rsidR="001D5FD5">
        <w:rPr>
          <w:sz w:val="25"/>
          <w:szCs w:val="25"/>
        </w:rPr>
        <w:t xml:space="preserve">The Commission adopts the terms of the </w:t>
      </w:r>
      <w:r w:rsidR="00C75B7A">
        <w:rPr>
          <w:sz w:val="25"/>
          <w:szCs w:val="25"/>
        </w:rPr>
        <w:t xml:space="preserve">parties’ </w:t>
      </w:r>
      <w:r w:rsidR="007C304E">
        <w:rPr>
          <w:sz w:val="25"/>
          <w:szCs w:val="25"/>
        </w:rPr>
        <w:t>agreement</w:t>
      </w:r>
      <w:r w:rsidR="001D5FD5">
        <w:rPr>
          <w:sz w:val="25"/>
          <w:szCs w:val="25"/>
        </w:rPr>
        <w:t xml:space="preserve"> </w:t>
      </w:r>
      <w:r w:rsidR="00BB6584">
        <w:rPr>
          <w:sz w:val="25"/>
          <w:szCs w:val="25"/>
        </w:rPr>
        <w:t xml:space="preserve">as set forth in </w:t>
      </w:r>
      <w:r w:rsidR="00C75B7A">
        <w:rPr>
          <w:sz w:val="25"/>
          <w:szCs w:val="25"/>
        </w:rPr>
        <w:t xml:space="preserve"> </w:t>
      </w:r>
      <w:r w:rsidR="00C75B7A">
        <w:rPr>
          <w:sz w:val="25"/>
          <w:szCs w:val="25"/>
        </w:rPr>
        <w:br/>
        <w:t xml:space="preserve"> </w:t>
      </w:r>
      <w:r w:rsidR="00C75B7A">
        <w:rPr>
          <w:sz w:val="25"/>
          <w:szCs w:val="25"/>
        </w:rPr>
        <w:tab/>
      </w:r>
      <w:r w:rsidR="00BB6584">
        <w:rPr>
          <w:sz w:val="25"/>
          <w:szCs w:val="25"/>
        </w:rPr>
        <w:t>Staff’s comments</w:t>
      </w:r>
      <w:r w:rsidR="00C75B7A">
        <w:rPr>
          <w:sz w:val="25"/>
          <w:szCs w:val="25"/>
        </w:rPr>
        <w:t xml:space="preserve"> in paragraph 6, above</w:t>
      </w:r>
      <w:r w:rsidR="001D5FD5">
        <w:rPr>
          <w:sz w:val="25"/>
          <w:szCs w:val="25"/>
        </w:rPr>
        <w:t>.</w:t>
      </w:r>
    </w:p>
    <w:p w14:paraId="1F510167" w14:textId="7752D1F3" w:rsidR="00D36F58" w:rsidRPr="008B7AF2" w:rsidRDefault="009755E7" w:rsidP="004003BD">
      <w:pPr>
        <w:spacing w:line="264" w:lineRule="auto"/>
        <w:rPr>
          <w:b/>
          <w:sz w:val="25"/>
          <w:szCs w:val="25"/>
        </w:rPr>
      </w:pPr>
      <w:r>
        <w:rPr>
          <w:b/>
          <w:sz w:val="25"/>
          <w:szCs w:val="25"/>
        </w:rPr>
        <w:br/>
      </w:r>
    </w:p>
    <w:p w14:paraId="01AF8777" w14:textId="77777777" w:rsidR="00AB4CD3" w:rsidRPr="00781D7E" w:rsidRDefault="00AB4CD3" w:rsidP="004003BD">
      <w:pPr>
        <w:spacing w:line="264" w:lineRule="auto"/>
        <w:jc w:val="center"/>
        <w:rPr>
          <w:b/>
          <w:sz w:val="25"/>
          <w:szCs w:val="25"/>
        </w:rPr>
      </w:pPr>
      <w:r w:rsidRPr="00781D7E">
        <w:rPr>
          <w:b/>
          <w:sz w:val="25"/>
          <w:szCs w:val="25"/>
        </w:rPr>
        <w:t>ORDER</w:t>
      </w:r>
    </w:p>
    <w:p w14:paraId="45EC98CD" w14:textId="77777777" w:rsidR="004003BD" w:rsidRPr="005B3D04" w:rsidRDefault="004003BD" w:rsidP="004003BD">
      <w:pPr>
        <w:spacing w:line="264" w:lineRule="auto"/>
        <w:jc w:val="center"/>
        <w:rPr>
          <w:b/>
          <w:sz w:val="25"/>
          <w:szCs w:val="25"/>
        </w:rPr>
      </w:pPr>
    </w:p>
    <w:p w14:paraId="20AECFA3" w14:textId="77777777" w:rsidR="00AB4CD3" w:rsidRPr="001D5FD5" w:rsidRDefault="00AB4CD3" w:rsidP="004003BD">
      <w:pPr>
        <w:spacing w:line="264" w:lineRule="auto"/>
        <w:rPr>
          <w:b/>
          <w:sz w:val="25"/>
          <w:szCs w:val="25"/>
        </w:rPr>
      </w:pPr>
      <w:r w:rsidRPr="001D5FD5">
        <w:rPr>
          <w:b/>
          <w:sz w:val="25"/>
          <w:szCs w:val="25"/>
        </w:rPr>
        <w:t>THE COMMISSION ORDERS:</w:t>
      </w:r>
    </w:p>
    <w:p w14:paraId="6D605E8E" w14:textId="77777777" w:rsidR="004003BD" w:rsidRPr="000253B0" w:rsidRDefault="004003BD" w:rsidP="004003BD">
      <w:pPr>
        <w:spacing w:line="264" w:lineRule="auto"/>
        <w:rPr>
          <w:sz w:val="25"/>
          <w:szCs w:val="25"/>
        </w:rPr>
      </w:pPr>
    </w:p>
    <w:p w14:paraId="3030EA12" w14:textId="37C11596" w:rsidR="00985CC7" w:rsidRPr="001D5FD5" w:rsidRDefault="001D5FD5" w:rsidP="001D5FD5">
      <w:pPr>
        <w:numPr>
          <w:ilvl w:val="0"/>
          <w:numId w:val="1"/>
        </w:numPr>
        <w:tabs>
          <w:tab w:val="clear" w:pos="720"/>
        </w:tabs>
        <w:spacing w:line="264" w:lineRule="auto"/>
        <w:ind w:left="0" w:hanging="810"/>
        <w:rPr>
          <w:b/>
          <w:sz w:val="25"/>
          <w:szCs w:val="25"/>
        </w:rPr>
      </w:pPr>
      <w:r>
        <w:rPr>
          <w:sz w:val="25"/>
          <w:szCs w:val="25"/>
        </w:rPr>
        <w:t>(</w:t>
      </w:r>
      <w:r w:rsidR="002F3AE3">
        <w:rPr>
          <w:sz w:val="25"/>
          <w:szCs w:val="25"/>
        </w:rPr>
        <w:t>1</w:t>
      </w:r>
      <w:r>
        <w:rPr>
          <w:sz w:val="25"/>
          <w:szCs w:val="25"/>
        </w:rPr>
        <w:t>)</w:t>
      </w:r>
      <w:r>
        <w:rPr>
          <w:sz w:val="25"/>
          <w:szCs w:val="25"/>
        </w:rPr>
        <w:tab/>
      </w:r>
      <w:r w:rsidR="00BA1D52" w:rsidRPr="001D5FD5">
        <w:rPr>
          <w:sz w:val="25"/>
          <w:szCs w:val="25"/>
        </w:rPr>
        <w:t>Puget Sound Energy’s</w:t>
      </w:r>
      <w:r w:rsidR="00A61FB3" w:rsidRPr="001D5FD5">
        <w:rPr>
          <w:sz w:val="25"/>
          <w:szCs w:val="25"/>
        </w:rPr>
        <w:t xml:space="preserve"> </w:t>
      </w:r>
      <w:r w:rsidR="0039554F" w:rsidRPr="001D5FD5">
        <w:rPr>
          <w:sz w:val="25"/>
          <w:szCs w:val="25"/>
        </w:rPr>
        <w:t xml:space="preserve">2014-2015 decoupling conservation commitment is </w:t>
      </w:r>
      <w:r>
        <w:rPr>
          <w:sz w:val="25"/>
          <w:szCs w:val="25"/>
        </w:rPr>
        <w:br/>
        <w:t xml:space="preserve"> </w:t>
      </w:r>
      <w:r>
        <w:rPr>
          <w:sz w:val="25"/>
          <w:szCs w:val="25"/>
        </w:rPr>
        <w:tab/>
      </w:r>
      <w:r w:rsidR="0039554F" w:rsidRPr="001D5FD5">
        <w:rPr>
          <w:sz w:val="25"/>
          <w:szCs w:val="25"/>
        </w:rPr>
        <w:t xml:space="preserve">established as 27,920 </w:t>
      </w:r>
      <w:proofErr w:type="spellStart"/>
      <w:r w:rsidR="0039554F" w:rsidRPr="001D5FD5">
        <w:rPr>
          <w:sz w:val="25"/>
          <w:szCs w:val="25"/>
        </w:rPr>
        <w:t>MWh</w:t>
      </w:r>
      <w:proofErr w:type="spellEnd"/>
      <w:r w:rsidR="00985CC7" w:rsidRPr="001D5FD5">
        <w:rPr>
          <w:sz w:val="25"/>
          <w:szCs w:val="25"/>
        </w:rPr>
        <w:t>.</w:t>
      </w:r>
      <w:r w:rsidR="005B3C0E" w:rsidRPr="001D5FD5">
        <w:rPr>
          <w:sz w:val="25"/>
          <w:szCs w:val="25"/>
        </w:rPr>
        <w:br/>
      </w:r>
    </w:p>
    <w:p w14:paraId="5F907354" w14:textId="316DC77A" w:rsidR="0039554F" w:rsidRPr="001D5FD5" w:rsidRDefault="0039554F" w:rsidP="001D5FD5">
      <w:pPr>
        <w:numPr>
          <w:ilvl w:val="0"/>
          <w:numId w:val="1"/>
        </w:numPr>
        <w:tabs>
          <w:tab w:val="clear" w:pos="720"/>
        </w:tabs>
        <w:spacing w:line="264" w:lineRule="auto"/>
        <w:ind w:left="0" w:hanging="810"/>
        <w:rPr>
          <w:b/>
          <w:sz w:val="25"/>
          <w:szCs w:val="25"/>
        </w:rPr>
      </w:pPr>
      <w:r w:rsidRPr="001D5FD5">
        <w:rPr>
          <w:sz w:val="25"/>
          <w:szCs w:val="25"/>
        </w:rPr>
        <w:t>(</w:t>
      </w:r>
      <w:r w:rsidR="002F3AE3">
        <w:rPr>
          <w:sz w:val="25"/>
          <w:szCs w:val="25"/>
        </w:rPr>
        <w:t>2</w:t>
      </w:r>
      <w:r w:rsidRPr="001D5FD5">
        <w:rPr>
          <w:sz w:val="25"/>
          <w:szCs w:val="25"/>
        </w:rPr>
        <w:t>)</w:t>
      </w:r>
      <w:r w:rsidRPr="001D5FD5">
        <w:rPr>
          <w:sz w:val="25"/>
          <w:szCs w:val="25"/>
        </w:rPr>
        <w:tab/>
        <w:t xml:space="preserve">Puget Sound Energy is required to perform its decoupling conservation </w:t>
      </w:r>
      <w:r w:rsidR="001D5FD5">
        <w:rPr>
          <w:sz w:val="25"/>
          <w:szCs w:val="25"/>
        </w:rPr>
        <w:br/>
        <w:t xml:space="preserve"> </w:t>
      </w:r>
      <w:r w:rsidR="001D5FD5">
        <w:rPr>
          <w:sz w:val="25"/>
          <w:szCs w:val="25"/>
        </w:rPr>
        <w:tab/>
      </w:r>
      <w:r w:rsidRPr="001D5FD5">
        <w:rPr>
          <w:sz w:val="25"/>
          <w:szCs w:val="25"/>
        </w:rPr>
        <w:t xml:space="preserve">commitment for the full duration of the 2014-2015 biennium and for any </w:t>
      </w:r>
      <w:r w:rsidR="001D5FD5">
        <w:rPr>
          <w:sz w:val="25"/>
          <w:szCs w:val="25"/>
        </w:rPr>
        <w:br/>
        <w:t xml:space="preserve"> </w:t>
      </w:r>
      <w:r w:rsidR="001D5FD5">
        <w:rPr>
          <w:sz w:val="25"/>
          <w:szCs w:val="25"/>
        </w:rPr>
        <w:tab/>
      </w:r>
      <w:r w:rsidRPr="001D5FD5">
        <w:rPr>
          <w:sz w:val="25"/>
          <w:szCs w:val="25"/>
        </w:rPr>
        <w:t xml:space="preserve">biennium during which </w:t>
      </w:r>
      <w:proofErr w:type="gramStart"/>
      <w:r w:rsidRPr="001D5FD5">
        <w:rPr>
          <w:sz w:val="25"/>
          <w:szCs w:val="25"/>
        </w:rPr>
        <w:t>its</w:t>
      </w:r>
      <w:proofErr w:type="gramEnd"/>
      <w:r w:rsidRPr="001D5FD5">
        <w:rPr>
          <w:sz w:val="25"/>
          <w:szCs w:val="25"/>
        </w:rPr>
        <w:t xml:space="preserve"> approved decoupling program is in effect</w:t>
      </w:r>
      <w:r w:rsidR="001D5FD5">
        <w:rPr>
          <w:sz w:val="25"/>
          <w:szCs w:val="25"/>
        </w:rPr>
        <w:t>.</w:t>
      </w:r>
      <w:r w:rsidR="001D5FD5">
        <w:rPr>
          <w:sz w:val="25"/>
          <w:szCs w:val="25"/>
        </w:rPr>
        <w:br/>
      </w:r>
    </w:p>
    <w:p w14:paraId="43A53F99" w14:textId="67BE78BF" w:rsidR="001D5FD5" w:rsidRPr="001D5FD5" w:rsidRDefault="001D5FD5" w:rsidP="001D5FD5">
      <w:pPr>
        <w:numPr>
          <w:ilvl w:val="0"/>
          <w:numId w:val="1"/>
        </w:numPr>
        <w:tabs>
          <w:tab w:val="clear" w:pos="720"/>
        </w:tabs>
        <w:spacing w:line="264" w:lineRule="auto"/>
        <w:ind w:left="0" w:hanging="810"/>
        <w:rPr>
          <w:b/>
          <w:sz w:val="25"/>
          <w:szCs w:val="25"/>
        </w:rPr>
      </w:pPr>
      <w:r>
        <w:rPr>
          <w:sz w:val="25"/>
          <w:szCs w:val="25"/>
        </w:rPr>
        <w:t>(</w:t>
      </w:r>
      <w:r w:rsidR="002F3AE3">
        <w:rPr>
          <w:sz w:val="25"/>
          <w:szCs w:val="25"/>
        </w:rPr>
        <w:t>3</w:t>
      </w:r>
      <w:r>
        <w:rPr>
          <w:sz w:val="25"/>
          <w:szCs w:val="25"/>
        </w:rPr>
        <w:t xml:space="preserve">) </w:t>
      </w:r>
      <w:r>
        <w:rPr>
          <w:sz w:val="25"/>
          <w:szCs w:val="25"/>
        </w:rPr>
        <w:tab/>
      </w:r>
      <w:r w:rsidRPr="006046D2">
        <w:rPr>
          <w:sz w:val="25"/>
          <w:szCs w:val="25"/>
        </w:rPr>
        <w:t xml:space="preserve">Should PSE’s decoupling program be terminated or withdrawn prior to the end </w:t>
      </w:r>
      <w:r>
        <w:rPr>
          <w:sz w:val="25"/>
          <w:szCs w:val="25"/>
        </w:rPr>
        <w:t xml:space="preserve"> </w:t>
      </w:r>
      <w:r>
        <w:rPr>
          <w:sz w:val="25"/>
          <w:szCs w:val="25"/>
        </w:rPr>
        <w:br/>
        <w:t xml:space="preserve"> </w:t>
      </w:r>
      <w:r>
        <w:rPr>
          <w:sz w:val="25"/>
          <w:szCs w:val="25"/>
        </w:rPr>
        <w:tab/>
      </w:r>
      <w:r w:rsidRPr="006046D2">
        <w:rPr>
          <w:sz w:val="25"/>
          <w:szCs w:val="25"/>
        </w:rPr>
        <w:t xml:space="preserve">of a biennium, PSE </w:t>
      </w:r>
      <w:r>
        <w:rPr>
          <w:sz w:val="25"/>
          <w:szCs w:val="25"/>
        </w:rPr>
        <w:t>will</w:t>
      </w:r>
      <w:r w:rsidRPr="006046D2">
        <w:rPr>
          <w:sz w:val="25"/>
          <w:szCs w:val="25"/>
        </w:rPr>
        <w:t xml:space="preserve"> exceed its commission-approved biennial conservation </w:t>
      </w:r>
      <w:r>
        <w:rPr>
          <w:sz w:val="25"/>
          <w:szCs w:val="25"/>
        </w:rPr>
        <w:br/>
        <w:t xml:space="preserve"> </w:t>
      </w:r>
      <w:r>
        <w:rPr>
          <w:sz w:val="25"/>
          <w:szCs w:val="25"/>
        </w:rPr>
        <w:tab/>
      </w:r>
      <w:r w:rsidRPr="006046D2">
        <w:rPr>
          <w:sz w:val="25"/>
          <w:szCs w:val="25"/>
        </w:rPr>
        <w:t>target by five percent (5%) through the full biennium.</w:t>
      </w:r>
    </w:p>
    <w:p w14:paraId="3585A181" w14:textId="77777777" w:rsidR="004003BD" w:rsidRPr="007269D0" w:rsidRDefault="004003BD" w:rsidP="004003BD">
      <w:pPr>
        <w:spacing w:line="264" w:lineRule="auto"/>
        <w:ind w:left="720"/>
        <w:rPr>
          <w:b/>
          <w:sz w:val="25"/>
          <w:szCs w:val="25"/>
        </w:rPr>
      </w:pPr>
    </w:p>
    <w:p w14:paraId="6291B24B" w14:textId="77777777" w:rsidR="00985CC7" w:rsidRDefault="00A6042B" w:rsidP="001D5FD5">
      <w:pPr>
        <w:numPr>
          <w:ilvl w:val="0"/>
          <w:numId w:val="1"/>
        </w:numPr>
        <w:tabs>
          <w:tab w:val="clear" w:pos="720"/>
        </w:tabs>
        <w:spacing w:line="264" w:lineRule="auto"/>
        <w:ind w:left="0" w:hanging="810"/>
        <w:rPr>
          <w:sz w:val="25"/>
          <w:szCs w:val="25"/>
        </w:rPr>
      </w:pPr>
      <w:r w:rsidRPr="007269D0">
        <w:rPr>
          <w:sz w:val="25"/>
          <w:szCs w:val="25"/>
        </w:rPr>
        <w:t>(</w:t>
      </w:r>
      <w:r w:rsidR="001D5FD5">
        <w:rPr>
          <w:sz w:val="25"/>
          <w:szCs w:val="25"/>
        </w:rPr>
        <w:t>4</w:t>
      </w:r>
      <w:r w:rsidR="00AB4CD3" w:rsidRPr="007269D0">
        <w:rPr>
          <w:sz w:val="25"/>
          <w:szCs w:val="25"/>
        </w:rPr>
        <w:t>)</w:t>
      </w:r>
      <w:r w:rsidR="00811077" w:rsidRPr="007269D0">
        <w:rPr>
          <w:sz w:val="25"/>
          <w:szCs w:val="25"/>
        </w:rPr>
        <w:tab/>
        <w:t xml:space="preserve">The Commission retains jurisdiction over this matter for purposes of </w:t>
      </w:r>
      <w:r w:rsidR="001D5FD5">
        <w:rPr>
          <w:sz w:val="25"/>
          <w:szCs w:val="25"/>
        </w:rPr>
        <w:br/>
        <w:t xml:space="preserve"> </w:t>
      </w:r>
      <w:r w:rsidR="001D5FD5">
        <w:rPr>
          <w:sz w:val="25"/>
          <w:szCs w:val="25"/>
        </w:rPr>
        <w:tab/>
      </w:r>
      <w:r w:rsidR="00811077" w:rsidRPr="007269D0">
        <w:rPr>
          <w:sz w:val="25"/>
          <w:szCs w:val="25"/>
        </w:rPr>
        <w:t>effectuating this order.</w:t>
      </w:r>
    </w:p>
    <w:p w14:paraId="0A71DEAF" w14:textId="77777777" w:rsidR="004003BD" w:rsidRPr="007269D0" w:rsidRDefault="004003BD" w:rsidP="004003BD">
      <w:pPr>
        <w:spacing w:line="264" w:lineRule="auto"/>
        <w:rPr>
          <w:sz w:val="25"/>
          <w:szCs w:val="25"/>
        </w:rPr>
      </w:pPr>
    </w:p>
    <w:p w14:paraId="4D78A794" w14:textId="77777777" w:rsidR="00AB4CD3" w:rsidRPr="007269D0" w:rsidRDefault="00AB4CD3" w:rsidP="004003BD">
      <w:pPr>
        <w:spacing w:line="264" w:lineRule="auto"/>
        <w:rPr>
          <w:b/>
          <w:sz w:val="25"/>
          <w:szCs w:val="25"/>
        </w:rPr>
      </w:pPr>
      <w:r w:rsidRPr="007269D0">
        <w:rPr>
          <w:sz w:val="25"/>
          <w:szCs w:val="25"/>
        </w:rPr>
        <w:t xml:space="preserve">DATED at Olympia, Washington, and effective </w:t>
      </w:r>
      <w:r w:rsidR="0039554F">
        <w:rPr>
          <w:sz w:val="25"/>
          <w:szCs w:val="25"/>
        </w:rPr>
        <w:t>September 11</w:t>
      </w:r>
      <w:r w:rsidR="00A92A98" w:rsidRPr="007269D0">
        <w:rPr>
          <w:sz w:val="25"/>
          <w:szCs w:val="25"/>
        </w:rPr>
        <w:t>, 2014</w:t>
      </w:r>
      <w:r w:rsidRPr="007269D0">
        <w:rPr>
          <w:sz w:val="25"/>
          <w:szCs w:val="25"/>
        </w:rPr>
        <w:t>.</w:t>
      </w:r>
    </w:p>
    <w:p w14:paraId="28C1C7F6" w14:textId="77777777" w:rsidR="00AB4CD3" w:rsidRPr="007269D0" w:rsidRDefault="00AB4CD3" w:rsidP="004003BD">
      <w:pPr>
        <w:spacing w:line="264" w:lineRule="auto"/>
        <w:rPr>
          <w:b/>
          <w:sz w:val="25"/>
          <w:szCs w:val="25"/>
        </w:rPr>
      </w:pPr>
    </w:p>
    <w:p w14:paraId="2D20F120" w14:textId="77777777" w:rsidR="00AB4CD3" w:rsidRDefault="00AB4CD3" w:rsidP="004003BD">
      <w:pPr>
        <w:spacing w:line="264" w:lineRule="auto"/>
        <w:jc w:val="center"/>
        <w:rPr>
          <w:sz w:val="25"/>
          <w:szCs w:val="25"/>
        </w:rPr>
      </w:pPr>
      <w:r w:rsidRPr="007269D0">
        <w:rPr>
          <w:sz w:val="25"/>
          <w:szCs w:val="25"/>
        </w:rPr>
        <w:t>WASHINGTON UTILITIES</w:t>
      </w:r>
      <w:r w:rsidRPr="00FB1B19">
        <w:rPr>
          <w:sz w:val="25"/>
          <w:szCs w:val="25"/>
        </w:rPr>
        <w:t xml:space="preserve"> AND TRANSPORTATION COMMISSION</w:t>
      </w:r>
    </w:p>
    <w:p w14:paraId="63CF1A69" w14:textId="77777777" w:rsidR="00811077" w:rsidRPr="00FB1B19" w:rsidRDefault="00811077" w:rsidP="004003BD">
      <w:pPr>
        <w:spacing w:line="264" w:lineRule="auto"/>
        <w:jc w:val="center"/>
        <w:rPr>
          <w:sz w:val="25"/>
          <w:szCs w:val="25"/>
        </w:rPr>
      </w:pPr>
    </w:p>
    <w:p w14:paraId="1B351A6B" w14:textId="77777777" w:rsidR="00AB4CD3" w:rsidRPr="00FB1B19" w:rsidRDefault="00AB4CD3" w:rsidP="004003BD">
      <w:pPr>
        <w:spacing w:line="264" w:lineRule="auto"/>
        <w:jc w:val="center"/>
        <w:rPr>
          <w:sz w:val="25"/>
          <w:szCs w:val="25"/>
        </w:rPr>
      </w:pPr>
    </w:p>
    <w:p w14:paraId="5F434067" w14:textId="77777777" w:rsidR="00AB4CD3" w:rsidRPr="008012B9" w:rsidRDefault="00AB4CD3" w:rsidP="004003BD">
      <w:pPr>
        <w:spacing w:line="264" w:lineRule="auto"/>
        <w:jc w:val="center"/>
        <w:rPr>
          <w:sz w:val="25"/>
          <w:szCs w:val="25"/>
        </w:rPr>
      </w:pPr>
    </w:p>
    <w:p w14:paraId="320A9ED6" w14:textId="77777777" w:rsidR="00811077" w:rsidRDefault="00811077" w:rsidP="004003BD">
      <w:pPr>
        <w:spacing w:line="264" w:lineRule="auto"/>
        <w:ind w:firstLine="4320"/>
        <w:rPr>
          <w:sz w:val="25"/>
          <w:szCs w:val="25"/>
        </w:rPr>
      </w:pPr>
      <w:r>
        <w:rPr>
          <w:sz w:val="25"/>
          <w:szCs w:val="25"/>
        </w:rPr>
        <w:t>DAVID W. DANNER, Chairman</w:t>
      </w:r>
    </w:p>
    <w:p w14:paraId="5C7C5567" w14:textId="77777777" w:rsidR="00811077" w:rsidRPr="00210111" w:rsidRDefault="00811077" w:rsidP="004003BD">
      <w:pPr>
        <w:spacing w:line="264" w:lineRule="auto"/>
        <w:rPr>
          <w:sz w:val="25"/>
          <w:szCs w:val="25"/>
        </w:rPr>
      </w:pPr>
    </w:p>
    <w:p w14:paraId="28E52C35" w14:textId="77777777" w:rsidR="00811077" w:rsidRPr="00210111" w:rsidRDefault="00811077" w:rsidP="004003BD">
      <w:pPr>
        <w:spacing w:line="264" w:lineRule="auto"/>
        <w:rPr>
          <w:sz w:val="25"/>
          <w:szCs w:val="25"/>
        </w:rPr>
      </w:pPr>
    </w:p>
    <w:p w14:paraId="7ADDB448" w14:textId="77777777" w:rsidR="00811077" w:rsidRPr="00210111" w:rsidRDefault="00811077" w:rsidP="004003BD">
      <w:pPr>
        <w:spacing w:line="264" w:lineRule="auto"/>
        <w:rPr>
          <w:sz w:val="25"/>
          <w:szCs w:val="25"/>
        </w:rPr>
      </w:pPr>
    </w:p>
    <w:p w14:paraId="265A35DA" w14:textId="77777777" w:rsidR="00811077" w:rsidRDefault="00811077" w:rsidP="004003BD">
      <w:pPr>
        <w:spacing w:line="264" w:lineRule="auto"/>
        <w:rPr>
          <w:sz w:val="25"/>
          <w:szCs w:val="25"/>
        </w:rPr>
      </w:pPr>
      <w:r w:rsidRPr="00210111">
        <w:rPr>
          <w:sz w:val="25"/>
          <w:szCs w:val="25"/>
        </w:rPr>
        <w:tab/>
      </w:r>
      <w:r w:rsidRPr="00210111">
        <w:rPr>
          <w:sz w:val="25"/>
          <w:szCs w:val="25"/>
        </w:rPr>
        <w:tab/>
      </w:r>
      <w:r w:rsidRPr="00210111">
        <w:rPr>
          <w:sz w:val="25"/>
          <w:szCs w:val="25"/>
        </w:rPr>
        <w:tab/>
      </w:r>
      <w:r w:rsidRPr="00210111">
        <w:rPr>
          <w:sz w:val="25"/>
          <w:szCs w:val="25"/>
        </w:rPr>
        <w:tab/>
      </w:r>
      <w:r w:rsidRPr="00210111">
        <w:rPr>
          <w:sz w:val="25"/>
          <w:szCs w:val="25"/>
        </w:rPr>
        <w:tab/>
      </w:r>
      <w:r w:rsidRPr="00210111">
        <w:rPr>
          <w:sz w:val="25"/>
          <w:szCs w:val="25"/>
        </w:rPr>
        <w:tab/>
        <w:t>PHILIP B. JONES, Commissioner</w:t>
      </w:r>
    </w:p>
    <w:p w14:paraId="6DD0C43C" w14:textId="77777777" w:rsidR="00811077" w:rsidRDefault="00811077" w:rsidP="004003BD">
      <w:pPr>
        <w:spacing w:line="264" w:lineRule="auto"/>
        <w:rPr>
          <w:sz w:val="25"/>
          <w:szCs w:val="25"/>
        </w:rPr>
      </w:pPr>
    </w:p>
    <w:p w14:paraId="7D051C0B" w14:textId="77777777" w:rsidR="00811077" w:rsidRDefault="00811077" w:rsidP="004003BD">
      <w:pPr>
        <w:spacing w:line="264" w:lineRule="auto"/>
        <w:rPr>
          <w:sz w:val="25"/>
          <w:szCs w:val="25"/>
        </w:rPr>
      </w:pPr>
    </w:p>
    <w:p w14:paraId="4811C1B7" w14:textId="77777777" w:rsidR="00811077" w:rsidRDefault="00811077" w:rsidP="004003BD">
      <w:pPr>
        <w:spacing w:line="264" w:lineRule="auto"/>
        <w:rPr>
          <w:sz w:val="25"/>
          <w:szCs w:val="25"/>
        </w:rPr>
      </w:pPr>
    </w:p>
    <w:p w14:paraId="6C415CB9" w14:textId="77777777" w:rsidR="00811077" w:rsidRDefault="00811077" w:rsidP="004003BD">
      <w:pPr>
        <w:spacing w:line="264" w:lineRule="auto"/>
        <w:ind w:firstLine="4320"/>
        <w:rPr>
          <w:sz w:val="25"/>
          <w:szCs w:val="25"/>
        </w:rPr>
      </w:pPr>
      <w:r>
        <w:rPr>
          <w:sz w:val="25"/>
          <w:szCs w:val="25"/>
        </w:rPr>
        <w:t>JEFFREY D. GOLTZ, Commissioner</w:t>
      </w:r>
    </w:p>
    <w:sectPr w:rsidR="00811077" w:rsidSect="008C0042">
      <w:headerReference w:type="default" r:id="rId12"/>
      <w:headerReference w:type="first" r:id="rId13"/>
      <w:pgSz w:w="12240" w:h="15840" w:code="1"/>
      <w:pgMar w:top="1440" w:right="1260" w:bottom="1440" w:left="2160" w:header="1440" w:footer="14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149A7" w14:textId="77777777" w:rsidR="00FD4036" w:rsidRDefault="00FD4036">
      <w:r>
        <w:separator/>
      </w:r>
    </w:p>
  </w:endnote>
  <w:endnote w:type="continuationSeparator" w:id="0">
    <w:p w14:paraId="6DCC7C58" w14:textId="77777777" w:rsidR="00FD4036" w:rsidRDefault="00FD4036">
      <w:r>
        <w:continuationSeparator/>
      </w:r>
    </w:p>
  </w:endnote>
  <w:endnote w:type="continuationNotice" w:id="1">
    <w:p w14:paraId="061B4964" w14:textId="77777777" w:rsidR="00FD4036" w:rsidRDefault="00FD4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2E839" w14:textId="77777777" w:rsidR="00FD4036" w:rsidRDefault="00FD4036">
      <w:r>
        <w:separator/>
      </w:r>
    </w:p>
  </w:footnote>
  <w:footnote w:type="continuationSeparator" w:id="0">
    <w:p w14:paraId="66950405" w14:textId="77777777" w:rsidR="00FD4036" w:rsidRDefault="00FD4036">
      <w:r>
        <w:continuationSeparator/>
      </w:r>
    </w:p>
  </w:footnote>
  <w:footnote w:type="continuationNotice" w:id="1">
    <w:p w14:paraId="0110DD11" w14:textId="77777777" w:rsidR="00FD4036" w:rsidRDefault="00FD4036"/>
  </w:footnote>
  <w:footnote w:id="2">
    <w:p w14:paraId="5C854193" w14:textId="77777777" w:rsidR="00C72753" w:rsidRPr="00C33DAC" w:rsidRDefault="00C72753" w:rsidP="00C72753">
      <w:pPr>
        <w:pStyle w:val="FootnoteText"/>
        <w:spacing w:after="120"/>
        <w:rPr>
          <w:sz w:val="22"/>
          <w:szCs w:val="22"/>
        </w:rPr>
      </w:pPr>
      <w:r w:rsidRPr="00C33DAC">
        <w:rPr>
          <w:rStyle w:val="FootnoteReference"/>
          <w:sz w:val="22"/>
          <w:szCs w:val="22"/>
        </w:rPr>
        <w:footnoteRef/>
      </w:r>
      <w:r w:rsidRPr="00C33DAC">
        <w:rPr>
          <w:sz w:val="22"/>
          <w:szCs w:val="22"/>
        </w:rPr>
        <w:t xml:space="preserve"> RCW 19.285.040.</w:t>
      </w:r>
    </w:p>
  </w:footnote>
  <w:footnote w:id="3">
    <w:p w14:paraId="7F318415" w14:textId="77777777" w:rsidR="00C33DAC" w:rsidRDefault="00C33DAC">
      <w:pPr>
        <w:pStyle w:val="FootnoteText"/>
      </w:pPr>
      <w:r w:rsidRPr="00C33DAC">
        <w:rPr>
          <w:rStyle w:val="FootnoteReference"/>
          <w:sz w:val="22"/>
          <w:szCs w:val="22"/>
        </w:rPr>
        <w:footnoteRef/>
      </w:r>
      <w:r w:rsidRPr="00C33DAC">
        <w:rPr>
          <w:sz w:val="22"/>
          <w:szCs w:val="22"/>
        </w:rPr>
        <w:t xml:space="preserve"> WAC 480-109-010(3).</w:t>
      </w:r>
    </w:p>
  </w:footnote>
  <w:footnote w:id="4">
    <w:p w14:paraId="1E707B6C" w14:textId="38CC226F" w:rsidR="00E3765A" w:rsidRDefault="00E3765A">
      <w:pPr>
        <w:pStyle w:val="FootnoteText"/>
      </w:pPr>
      <w:r>
        <w:rPr>
          <w:rStyle w:val="FootnoteReference"/>
        </w:rPr>
        <w:footnoteRef/>
      </w:r>
      <w:r>
        <w:t xml:space="preserve"> </w:t>
      </w:r>
      <w:r w:rsidRPr="007072FB">
        <w:rPr>
          <w:i/>
          <w:sz w:val="22"/>
          <w:lang w:eastAsia="zh-CN"/>
        </w:rPr>
        <w:t>In re Petition of Puget Sound Energy, Inc. and Northwest Energy</w:t>
      </w:r>
      <w:r w:rsidRPr="007072FB">
        <w:rPr>
          <w:bCs/>
          <w:i/>
          <w:sz w:val="25"/>
          <w:szCs w:val="25"/>
        </w:rPr>
        <w:t xml:space="preserve"> </w:t>
      </w:r>
      <w:r w:rsidRPr="007072FB">
        <w:rPr>
          <w:bCs/>
          <w:i/>
          <w:sz w:val="22"/>
          <w:szCs w:val="22"/>
        </w:rPr>
        <w:t>Coalition</w:t>
      </w:r>
      <w:r w:rsidRPr="007072FB">
        <w:rPr>
          <w:bCs/>
          <w:i/>
          <w:sz w:val="25"/>
          <w:szCs w:val="25"/>
        </w:rPr>
        <w:t xml:space="preserve"> </w:t>
      </w:r>
      <w:r w:rsidRPr="007072FB">
        <w:rPr>
          <w:bCs/>
          <w:i/>
          <w:sz w:val="22"/>
          <w:lang w:eastAsia="zh-CN"/>
        </w:rPr>
        <w:t>For an Order Authorizing PSE To Implement Electric and Natural Gas Decoupling Mechanisms and To Record Accounting Entries Associated With the Mechanisms</w:t>
      </w:r>
      <w:r w:rsidRPr="007072FB">
        <w:rPr>
          <w:bCs/>
          <w:sz w:val="22"/>
          <w:lang w:eastAsia="zh-CN"/>
        </w:rPr>
        <w:t>,</w:t>
      </w:r>
      <w:r w:rsidRPr="00FB4DB4">
        <w:rPr>
          <w:bCs/>
          <w:i/>
          <w:sz w:val="22"/>
          <w:lang w:eastAsia="zh-CN"/>
        </w:rPr>
        <w:t xml:space="preserve"> </w:t>
      </w:r>
      <w:r w:rsidRPr="00FB4DB4">
        <w:rPr>
          <w:bCs/>
          <w:sz w:val="22"/>
          <w:lang w:eastAsia="zh-CN"/>
        </w:rPr>
        <w:t>Dockets UE-</w:t>
      </w:r>
      <w:r>
        <w:rPr>
          <w:bCs/>
          <w:sz w:val="22"/>
          <w:lang w:eastAsia="zh-CN"/>
        </w:rPr>
        <w:t xml:space="preserve"> 121697 </w:t>
      </w:r>
      <w:r w:rsidRPr="00FB4DB4">
        <w:rPr>
          <w:bCs/>
          <w:sz w:val="22"/>
          <w:lang w:eastAsia="zh-CN"/>
        </w:rPr>
        <w:t>and UG-121705</w:t>
      </w:r>
      <w:r>
        <w:rPr>
          <w:bCs/>
          <w:sz w:val="22"/>
          <w:lang w:eastAsia="zh-CN"/>
        </w:rPr>
        <w:t>,</w:t>
      </w:r>
      <w:r w:rsidRPr="00FB4DB4">
        <w:rPr>
          <w:bCs/>
          <w:sz w:val="22"/>
          <w:lang w:eastAsia="zh-CN"/>
        </w:rPr>
        <w:t xml:space="preserve"> Order 07</w:t>
      </w:r>
      <w:r>
        <w:rPr>
          <w:bCs/>
          <w:sz w:val="22"/>
          <w:lang w:eastAsia="zh-CN"/>
        </w:rPr>
        <w:t>, Final Order Granting Petition at ¶108.</w:t>
      </w:r>
    </w:p>
  </w:footnote>
  <w:footnote w:id="5">
    <w:p w14:paraId="4B13AFC8" w14:textId="52DE4D5F" w:rsidR="00290C91" w:rsidRDefault="00290C91">
      <w:pPr>
        <w:pStyle w:val="FootnoteText"/>
      </w:pPr>
      <w:r>
        <w:rPr>
          <w:rStyle w:val="FootnoteReference"/>
        </w:rPr>
        <w:footnoteRef/>
      </w:r>
      <w:r>
        <w:t xml:space="preserve"> </w:t>
      </w:r>
      <w:r w:rsidRPr="009B7D1D">
        <w:rPr>
          <w:i/>
        </w:rPr>
        <w:t>See</w:t>
      </w:r>
      <w:r w:rsidRPr="009B7D1D">
        <w:t xml:space="preserve"> Amended Petition for Decoupling at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1C39B" w14:textId="77777777" w:rsidR="0041251E" w:rsidRPr="008F794C" w:rsidRDefault="0041251E">
    <w:pPr>
      <w:pStyle w:val="Header"/>
      <w:tabs>
        <w:tab w:val="clear" w:pos="4320"/>
        <w:tab w:val="clear" w:pos="8640"/>
        <w:tab w:val="right" w:pos="8500"/>
      </w:tabs>
      <w:rPr>
        <w:rStyle w:val="PageNumber"/>
        <w:bCs/>
        <w:szCs w:val="20"/>
        <w:lang w:val="fr-FR"/>
      </w:rPr>
    </w:pPr>
    <w:r w:rsidRPr="008F794C">
      <w:rPr>
        <w:b/>
        <w:bCs/>
        <w:sz w:val="20"/>
      </w:rPr>
      <w:t>DOCKET</w:t>
    </w:r>
    <w:r>
      <w:rPr>
        <w:b/>
        <w:bCs/>
        <w:sz w:val="20"/>
      </w:rPr>
      <w:t xml:space="preserve"> UE-1320</w:t>
    </w:r>
    <w:r w:rsidR="007F4A65">
      <w:rPr>
        <w:b/>
        <w:bCs/>
        <w:sz w:val="20"/>
      </w:rPr>
      <w:t>43</w:t>
    </w:r>
    <w:r w:rsidRPr="008F794C">
      <w:rPr>
        <w:b/>
        <w:bCs/>
        <w:sz w:val="20"/>
        <w:lang w:val="fr-FR"/>
      </w:rPr>
      <w:tab/>
      <w:t xml:space="preserve">PAGE </w:t>
    </w:r>
    <w:r w:rsidRPr="008F794C">
      <w:rPr>
        <w:rStyle w:val="PageNumber"/>
        <w:bCs/>
        <w:szCs w:val="20"/>
        <w:lang w:val="fr-FR"/>
      </w:rPr>
      <w:fldChar w:fldCharType="begin"/>
    </w:r>
    <w:r w:rsidRPr="008F794C">
      <w:rPr>
        <w:rStyle w:val="PageNumber"/>
        <w:bCs/>
        <w:szCs w:val="20"/>
        <w:lang w:val="fr-FR"/>
      </w:rPr>
      <w:instrText xml:space="preserve"> PAGE </w:instrText>
    </w:r>
    <w:r w:rsidRPr="008F794C">
      <w:rPr>
        <w:rStyle w:val="PageNumber"/>
        <w:bCs/>
        <w:szCs w:val="20"/>
        <w:lang w:val="fr-FR"/>
      </w:rPr>
      <w:fldChar w:fldCharType="separate"/>
    </w:r>
    <w:r w:rsidR="00BF1547">
      <w:rPr>
        <w:rStyle w:val="PageNumber"/>
        <w:bCs/>
        <w:noProof/>
        <w:szCs w:val="20"/>
        <w:lang w:val="fr-FR"/>
      </w:rPr>
      <w:t>3</w:t>
    </w:r>
    <w:r w:rsidRPr="008F794C">
      <w:rPr>
        <w:rStyle w:val="PageNumber"/>
        <w:bCs/>
        <w:szCs w:val="20"/>
        <w:lang w:val="fr-FR"/>
      </w:rPr>
      <w:fldChar w:fldCharType="end"/>
    </w:r>
  </w:p>
  <w:p w14:paraId="010A04A1" w14:textId="76FC723F" w:rsidR="0041251E" w:rsidRDefault="006C1823">
    <w:pPr>
      <w:pStyle w:val="Header"/>
      <w:tabs>
        <w:tab w:val="left" w:pos="7000"/>
      </w:tabs>
      <w:rPr>
        <w:rStyle w:val="PageNumber"/>
        <w:bCs/>
        <w:szCs w:val="20"/>
        <w:lang w:val="fr-FR"/>
      </w:rPr>
    </w:pPr>
    <w:r>
      <w:rPr>
        <w:rStyle w:val="PageNumber"/>
        <w:bCs/>
        <w:szCs w:val="20"/>
        <w:lang w:val="fr-FR"/>
      </w:rPr>
      <w:t>ORDER 03</w:t>
    </w:r>
  </w:p>
  <w:p w14:paraId="78603681" w14:textId="77777777" w:rsidR="0041251E" w:rsidRPr="008F794C" w:rsidRDefault="0041251E">
    <w:pPr>
      <w:pStyle w:val="Header"/>
      <w:tabs>
        <w:tab w:val="left" w:pos="7000"/>
      </w:tabs>
      <w:rPr>
        <w:rStyle w:val="PageNumber"/>
        <w:bCs/>
        <w:szCs w:val="20"/>
        <w:lang w:val="fr-FR"/>
      </w:rPr>
    </w:pPr>
  </w:p>
  <w:p w14:paraId="1E17DE8A" w14:textId="77777777" w:rsidR="0041251E" w:rsidRPr="00C35B68" w:rsidRDefault="0041251E">
    <w:pPr>
      <w:pStyle w:val="Header"/>
      <w:tabs>
        <w:tab w:val="left" w:pos="7000"/>
      </w:tabs>
      <w:rPr>
        <w:rStyle w:val="PageNumber"/>
        <w:b w:val="0"/>
        <w:bCs/>
        <w:szCs w:val="2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52822" w14:textId="77777777" w:rsidR="0041251E" w:rsidRPr="00662B7F" w:rsidRDefault="0041251E" w:rsidP="006E1395">
    <w:pPr>
      <w:pStyle w:val="Header"/>
      <w:tabs>
        <w:tab w:val="clear" w:pos="4320"/>
      </w:tabs>
      <w:jc w:val="right"/>
      <w:rPr>
        <w:b/>
        <w:sz w:val="22"/>
        <w:szCs w:val="22"/>
      </w:rPr>
    </w:pPr>
    <w:r>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17561"/>
    <w:multiLevelType w:val="hybridMultilevel"/>
    <w:tmpl w:val="C05AD4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E60DF9"/>
    <w:multiLevelType w:val="hybridMultilevel"/>
    <w:tmpl w:val="8D36CF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67E0338"/>
    <w:multiLevelType w:val="hybridMultilevel"/>
    <w:tmpl w:val="ABBA6E36"/>
    <w:lvl w:ilvl="0" w:tplc="1908C86C">
      <w:start w:val="1"/>
      <w:numFmt w:val="decimal"/>
      <w:lvlText w:val="%1"/>
      <w:lvlJc w:val="left"/>
      <w:pPr>
        <w:tabs>
          <w:tab w:val="num" w:pos="720"/>
        </w:tabs>
        <w:ind w:left="720" w:hanging="720"/>
      </w:pPr>
      <w:rPr>
        <w:rFonts w:ascii="Palatino Linotype" w:hAnsi="Palatino Linotype" w:cs="Times New Roman" w:hint="default"/>
        <w:b w:val="0"/>
        <w:i/>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72B138DD"/>
    <w:multiLevelType w:val="hybridMultilevel"/>
    <w:tmpl w:val="C7DCB5CE"/>
    <w:lvl w:ilvl="0" w:tplc="29E24BAE">
      <w:start w:val="1"/>
      <w:numFmt w:val="decimal"/>
      <w:pStyle w:val="Findings"/>
      <w:lvlText w:val="%1"/>
      <w:lvlJc w:val="left"/>
      <w:pPr>
        <w:tabs>
          <w:tab w:val="num" w:pos="720"/>
        </w:tabs>
        <w:ind w:left="72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3BBC"/>
    <w:rsid w:val="00004C24"/>
    <w:rsid w:val="00005431"/>
    <w:rsid w:val="00006BD8"/>
    <w:rsid w:val="000107E5"/>
    <w:rsid w:val="00013FD6"/>
    <w:rsid w:val="000151CD"/>
    <w:rsid w:val="0001553F"/>
    <w:rsid w:val="00015EAA"/>
    <w:rsid w:val="0002068B"/>
    <w:rsid w:val="00024049"/>
    <w:rsid w:val="000242EB"/>
    <w:rsid w:val="000253B0"/>
    <w:rsid w:val="000264FD"/>
    <w:rsid w:val="00026D9F"/>
    <w:rsid w:val="00026F37"/>
    <w:rsid w:val="00030F63"/>
    <w:rsid w:val="00032AE0"/>
    <w:rsid w:val="0003479D"/>
    <w:rsid w:val="00034998"/>
    <w:rsid w:val="00035B11"/>
    <w:rsid w:val="00042DF8"/>
    <w:rsid w:val="00044075"/>
    <w:rsid w:val="00044B4C"/>
    <w:rsid w:val="0004525C"/>
    <w:rsid w:val="0004560A"/>
    <w:rsid w:val="00045AF8"/>
    <w:rsid w:val="00045B0B"/>
    <w:rsid w:val="00051879"/>
    <w:rsid w:val="000533CC"/>
    <w:rsid w:val="0005397D"/>
    <w:rsid w:val="000550D9"/>
    <w:rsid w:val="0006064E"/>
    <w:rsid w:val="00060A7A"/>
    <w:rsid w:val="0006112A"/>
    <w:rsid w:val="0006222D"/>
    <w:rsid w:val="00062232"/>
    <w:rsid w:val="000647E6"/>
    <w:rsid w:val="0006496C"/>
    <w:rsid w:val="00066E2F"/>
    <w:rsid w:val="000702B8"/>
    <w:rsid w:val="00071A3C"/>
    <w:rsid w:val="00072495"/>
    <w:rsid w:val="00073A4E"/>
    <w:rsid w:val="0007415F"/>
    <w:rsid w:val="0007470B"/>
    <w:rsid w:val="00075FB2"/>
    <w:rsid w:val="00076E46"/>
    <w:rsid w:val="0007712A"/>
    <w:rsid w:val="00077D78"/>
    <w:rsid w:val="00077FF2"/>
    <w:rsid w:val="00082A66"/>
    <w:rsid w:val="0008557E"/>
    <w:rsid w:val="0008597D"/>
    <w:rsid w:val="00090707"/>
    <w:rsid w:val="00090758"/>
    <w:rsid w:val="00090F98"/>
    <w:rsid w:val="000910B4"/>
    <w:rsid w:val="00091DA8"/>
    <w:rsid w:val="000951E1"/>
    <w:rsid w:val="00095CB7"/>
    <w:rsid w:val="000A1B6E"/>
    <w:rsid w:val="000A5706"/>
    <w:rsid w:val="000A5FA7"/>
    <w:rsid w:val="000B1A8D"/>
    <w:rsid w:val="000B1ACC"/>
    <w:rsid w:val="000B2854"/>
    <w:rsid w:val="000B554C"/>
    <w:rsid w:val="000B6047"/>
    <w:rsid w:val="000B73D8"/>
    <w:rsid w:val="000B7C12"/>
    <w:rsid w:val="000C011A"/>
    <w:rsid w:val="000C0224"/>
    <w:rsid w:val="000C0C6C"/>
    <w:rsid w:val="000C1C5A"/>
    <w:rsid w:val="000C49BE"/>
    <w:rsid w:val="000C5FA8"/>
    <w:rsid w:val="000D071A"/>
    <w:rsid w:val="000D22ED"/>
    <w:rsid w:val="000D4317"/>
    <w:rsid w:val="000D6936"/>
    <w:rsid w:val="000D7678"/>
    <w:rsid w:val="000D7B17"/>
    <w:rsid w:val="000E30B4"/>
    <w:rsid w:val="000E361E"/>
    <w:rsid w:val="000E485A"/>
    <w:rsid w:val="000E53A0"/>
    <w:rsid w:val="000E5C07"/>
    <w:rsid w:val="000E76E0"/>
    <w:rsid w:val="000F04DE"/>
    <w:rsid w:val="000F0EF7"/>
    <w:rsid w:val="000F4793"/>
    <w:rsid w:val="000F48F4"/>
    <w:rsid w:val="000F4FAB"/>
    <w:rsid w:val="000F5AD5"/>
    <w:rsid w:val="000F61B3"/>
    <w:rsid w:val="001009DB"/>
    <w:rsid w:val="00101CA7"/>
    <w:rsid w:val="00106149"/>
    <w:rsid w:val="001071C2"/>
    <w:rsid w:val="0011015E"/>
    <w:rsid w:val="00111398"/>
    <w:rsid w:val="00111D76"/>
    <w:rsid w:val="001130BB"/>
    <w:rsid w:val="00123198"/>
    <w:rsid w:val="00127063"/>
    <w:rsid w:val="00127B89"/>
    <w:rsid w:val="00132848"/>
    <w:rsid w:val="00134157"/>
    <w:rsid w:val="001409E2"/>
    <w:rsid w:val="00140C90"/>
    <w:rsid w:val="0014162A"/>
    <w:rsid w:val="00145A43"/>
    <w:rsid w:val="00147072"/>
    <w:rsid w:val="00150BD8"/>
    <w:rsid w:val="00150FB6"/>
    <w:rsid w:val="001518F1"/>
    <w:rsid w:val="00151E90"/>
    <w:rsid w:val="00154FFC"/>
    <w:rsid w:val="00155860"/>
    <w:rsid w:val="00155CAA"/>
    <w:rsid w:val="001567C2"/>
    <w:rsid w:val="00160B01"/>
    <w:rsid w:val="00161127"/>
    <w:rsid w:val="00166906"/>
    <w:rsid w:val="001670B8"/>
    <w:rsid w:val="00170124"/>
    <w:rsid w:val="00170B86"/>
    <w:rsid w:val="00173151"/>
    <w:rsid w:val="00173D52"/>
    <w:rsid w:val="00173E10"/>
    <w:rsid w:val="001752D0"/>
    <w:rsid w:val="00175A16"/>
    <w:rsid w:val="001761E1"/>
    <w:rsid w:val="001803BB"/>
    <w:rsid w:val="00180A2D"/>
    <w:rsid w:val="00180DDC"/>
    <w:rsid w:val="00184315"/>
    <w:rsid w:val="00185A6E"/>
    <w:rsid w:val="00186229"/>
    <w:rsid w:val="00191021"/>
    <w:rsid w:val="00191472"/>
    <w:rsid w:val="00192B7C"/>
    <w:rsid w:val="00192D1C"/>
    <w:rsid w:val="00192F4F"/>
    <w:rsid w:val="00193655"/>
    <w:rsid w:val="00195410"/>
    <w:rsid w:val="001967CA"/>
    <w:rsid w:val="001A0AF2"/>
    <w:rsid w:val="001A5537"/>
    <w:rsid w:val="001A5643"/>
    <w:rsid w:val="001A6E15"/>
    <w:rsid w:val="001A7906"/>
    <w:rsid w:val="001B3B17"/>
    <w:rsid w:val="001B5A82"/>
    <w:rsid w:val="001B62FB"/>
    <w:rsid w:val="001C3C72"/>
    <w:rsid w:val="001C5186"/>
    <w:rsid w:val="001C53E0"/>
    <w:rsid w:val="001C6A40"/>
    <w:rsid w:val="001D11B2"/>
    <w:rsid w:val="001D29D6"/>
    <w:rsid w:val="001D3F43"/>
    <w:rsid w:val="001D4796"/>
    <w:rsid w:val="001D5B2F"/>
    <w:rsid w:val="001D5FD5"/>
    <w:rsid w:val="001D6CE4"/>
    <w:rsid w:val="001D6E70"/>
    <w:rsid w:val="001D711F"/>
    <w:rsid w:val="001E1185"/>
    <w:rsid w:val="001E1AD4"/>
    <w:rsid w:val="001E20E5"/>
    <w:rsid w:val="001E3BE8"/>
    <w:rsid w:val="001E3CE3"/>
    <w:rsid w:val="001F100C"/>
    <w:rsid w:val="001F27BC"/>
    <w:rsid w:val="001F28C0"/>
    <w:rsid w:val="001F30EB"/>
    <w:rsid w:val="001F50A1"/>
    <w:rsid w:val="001F6CD9"/>
    <w:rsid w:val="001F7BBF"/>
    <w:rsid w:val="00201595"/>
    <w:rsid w:val="0020449D"/>
    <w:rsid w:val="00204511"/>
    <w:rsid w:val="00204B69"/>
    <w:rsid w:val="002051DF"/>
    <w:rsid w:val="00207E01"/>
    <w:rsid w:val="00207E0B"/>
    <w:rsid w:val="00211B79"/>
    <w:rsid w:val="00214BEA"/>
    <w:rsid w:val="002157D9"/>
    <w:rsid w:val="00221A8B"/>
    <w:rsid w:val="00221E97"/>
    <w:rsid w:val="00224AE4"/>
    <w:rsid w:val="0022778D"/>
    <w:rsid w:val="00231F52"/>
    <w:rsid w:val="00233FF1"/>
    <w:rsid w:val="00237325"/>
    <w:rsid w:val="0023755C"/>
    <w:rsid w:val="002377ED"/>
    <w:rsid w:val="00240E5A"/>
    <w:rsid w:val="00241817"/>
    <w:rsid w:val="00244C15"/>
    <w:rsid w:val="002451BE"/>
    <w:rsid w:val="00247999"/>
    <w:rsid w:val="00250009"/>
    <w:rsid w:val="002516C7"/>
    <w:rsid w:val="00252258"/>
    <w:rsid w:val="00252781"/>
    <w:rsid w:val="0025308A"/>
    <w:rsid w:val="00254283"/>
    <w:rsid w:val="00262ACB"/>
    <w:rsid w:val="002639C1"/>
    <w:rsid w:val="002648B8"/>
    <w:rsid w:val="002724F4"/>
    <w:rsid w:val="00273479"/>
    <w:rsid w:val="00273AA3"/>
    <w:rsid w:val="00274FE8"/>
    <w:rsid w:val="00274FEA"/>
    <w:rsid w:val="002751AB"/>
    <w:rsid w:val="00277DD8"/>
    <w:rsid w:val="00280198"/>
    <w:rsid w:val="002803B7"/>
    <w:rsid w:val="0028106A"/>
    <w:rsid w:val="002833EE"/>
    <w:rsid w:val="00285DAC"/>
    <w:rsid w:val="0028680E"/>
    <w:rsid w:val="00287DC8"/>
    <w:rsid w:val="00290181"/>
    <w:rsid w:val="00290582"/>
    <w:rsid w:val="00290C91"/>
    <w:rsid w:val="00291095"/>
    <w:rsid w:val="002929FA"/>
    <w:rsid w:val="00293BB6"/>
    <w:rsid w:val="00293D20"/>
    <w:rsid w:val="00293D21"/>
    <w:rsid w:val="00294DDC"/>
    <w:rsid w:val="00294EAB"/>
    <w:rsid w:val="00295177"/>
    <w:rsid w:val="0029682B"/>
    <w:rsid w:val="002A0CB7"/>
    <w:rsid w:val="002A5DCB"/>
    <w:rsid w:val="002A6ED0"/>
    <w:rsid w:val="002B0488"/>
    <w:rsid w:val="002B06A0"/>
    <w:rsid w:val="002B0C47"/>
    <w:rsid w:val="002B0D64"/>
    <w:rsid w:val="002B2D5E"/>
    <w:rsid w:val="002B4258"/>
    <w:rsid w:val="002B5165"/>
    <w:rsid w:val="002B68B4"/>
    <w:rsid w:val="002B6B6D"/>
    <w:rsid w:val="002B7C90"/>
    <w:rsid w:val="002C03F0"/>
    <w:rsid w:val="002C0D2D"/>
    <w:rsid w:val="002C2836"/>
    <w:rsid w:val="002C2FFA"/>
    <w:rsid w:val="002C30FA"/>
    <w:rsid w:val="002C464A"/>
    <w:rsid w:val="002C5883"/>
    <w:rsid w:val="002C5F96"/>
    <w:rsid w:val="002C7946"/>
    <w:rsid w:val="002C796B"/>
    <w:rsid w:val="002D1183"/>
    <w:rsid w:val="002D12A9"/>
    <w:rsid w:val="002D2ACF"/>
    <w:rsid w:val="002D48C9"/>
    <w:rsid w:val="002D5581"/>
    <w:rsid w:val="002D7259"/>
    <w:rsid w:val="002D7C89"/>
    <w:rsid w:val="002E07AD"/>
    <w:rsid w:val="002E419F"/>
    <w:rsid w:val="002E585F"/>
    <w:rsid w:val="002F29A3"/>
    <w:rsid w:val="002F3AE3"/>
    <w:rsid w:val="002F4E87"/>
    <w:rsid w:val="002F5396"/>
    <w:rsid w:val="002F5C66"/>
    <w:rsid w:val="002F6695"/>
    <w:rsid w:val="00303F28"/>
    <w:rsid w:val="0030656E"/>
    <w:rsid w:val="00306FE5"/>
    <w:rsid w:val="00306FFD"/>
    <w:rsid w:val="00307F55"/>
    <w:rsid w:val="00310AB0"/>
    <w:rsid w:val="003122B5"/>
    <w:rsid w:val="00312FE8"/>
    <w:rsid w:val="003150FC"/>
    <w:rsid w:val="00315BF6"/>
    <w:rsid w:val="00315CE2"/>
    <w:rsid w:val="00315DBC"/>
    <w:rsid w:val="003177F9"/>
    <w:rsid w:val="00321203"/>
    <w:rsid w:val="0032347B"/>
    <w:rsid w:val="0032597E"/>
    <w:rsid w:val="00332F53"/>
    <w:rsid w:val="00333CDE"/>
    <w:rsid w:val="0033566C"/>
    <w:rsid w:val="0033725D"/>
    <w:rsid w:val="00341EB2"/>
    <w:rsid w:val="003436C7"/>
    <w:rsid w:val="00344448"/>
    <w:rsid w:val="00346318"/>
    <w:rsid w:val="00346BD1"/>
    <w:rsid w:val="00350ED4"/>
    <w:rsid w:val="00351E5C"/>
    <w:rsid w:val="00352245"/>
    <w:rsid w:val="003552F2"/>
    <w:rsid w:val="003559A7"/>
    <w:rsid w:val="00355CAE"/>
    <w:rsid w:val="003572E0"/>
    <w:rsid w:val="003602B9"/>
    <w:rsid w:val="003623BF"/>
    <w:rsid w:val="003633ED"/>
    <w:rsid w:val="00367167"/>
    <w:rsid w:val="003723BC"/>
    <w:rsid w:val="00372634"/>
    <w:rsid w:val="003732E0"/>
    <w:rsid w:val="00373BCB"/>
    <w:rsid w:val="00373DF4"/>
    <w:rsid w:val="00376CEA"/>
    <w:rsid w:val="003806F3"/>
    <w:rsid w:val="0038111E"/>
    <w:rsid w:val="00382E4E"/>
    <w:rsid w:val="00387EED"/>
    <w:rsid w:val="003924B6"/>
    <w:rsid w:val="0039554F"/>
    <w:rsid w:val="0039724D"/>
    <w:rsid w:val="003A26D7"/>
    <w:rsid w:val="003A2DCC"/>
    <w:rsid w:val="003A45DC"/>
    <w:rsid w:val="003A66D4"/>
    <w:rsid w:val="003A674D"/>
    <w:rsid w:val="003A7248"/>
    <w:rsid w:val="003A7A58"/>
    <w:rsid w:val="003A7FC7"/>
    <w:rsid w:val="003B3185"/>
    <w:rsid w:val="003B4B12"/>
    <w:rsid w:val="003B6ABC"/>
    <w:rsid w:val="003B6C81"/>
    <w:rsid w:val="003C1387"/>
    <w:rsid w:val="003C1AD3"/>
    <w:rsid w:val="003C1AE6"/>
    <w:rsid w:val="003C1D3B"/>
    <w:rsid w:val="003C507B"/>
    <w:rsid w:val="003C7BEE"/>
    <w:rsid w:val="003D0085"/>
    <w:rsid w:val="003D03EB"/>
    <w:rsid w:val="003D0748"/>
    <w:rsid w:val="003D1387"/>
    <w:rsid w:val="003D4066"/>
    <w:rsid w:val="003D6165"/>
    <w:rsid w:val="003D63B1"/>
    <w:rsid w:val="003D7B44"/>
    <w:rsid w:val="003E0514"/>
    <w:rsid w:val="003E0D83"/>
    <w:rsid w:val="003E16F9"/>
    <w:rsid w:val="003E29B3"/>
    <w:rsid w:val="003E36F6"/>
    <w:rsid w:val="003E3BB0"/>
    <w:rsid w:val="003E4098"/>
    <w:rsid w:val="003E40CD"/>
    <w:rsid w:val="003E57F7"/>
    <w:rsid w:val="003E5A76"/>
    <w:rsid w:val="003E5D99"/>
    <w:rsid w:val="003E7331"/>
    <w:rsid w:val="003F175A"/>
    <w:rsid w:val="003F2FC9"/>
    <w:rsid w:val="003F32D5"/>
    <w:rsid w:val="003F45E8"/>
    <w:rsid w:val="003F469B"/>
    <w:rsid w:val="003F5608"/>
    <w:rsid w:val="003F5E3D"/>
    <w:rsid w:val="004003BD"/>
    <w:rsid w:val="00402B7F"/>
    <w:rsid w:val="00402F92"/>
    <w:rsid w:val="00404977"/>
    <w:rsid w:val="00404BF7"/>
    <w:rsid w:val="0040659E"/>
    <w:rsid w:val="00407AFC"/>
    <w:rsid w:val="004100E9"/>
    <w:rsid w:val="004111FC"/>
    <w:rsid w:val="0041251E"/>
    <w:rsid w:val="00413897"/>
    <w:rsid w:val="004148BF"/>
    <w:rsid w:val="004150E6"/>
    <w:rsid w:val="004161A8"/>
    <w:rsid w:val="0042051F"/>
    <w:rsid w:val="00424723"/>
    <w:rsid w:val="004251ED"/>
    <w:rsid w:val="00425663"/>
    <w:rsid w:val="004256EF"/>
    <w:rsid w:val="0042663F"/>
    <w:rsid w:val="0042693A"/>
    <w:rsid w:val="0042706D"/>
    <w:rsid w:val="0042727A"/>
    <w:rsid w:val="00427FDA"/>
    <w:rsid w:val="0043066E"/>
    <w:rsid w:val="0043357D"/>
    <w:rsid w:val="00433D41"/>
    <w:rsid w:val="00434612"/>
    <w:rsid w:val="00435A50"/>
    <w:rsid w:val="004411CC"/>
    <w:rsid w:val="00445D57"/>
    <w:rsid w:val="00445FC1"/>
    <w:rsid w:val="00447297"/>
    <w:rsid w:val="0045071A"/>
    <w:rsid w:val="00450CBE"/>
    <w:rsid w:val="004521C2"/>
    <w:rsid w:val="00456D32"/>
    <w:rsid w:val="00456E88"/>
    <w:rsid w:val="004601D7"/>
    <w:rsid w:val="0046027F"/>
    <w:rsid w:val="00460848"/>
    <w:rsid w:val="00463BF8"/>
    <w:rsid w:val="00464AA9"/>
    <w:rsid w:val="00464ECD"/>
    <w:rsid w:val="004656D4"/>
    <w:rsid w:val="0046706F"/>
    <w:rsid w:val="00467A7C"/>
    <w:rsid w:val="00471A62"/>
    <w:rsid w:val="00472803"/>
    <w:rsid w:val="00474854"/>
    <w:rsid w:val="00474BBE"/>
    <w:rsid w:val="00475E98"/>
    <w:rsid w:val="00476FC5"/>
    <w:rsid w:val="004821C0"/>
    <w:rsid w:val="00482604"/>
    <w:rsid w:val="00482D0C"/>
    <w:rsid w:val="00483B64"/>
    <w:rsid w:val="00484D20"/>
    <w:rsid w:val="00484D31"/>
    <w:rsid w:val="00485A63"/>
    <w:rsid w:val="004900A3"/>
    <w:rsid w:val="00490446"/>
    <w:rsid w:val="004910C8"/>
    <w:rsid w:val="0049264B"/>
    <w:rsid w:val="004953AD"/>
    <w:rsid w:val="00495B3A"/>
    <w:rsid w:val="004965F7"/>
    <w:rsid w:val="004A13B7"/>
    <w:rsid w:val="004A32BF"/>
    <w:rsid w:val="004A5139"/>
    <w:rsid w:val="004A5147"/>
    <w:rsid w:val="004A60F4"/>
    <w:rsid w:val="004B116A"/>
    <w:rsid w:val="004B4F25"/>
    <w:rsid w:val="004C218C"/>
    <w:rsid w:val="004C33BF"/>
    <w:rsid w:val="004C4B3A"/>
    <w:rsid w:val="004C4DD9"/>
    <w:rsid w:val="004C52DB"/>
    <w:rsid w:val="004C6034"/>
    <w:rsid w:val="004C6389"/>
    <w:rsid w:val="004C6C2F"/>
    <w:rsid w:val="004D01A4"/>
    <w:rsid w:val="004D0833"/>
    <w:rsid w:val="004D10AF"/>
    <w:rsid w:val="004D3A99"/>
    <w:rsid w:val="004D5C97"/>
    <w:rsid w:val="004D7309"/>
    <w:rsid w:val="004E0112"/>
    <w:rsid w:val="004E0255"/>
    <w:rsid w:val="004E2FAE"/>
    <w:rsid w:val="004E63AE"/>
    <w:rsid w:val="004E6829"/>
    <w:rsid w:val="004F1C60"/>
    <w:rsid w:val="004F327F"/>
    <w:rsid w:val="004F338E"/>
    <w:rsid w:val="004F798B"/>
    <w:rsid w:val="005043B8"/>
    <w:rsid w:val="005056EE"/>
    <w:rsid w:val="005057C4"/>
    <w:rsid w:val="00505D20"/>
    <w:rsid w:val="00506580"/>
    <w:rsid w:val="00506ED9"/>
    <w:rsid w:val="00507770"/>
    <w:rsid w:val="00510085"/>
    <w:rsid w:val="00511AA3"/>
    <w:rsid w:val="00513CA1"/>
    <w:rsid w:val="005207EA"/>
    <w:rsid w:val="00521DCB"/>
    <w:rsid w:val="00526182"/>
    <w:rsid w:val="005313F3"/>
    <w:rsid w:val="00532E6D"/>
    <w:rsid w:val="00533164"/>
    <w:rsid w:val="005337DE"/>
    <w:rsid w:val="00534E7E"/>
    <w:rsid w:val="005368BC"/>
    <w:rsid w:val="005407C5"/>
    <w:rsid w:val="0054104C"/>
    <w:rsid w:val="00542669"/>
    <w:rsid w:val="00547670"/>
    <w:rsid w:val="00552394"/>
    <w:rsid w:val="00552BE3"/>
    <w:rsid w:val="00553D58"/>
    <w:rsid w:val="00556DD5"/>
    <w:rsid w:val="00562613"/>
    <w:rsid w:val="0056268B"/>
    <w:rsid w:val="0056345A"/>
    <w:rsid w:val="00563B5A"/>
    <w:rsid w:val="00563E27"/>
    <w:rsid w:val="0056449B"/>
    <w:rsid w:val="00564B80"/>
    <w:rsid w:val="005715DA"/>
    <w:rsid w:val="00572346"/>
    <w:rsid w:val="00573585"/>
    <w:rsid w:val="005749B1"/>
    <w:rsid w:val="00574E9C"/>
    <w:rsid w:val="005754FD"/>
    <w:rsid w:val="005757DF"/>
    <w:rsid w:val="00577985"/>
    <w:rsid w:val="00581C41"/>
    <w:rsid w:val="00585328"/>
    <w:rsid w:val="005876E9"/>
    <w:rsid w:val="00593DD0"/>
    <w:rsid w:val="00594BDA"/>
    <w:rsid w:val="00595A30"/>
    <w:rsid w:val="00596EFE"/>
    <w:rsid w:val="0059778F"/>
    <w:rsid w:val="005A28D4"/>
    <w:rsid w:val="005A290F"/>
    <w:rsid w:val="005A30B2"/>
    <w:rsid w:val="005A4CD0"/>
    <w:rsid w:val="005B3C0E"/>
    <w:rsid w:val="005B3D04"/>
    <w:rsid w:val="005B46E6"/>
    <w:rsid w:val="005B4A1B"/>
    <w:rsid w:val="005B7BC1"/>
    <w:rsid w:val="005C0CA5"/>
    <w:rsid w:val="005C0D17"/>
    <w:rsid w:val="005C25BD"/>
    <w:rsid w:val="005C4047"/>
    <w:rsid w:val="005C58AB"/>
    <w:rsid w:val="005C58F9"/>
    <w:rsid w:val="005C7EB8"/>
    <w:rsid w:val="005D651D"/>
    <w:rsid w:val="005E09C4"/>
    <w:rsid w:val="005E1058"/>
    <w:rsid w:val="005E3611"/>
    <w:rsid w:val="005F070A"/>
    <w:rsid w:val="005F2305"/>
    <w:rsid w:val="005F5A66"/>
    <w:rsid w:val="005F6240"/>
    <w:rsid w:val="005F66F7"/>
    <w:rsid w:val="005F6B34"/>
    <w:rsid w:val="005F71AB"/>
    <w:rsid w:val="006019C9"/>
    <w:rsid w:val="00602A5D"/>
    <w:rsid w:val="00602E7E"/>
    <w:rsid w:val="006033CC"/>
    <w:rsid w:val="006046D2"/>
    <w:rsid w:val="0060583B"/>
    <w:rsid w:val="006061DA"/>
    <w:rsid w:val="006063C4"/>
    <w:rsid w:val="00606DF8"/>
    <w:rsid w:val="00610A10"/>
    <w:rsid w:val="00610B60"/>
    <w:rsid w:val="006136B2"/>
    <w:rsid w:val="006139B8"/>
    <w:rsid w:val="00615D54"/>
    <w:rsid w:val="006178BD"/>
    <w:rsid w:val="00621F5B"/>
    <w:rsid w:val="0062334D"/>
    <w:rsid w:val="006235C5"/>
    <w:rsid w:val="00624E4A"/>
    <w:rsid w:val="006266AC"/>
    <w:rsid w:val="00630989"/>
    <w:rsid w:val="00630CF5"/>
    <w:rsid w:val="00631079"/>
    <w:rsid w:val="00631355"/>
    <w:rsid w:val="00632002"/>
    <w:rsid w:val="006340E8"/>
    <w:rsid w:val="00634A26"/>
    <w:rsid w:val="006401C0"/>
    <w:rsid w:val="00640F0A"/>
    <w:rsid w:val="0064198D"/>
    <w:rsid w:val="00641B66"/>
    <w:rsid w:val="00644482"/>
    <w:rsid w:val="0064561F"/>
    <w:rsid w:val="006456BC"/>
    <w:rsid w:val="00646FEB"/>
    <w:rsid w:val="0065105B"/>
    <w:rsid w:val="0065525E"/>
    <w:rsid w:val="00655514"/>
    <w:rsid w:val="006578D2"/>
    <w:rsid w:val="0066080A"/>
    <w:rsid w:val="00661539"/>
    <w:rsid w:val="00661CA5"/>
    <w:rsid w:val="00662B7F"/>
    <w:rsid w:val="00664748"/>
    <w:rsid w:val="00664F6A"/>
    <w:rsid w:val="0066576F"/>
    <w:rsid w:val="00665C6E"/>
    <w:rsid w:val="00671A56"/>
    <w:rsid w:val="0067260C"/>
    <w:rsid w:val="006731A9"/>
    <w:rsid w:val="00673AEA"/>
    <w:rsid w:val="00673DD9"/>
    <w:rsid w:val="006756A1"/>
    <w:rsid w:val="006763AC"/>
    <w:rsid w:val="0067654D"/>
    <w:rsid w:val="0067744E"/>
    <w:rsid w:val="006776E7"/>
    <w:rsid w:val="00677DF3"/>
    <w:rsid w:val="00682BBB"/>
    <w:rsid w:val="00683864"/>
    <w:rsid w:val="00683D06"/>
    <w:rsid w:val="00683EFA"/>
    <w:rsid w:val="00684DA1"/>
    <w:rsid w:val="0068677A"/>
    <w:rsid w:val="00686B96"/>
    <w:rsid w:val="00687CA9"/>
    <w:rsid w:val="006916E2"/>
    <w:rsid w:val="00692950"/>
    <w:rsid w:val="00694627"/>
    <w:rsid w:val="00694A21"/>
    <w:rsid w:val="006975DC"/>
    <w:rsid w:val="006A0DA7"/>
    <w:rsid w:val="006A4051"/>
    <w:rsid w:val="006A40CB"/>
    <w:rsid w:val="006A6A46"/>
    <w:rsid w:val="006A7AC4"/>
    <w:rsid w:val="006B02E9"/>
    <w:rsid w:val="006B51C5"/>
    <w:rsid w:val="006B59A9"/>
    <w:rsid w:val="006B6870"/>
    <w:rsid w:val="006C0391"/>
    <w:rsid w:val="006C0632"/>
    <w:rsid w:val="006C1823"/>
    <w:rsid w:val="006C1F68"/>
    <w:rsid w:val="006C499E"/>
    <w:rsid w:val="006C6BAE"/>
    <w:rsid w:val="006D0E8B"/>
    <w:rsid w:val="006D1291"/>
    <w:rsid w:val="006D17BD"/>
    <w:rsid w:val="006D4F36"/>
    <w:rsid w:val="006D6BBC"/>
    <w:rsid w:val="006E0DBD"/>
    <w:rsid w:val="006E1395"/>
    <w:rsid w:val="006E299E"/>
    <w:rsid w:val="006E368D"/>
    <w:rsid w:val="006F04BB"/>
    <w:rsid w:val="006F13A6"/>
    <w:rsid w:val="006F321C"/>
    <w:rsid w:val="006F3CCB"/>
    <w:rsid w:val="006F4B87"/>
    <w:rsid w:val="006F4FF7"/>
    <w:rsid w:val="006F611D"/>
    <w:rsid w:val="00700555"/>
    <w:rsid w:val="00700A4E"/>
    <w:rsid w:val="007011F8"/>
    <w:rsid w:val="00701DCE"/>
    <w:rsid w:val="00705159"/>
    <w:rsid w:val="00706DA1"/>
    <w:rsid w:val="00711A6C"/>
    <w:rsid w:val="00711B02"/>
    <w:rsid w:val="00711CB7"/>
    <w:rsid w:val="007123AB"/>
    <w:rsid w:val="00713071"/>
    <w:rsid w:val="00713CBC"/>
    <w:rsid w:val="00713F6C"/>
    <w:rsid w:val="0071533E"/>
    <w:rsid w:val="007177EC"/>
    <w:rsid w:val="00720DB6"/>
    <w:rsid w:val="0072155B"/>
    <w:rsid w:val="0072370B"/>
    <w:rsid w:val="00723803"/>
    <w:rsid w:val="0072386D"/>
    <w:rsid w:val="00724C18"/>
    <w:rsid w:val="007269D0"/>
    <w:rsid w:val="007275A7"/>
    <w:rsid w:val="00730514"/>
    <w:rsid w:val="0073185E"/>
    <w:rsid w:val="00732329"/>
    <w:rsid w:val="00734229"/>
    <w:rsid w:val="00734B90"/>
    <w:rsid w:val="007361DA"/>
    <w:rsid w:val="007373AB"/>
    <w:rsid w:val="00737DF1"/>
    <w:rsid w:val="00737FA7"/>
    <w:rsid w:val="007408E9"/>
    <w:rsid w:val="00740B10"/>
    <w:rsid w:val="007449F6"/>
    <w:rsid w:val="00744E7F"/>
    <w:rsid w:val="00745823"/>
    <w:rsid w:val="0075011B"/>
    <w:rsid w:val="00750A64"/>
    <w:rsid w:val="007510B9"/>
    <w:rsid w:val="007530CF"/>
    <w:rsid w:val="00753451"/>
    <w:rsid w:val="00753599"/>
    <w:rsid w:val="007539ED"/>
    <w:rsid w:val="00753EAA"/>
    <w:rsid w:val="00755EA8"/>
    <w:rsid w:val="007567A9"/>
    <w:rsid w:val="00757122"/>
    <w:rsid w:val="007608D2"/>
    <w:rsid w:val="00761A06"/>
    <w:rsid w:val="00762A2A"/>
    <w:rsid w:val="00764358"/>
    <w:rsid w:val="007649B0"/>
    <w:rsid w:val="00767227"/>
    <w:rsid w:val="00770024"/>
    <w:rsid w:val="00772966"/>
    <w:rsid w:val="00772C57"/>
    <w:rsid w:val="00774D4A"/>
    <w:rsid w:val="007769C2"/>
    <w:rsid w:val="00776D6E"/>
    <w:rsid w:val="00781D7E"/>
    <w:rsid w:val="00785CBD"/>
    <w:rsid w:val="00787045"/>
    <w:rsid w:val="00787B24"/>
    <w:rsid w:val="00790963"/>
    <w:rsid w:val="00795FFF"/>
    <w:rsid w:val="00796F3E"/>
    <w:rsid w:val="007A0E8D"/>
    <w:rsid w:val="007A1D00"/>
    <w:rsid w:val="007A7524"/>
    <w:rsid w:val="007A7A75"/>
    <w:rsid w:val="007A7F21"/>
    <w:rsid w:val="007B13AF"/>
    <w:rsid w:val="007B1634"/>
    <w:rsid w:val="007B1930"/>
    <w:rsid w:val="007B24C3"/>
    <w:rsid w:val="007B73F3"/>
    <w:rsid w:val="007C1816"/>
    <w:rsid w:val="007C18C4"/>
    <w:rsid w:val="007C1907"/>
    <w:rsid w:val="007C22E1"/>
    <w:rsid w:val="007C24C0"/>
    <w:rsid w:val="007C304E"/>
    <w:rsid w:val="007C382A"/>
    <w:rsid w:val="007C4C35"/>
    <w:rsid w:val="007C4F62"/>
    <w:rsid w:val="007C4F8A"/>
    <w:rsid w:val="007C543A"/>
    <w:rsid w:val="007C7932"/>
    <w:rsid w:val="007D1628"/>
    <w:rsid w:val="007D3D72"/>
    <w:rsid w:val="007D3E86"/>
    <w:rsid w:val="007D4D48"/>
    <w:rsid w:val="007D73E7"/>
    <w:rsid w:val="007D79BE"/>
    <w:rsid w:val="007E0463"/>
    <w:rsid w:val="007E0B71"/>
    <w:rsid w:val="007E3271"/>
    <w:rsid w:val="007E3388"/>
    <w:rsid w:val="007E5C3F"/>
    <w:rsid w:val="007F061A"/>
    <w:rsid w:val="007F0F23"/>
    <w:rsid w:val="007F0F41"/>
    <w:rsid w:val="007F0F8D"/>
    <w:rsid w:val="007F14AA"/>
    <w:rsid w:val="007F1690"/>
    <w:rsid w:val="007F192D"/>
    <w:rsid w:val="007F35F4"/>
    <w:rsid w:val="007F4849"/>
    <w:rsid w:val="007F4994"/>
    <w:rsid w:val="007F4A65"/>
    <w:rsid w:val="0080033F"/>
    <w:rsid w:val="008010CC"/>
    <w:rsid w:val="008012B9"/>
    <w:rsid w:val="0080131D"/>
    <w:rsid w:val="00803263"/>
    <w:rsid w:val="008053E1"/>
    <w:rsid w:val="00805585"/>
    <w:rsid w:val="0080643C"/>
    <w:rsid w:val="00806ED3"/>
    <w:rsid w:val="00810916"/>
    <w:rsid w:val="00811077"/>
    <w:rsid w:val="00812499"/>
    <w:rsid w:val="008135A6"/>
    <w:rsid w:val="0081417D"/>
    <w:rsid w:val="00814BC4"/>
    <w:rsid w:val="00817023"/>
    <w:rsid w:val="0082234F"/>
    <w:rsid w:val="00822422"/>
    <w:rsid w:val="008225F7"/>
    <w:rsid w:val="00822CDD"/>
    <w:rsid w:val="0083377F"/>
    <w:rsid w:val="00835D41"/>
    <w:rsid w:val="0083656B"/>
    <w:rsid w:val="0083773F"/>
    <w:rsid w:val="00841BD5"/>
    <w:rsid w:val="0084319D"/>
    <w:rsid w:val="00844075"/>
    <w:rsid w:val="008440D2"/>
    <w:rsid w:val="00844847"/>
    <w:rsid w:val="008457A3"/>
    <w:rsid w:val="008466D1"/>
    <w:rsid w:val="00852A6E"/>
    <w:rsid w:val="00852F37"/>
    <w:rsid w:val="00853416"/>
    <w:rsid w:val="00853916"/>
    <w:rsid w:val="00855C40"/>
    <w:rsid w:val="008608A3"/>
    <w:rsid w:val="00861B3C"/>
    <w:rsid w:val="00861F8D"/>
    <w:rsid w:val="008620B6"/>
    <w:rsid w:val="0086591B"/>
    <w:rsid w:val="00866988"/>
    <w:rsid w:val="00870BF1"/>
    <w:rsid w:val="0087159A"/>
    <w:rsid w:val="00871DAD"/>
    <w:rsid w:val="0087356E"/>
    <w:rsid w:val="0087616B"/>
    <w:rsid w:val="00880E69"/>
    <w:rsid w:val="00882255"/>
    <w:rsid w:val="00883DDC"/>
    <w:rsid w:val="008847B9"/>
    <w:rsid w:val="00885A65"/>
    <w:rsid w:val="00885C2C"/>
    <w:rsid w:val="00886196"/>
    <w:rsid w:val="008866BA"/>
    <w:rsid w:val="00890C1F"/>
    <w:rsid w:val="008917AF"/>
    <w:rsid w:val="00895CA2"/>
    <w:rsid w:val="0089650D"/>
    <w:rsid w:val="008A108D"/>
    <w:rsid w:val="008A3D6B"/>
    <w:rsid w:val="008A69BD"/>
    <w:rsid w:val="008B0468"/>
    <w:rsid w:val="008B0E3A"/>
    <w:rsid w:val="008B3429"/>
    <w:rsid w:val="008B64A7"/>
    <w:rsid w:val="008B68F3"/>
    <w:rsid w:val="008B7AD1"/>
    <w:rsid w:val="008B7AF2"/>
    <w:rsid w:val="008C0042"/>
    <w:rsid w:val="008C0E98"/>
    <w:rsid w:val="008C10E2"/>
    <w:rsid w:val="008C1889"/>
    <w:rsid w:val="008C1B3B"/>
    <w:rsid w:val="008C2BBF"/>
    <w:rsid w:val="008C4BF7"/>
    <w:rsid w:val="008C5C26"/>
    <w:rsid w:val="008C6DF8"/>
    <w:rsid w:val="008E0778"/>
    <w:rsid w:val="008E0FBE"/>
    <w:rsid w:val="008E1FB5"/>
    <w:rsid w:val="008E3372"/>
    <w:rsid w:val="008E339A"/>
    <w:rsid w:val="008E71B8"/>
    <w:rsid w:val="008F0AD2"/>
    <w:rsid w:val="008F0B3A"/>
    <w:rsid w:val="008F19D9"/>
    <w:rsid w:val="008F59D1"/>
    <w:rsid w:val="008F6FD1"/>
    <w:rsid w:val="008F794C"/>
    <w:rsid w:val="008F7EE0"/>
    <w:rsid w:val="009018A2"/>
    <w:rsid w:val="00901DFE"/>
    <w:rsid w:val="00901EF1"/>
    <w:rsid w:val="009022FD"/>
    <w:rsid w:val="0090275A"/>
    <w:rsid w:val="00903154"/>
    <w:rsid w:val="00905811"/>
    <w:rsid w:val="00905A4E"/>
    <w:rsid w:val="00905CD2"/>
    <w:rsid w:val="009064BC"/>
    <w:rsid w:val="009129EF"/>
    <w:rsid w:val="00916580"/>
    <w:rsid w:val="00917457"/>
    <w:rsid w:val="00917819"/>
    <w:rsid w:val="00917E5C"/>
    <w:rsid w:val="0092192D"/>
    <w:rsid w:val="00921A95"/>
    <w:rsid w:val="0092438E"/>
    <w:rsid w:val="0092544D"/>
    <w:rsid w:val="00925DDC"/>
    <w:rsid w:val="00927A04"/>
    <w:rsid w:val="00927C86"/>
    <w:rsid w:val="009320F4"/>
    <w:rsid w:val="00932EF4"/>
    <w:rsid w:val="00933149"/>
    <w:rsid w:val="009356B6"/>
    <w:rsid w:val="009358D9"/>
    <w:rsid w:val="00936E9C"/>
    <w:rsid w:val="0093747A"/>
    <w:rsid w:val="009378CC"/>
    <w:rsid w:val="00940413"/>
    <w:rsid w:val="009415D1"/>
    <w:rsid w:val="00945EA3"/>
    <w:rsid w:val="0094664F"/>
    <w:rsid w:val="00947A47"/>
    <w:rsid w:val="00947E59"/>
    <w:rsid w:val="00950332"/>
    <w:rsid w:val="009539CC"/>
    <w:rsid w:val="0095490E"/>
    <w:rsid w:val="009550A8"/>
    <w:rsid w:val="00955110"/>
    <w:rsid w:val="0096077A"/>
    <w:rsid w:val="00961C56"/>
    <w:rsid w:val="00962E04"/>
    <w:rsid w:val="00963EDE"/>
    <w:rsid w:val="009653A9"/>
    <w:rsid w:val="0096592A"/>
    <w:rsid w:val="00966600"/>
    <w:rsid w:val="00966908"/>
    <w:rsid w:val="00971ACE"/>
    <w:rsid w:val="00971F7F"/>
    <w:rsid w:val="00972C5F"/>
    <w:rsid w:val="00974497"/>
    <w:rsid w:val="009755E7"/>
    <w:rsid w:val="00975A8F"/>
    <w:rsid w:val="00976246"/>
    <w:rsid w:val="009769E5"/>
    <w:rsid w:val="00980B04"/>
    <w:rsid w:val="00980D15"/>
    <w:rsid w:val="0098214F"/>
    <w:rsid w:val="00985CC7"/>
    <w:rsid w:val="009868F1"/>
    <w:rsid w:val="00990776"/>
    <w:rsid w:val="009920F4"/>
    <w:rsid w:val="00993069"/>
    <w:rsid w:val="009965DC"/>
    <w:rsid w:val="00996B1F"/>
    <w:rsid w:val="00996D10"/>
    <w:rsid w:val="009A0ADE"/>
    <w:rsid w:val="009A0C2D"/>
    <w:rsid w:val="009A0F52"/>
    <w:rsid w:val="009A1CD7"/>
    <w:rsid w:val="009A278A"/>
    <w:rsid w:val="009A3C66"/>
    <w:rsid w:val="009A3E7B"/>
    <w:rsid w:val="009A4885"/>
    <w:rsid w:val="009A609E"/>
    <w:rsid w:val="009A66D8"/>
    <w:rsid w:val="009A7A66"/>
    <w:rsid w:val="009B15EA"/>
    <w:rsid w:val="009B7118"/>
    <w:rsid w:val="009C02E6"/>
    <w:rsid w:val="009C063E"/>
    <w:rsid w:val="009C06F2"/>
    <w:rsid w:val="009C1EEB"/>
    <w:rsid w:val="009C2788"/>
    <w:rsid w:val="009C2C17"/>
    <w:rsid w:val="009C68DB"/>
    <w:rsid w:val="009C7962"/>
    <w:rsid w:val="009D2E17"/>
    <w:rsid w:val="009D3A11"/>
    <w:rsid w:val="009D598B"/>
    <w:rsid w:val="009D5E39"/>
    <w:rsid w:val="009D5E70"/>
    <w:rsid w:val="009E0422"/>
    <w:rsid w:val="009E07CB"/>
    <w:rsid w:val="009E3E20"/>
    <w:rsid w:val="009F05E4"/>
    <w:rsid w:val="009F0EFB"/>
    <w:rsid w:val="009F174D"/>
    <w:rsid w:val="009F1B32"/>
    <w:rsid w:val="009F5C8F"/>
    <w:rsid w:val="009F668C"/>
    <w:rsid w:val="00A01D4E"/>
    <w:rsid w:val="00A07584"/>
    <w:rsid w:val="00A10B0E"/>
    <w:rsid w:val="00A1496D"/>
    <w:rsid w:val="00A14C6C"/>
    <w:rsid w:val="00A14D38"/>
    <w:rsid w:val="00A151C5"/>
    <w:rsid w:val="00A16D2B"/>
    <w:rsid w:val="00A17669"/>
    <w:rsid w:val="00A20C87"/>
    <w:rsid w:val="00A26F89"/>
    <w:rsid w:val="00A26F96"/>
    <w:rsid w:val="00A27389"/>
    <w:rsid w:val="00A27DA7"/>
    <w:rsid w:val="00A27E95"/>
    <w:rsid w:val="00A303CC"/>
    <w:rsid w:val="00A30A60"/>
    <w:rsid w:val="00A310A7"/>
    <w:rsid w:val="00A31857"/>
    <w:rsid w:val="00A3238F"/>
    <w:rsid w:val="00A3299A"/>
    <w:rsid w:val="00A333C4"/>
    <w:rsid w:val="00A34747"/>
    <w:rsid w:val="00A36396"/>
    <w:rsid w:val="00A37555"/>
    <w:rsid w:val="00A376C2"/>
    <w:rsid w:val="00A3772E"/>
    <w:rsid w:val="00A41DE7"/>
    <w:rsid w:val="00A424DB"/>
    <w:rsid w:val="00A42664"/>
    <w:rsid w:val="00A439B4"/>
    <w:rsid w:val="00A4422E"/>
    <w:rsid w:val="00A4588F"/>
    <w:rsid w:val="00A458D4"/>
    <w:rsid w:val="00A47A22"/>
    <w:rsid w:val="00A50749"/>
    <w:rsid w:val="00A508B9"/>
    <w:rsid w:val="00A50935"/>
    <w:rsid w:val="00A518D7"/>
    <w:rsid w:val="00A51D4B"/>
    <w:rsid w:val="00A52D06"/>
    <w:rsid w:val="00A53844"/>
    <w:rsid w:val="00A543A8"/>
    <w:rsid w:val="00A6042B"/>
    <w:rsid w:val="00A61109"/>
    <w:rsid w:val="00A61D07"/>
    <w:rsid w:val="00A61FB3"/>
    <w:rsid w:val="00A62788"/>
    <w:rsid w:val="00A646EB"/>
    <w:rsid w:val="00A64B56"/>
    <w:rsid w:val="00A662FC"/>
    <w:rsid w:val="00A67966"/>
    <w:rsid w:val="00A714A2"/>
    <w:rsid w:val="00A7183F"/>
    <w:rsid w:val="00A72BC0"/>
    <w:rsid w:val="00A7382E"/>
    <w:rsid w:val="00A73890"/>
    <w:rsid w:val="00A7447D"/>
    <w:rsid w:val="00A7566B"/>
    <w:rsid w:val="00A756D4"/>
    <w:rsid w:val="00A7641A"/>
    <w:rsid w:val="00A76BCC"/>
    <w:rsid w:val="00A779F4"/>
    <w:rsid w:val="00A8029B"/>
    <w:rsid w:val="00A8033E"/>
    <w:rsid w:val="00A81CD5"/>
    <w:rsid w:val="00A82D24"/>
    <w:rsid w:val="00A877CE"/>
    <w:rsid w:val="00A92A98"/>
    <w:rsid w:val="00A93C1E"/>
    <w:rsid w:val="00A945BC"/>
    <w:rsid w:val="00AA0F7A"/>
    <w:rsid w:val="00AA2249"/>
    <w:rsid w:val="00AA2271"/>
    <w:rsid w:val="00AA4FDB"/>
    <w:rsid w:val="00AA59BA"/>
    <w:rsid w:val="00AA5AB9"/>
    <w:rsid w:val="00AA65E6"/>
    <w:rsid w:val="00AA7C5A"/>
    <w:rsid w:val="00AB1AD0"/>
    <w:rsid w:val="00AB36A0"/>
    <w:rsid w:val="00AB48DB"/>
    <w:rsid w:val="00AB4CD3"/>
    <w:rsid w:val="00AB4E78"/>
    <w:rsid w:val="00AB551B"/>
    <w:rsid w:val="00AB5A00"/>
    <w:rsid w:val="00AB5F8C"/>
    <w:rsid w:val="00AC03C0"/>
    <w:rsid w:val="00AC0457"/>
    <w:rsid w:val="00AC1EEB"/>
    <w:rsid w:val="00AC270D"/>
    <w:rsid w:val="00AC44D5"/>
    <w:rsid w:val="00AD037C"/>
    <w:rsid w:val="00AD0FAD"/>
    <w:rsid w:val="00AD1B6D"/>
    <w:rsid w:val="00AD2818"/>
    <w:rsid w:val="00AD314E"/>
    <w:rsid w:val="00AD4E8E"/>
    <w:rsid w:val="00AD5EC6"/>
    <w:rsid w:val="00AD68AE"/>
    <w:rsid w:val="00AD6BC0"/>
    <w:rsid w:val="00AD7908"/>
    <w:rsid w:val="00AE0828"/>
    <w:rsid w:val="00AE0C3A"/>
    <w:rsid w:val="00AE18D4"/>
    <w:rsid w:val="00AE2667"/>
    <w:rsid w:val="00AE4DAC"/>
    <w:rsid w:val="00AE5473"/>
    <w:rsid w:val="00AE5948"/>
    <w:rsid w:val="00AF1413"/>
    <w:rsid w:val="00AF27DA"/>
    <w:rsid w:val="00AF4B4D"/>
    <w:rsid w:val="00B002A6"/>
    <w:rsid w:val="00B02F5E"/>
    <w:rsid w:val="00B03172"/>
    <w:rsid w:val="00B031EC"/>
    <w:rsid w:val="00B033E9"/>
    <w:rsid w:val="00B04E89"/>
    <w:rsid w:val="00B06C9D"/>
    <w:rsid w:val="00B103F4"/>
    <w:rsid w:val="00B123D9"/>
    <w:rsid w:val="00B128A5"/>
    <w:rsid w:val="00B16A20"/>
    <w:rsid w:val="00B17BFD"/>
    <w:rsid w:val="00B21DC4"/>
    <w:rsid w:val="00B22F97"/>
    <w:rsid w:val="00B25C9A"/>
    <w:rsid w:val="00B30190"/>
    <w:rsid w:val="00B33DC4"/>
    <w:rsid w:val="00B33FE9"/>
    <w:rsid w:val="00B35A44"/>
    <w:rsid w:val="00B36255"/>
    <w:rsid w:val="00B378B0"/>
    <w:rsid w:val="00B405F5"/>
    <w:rsid w:val="00B42EB3"/>
    <w:rsid w:val="00B44077"/>
    <w:rsid w:val="00B45046"/>
    <w:rsid w:val="00B45D24"/>
    <w:rsid w:val="00B46C69"/>
    <w:rsid w:val="00B478E8"/>
    <w:rsid w:val="00B5040C"/>
    <w:rsid w:val="00B50A0C"/>
    <w:rsid w:val="00B532D5"/>
    <w:rsid w:val="00B543C0"/>
    <w:rsid w:val="00B55F30"/>
    <w:rsid w:val="00B573E5"/>
    <w:rsid w:val="00B6042B"/>
    <w:rsid w:val="00B621D8"/>
    <w:rsid w:val="00B6312E"/>
    <w:rsid w:val="00B6477E"/>
    <w:rsid w:val="00B65C90"/>
    <w:rsid w:val="00B674BC"/>
    <w:rsid w:val="00B67A70"/>
    <w:rsid w:val="00B74228"/>
    <w:rsid w:val="00B75A40"/>
    <w:rsid w:val="00B777C9"/>
    <w:rsid w:val="00B815F8"/>
    <w:rsid w:val="00B850B6"/>
    <w:rsid w:val="00B90CBD"/>
    <w:rsid w:val="00B92951"/>
    <w:rsid w:val="00B94E46"/>
    <w:rsid w:val="00B95403"/>
    <w:rsid w:val="00B961C1"/>
    <w:rsid w:val="00BA0213"/>
    <w:rsid w:val="00BA1B88"/>
    <w:rsid w:val="00BA1CA3"/>
    <w:rsid w:val="00BA1D52"/>
    <w:rsid w:val="00BA212E"/>
    <w:rsid w:val="00BA3184"/>
    <w:rsid w:val="00BA49EB"/>
    <w:rsid w:val="00BA4C42"/>
    <w:rsid w:val="00BA54CC"/>
    <w:rsid w:val="00BA6D46"/>
    <w:rsid w:val="00BA70B5"/>
    <w:rsid w:val="00BA7251"/>
    <w:rsid w:val="00BB2590"/>
    <w:rsid w:val="00BB282E"/>
    <w:rsid w:val="00BB325A"/>
    <w:rsid w:val="00BB3478"/>
    <w:rsid w:val="00BB3856"/>
    <w:rsid w:val="00BB60CD"/>
    <w:rsid w:val="00BB6584"/>
    <w:rsid w:val="00BB7D76"/>
    <w:rsid w:val="00BC0A68"/>
    <w:rsid w:val="00BC145A"/>
    <w:rsid w:val="00BC1647"/>
    <w:rsid w:val="00BC1F4C"/>
    <w:rsid w:val="00BC224C"/>
    <w:rsid w:val="00BC2903"/>
    <w:rsid w:val="00BC2BAC"/>
    <w:rsid w:val="00BC41FD"/>
    <w:rsid w:val="00BC5613"/>
    <w:rsid w:val="00BC5BB9"/>
    <w:rsid w:val="00BC6EDC"/>
    <w:rsid w:val="00BC71E7"/>
    <w:rsid w:val="00BD0E09"/>
    <w:rsid w:val="00BD155B"/>
    <w:rsid w:val="00BD2341"/>
    <w:rsid w:val="00BD30DA"/>
    <w:rsid w:val="00BE3367"/>
    <w:rsid w:val="00BE3EB9"/>
    <w:rsid w:val="00BE4847"/>
    <w:rsid w:val="00BE4A86"/>
    <w:rsid w:val="00BE7A38"/>
    <w:rsid w:val="00BF1547"/>
    <w:rsid w:val="00BF20F7"/>
    <w:rsid w:val="00BF36C4"/>
    <w:rsid w:val="00BF3C53"/>
    <w:rsid w:val="00BF40FD"/>
    <w:rsid w:val="00BF4D5D"/>
    <w:rsid w:val="00BF53F8"/>
    <w:rsid w:val="00C009FC"/>
    <w:rsid w:val="00C057C5"/>
    <w:rsid w:val="00C06571"/>
    <w:rsid w:val="00C075F2"/>
    <w:rsid w:val="00C10297"/>
    <w:rsid w:val="00C10406"/>
    <w:rsid w:val="00C1046A"/>
    <w:rsid w:val="00C120A6"/>
    <w:rsid w:val="00C132B3"/>
    <w:rsid w:val="00C14840"/>
    <w:rsid w:val="00C157C2"/>
    <w:rsid w:val="00C2128A"/>
    <w:rsid w:val="00C22951"/>
    <w:rsid w:val="00C233B3"/>
    <w:rsid w:val="00C23652"/>
    <w:rsid w:val="00C24639"/>
    <w:rsid w:val="00C25890"/>
    <w:rsid w:val="00C31407"/>
    <w:rsid w:val="00C3241B"/>
    <w:rsid w:val="00C33424"/>
    <w:rsid w:val="00C33DAC"/>
    <w:rsid w:val="00C35B68"/>
    <w:rsid w:val="00C35D6C"/>
    <w:rsid w:val="00C35E59"/>
    <w:rsid w:val="00C37BD6"/>
    <w:rsid w:val="00C37FE7"/>
    <w:rsid w:val="00C40B19"/>
    <w:rsid w:val="00C417B7"/>
    <w:rsid w:val="00C41E52"/>
    <w:rsid w:val="00C433B7"/>
    <w:rsid w:val="00C455D9"/>
    <w:rsid w:val="00C4575B"/>
    <w:rsid w:val="00C45A98"/>
    <w:rsid w:val="00C461AC"/>
    <w:rsid w:val="00C47DB6"/>
    <w:rsid w:val="00C51205"/>
    <w:rsid w:val="00C51B2D"/>
    <w:rsid w:val="00C54B41"/>
    <w:rsid w:val="00C54DED"/>
    <w:rsid w:val="00C55630"/>
    <w:rsid w:val="00C565CE"/>
    <w:rsid w:val="00C61F49"/>
    <w:rsid w:val="00C63441"/>
    <w:rsid w:val="00C63B7C"/>
    <w:rsid w:val="00C64FA1"/>
    <w:rsid w:val="00C65509"/>
    <w:rsid w:val="00C677D5"/>
    <w:rsid w:val="00C67815"/>
    <w:rsid w:val="00C723B9"/>
    <w:rsid w:val="00C72753"/>
    <w:rsid w:val="00C75B7A"/>
    <w:rsid w:val="00C76069"/>
    <w:rsid w:val="00C764CE"/>
    <w:rsid w:val="00C76750"/>
    <w:rsid w:val="00C76BAD"/>
    <w:rsid w:val="00C80822"/>
    <w:rsid w:val="00C82920"/>
    <w:rsid w:val="00C84A78"/>
    <w:rsid w:val="00C929E0"/>
    <w:rsid w:val="00C9433A"/>
    <w:rsid w:val="00C95D87"/>
    <w:rsid w:val="00C97714"/>
    <w:rsid w:val="00C97A09"/>
    <w:rsid w:val="00CA3541"/>
    <w:rsid w:val="00CA36AC"/>
    <w:rsid w:val="00CA3F47"/>
    <w:rsid w:val="00CA40CE"/>
    <w:rsid w:val="00CA6300"/>
    <w:rsid w:val="00CB162F"/>
    <w:rsid w:val="00CB1E88"/>
    <w:rsid w:val="00CB37ED"/>
    <w:rsid w:val="00CB3988"/>
    <w:rsid w:val="00CB4348"/>
    <w:rsid w:val="00CB5B12"/>
    <w:rsid w:val="00CB5CB6"/>
    <w:rsid w:val="00CB6047"/>
    <w:rsid w:val="00CC2816"/>
    <w:rsid w:val="00CC328D"/>
    <w:rsid w:val="00CC3E58"/>
    <w:rsid w:val="00CC4363"/>
    <w:rsid w:val="00CD0208"/>
    <w:rsid w:val="00CD0F58"/>
    <w:rsid w:val="00CD429B"/>
    <w:rsid w:val="00CD586D"/>
    <w:rsid w:val="00CD5DAD"/>
    <w:rsid w:val="00CD799C"/>
    <w:rsid w:val="00CE1CCE"/>
    <w:rsid w:val="00CE5DFC"/>
    <w:rsid w:val="00CE6CA6"/>
    <w:rsid w:val="00CF32A7"/>
    <w:rsid w:val="00CF5815"/>
    <w:rsid w:val="00CF68F4"/>
    <w:rsid w:val="00CF6B10"/>
    <w:rsid w:val="00CF7F96"/>
    <w:rsid w:val="00D000EF"/>
    <w:rsid w:val="00D0052B"/>
    <w:rsid w:val="00D00AFA"/>
    <w:rsid w:val="00D0193F"/>
    <w:rsid w:val="00D022A0"/>
    <w:rsid w:val="00D0312C"/>
    <w:rsid w:val="00D052DC"/>
    <w:rsid w:val="00D10B63"/>
    <w:rsid w:val="00D11CB8"/>
    <w:rsid w:val="00D14632"/>
    <w:rsid w:val="00D14D06"/>
    <w:rsid w:val="00D152DB"/>
    <w:rsid w:val="00D16A16"/>
    <w:rsid w:val="00D2050A"/>
    <w:rsid w:val="00D211A0"/>
    <w:rsid w:val="00D21631"/>
    <w:rsid w:val="00D235A2"/>
    <w:rsid w:val="00D309AE"/>
    <w:rsid w:val="00D3106C"/>
    <w:rsid w:val="00D33A6D"/>
    <w:rsid w:val="00D34D99"/>
    <w:rsid w:val="00D35B12"/>
    <w:rsid w:val="00D3638B"/>
    <w:rsid w:val="00D36AB1"/>
    <w:rsid w:val="00D36F58"/>
    <w:rsid w:val="00D37B3A"/>
    <w:rsid w:val="00D411F9"/>
    <w:rsid w:val="00D41BFA"/>
    <w:rsid w:val="00D42640"/>
    <w:rsid w:val="00D42AB1"/>
    <w:rsid w:val="00D46169"/>
    <w:rsid w:val="00D46E88"/>
    <w:rsid w:val="00D46EEB"/>
    <w:rsid w:val="00D47DD9"/>
    <w:rsid w:val="00D50126"/>
    <w:rsid w:val="00D50D76"/>
    <w:rsid w:val="00D51517"/>
    <w:rsid w:val="00D52815"/>
    <w:rsid w:val="00D5341B"/>
    <w:rsid w:val="00D53653"/>
    <w:rsid w:val="00D56CE1"/>
    <w:rsid w:val="00D57E1E"/>
    <w:rsid w:val="00D60733"/>
    <w:rsid w:val="00D60C72"/>
    <w:rsid w:val="00D635C0"/>
    <w:rsid w:val="00D63900"/>
    <w:rsid w:val="00D63E11"/>
    <w:rsid w:val="00D64110"/>
    <w:rsid w:val="00D66629"/>
    <w:rsid w:val="00D675E1"/>
    <w:rsid w:val="00D71F7B"/>
    <w:rsid w:val="00D723EA"/>
    <w:rsid w:val="00D7627C"/>
    <w:rsid w:val="00D76378"/>
    <w:rsid w:val="00D80056"/>
    <w:rsid w:val="00D82C86"/>
    <w:rsid w:val="00D840D9"/>
    <w:rsid w:val="00D8444B"/>
    <w:rsid w:val="00D84F9E"/>
    <w:rsid w:val="00D85294"/>
    <w:rsid w:val="00D92A65"/>
    <w:rsid w:val="00D934F5"/>
    <w:rsid w:val="00D95267"/>
    <w:rsid w:val="00DA3D0D"/>
    <w:rsid w:val="00DA49AB"/>
    <w:rsid w:val="00DA4D9B"/>
    <w:rsid w:val="00DA6D36"/>
    <w:rsid w:val="00DA74A1"/>
    <w:rsid w:val="00DB2EB6"/>
    <w:rsid w:val="00DB5A8A"/>
    <w:rsid w:val="00DB5EB2"/>
    <w:rsid w:val="00DC0688"/>
    <w:rsid w:val="00DC2583"/>
    <w:rsid w:val="00DC2F42"/>
    <w:rsid w:val="00DC506A"/>
    <w:rsid w:val="00DC585E"/>
    <w:rsid w:val="00DC6257"/>
    <w:rsid w:val="00DC7370"/>
    <w:rsid w:val="00DC7383"/>
    <w:rsid w:val="00DD20A1"/>
    <w:rsid w:val="00DD284F"/>
    <w:rsid w:val="00DD4945"/>
    <w:rsid w:val="00DD52F7"/>
    <w:rsid w:val="00DD53A2"/>
    <w:rsid w:val="00DD5C4A"/>
    <w:rsid w:val="00DD651F"/>
    <w:rsid w:val="00DD7F62"/>
    <w:rsid w:val="00DE1E27"/>
    <w:rsid w:val="00DE1F14"/>
    <w:rsid w:val="00DE2BB0"/>
    <w:rsid w:val="00DE4DFA"/>
    <w:rsid w:val="00DE5DD3"/>
    <w:rsid w:val="00DE75EE"/>
    <w:rsid w:val="00DF2A03"/>
    <w:rsid w:val="00DF42CE"/>
    <w:rsid w:val="00DF4732"/>
    <w:rsid w:val="00DF64EA"/>
    <w:rsid w:val="00DF6E10"/>
    <w:rsid w:val="00E021D3"/>
    <w:rsid w:val="00E02662"/>
    <w:rsid w:val="00E06F2A"/>
    <w:rsid w:val="00E06FFB"/>
    <w:rsid w:val="00E077F2"/>
    <w:rsid w:val="00E07977"/>
    <w:rsid w:val="00E07E77"/>
    <w:rsid w:val="00E1255E"/>
    <w:rsid w:val="00E131D5"/>
    <w:rsid w:val="00E145B0"/>
    <w:rsid w:val="00E154E6"/>
    <w:rsid w:val="00E164A7"/>
    <w:rsid w:val="00E2156D"/>
    <w:rsid w:val="00E2271F"/>
    <w:rsid w:val="00E23655"/>
    <w:rsid w:val="00E27080"/>
    <w:rsid w:val="00E27761"/>
    <w:rsid w:val="00E27E6C"/>
    <w:rsid w:val="00E31265"/>
    <w:rsid w:val="00E31AF8"/>
    <w:rsid w:val="00E34A7F"/>
    <w:rsid w:val="00E35565"/>
    <w:rsid w:val="00E360CC"/>
    <w:rsid w:val="00E36104"/>
    <w:rsid w:val="00E366C1"/>
    <w:rsid w:val="00E36D38"/>
    <w:rsid w:val="00E36EC3"/>
    <w:rsid w:val="00E3765A"/>
    <w:rsid w:val="00E3789A"/>
    <w:rsid w:val="00E4195D"/>
    <w:rsid w:val="00E42A6F"/>
    <w:rsid w:val="00E42F0D"/>
    <w:rsid w:val="00E444A1"/>
    <w:rsid w:val="00E44948"/>
    <w:rsid w:val="00E51900"/>
    <w:rsid w:val="00E54C05"/>
    <w:rsid w:val="00E558E9"/>
    <w:rsid w:val="00E56440"/>
    <w:rsid w:val="00E60758"/>
    <w:rsid w:val="00E6084B"/>
    <w:rsid w:val="00E612DC"/>
    <w:rsid w:val="00E6137F"/>
    <w:rsid w:val="00E61531"/>
    <w:rsid w:val="00E6192B"/>
    <w:rsid w:val="00E62DED"/>
    <w:rsid w:val="00E6434E"/>
    <w:rsid w:val="00E7054C"/>
    <w:rsid w:val="00E72FE3"/>
    <w:rsid w:val="00E730AF"/>
    <w:rsid w:val="00E76954"/>
    <w:rsid w:val="00E779E9"/>
    <w:rsid w:val="00E811E3"/>
    <w:rsid w:val="00E81C36"/>
    <w:rsid w:val="00E82A7D"/>
    <w:rsid w:val="00E82BA4"/>
    <w:rsid w:val="00E841BB"/>
    <w:rsid w:val="00E849C5"/>
    <w:rsid w:val="00E85305"/>
    <w:rsid w:val="00E860F1"/>
    <w:rsid w:val="00E862DA"/>
    <w:rsid w:val="00E87615"/>
    <w:rsid w:val="00E87B8C"/>
    <w:rsid w:val="00E919A0"/>
    <w:rsid w:val="00E92FB3"/>
    <w:rsid w:val="00E952BB"/>
    <w:rsid w:val="00EA0A96"/>
    <w:rsid w:val="00EA1B87"/>
    <w:rsid w:val="00EA240D"/>
    <w:rsid w:val="00EA2573"/>
    <w:rsid w:val="00EA3C1F"/>
    <w:rsid w:val="00EA759B"/>
    <w:rsid w:val="00EA7A84"/>
    <w:rsid w:val="00EB046C"/>
    <w:rsid w:val="00EB15EA"/>
    <w:rsid w:val="00EB1D6C"/>
    <w:rsid w:val="00EB27B6"/>
    <w:rsid w:val="00EB368D"/>
    <w:rsid w:val="00EB446E"/>
    <w:rsid w:val="00EB6826"/>
    <w:rsid w:val="00EB7502"/>
    <w:rsid w:val="00EC033A"/>
    <w:rsid w:val="00EC4921"/>
    <w:rsid w:val="00EC6D60"/>
    <w:rsid w:val="00ED0DF6"/>
    <w:rsid w:val="00ED1682"/>
    <w:rsid w:val="00ED19F2"/>
    <w:rsid w:val="00ED6913"/>
    <w:rsid w:val="00ED78C0"/>
    <w:rsid w:val="00ED7A30"/>
    <w:rsid w:val="00ED7BFC"/>
    <w:rsid w:val="00EE060A"/>
    <w:rsid w:val="00EE0D99"/>
    <w:rsid w:val="00EE1FB5"/>
    <w:rsid w:val="00EE20CB"/>
    <w:rsid w:val="00EE20FD"/>
    <w:rsid w:val="00EF161F"/>
    <w:rsid w:val="00EF18B8"/>
    <w:rsid w:val="00EF31C8"/>
    <w:rsid w:val="00EF45F7"/>
    <w:rsid w:val="00EF506B"/>
    <w:rsid w:val="00F02BF9"/>
    <w:rsid w:val="00F045F5"/>
    <w:rsid w:val="00F05EDD"/>
    <w:rsid w:val="00F071F9"/>
    <w:rsid w:val="00F12642"/>
    <w:rsid w:val="00F13E7D"/>
    <w:rsid w:val="00F141FF"/>
    <w:rsid w:val="00F14B9F"/>
    <w:rsid w:val="00F17188"/>
    <w:rsid w:val="00F21C2C"/>
    <w:rsid w:val="00F238ED"/>
    <w:rsid w:val="00F25CBE"/>
    <w:rsid w:val="00F27473"/>
    <w:rsid w:val="00F274BF"/>
    <w:rsid w:val="00F275D4"/>
    <w:rsid w:val="00F35C98"/>
    <w:rsid w:val="00F35D5D"/>
    <w:rsid w:val="00F379EF"/>
    <w:rsid w:val="00F402EC"/>
    <w:rsid w:val="00F40850"/>
    <w:rsid w:val="00F40FAD"/>
    <w:rsid w:val="00F4212A"/>
    <w:rsid w:val="00F42B76"/>
    <w:rsid w:val="00F43198"/>
    <w:rsid w:val="00F43899"/>
    <w:rsid w:val="00F43CFA"/>
    <w:rsid w:val="00F447B3"/>
    <w:rsid w:val="00F45EDA"/>
    <w:rsid w:val="00F46453"/>
    <w:rsid w:val="00F475E4"/>
    <w:rsid w:val="00F47D37"/>
    <w:rsid w:val="00F5455C"/>
    <w:rsid w:val="00F5625E"/>
    <w:rsid w:val="00F56495"/>
    <w:rsid w:val="00F5670C"/>
    <w:rsid w:val="00F62802"/>
    <w:rsid w:val="00F63A56"/>
    <w:rsid w:val="00F65662"/>
    <w:rsid w:val="00F673D8"/>
    <w:rsid w:val="00F70724"/>
    <w:rsid w:val="00F73D8F"/>
    <w:rsid w:val="00F74413"/>
    <w:rsid w:val="00F74C2D"/>
    <w:rsid w:val="00F75386"/>
    <w:rsid w:val="00F77CE8"/>
    <w:rsid w:val="00F81501"/>
    <w:rsid w:val="00F83139"/>
    <w:rsid w:val="00F83C09"/>
    <w:rsid w:val="00F83EE6"/>
    <w:rsid w:val="00F84AA6"/>
    <w:rsid w:val="00F85866"/>
    <w:rsid w:val="00F85ADB"/>
    <w:rsid w:val="00F905EF"/>
    <w:rsid w:val="00F9133D"/>
    <w:rsid w:val="00FA1A8B"/>
    <w:rsid w:val="00FA32C4"/>
    <w:rsid w:val="00FA3439"/>
    <w:rsid w:val="00FA6AD3"/>
    <w:rsid w:val="00FA6DBD"/>
    <w:rsid w:val="00FA7C5A"/>
    <w:rsid w:val="00FB0743"/>
    <w:rsid w:val="00FB0D7C"/>
    <w:rsid w:val="00FB162D"/>
    <w:rsid w:val="00FB1B19"/>
    <w:rsid w:val="00FB1C2E"/>
    <w:rsid w:val="00FB4196"/>
    <w:rsid w:val="00FB527B"/>
    <w:rsid w:val="00FB61AC"/>
    <w:rsid w:val="00FB63AE"/>
    <w:rsid w:val="00FB6841"/>
    <w:rsid w:val="00FC00F4"/>
    <w:rsid w:val="00FC0B83"/>
    <w:rsid w:val="00FC1B12"/>
    <w:rsid w:val="00FC2E8B"/>
    <w:rsid w:val="00FC3C57"/>
    <w:rsid w:val="00FC6942"/>
    <w:rsid w:val="00FD0C94"/>
    <w:rsid w:val="00FD0FD8"/>
    <w:rsid w:val="00FD243B"/>
    <w:rsid w:val="00FD2488"/>
    <w:rsid w:val="00FD26C8"/>
    <w:rsid w:val="00FD28D5"/>
    <w:rsid w:val="00FD29CC"/>
    <w:rsid w:val="00FD4036"/>
    <w:rsid w:val="00FD4E91"/>
    <w:rsid w:val="00FD7AF2"/>
    <w:rsid w:val="00FE0CA3"/>
    <w:rsid w:val="00FE2166"/>
    <w:rsid w:val="00FE2179"/>
    <w:rsid w:val="00FE2B64"/>
    <w:rsid w:val="00FE3571"/>
    <w:rsid w:val="00FE67B4"/>
    <w:rsid w:val="00FE7D3D"/>
    <w:rsid w:val="00FF1B59"/>
    <w:rsid w:val="00FF2F43"/>
    <w:rsid w:val="00FF3B77"/>
    <w:rsid w:val="00FF58D6"/>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31F92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9EB"/>
    <w:rPr>
      <w:sz w:val="24"/>
      <w:szCs w:val="24"/>
    </w:rPr>
  </w:style>
  <w:style w:type="paragraph" w:styleId="Heading1">
    <w:name w:val="heading 1"/>
    <w:basedOn w:val="Normal"/>
    <w:next w:val="Normal"/>
    <w:link w:val="Heading1Char"/>
    <w:uiPriority w:val="99"/>
    <w:qFormat/>
    <w:rsid w:val="00F753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75386"/>
    <w:pPr>
      <w:keepNext/>
      <w:jc w:val="center"/>
      <w:outlineLvl w:val="1"/>
    </w:pPr>
    <w:rPr>
      <w:u w:val="single"/>
    </w:rPr>
  </w:style>
  <w:style w:type="paragraph" w:styleId="Heading3">
    <w:name w:val="heading 3"/>
    <w:basedOn w:val="Normal"/>
    <w:next w:val="Normal"/>
    <w:link w:val="Heading3Char"/>
    <w:uiPriority w:val="99"/>
    <w:qFormat/>
    <w:rsid w:val="00F75386"/>
    <w:pPr>
      <w:keepNext/>
      <w:jc w:val="center"/>
      <w:outlineLvl w:val="2"/>
    </w:pPr>
    <w:rPr>
      <w:b/>
      <w:bCs/>
    </w:rPr>
  </w:style>
  <w:style w:type="paragraph" w:styleId="Heading4">
    <w:name w:val="heading 4"/>
    <w:basedOn w:val="Normal"/>
    <w:next w:val="Normal"/>
    <w:link w:val="Heading4Char"/>
    <w:uiPriority w:val="99"/>
    <w:qFormat/>
    <w:rsid w:val="00F75386"/>
    <w:pPr>
      <w:keepNext/>
      <w:keepLines/>
      <w:jc w:val="center"/>
      <w:outlineLvl w:val="3"/>
    </w:pPr>
    <w:rPr>
      <w:b/>
      <w:bCs/>
      <w:color w:val="000000"/>
    </w:rPr>
  </w:style>
  <w:style w:type="paragraph" w:styleId="Heading5">
    <w:name w:val="heading 5"/>
    <w:basedOn w:val="Normal"/>
    <w:next w:val="Normal"/>
    <w:link w:val="Heading5Char"/>
    <w:uiPriority w:val="99"/>
    <w:qFormat/>
    <w:rsid w:val="00F75386"/>
    <w:pPr>
      <w:keepNext/>
      <w:keepLines/>
      <w:jc w:val="center"/>
      <w:outlineLvl w:val="4"/>
    </w:pPr>
    <w:rPr>
      <w:b/>
      <w:bCs/>
      <w:color w:val="000000"/>
      <w:u w:val="single"/>
    </w:rPr>
  </w:style>
  <w:style w:type="paragraph" w:styleId="Heading6">
    <w:name w:val="heading 6"/>
    <w:basedOn w:val="Normal"/>
    <w:next w:val="Normal"/>
    <w:link w:val="Heading6Char"/>
    <w:uiPriority w:val="99"/>
    <w:qFormat/>
    <w:rsid w:val="00F75386"/>
    <w:pPr>
      <w:keepNext/>
      <w:outlineLvl w:val="5"/>
    </w:pPr>
    <w:rPr>
      <w:b/>
      <w:bCs/>
    </w:rPr>
  </w:style>
  <w:style w:type="paragraph" w:styleId="Heading7">
    <w:name w:val="heading 7"/>
    <w:basedOn w:val="Normal"/>
    <w:next w:val="Normal"/>
    <w:link w:val="Heading7Char"/>
    <w:uiPriority w:val="99"/>
    <w:qFormat/>
    <w:rsid w:val="00F75386"/>
    <w:pPr>
      <w:spacing w:before="240" w:after="60"/>
      <w:outlineLvl w:val="6"/>
    </w:pPr>
  </w:style>
  <w:style w:type="paragraph" w:styleId="Heading8">
    <w:name w:val="heading 8"/>
    <w:basedOn w:val="Normal"/>
    <w:next w:val="Normal"/>
    <w:link w:val="Heading8Char"/>
    <w:uiPriority w:val="99"/>
    <w:qFormat/>
    <w:rsid w:val="00F75386"/>
    <w:pPr>
      <w:spacing w:before="240" w:after="60"/>
      <w:outlineLvl w:val="7"/>
    </w:pPr>
    <w:rPr>
      <w:i/>
      <w:iCs/>
    </w:rPr>
  </w:style>
  <w:style w:type="paragraph" w:styleId="Heading9">
    <w:name w:val="heading 9"/>
    <w:basedOn w:val="Normal"/>
    <w:next w:val="Normal"/>
    <w:link w:val="Heading9Char"/>
    <w:uiPriority w:val="99"/>
    <w:qFormat/>
    <w:rsid w:val="00F7538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0C1F"/>
    <w:rPr>
      <w:rFonts w:ascii="Cambria" w:hAnsi="Cambria" w:cs="Times New Roman"/>
      <w:b/>
      <w:bCs/>
      <w:kern w:val="32"/>
      <w:sz w:val="32"/>
      <w:szCs w:val="32"/>
    </w:rPr>
  </w:style>
  <w:style w:type="character" w:customStyle="1" w:styleId="Heading2Char">
    <w:name w:val="Heading 2 Char"/>
    <w:link w:val="Heading2"/>
    <w:uiPriority w:val="99"/>
    <w:semiHidden/>
    <w:locked/>
    <w:rsid w:val="00890C1F"/>
    <w:rPr>
      <w:rFonts w:ascii="Cambria" w:hAnsi="Cambria" w:cs="Times New Roman"/>
      <w:b/>
      <w:bCs/>
      <w:i/>
      <w:iCs/>
      <w:sz w:val="28"/>
      <w:szCs w:val="28"/>
    </w:rPr>
  </w:style>
  <w:style w:type="character" w:customStyle="1" w:styleId="Heading3Char">
    <w:name w:val="Heading 3 Char"/>
    <w:link w:val="Heading3"/>
    <w:uiPriority w:val="99"/>
    <w:semiHidden/>
    <w:locked/>
    <w:rsid w:val="00890C1F"/>
    <w:rPr>
      <w:rFonts w:ascii="Cambria" w:hAnsi="Cambria" w:cs="Times New Roman"/>
      <w:b/>
      <w:bCs/>
      <w:sz w:val="26"/>
      <w:szCs w:val="26"/>
    </w:rPr>
  </w:style>
  <w:style w:type="character" w:customStyle="1" w:styleId="Heading4Char">
    <w:name w:val="Heading 4 Char"/>
    <w:link w:val="Heading4"/>
    <w:uiPriority w:val="99"/>
    <w:semiHidden/>
    <w:locked/>
    <w:rsid w:val="00890C1F"/>
    <w:rPr>
      <w:rFonts w:ascii="Calibri" w:hAnsi="Calibri" w:cs="Times New Roman"/>
      <w:b/>
      <w:bCs/>
      <w:sz w:val="28"/>
      <w:szCs w:val="28"/>
    </w:rPr>
  </w:style>
  <w:style w:type="character" w:customStyle="1" w:styleId="Heading5Char">
    <w:name w:val="Heading 5 Char"/>
    <w:link w:val="Heading5"/>
    <w:uiPriority w:val="99"/>
    <w:semiHidden/>
    <w:locked/>
    <w:rsid w:val="00890C1F"/>
    <w:rPr>
      <w:rFonts w:ascii="Calibri" w:hAnsi="Calibri" w:cs="Times New Roman"/>
      <w:b/>
      <w:bCs/>
      <w:i/>
      <w:iCs/>
      <w:sz w:val="26"/>
      <w:szCs w:val="26"/>
    </w:rPr>
  </w:style>
  <w:style w:type="character" w:customStyle="1" w:styleId="Heading6Char">
    <w:name w:val="Heading 6 Char"/>
    <w:link w:val="Heading6"/>
    <w:uiPriority w:val="99"/>
    <w:semiHidden/>
    <w:locked/>
    <w:rsid w:val="00890C1F"/>
    <w:rPr>
      <w:rFonts w:ascii="Calibri" w:hAnsi="Calibri" w:cs="Times New Roman"/>
      <w:b/>
      <w:bCs/>
    </w:rPr>
  </w:style>
  <w:style w:type="character" w:customStyle="1" w:styleId="Heading7Char">
    <w:name w:val="Heading 7 Char"/>
    <w:link w:val="Heading7"/>
    <w:uiPriority w:val="99"/>
    <w:semiHidden/>
    <w:locked/>
    <w:rsid w:val="00890C1F"/>
    <w:rPr>
      <w:rFonts w:ascii="Calibri" w:hAnsi="Calibri" w:cs="Times New Roman"/>
      <w:sz w:val="24"/>
      <w:szCs w:val="24"/>
    </w:rPr>
  </w:style>
  <w:style w:type="character" w:customStyle="1" w:styleId="Heading8Char">
    <w:name w:val="Heading 8 Char"/>
    <w:link w:val="Heading8"/>
    <w:uiPriority w:val="99"/>
    <w:semiHidden/>
    <w:locked/>
    <w:rsid w:val="00890C1F"/>
    <w:rPr>
      <w:rFonts w:ascii="Calibri" w:hAnsi="Calibri" w:cs="Times New Roman"/>
      <w:i/>
      <w:iCs/>
      <w:sz w:val="24"/>
      <w:szCs w:val="24"/>
    </w:rPr>
  </w:style>
  <w:style w:type="character" w:customStyle="1" w:styleId="Heading9Char">
    <w:name w:val="Heading 9 Char"/>
    <w:link w:val="Heading9"/>
    <w:uiPriority w:val="99"/>
    <w:semiHidden/>
    <w:locked/>
    <w:rsid w:val="00890C1F"/>
    <w:rPr>
      <w:rFonts w:ascii="Cambria" w:hAnsi="Cambria" w:cs="Times New Roman"/>
    </w:rPr>
  </w:style>
  <w:style w:type="paragraph" w:styleId="Header">
    <w:name w:val="header"/>
    <w:basedOn w:val="Normal"/>
    <w:link w:val="HeaderChar"/>
    <w:rsid w:val="00F75386"/>
    <w:pPr>
      <w:tabs>
        <w:tab w:val="center" w:pos="4320"/>
        <w:tab w:val="right" w:pos="8640"/>
      </w:tabs>
    </w:pPr>
  </w:style>
  <w:style w:type="character" w:customStyle="1" w:styleId="HeaderChar">
    <w:name w:val="Header Char"/>
    <w:link w:val="Header"/>
    <w:uiPriority w:val="99"/>
    <w:semiHidden/>
    <w:locked/>
    <w:rsid w:val="00890C1F"/>
    <w:rPr>
      <w:rFonts w:cs="Times New Roman"/>
      <w:sz w:val="24"/>
      <w:szCs w:val="24"/>
    </w:rPr>
  </w:style>
  <w:style w:type="paragraph" w:styleId="Footer">
    <w:name w:val="footer"/>
    <w:basedOn w:val="Normal"/>
    <w:link w:val="FooterChar"/>
    <w:uiPriority w:val="99"/>
    <w:rsid w:val="00F75386"/>
    <w:pPr>
      <w:tabs>
        <w:tab w:val="center" w:pos="4320"/>
        <w:tab w:val="right" w:pos="8640"/>
      </w:tabs>
    </w:pPr>
  </w:style>
  <w:style w:type="character" w:customStyle="1" w:styleId="FooterChar">
    <w:name w:val="Footer Char"/>
    <w:link w:val="Footer"/>
    <w:uiPriority w:val="99"/>
    <w:semiHidden/>
    <w:locked/>
    <w:rsid w:val="00890C1F"/>
    <w:rPr>
      <w:rFonts w:cs="Times New Roman"/>
      <w:sz w:val="24"/>
      <w:szCs w:val="24"/>
    </w:rPr>
  </w:style>
  <w:style w:type="character" w:styleId="PageNumber">
    <w:name w:val="page number"/>
    <w:uiPriority w:val="99"/>
    <w:rsid w:val="007C4F62"/>
    <w:rPr>
      <w:rFonts w:cs="Times New Roman"/>
      <w:b/>
      <w:sz w:val="20"/>
    </w:rPr>
  </w:style>
  <w:style w:type="paragraph" w:styleId="BodyText">
    <w:name w:val="Body Text"/>
    <w:basedOn w:val="Normal"/>
    <w:link w:val="BodyTextChar"/>
    <w:rsid w:val="00F75386"/>
    <w:pPr>
      <w:jc w:val="center"/>
    </w:pPr>
  </w:style>
  <w:style w:type="character" w:customStyle="1" w:styleId="BodyTextChar">
    <w:name w:val="Body Text Char"/>
    <w:link w:val="BodyText"/>
    <w:uiPriority w:val="99"/>
    <w:semiHidden/>
    <w:locked/>
    <w:rsid w:val="00890C1F"/>
    <w:rPr>
      <w:rFonts w:cs="Times New Roman"/>
      <w:sz w:val="24"/>
      <w:szCs w:val="24"/>
    </w:rPr>
  </w:style>
  <w:style w:type="paragraph" w:styleId="BodyTextIndent">
    <w:name w:val="Body Text Indent"/>
    <w:basedOn w:val="Normal"/>
    <w:link w:val="BodyTextIndentChar"/>
    <w:uiPriority w:val="99"/>
    <w:rsid w:val="00F75386"/>
    <w:pPr>
      <w:ind w:firstLine="720"/>
    </w:pPr>
  </w:style>
  <w:style w:type="character" w:customStyle="1" w:styleId="BodyTextIndentChar">
    <w:name w:val="Body Text Indent Char"/>
    <w:link w:val="BodyTextIndent"/>
    <w:uiPriority w:val="99"/>
    <w:semiHidden/>
    <w:locked/>
    <w:rsid w:val="00890C1F"/>
    <w:rPr>
      <w:rFonts w:cs="Times New Roman"/>
      <w:sz w:val="24"/>
      <w:szCs w:val="24"/>
    </w:rPr>
  </w:style>
  <w:style w:type="paragraph" w:customStyle="1" w:styleId="FindingsConclusions">
    <w:name w:val="Findings &amp; Conclusions"/>
    <w:basedOn w:val="Normal"/>
    <w:uiPriority w:val="99"/>
    <w:rsid w:val="00F75386"/>
    <w:pPr>
      <w:tabs>
        <w:tab w:val="num" w:pos="0"/>
      </w:tabs>
      <w:ind w:hanging="1080"/>
    </w:pPr>
  </w:style>
  <w:style w:type="paragraph" w:styleId="BodyText2">
    <w:name w:val="Body Text 2"/>
    <w:basedOn w:val="Normal"/>
    <w:link w:val="BodyText2Char"/>
    <w:uiPriority w:val="99"/>
    <w:rsid w:val="00F75386"/>
    <w:pPr>
      <w:autoSpaceDE w:val="0"/>
      <w:autoSpaceDN w:val="0"/>
      <w:adjustRightInd w:val="0"/>
      <w:spacing w:line="240" w:lineRule="atLeast"/>
    </w:pPr>
    <w:rPr>
      <w:color w:val="000000"/>
    </w:rPr>
  </w:style>
  <w:style w:type="character" w:customStyle="1" w:styleId="BodyText2Char">
    <w:name w:val="Body Text 2 Char"/>
    <w:link w:val="BodyText2"/>
    <w:uiPriority w:val="99"/>
    <w:semiHidden/>
    <w:locked/>
    <w:rsid w:val="00890C1F"/>
    <w:rPr>
      <w:rFonts w:cs="Times New Roman"/>
      <w:sz w:val="24"/>
      <w:szCs w:val="24"/>
    </w:rPr>
  </w:style>
  <w:style w:type="paragraph" w:styleId="BodyText3">
    <w:name w:val="Body Text 3"/>
    <w:basedOn w:val="Normal"/>
    <w:link w:val="BodyText3Char"/>
    <w:uiPriority w:val="99"/>
    <w:rsid w:val="00F75386"/>
    <w:rPr>
      <w:b/>
      <w:bCs/>
    </w:rPr>
  </w:style>
  <w:style w:type="character" w:customStyle="1" w:styleId="BodyText3Char">
    <w:name w:val="Body Text 3 Char"/>
    <w:link w:val="BodyText3"/>
    <w:uiPriority w:val="99"/>
    <w:semiHidden/>
    <w:locked/>
    <w:rsid w:val="00890C1F"/>
    <w:rPr>
      <w:rFonts w:cs="Times New Roman"/>
      <w:sz w:val="16"/>
      <w:szCs w:val="16"/>
    </w:rPr>
  </w:style>
  <w:style w:type="paragraph" w:styleId="BlockText">
    <w:name w:val="Block Text"/>
    <w:basedOn w:val="Normal"/>
    <w:uiPriority w:val="99"/>
    <w:rsid w:val="00F75386"/>
    <w:pPr>
      <w:spacing w:after="120"/>
      <w:ind w:left="1440" w:right="1440"/>
    </w:pPr>
  </w:style>
  <w:style w:type="paragraph" w:styleId="BodyTextFirstIndent">
    <w:name w:val="Body Text First Indent"/>
    <w:basedOn w:val="BodyText"/>
    <w:link w:val="BodyTextFirstIndentChar"/>
    <w:uiPriority w:val="99"/>
    <w:rsid w:val="00F75386"/>
    <w:pPr>
      <w:spacing w:after="120"/>
      <w:ind w:firstLine="210"/>
      <w:jc w:val="left"/>
    </w:pPr>
  </w:style>
  <w:style w:type="character" w:customStyle="1" w:styleId="BodyTextFirstIndentChar">
    <w:name w:val="Body Text First Indent Char"/>
    <w:link w:val="BodyTextFirstIndent"/>
    <w:uiPriority w:val="99"/>
    <w:semiHidden/>
    <w:locked/>
    <w:rsid w:val="00890C1F"/>
    <w:rPr>
      <w:rFonts w:cs="Times New Roman"/>
      <w:sz w:val="24"/>
      <w:szCs w:val="24"/>
    </w:rPr>
  </w:style>
  <w:style w:type="paragraph" w:styleId="BodyTextFirstIndent2">
    <w:name w:val="Body Text First Indent 2"/>
    <w:basedOn w:val="BodyTextIndent"/>
    <w:link w:val="BodyTextFirstIndent2Char"/>
    <w:uiPriority w:val="99"/>
    <w:rsid w:val="00F75386"/>
    <w:pPr>
      <w:spacing w:after="120"/>
      <w:ind w:left="360" w:firstLine="210"/>
    </w:pPr>
  </w:style>
  <w:style w:type="character" w:customStyle="1" w:styleId="BodyTextFirstIndent2Char">
    <w:name w:val="Body Text First Indent 2 Char"/>
    <w:link w:val="BodyTextFirstIndent2"/>
    <w:uiPriority w:val="99"/>
    <w:semiHidden/>
    <w:locked/>
    <w:rsid w:val="00890C1F"/>
    <w:rPr>
      <w:rFonts w:cs="Times New Roman"/>
      <w:sz w:val="24"/>
      <w:szCs w:val="24"/>
    </w:rPr>
  </w:style>
  <w:style w:type="paragraph" w:styleId="BodyTextIndent2">
    <w:name w:val="Body Text Indent 2"/>
    <w:basedOn w:val="Normal"/>
    <w:link w:val="BodyTextIndent2Char"/>
    <w:uiPriority w:val="99"/>
    <w:rsid w:val="00F75386"/>
    <w:pPr>
      <w:spacing w:after="120" w:line="480" w:lineRule="auto"/>
      <w:ind w:left="360"/>
    </w:pPr>
  </w:style>
  <w:style w:type="character" w:customStyle="1" w:styleId="BodyTextIndent2Char">
    <w:name w:val="Body Text Indent 2 Char"/>
    <w:link w:val="BodyTextIndent2"/>
    <w:uiPriority w:val="99"/>
    <w:semiHidden/>
    <w:locked/>
    <w:rsid w:val="00890C1F"/>
    <w:rPr>
      <w:rFonts w:cs="Times New Roman"/>
      <w:sz w:val="24"/>
      <w:szCs w:val="24"/>
    </w:rPr>
  </w:style>
  <w:style w:type="paragraph" w:styleId="BodyTextIndent3">
    <w:name w:val="Body Text Indent 3"/>
    <w:basedOn w:val="Normal"/>
    <w:link w:val="BodyTextIndent3Char"/>
    <w:uiPriority w:val="99"/>
    <w:rsid w:val="00F75386"/>
    <w:pPr>
      <w:spacing w:after="120"/>
      <w:ind w:left="360"/>
    </w:pPr>
    <w:rPr>
      <w:sz w:val="16"/>
      <w:szCs w:val="16"/>
    </w:rPr>
  </w:style>
  <w:style w:type="character" w:customStyle="1" w:styleId="BodyTextIndent3Char">
    <w:name w:val="Body Text Indent 3 Char"/>
    <w:link w:val="BodyTextIndent3"/>
    <w:uiPriority w:val="99"/>
    <w:semiHidden/>
    <w:locked/>
    <w:rsid w:val="00890C1F"/>
    <w:rPr>
      <w:rFonts w:cs="Times New Roman"/>
      <w:sz w:val="16"/>
      <w:szCs w:val="16"/>
    </w:rPr>
  </w:style>
  <w:style w:type="paragraph" w:styleId="Caption">
    <w:name w:val="caption"/>
    <w:basedOn w:val="Normal"/>
    <w:next w:val="Normal"/>
    <w:uiPriority w:val="99"/>
    <w:qFormat/>
    <w:rsid w:val="00F75386"/>
    <w:pPr>
      <w:spacing w:before="120" w:after="120"/>
    </w:pPr>
    <w:rPr>
      <w:b/>
      <w:bCs/>
      <w:sz w:val="20"/>
      <w:szCs w:val="20"/>
    </w:rPr>
  </w:style>
  <w:style w:type="paragraph" w:styleId="Closing">
    <w:name w:val="Closing"/>
    <w:basedOn w:val="Normal"/>
    <w:link w:val="ClosingChar"/>
    <w:uiPriority w:val="99"/>
    <w:rsid w:val="00F75386"/>
    <w:pPr>
      <w:ind w:left="4320"/>
    </w:pPr>
  </w:style>
  <w:style w:type="character" w:customStyle="1" w:styleId="ClosingChar">
    <w:name w:val="Closing Char"/>
    <w:link w:val="Closing"/>
    <w:uiPriority w:val="99"/>
    <w:semiHidden/>
    <w:locked/>
    <w:rsid w:val="00890C1F"/>
    <w:rPr>
      <w:rFonts w:cs="Times New Roman"/>
      <w:sz w:val="24"/>
      <w:szCs w:val="24"/>
    </w:rPr>
  </w:style>
  <w:style w:type="paragraph" w:styleId="CommentText">
    <w:name w:val="annotation text"/>
    <w:basedOn w:val="Normal"/>
    <w:link w:val="CommentTextChar"/>
    <w:uiPriority w:val="99"/>
    <w:semiHidden/>
    <w:rsid w:val="00F75386"/>
    <w:rPr>
      <w:sz w:val="20"/>
      <w:szCs w:val="20"/>
    </w:rPr>
  </w:style>
  <w:style w:type="character" w:customStyle="1" w:styleId="CommentTextChar">
    <w:name w:val="Comment Text Char"/>
    <w:link w:val="CommentText"/>
    <w:uiPriority w:val="99"/>
    <w:semiHidden/>
    <w:locked/>
    <w:rsid w:val="00890C1F"/>
    <w:rPr>
      <w:rFonts w:cs="Times New Roman"/>
      <w:sz w:val="20"/>
      <w:szCs w:val="20"/>
    </w:rPr>
  </w:style>
  <w:style w:type="paragraph" w:styleId="Date">
    <w:name w:val="Date"/>
    <w:basedOn w:val="Normal"/>
    <w:next w:val="Normal"/>
    <w:link w:val="DateChar"/>
    <w:uiPriority w:val="99"/>
    <w:rsid w:val="00F75386"/>
  </w:style>
  <w:style w:type="character" w:customStyle="1" w:styleId="DateChar">
    <w:name w:val="Date Char"/>
    <w:link w:val="Date"/>
    <w:uiPriority w:val="99"/>
    <w:semiHidden/>
    <w:locked/>
    <w:rsid w:val="00890C1F"/>
    <w:rPr>
      <w:rFonts w:cs="Times New Roman"/>
      <w:sz w:val="24"/>
      <w:szCs w:val="24"/>
    </w:rPr>
  </w:style>
  <w:style w:type="paragraph" w:styleId="DocumentMap">
    <w:name w:val="Document Map"/>
    <w:basedOn w:val="Normal"/>
    <w:link w:val="DocumentMapChar"/>
    <w:uiPriority w:val="99"/>
    <w:semiHidden/>
    <w:rsid w:val="00F75386"/>
    <w:pPr>
      <w:shd w:val="clear" w:color="auto" w:fill="000080"/>
    </w:pPr>
    <w:rPr>
      <w:rFonts w:ascii="Tahoma" w:hAnsi="Tahoma" w:cs="Tahoma"/>
    </w:rPr>
  </w:style>
  <w:style w:type="character" w:customStyle="1" w:styleId="DocumentMapChar">
    <w:name w:val="Document Map Char"/>
    <w:link w:val="DocumentMap"/>
    <w:uiPriority w:val="99"/>
    <w:semiHidden/>
    <w:locked/>
    <w:rsid w:val="00890C1F"/>
    <w:rPr>
      <w:rFonts w:cs="Times New Roman"/>
      <w:sz w:val="2"/>
    </w:rPr>
  </w:style>
  <w:style w:type="paragraph" w:styleId="E-mailSignature">
    <w:name w:val="E-mail Signature"/>
    <w:basedOn w:val="Normal"/>
    <w:link w:val="E-mailSignatureChar"/>
    <w:uiPriority w:val="99"/>
    <w:rsid w:val="00F75386"/>
  </w:style>
  <w:style w:type="character" w:customStyle="1" w:styleId="E-mailSignatureChar">
    <w:name w:val="E-mail Signature Char"/>
    <w:link w:val="E-mailSignature"/>
    <w:uiPriority w:val="99"/>
    <w:semiHidden/>
    <w:locked/>
    <w:rsid w:val="00890C1F"/>
    <w:rPr>
      <w:rFonts w:cs="Times New Roman"/>
      <w:sz w:val="24"/>
      <w:szCs w:val="24"/>
    </w:rPr>
  </w:style>
  <w:style w:type="paragraph" w:styleId="EndnoteText">
    <w:name w:val="endnote text"/>
    <w:basedOn w:val="Normal"/>
    <w:link w:val="EndnoteTextChar"/>
    <w:uiPriority w:val="99"/>
    <w:semiHidden/>
    <w:rsid w:val="00F75386"/>
    <w:rPr>
      <w:sz w:val="20"/>
      <w:szCs w:val="20"/>
    </w:rPr>
  </w:style>
  <w:style w:type="character" w:customStyle="1" w:styleId="EndnoteTextChar">
    <w:name w:val="Endnote Text Char"/>
    <w:link w:val="EndnoteText"/>
    <w:uiPriority w:val="99"/>
    <w:semiHidden/>
    <w:locked/>
    <w:rsid w:val="00890C1F"/>
    <w:rPr>
      <w:rFonts w:cs="Times New Roman"/>
      <w:sz w:val="20"/>
      <w:szCs w:val="20"/>
    </w:rPr>
  </w:style>
  <w:style w:type="paragraph" w:styleId="EnvelopeAddress">
    <w:name w:val="envelope address"/>
    <w:basedOn w:val="Normal"/>
    <w:uiPriority w:val="99"/>
    <w:rsid w:val="00F75386"/>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F75386"/>
    <w:rPr>
      <w:rFonts w:ascii="Arial" w:hAnsi="Arial" w:cs="Arial"/>
      <w:sz w:val="20"/>
      <w:szCs w:val="20"/>
    </w:rPr>
  </w:style>
  <w:style w:type="paragraph" w:styleId="FootnoteText">
    <w:name w:val="footnote text"/>
    <w:basedOn w:val="Normal"/>
    <w:link w:val="FootnoteTextChar"/>
    <w:uiPriority w:val="99"/>
    <w:semiHidden/>
    <w:rsid w:val="00F75386"/>
    <w:rPr>
      <w:sz w:val="20"/>
      <w:szCs w:val="20"/>
    </w:rPr>
  </w:style>
  <w:style w:type="character" w:customStyle="1" w:styleId="FootnoteTextChar">
    <w:name w:val="Footnote Text Char"/>
    <w:link w:val="FootnoteText"/>
    <w:uiPriority w:val="99"/>
    <w:semiHidden/>
    <w:locked/>
    <w:rsid w:val="007B1930"/>
    <w:rPr>
      <w:rFonts w:cs="Times New Roman"/>
    </w:rPr>
  </w:style>
  <w:style w:type="paragraph" w:styleId="HTMLAddress">
    <w:name w:val="HTML Address"/>
    <w:basedOn w:val="Normal"/>
    <w:link w:val="HTMLAddressChar"/>
    <w:uiPriority w:val="99"/>
    <w:rsid w:val="00F75386"/>
    <w:rPr>
      <w:i/>
      <w:iCs/>
    </w:rPr>
  </w:style>
  <w:style w:type="character" w:customStyle="1" w:styleId="HTMLAddressChar">
    <w:name w:val="HTML Address Char"/>
    <w:link w:val="HTMLAddress"/>
    <w:uiPriority w:val="99"/>
    <w:semiHidden/>
    <w:locked/>
    <w:rsid w:val="00890C1F"/>
    <w:rPr>
      <w:rFonts w:cs="Times New Roman"/>
      <w:i/>
      <w:iCs/>
      <w:sz w:val="24"/>
      <w:szCs w:val="24"/>
    </w:rPr>
  </w:style>
  <w:style w:type="paragraph" w:styleId="HTMLPreformatted">
    <w:name w:val="HTML Preformatted"/>
    <w:basedOn w:val="Normal"/>
    <w:link w:val="HTMLPreformattedChar"/>
    <w:uiPriority w:val="99"/>
    <w:rsid w:val="00F75386"/>
    <w:rPr>
      <w:rFonts w:ascii="Courier New" w:hAnsi="Courier New" w:cs="Courier New"/>
      <w:sz w:val="20"/>
      <w:szCs w:val="20"/>
    </w:rPr>
  </w:style>
  <w:style w:type="character" w:customStyle="1" w:styleId="HTMLPreformattedChar">
    <w:name w:val="HTML Preformatted Char"/>
    <w:link w:val="HTMLPreformatted"/>
    <w:uiPriority w:val="99"/>
    <w:semiHidden/>
    <w:locked/>
    <w:rsid w:val="00890C1F"/>
    <w:rPr>
      <w:rFonts w:ascii="Courier New" w:hAnsi="Courier New" w:cs="Courier New"/>
      <w:sz w:val="20"/>
      <w:szCs w:val="20"/>
    </w:rPr>
  </w:style>
  <w:style w:type="paragraph" w:styleId="Index1">
    <w:name w:val="index 1"/>
    <w:basedOn w:val="Normal"/>
    <w:next w:val="Normal"/>
    <w:autoRedefine/>
    <w:uiPriority w:val="99"/>
    <w:semiHidden/>
    <w:rsid w:val="00F75386"/>
    <w:pPr>
      <w:ind w:left="240" w:hanging="240"/>
    </w:pPr>
  </w:style>
  <w:style w:type="paragraph" w:styleId="Index2">
    <w:name w:val="index 2"/>
    <w:basedOn w:val="Normal"/>
    <w:next w:val="Normal"/>
    <w:autoRedefine/>
    <w:uiPriority w:val="99"/>
    <w:semiHidden/>
    <w:rsid w:val="00F75386"/>
    <w:pPr>
      <w:ind w:left="480" w:hanging="240"/>
    </w:pPr>
  </w:style>
  <w:style w:type="paragraph" w:styleId="Index3">
    <w:name w:val="index 3"/>
    <w:basedOn w:val="Normal"/>
    <w:next w:val="Normal"/>
    <w:autoRedefine/>
    <w:uiPriority w:val="99"/>
    <w:semiHidden/>
    <w:rsid w:val="00F75386"/>
    <w:pPr>
      <w:ind w:left="720" w:hanging="240"/>
    </w:pPr>
  </w:style>
  <w:style w:type="paragraph" w:styleId="Index4">
    <w:name w:val="index 4"/>
    <w:basedOn w:val="Normal"/>
    <w:next w:val="Normal"/>
    <w:autoRedefine/>
    <w:uiPriority w:val="99"/>
    <w:semiHidden/>
    <w:rsid w:val="00F75386"/>
    <w:pPr>
      <w:ind w:left="960" w:hanging="240"/>
    </w:pPr>
  </w:style>
  <w:style w:type="paragraph" w:styleId="Index5">
    <w:name w:val="index 5"/>
    <w:basedOn w:val="Normal"/>
    <w:next w:val="Normal"/>
    <w:autoRedefine/>
    <w:uiPriority w:val="99"/>
    <w:semiHidden/>
    <w:rsid w:val="00F75386"/>
    <w:pPr>
      <w:ind w:left="1200" w:hanging="240"/>
    </w:pPr>
  </w:style>
  <w:style w:type="paragraph" w:styleId="Index6">
    <w:name w:val="index 6"/>
    <w:basedOn w:val="Normal"/>
    <w:next w:val="Normal"/>
    <w:autoRedefine/>
    <w:uiPriority w:val="99"/>
    <w:semiHidden/>
    <w:rsid w:val="00F75386"/>
    <w:pPr>
      <w:ind w:left="1440" w:hanging="240"/>
    </w:pPr>
  </w:style>
  <w:style w:type="paragraph" w:styleId="Index7">
    <w:name w:val="index 7"/>
    <w:basedOn w:val="Normal"/>
    <w:next w:val="Normal"/>
    <w:autoRedefine/>
    <w:uiPriority w:val="99"/>
    <w:semiHidden/>
    <w:rsid w:val="00F75386"/>
    <w:pPr>
      <w:ind w:left="1680" w:hanging="240"/>
    </w:pPr>
  </w:style>
  <w:style w:type="paragraph" w:styleId="Index8">
    <w:name w:val="index 8"/>
    <w:basedOn w:val="Normal"/>
    <w:next w:val="Normal"/>
    <w:autoRedefine/>
    <w:uiPriority w:val="99"/>
    <w:semiHidden/>
    <w:rsid w:val="00F75386"/>
    <w:pPr>
      <w:ind w:left="1920" w:hanging="240"/>
    </w:pPr>
  </w:style>
  <w:style w:type="paragraph" w:styleId="Index9">
    <w:name w:val="index 9"/>
    <w:basedOn w:val="Normal"/>
    <w:next w:val="Normal"/>
    <w:autoRedefine/>
    <w:uiPriority w:val="99"/>
    <w:semiHidden/>
    <w:rsid w:val="00F75386"/>
    <w:pPr>
      <w:ind w:left="2160" w:hanging="240"/>
    </w:pPr>
  </w:style>
  <w:style w:type="paragraph" w:styleId="IndexHeading">
    <w:name w:val="index heading"/>
    <w:basedOn w:val="Normal"/>
    <w:next w:val="Index1"/>
    <w:uiPriority w:val="99"/>
    <w:semiHidden/>
    <w:rsid w:val="00F75386"/>
    <w:rPr>
      <w:rFonts w:ascii="Arial" w:hAnsi="Arial" w:cs="Arial"/>
      <w:b/>
      <w:bCs/>
    </w:rPr>
  </w:style>
  <w:style w:type="paragraph" w:styleId="List">
    <w:name w:val="List"/>
    <w:basedOn w:val="Normal"/>
    <w:uiPriority w:val="99"/>
    <w:rsid w:val="00F75386"/>
    <w:pPr>
      <w:ind w:left="360" w:hanging="360"/>
    </w:pPr>
  </w:style>
  <w:style w:type="paragraph" w:styleId="List2">
    <w:name w:val="List 2"/>
    <w:basedOn w:val="Normal"/>
    <w:uiPriority w:val="99"/>
    <w:rsid w:val="00F75386"/>
    <w:pPr>
      <w:ind w:left="720" w:hanging="360"/>
    </w:pPr>
  </w:style>
  <w:style w:type="paragraph" w:styleId="List3">
    <w:name w:val="List 3"/>
    <w:basedOn w:val="Normal"/>
    <w:uiPriority w:val="99"/>
    <w:rsid w:val="00F75386"/>
    <w:pPr>
      <w:ind w:left="1080" w:hanging="360"/>
    </w:pPr>
  </w:style>
  <w:style w:type="paragraph" w:styleId="List4">
    <w:name w:val="List 4"/>
    <w:basedOn w:val="Normal"/>
    <w:uiPriority w:val="99"/>
    <w:rsid w:val="00F75386"/>
    <w:pPr>
      <w:ind w:left="1440" w:hanging="360"/>
    </w:pPr>
  </w:style>
  <w:style w:type="paragraph" w:styleId="List5">
    <w:name w:val="List 5"/>
    <w:basedOn w:val="Normal"/>
    <w:uiPriority w:val="99"/>
    <w:rsid w:val="00F75386"/>
    <w:pPr>
      <w:ind w:left="1800" w:hanging="360"/>
    </w:pPr>
  </w:style>
  <w:style w:type="paragraph" w:styleId="ListBullet">
    <w:name w:val="List Bullet"/>
    <w:basedOn w:val="Normal"/>
    <w:autoRedefine/>
    <w:uiPriority w:val="99"/>
    <w:rsid w:val="00F75386"/>
    <w:pPr>
      <w:tabs>
        <w:tab w:val="num" w:pos="360"/>
      </w:tabs>
      <w:ind w:left="360" w:hanging="360"/>
    </w:pPr>
  </w:style>
  <w:style w:type="paragraph" w:styleId="ListBullet2">
    <w:name w:val="List Bullet 2"/>
    <w:basedOn w:val="Normal"/>
    <w:autoRedefine/>
    <w:uiPriority w:val="99"/>
    <w:rsid w:val="00F75386"/>
    <w:pPr>
      <w:tabs>
        <w:tab w:val="num" w:pos="720"/>
      </w:tabs>
      <w:ind w:left="720" w:hanging="360"/>
    </w:pPr>
  </w:style>
  <w:style w:type="paragraph" w:styleId="ListBullet3">
    <w:name w:val="List Bullet 3"/>
    <w:basedOn w:val="Normal"/>
    <w:autoRedefine/>
    <w:uiPriority w:val="99"/>
    <w:rsid w:val="00F75386"/>
    <w:pPr>
      <w:tabs>
        <w:tab w:val="num" w:pos="1080"/>
      </w:tabs>
      <w:ind w:left="1080" w:hanging="360"/>
    </w:pPr>
  </w:style>
  <w:style w:type="paragraph" w:styleId="ListBullet4">
    <w:name w:val="List Bullet 4"/>
    <w:basedOn w:val="Normal"/>
    <w:autoRedefine/>
    <w:uiPriority w:val="99"/>
    <w:rsid w:val="00F75386"/>
    <w:pPr>
      <w:tabs>
        <w:tab w:val="num" w:pos="1440"/>
      </w:tabs>
      <w:ind w:left="1440" w:hanging="360"/>
    </w:pPr>
  </w:style>
  <w:style w:type="paragraph" w:styleId="ListBullet5">
    <w:name w:val="List Bullet 5"/>
    <w:basedOn w:val="Normal"/>
    <w:autoRedefine/>
    <w:uiPriority w:val="99"/>
    <w:rsid w:val="00F75386"/>
    <w:pPr>
      <w:tabs>
        <w:tab w:val="num" w:pos="1800"/>
      </w:tabs>
      <w:ind w:left="1800" w:hanging="360"/>
    </w:pPr>
  </w:style>
  <w:style w:type="paragraph" w:styleId="ListContinue">
    <w:name w:val="List Continue"/>
    <w:basedOn w:val="Normal"/>
    <w:uiPriority w:val="99"/>
    <w:rsid w:val="00F75386"/>
    <w:pPr>
      <w:spacing w:after="120"/>
      <w:ind w:left="360"/>
    </w:pPr>
  </w:style>
  <w:style w:type="paragraph" w:styleId="ListContinue2">
    <w:name w:val="List Continue 2"/>
    <w:basedOn w:val="Normal"/>
    <w:uiPriority w:val="99"/>
    <w:rsid w:val="00F75386"/>
    <w:pPr>
      <w:spacing w:after="120"/>
      <w:ind w:left="720"/>
    </w:pPr>
  </w:style>
  <w:style w:type="paragraph" w:styleId="ListContinue3">
    <w:name w:val="List Continue 3"/>
    <w:basedOn w:val="Normal"/>
    <w:uiPriority w:val="99"/>
    <w:rsid w:val="00F75386"/>
    <w:pPr>
      <w:spacing w:after="120"/>
      <w:ind w:left="1080"/>
    </w:pPr>
  </w:style>
  <w:style w:type="paragraph" w:styleId="ListContinue4">
    <w:name w:val="List Continue 4"/>
    <w:basedOn w:val="Normal"/>
    <w:uiPriority w:val="99"/>
    <w:rsid w:val="00F75386"/>
    <w:pPr>
      <w:spacing w:after="120"/>
      <w:ind w:left="1440"/>
    </w:pPr>
  </w:style>
  <w:style w:type="paragraph" w:styleId="ListContinue5">
    <w:name w:val="List Continue 5"/>
    <w:basedOn w:val="Normal"/>
    <w:uiPriority w:val="99"/>
    <w:rsid w:val="00F75386"/>
    <w:pPr>
      <w:spacing w:after="120"/>
      <w:ind w:left="1800"/>
    </w:pPr>
  </w:style>
  <w:style w:type="paragraph" w:styleId="ListNumber">
    <w:name w:val="List Number"/>
    <w:basedOn w:val="Normal"/>
    <w:uiPriority w:val="99"/>
    <w:rsid w:val="00F75386"/>
    <w:pPr>
      <w:tabs>
        <w:tab w:val="num" w:pos="360"/>
      </w:tabs>
      <w:ind w:left="360" w:hanging="360"/>
    </w:pPr>
  </w:style>
  <w:style w:type="paragraph" w:styleId="ListNumber2">
    <w:name w:val="List Number 2"/>
    <w:basedOn w:val="Normal"/>
    <w:uiPriority w:val="99"/>
    <w:rsid w:val="00F75386"/>
    <w:pPr>
      <w:tabs>
        <w:tab w:val="num" w:pos="720"/>
      </w:tabs>
      <w:ind w:left="720" w:hanging="360"/>
    </w:pPr>
  </w:style>
  <w:style w:type="paragraph" w:styleId="ListNumber3">
    <w:name w:val="List Number 3"/>
    <w:basedOn w:val="Normal"/>
    <w:uiPriority w:val="99"/>
    <w:rsid w:val="00F75386"/>
    <w:pPr>
      <w:tabs>
        <w:tab w:val="num" w:pos="1080"/>
      </w:tabs>
      <w:ind w:left="1080" w:hanging="360"/>
    </w:pPr>
  </w:style>
  <w:style w:type="paragraph" w:styleId="ListNumber4">
    <w:name w:val="List Number 4"/>
    <w:basedOn w:val="Normal"/>
    <w:uiPriority w:val="99"/>
    <w:rsid w:val="00F75386"/>
    <w:pPr>
      <w:tabs>
        <w:tab w:val="num" w:pos="1440"/>
      </w:tabs>
      <w:ind w:left="1440" w:hanging="360"/>
    </w:pPr>
  </w:style>
  <w:style w:type="paragraph" w:styleId="ListNumber5">
    <w:name w:val="List Number 5"/>
    <w:basedOn w:val="Normal"/>
    <w:uiPriority w:val="99"/>
    <w:rsid w:val="00F75386"/>
    <w:pPr>
      <w:tabs>
        <w:tab w:val="num" w:pos="1800"/>
      </w:tabs>
      <w:ind w:left="1800" w:hanging="360"/>
    </w:pPr>
  </w:style>
  <w:style w:type="paragraph" w:styleId="MacroText">
    <w:name w:val="macro"/>
    <w:link w:val="MacroTextChar"/>
    <w:uiPriority w:val="99"/>
    <w:semiHidden/>
    <w:rsid w:val="00F753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890C1F"/>
    <w:rPr>
      <w:rFonts w:ascii="Courier New" w:hAnsi="Courier New" w:cs="Courier New"/>
      <w:lang w:val="en-US" w:eastAsia="en-US" w:bidi="ar-SA"/>
    </w:rPr>
  </w:style>
  <w:style w:type="paragraph" w:styleId="MessageHeader">
    <w:name w:val="Message Header"/>
    <w:basedOn w:val="Normal"/>
    <w:link w:val="MessageHeaderChar"/>
    <w:uiPriority w:val="99"/>
    <w:rsid w:val="00F7538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890C1F"/>
    <w:rPr>
      <w:rFonts w:ascii="Cambria" w:hAnsi="Cambria" w:cs="Times New Roman"/>
      <w:sz w:val="24"/>
      <w:szCs w:val="24"/>
      <w:shd w:val="pct20" w:color="auto" w:fill="auto"/>
    </w:rPr>
  </w:style>
  <w:style w:type="paragraph" w:styleId="NormalWeb">
    <w:name w:val="Normal (Web)"/>
    <w:basedOn w:val="Normal"/>
    <w:uiPriority w:val="99"/>
    <w:rsid w:val="00F75386"/>
  </w:style>
  <w:style w:type="paragraph" w:styleId="NormalIndent">
    <w:name w:val="Normal Indent"/>
    <w:basedOn w:val="Normal"/>
    <w:uiPriority w:val="99"/>
    <w:rsid w:val="00F75386"/>
    <w:pPr>
      <w:ind w:left="720"/>
    </w:pPr>
  </w:style>
  <w:style w:type="paragraph" w:styleId="NoteHeading">
    <w:name w:val="Note Heading"/>
    <w:basedOn w:val="Normal"/>
    <w:next w:val="Normal"/>
    <w:link w:val="NoteHeadingChar"/>
    <w:uiPriority w:val="99"/>
    <w:rsid w:val="00F75386"/>
  </w:style>
  <w:style w:type="character" w:customStyle="1" w:styleId="NoteHeadingChar">
    <w:name w:val="Note Heading Char"/>
    <w:link w:val="NoteHeading"/>
    <w:uiPriority w:val="99"/>
    <w:semiHidden/>
    <w:locked/>
    <w:rsid w:val="00890C1F"/>
    <w:rPr>
      <w:rFonts w:cs="Times New Roman"/>
      <w:sz w:val="24"/>
      <w:szCs w:val="24"/>
    </w:rPr>
  </w:style>
  <w:style w:type="paragraph" w:styleId="PlainText">
    <w:name w:val="Plain Text"/>
    <w:basedOn w:val="Normal"/>
    <w:link w:val="PlainTextChar"/>
    <w:uiPriority w:val="99"/>
    <w:rsid w:val="00F75386"/>
    <w:rPr>
      <w:rFonts w:ascii="Courier New" w:hAnsi="Courier New" w:cs="Courier New"/>
      <w:sz w:val="20"/>
      <w:szCs w:val="20"/>
    </w:rPr>
  </w:style>
  <w:style w:type="character" w:customStyle="1" w:styleId="PlainTextChar">
    <w:name w:val="Plain Text Char"/>
    <w:link w:val="PlainText"/>
    <w:uiPriority w:val="99"/>
    <w:semiHidden/>
    <w:locked/>
    <w:rsid w:val="00890C1F"/>
    <w:rPr>
      <w:rFonts w:ascii="Courier New" w:hAnsi="Courier New" w:cs="Courier New"/>
      <w:sz w:val="20"/>
      <w:szCs w:val="20"/>
    </w:rPr>
  </w:style>
  <w:style w:type="paragraph" w:styleId="Salutation">
    <w:name w:val="Salutation"/>
    <w:basedOn w:val="Normal"/>
    <w:next w:val="Normal"/>
    <w:link w:val="SalutationChar"/>
    <w:uiPriority w:val="99"/>
    <w:rsid w:val="00F75386"/>
  </w:style>
  <w:style w:type="character" w:customStyle="1" w:styleId="SalutationChar">
    <w:name w:val="Salutation Char"/>
    <w:link w:val="Salutation"/>
    <w:uiPriority w:val="99"/>
    <w:semiHidden/>
    <w:locked/>
    <w:rsid w:val="00890C1F"/>
    <w:rPr>
      <w:rFonts w:cs="Times New Roman"/>
      <w:sz w:val="24"/>
      <w:szCs w:val="24"/>
    </w:rPr>
  </w:style>
  <w:style w:type="paragraph" w:styleId="Signature">
    <w:name w:val="Signature"/>
    <w:basedOn w:val="Normal"/>
    <w:link w:val="SignatureChar"/>
    <w:uiPriority w:val="99"/>
    <w:rsid w:val="00F75386"/>
    <w:pPr>
      <w:ind w:left="4320"/>
    </w:pPr>
  </w:style>
  <w:style w:type="character" w:customStyle="1" w:styleId="SignatureChar">
    <w:name w:val="Signature Char"/>
    <w:link w:val="Signature"/>
    <w:uiPriority w:val="99"/>
    <w:semiHidden/>
    <w:locked/>
    <w:rsid w:val="00890C1F"/>
    <w:rPr>
      <w:rFonts w:cs="Times New Roman"/>
      <w:sz w:val="24"/>
      <w:szCs w:val="24"/>
    </w:rPr>
  </w:style>
  <w:style w:type="paragraph" w:styleId="Subtitle">
    <w:name w:val="Subtitle"/>
    <w:basedOn w:val="Normal"/>
    <w:link w:val="SubtitleChar"/>
    <w:uiPriority w:val="99"/>
    <w:qFormat/>
    <w:rsid w:val="00F75386"/>
    <w:pPr>
      <w:spacing w:after="60"/>
      <w:jc w:val="center"/>
      <w:outlineLvl w:val="1"/>
    </w:pPr>
    <w:rPr>
      <w:rFonts w:ascii="Arial" w:hAnsi="Arial" w:cs="Arial"/>
    </w:rPr>
  </w:style>
  <w:style w:type="character" w:customStyle="1" w:styleId="SubtitleChar">
    <w:name w:val="Subtitle Char"/>
    <w:link w:val="Subtitle"/>
    <w:uiPriority w:val="99"/>
    <w:locked/>
    <w:rsid w:val="00890C1F"/>
    <w:rPr>
      <w:rFonts w:ascii="Cambria" w:hAnsi="Cambria" w:cs="Times New Roman"/>
      <w:sz w:val="24"/>
      <w:szCs w:val="24"/>
    </w:rPr>
  </w:style>
  <w:style w:type="paragraph" w:styleId="TableofAuthorities">
    <w:name w:val="table of authorities"/>
    <w:basedOn w:val="Normal"/>
    <w:next w:val="Normal"/>
    <w:uiPriority w:val="99"/>
    <w:semiHidden/>
    <w:rsid w:val="00F75386"/>
    <w:pPr>
      <w:ind w:left="240" w:hanging="240"/>
    </w:pPr>
  </w:style>
  <w:style w:type="paragraph" w:styleId="TableofFigures">
    <w:name w:val="table of figures"/>
    <w:basedOn w:val="Normal"/>
    <w:next w:val="Normal"/>
    <w:uiPriority w:val="99"/>
    <w:semiHidden/>
    <w:rsid w:val="00F75386"/>
    <w:pPr>
      <w:ind w:left="480" w:hanging="480"/>
    </w:pPr>
  </w:style>
  <w:style w:type="paragraph" w:styleId="Title">
    <w:name w:val="Title"/>
    <w:basedOn w:val="Normal"/>
    <w:link w:val="TitleChar"/>
    <w:uiPriority w:val="99"/>
    <w:qFormat/>
    <w:rsid w:val="00F75386"/>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890C1F"/>
    <w:rPr>
      <w:rFonts w:ascii="Cambria" w:hAnsi="Cambria" w:cs="Times New Roman"/>
      <w:b/>
      <w:bCs/>
      <w:kern w:val="28"/>
      <w:sz w:val="32"/>
      <w:szCs w:val="32"/>
    </w:rPr>
  </w:style>
  <w:style w:type="paragraph" w:styleId="TOAHeading">
    <w:name w:val="toa heading"/>
    <w:basedOn w:val="Normal"/>
    <w:next w:val="Normal"/>
    <w:uiPriority w:val="99"/>
    <w:semiHidden/>
    <w:rsid w:val="00F75386"/>
    <w:pPr>
      <w:spacing w:before="120"/>
    </w:pPr>
    <w:rPr>
      <w:rFonts w:ascii="Arial" w:hAnsi="Arial" w:cs="Arial"/>
      <w:b/>
      <w:bCs/>
    </w:rPr>
  </w:style>
  <w:style w:type="paragraph" w:styleId="TOC1">
    <w:name w:val="toc 1"/>
    <w:basedOn w:val="Normal"/>
    <w:next w:val="Normal"/>
    <w:autoRedefine/>
    <w:uiPriority w:val="99"/>
    <w:semiHidden/>
    <w:rsid w:val="00F75386"/>
  </w:style>
  <w:style w:type="paragraph" w:styleId="TOC2">
    <w:name w:val="toc 2"/>
    <w:basedOn w:val="Normal"/>
    <w:next w:val="Normal"/>
    <w:autoRedefine/>
    <w:uiPriority w:val="99"/>
    <w:semiHidden/>
    <w:rsid w:val="00F75386"/>
    <w:pPr>
      <w:ind w:left="240"/>
    </w:pPr>
  </w:style>
  <w:style w:type="paragraph" w:styleId="TOC3">
    <w:name w:val="toc 3"/>
    <w:basedOn w:val="Normal"/>
    <w:next w:val="Normal"/>
    <w:autoRedefine/>
    <w:uiPriority w:val="99"/>
    <w:semiHidden/>
    <w:rsid w:val="00F75386"/>
    <w:pPr>
      <w:ind w:left="480"/>
    </w:pPr>
  </w:style>
  <w:style w:type="paragraph" w:styleId="TOC4">
    <w:name w:val="toc 4"/>
    <w:basedOn w:val="Normal"/>
    <w:next w:val="Normal"/>
    <w:autoRedefine/>
    <w:uiPriority w:val="99"/>
    <w:semiHidden/>
    <w:rsid w:val="00F75386"/>
    <w:pPr>
      <w:ind w:left="720"/>
    </w:pPr>
  </w:style>
  <w:style w:type="paragraph" w:styleId="TOC5">
    <w:name w:val="toc 5"/>
    <w:basedOn w:val="Normal"/>
    <w:next w:val="Normal"/>
    <w:autoRedefine/>
    <w:uiPriority w:val="99"/>
    <w:semiHidden/>
    <w:rsid w:val="00F75386"/>
    <w:pPr>
      <w:ind w:left="960"/>
    </w:pPr>
  </w:style>
  <w:style w:type="paragraph" w:styleId="TOC6">
    <w:name w:val="toc 6"/>
    <w:basedOn w:val="Normal"/>
    <w:next w:val="Normal"/>
    <w:autoRedefine/>
    <w:uiPriority w:val="99"/>
    <w:semiHidden/>
    <w:rsid w:val="00F75386"/>
    <w:pPr>
      <w:ind w:left="1200"/>
    </w:pPr>
  </w:style>
  <w:style w:type="paragraph" w:styleId="TOC7">
    <w:name w:val="toc 7"/>
    <w:basedOn w:val="Normal"/>
    <w:next w:val="Normal"/>
    <w:autoRedefine/>
    <w:uiPriority w:val="99"/>
    <w:semiHidden/>
    <w:rsid w:val="00F75386"/>
    <w:pPr>
      <w:ind w:left="1440"/>
    </w:pPr>
  </w:style>
  <w:style w:type="paragraph" w:styleId="TOC8">
    <w:name w:val="toc 8"/>
    <w:basedOn w:val="Normal"/>
    <w:next w:val="Normal"/>
    <w:autoRedefine/>
    <w:uiPriority w:val="99"/>
    <w:semiHidden/>
    <w:rsid w:val="00F75386"/>
    <w:pPr>
      <w:ind w:left="1680"/>
    </w:pPr>
  </w:style>
  <w:style w:type="paragraph" w:styleId="TOC9">
    <w:name w:val="toc 9"/>
    <w:basedOn w:val="Normal"/>
    <w:next w:val="Normal"/>
    <w:autoRedefine/>
    <w:uiPriority w:val="99"/>
    <w:semiHidden/>
    <w:rsid w:val="00F75386"/>
    <w:pPr>
      <w:ind w:left="1920"/>
    </w:pPr>
  </w:style>
  <w:style w:type="paragraph" w:styleId="BalloonText">
    <w:name w:val="Balloon Text"/>
    <w:basedOn w:val="Normal"/>
    <w:link w:val="BalloonTextChar"/>
    <w:uiPriority w:val="99"/>
    <w:semiHidden/>
    <w:rsid w:val="00106149"/>
    <w:rPr>
      <w:rFonts w:ascii="Tahoma" w:hAnsi="Tahoma" w:cs="Tahoma"/>
      <w:sz w:val="16"/>
      <w:szCs w:val="16"/>
    </w:rPr>
  </w:style>
  <w:style w:type="character" w:customStyle="1" w:styleId="BalloonTextChar">
    <w:name w:val="Balloon Text Char"/>
    <w:link w:val="BalloonText"/>
    <w:uiPriority w:val="99"/>
    <w:semiHidden/>
    <w:locked/>
    <w:rsid w:val="00890C1F"/>
    <w:rPr>
      <w:rFonts w:cs="Times New Roman"/>
      <w:sz w:val="2"/>
    </w:rPr>
  </w:style>
  <w:style w:type="character" w:styleId="FootnoteReference">
    <w:name w:val="footnote reference"/>
    <w:uiPriority w:val="99"/>
    <w:rsid w:val="00770024"/>
    <w:rPr>
      <w:rFonts w:cs="Times New Roman"/>
      <w:vertAlign w:val="superscript"/>
    </w:rPr>
  </w:style>
  <w:style w:type="paragraph" w:styleId="ListParagraph">
    <w:name w:val="List Paragraph"/>
    <w:basedOn w:val="Normal"/>
    <w:uiPriority w:val="34"/>
    <w:qFormat/>
    <w:rsid w:val="00FE2B64"/>
    <w:pPr>
      <w:ind w:left="720"/>
    </w:pPr>
  </w:style>
  <w:style w:type="character" w:styleId="Hyperlink">
    <w:name w:val="Hyperlink"/>
    <w:uiPriority w:val="99"/>
    <w:rsid w:val="00B405F5"/>
    <w:rPr>
      <w:rFonts w:cs="Times New Roman"/>
      <w:color w:val="0000FF"/>
      <w:u w:val="single"/>
    </w:rPr>
  </w:style>
  <w:style w:type="paragraph" w:styleId="NoSpacing">
    <w:name w:val="No Spacing"/>
    <w:uiPriority w:val="99"/>
    <w:qFormat/>
    <w:rsid w:val="00AA59BA"/>
    <w:rPr>
      <w:sz w:val="24"/>
      <w:szCs w:val="24"/>
    </w:rPr>
  </w:style>
  <w:style w:type="paragraph" w:styleId="Revision">
    <w:name w:val="Revision"/>
    <w:hidden/>
    <w:uiPriority w:val="99"/>
    <w:semiHidden/>
    <w:rsid w:val="00A945BC"/>
    <w:rPr>
      <w:sz w:val="24"/>
      <w:szCs w:val="24"/>
    </w:rPr>
  </w:style>
  <w:style w:type="character" w:styleId="CommentReference">
    <w:name w:val="annotation reference"/>
    <w:uiPriority w:val="99"/>
    <w:semiHidden/>
    <w:locked/>
    <w:rsid w:val="00044075"/>
    <w:rPr>
      <w:rFonts w:cs="Times New Roman"/>
      <w:sz w:val="16"/>
      <w:szCs w:val="16"/>
    </w:rPr>
  </w:style>
  <w:style w:type="paragraph" w:styleId="CommentSubject">
    <w:name w:val="annotation subject"/>
    <w:basedOn w:val="CommentText"/>
    <w:next w:val="CommentText"/>
    <w:link w:val="CommentSubjectChar"/>
    <w:uiPriority w:val="99"/>
    <w:semiHidden/>
    <w:locked/>
    <w:rsid w:val="00044075"/>
    <w:rPr>
      <w:b/>
      <w:bCs/>
    </w:rPr>
  </w:style>
  <w:style w:type="character" w:customStyle="1" w:styleId="CommentSubjectChar">
    <w:name w:val="Comment Subject Char"/>
    <w:link w:val="CommentSubject"/>
    <w:uiPriority w:val="99"/>
    <w:semiHidden/>
    <w:locked/>
    <w:rPr>
      <w:rFonts w:cs="Times New Roman"/>
      <w:b/>
      <w:bCs/>
      <w:sz w:val="20"/>
      <w:szCs w:val="20"/>
    </w:rPr>
  </w:style>
  <w:style w:type="character" w:styleId="FollowedHyperlink">
    <w:name w:val="FollowedHyperlink"/>
    <w:uiPriority w:val="99"/>
    <w:semiHidden/>
    <w:unhideWhenUsed/>
    <w:locked/>
    <w:rsid w:val="00EF45F7"/>
    <w:rPr>
      <w:color w:val="800080"/>
      <w:u w:val="single"/>
    </w:rPr>
  </w:style>
  <w:style w:type="paragraph" w:customStyle="1" w:styleId="Findings">
    <w:name w:val="Findings"/>
    <w:basedOn w:val="Normal"/>
    <w:rsid w:val="00B30190"/>
    <w:pPr>
      <w:numPr>
        <w:numId w:val="2"/>
      </w:numPr>
      <w:tabs>
        <w:tab w:val="clear" w:pos="720"/>
        <w:tab w:val="num" w:pos="0"/>
      </w:tabs>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1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2013-10-31T07:00:00+00:00</OpenedDate>
    <Date1 xmlns="dc463f71-b30c-4ab2-9473-d307f9d35888">2014-09-11T07:00:00+00:00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132043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1940A5867748F42B23F2496B49568D7" ma:contentTypeVersion="135" ma:contentTypeDescription="" ma:contentTypeScope="" ma:versionID="e2e13ec935221c26056da10e8a0672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2AAEB-99CE-4D7C-99F8-2F7420C9A52E}"/>
</file>

<file path=customXml/itemProps2.xml><?xml version="1.0" encoding="utf-8"?>
<ds:datastoreItem xmlns:ds="http://schemas.openxmlformats.org/officeDocument/2006/customXml" ds:itemID="{09EC9084-CDCC-4697-ADC8-2320B26E26AD}"/>
</file>

<file path=customXml/itemProps3.xml><?xml version="1.0" encoding="utf-8"?>
<ds:datastoreItem xmlns:ds="http://schemas.openxmlformats.org/officeDocument/2006/customXml" ds:itemID="{19B1C20C-2328-49CE-BE7F-49953DE2C5FE}"/>
</file>

<file path=customXml/itemProps4.xml><?xml version="1.0" encoding="utf-8"?>
<ds:datastoreItem xmlns:ds="http://schemas.openxmlformats.org/officeDocument/2006/customXml" ds:itemID="{3C5EBBDF-A10C-41EE-9E32-57992D84D153}"/>
</file>

<file path=customXml/itemProps5.xml><?xml version="1.0" encoding="utf-8"?>
<ds:datastoreItem xmlns:ds="http://schemas.openxmlformats.org/officeDocument/2006/customXml" ds:itemID="{BE0F5850-2F4E-4F77-972C-8312541A686C}"/>
</file>

<file path=customXml/itemProps6.xml><?xml version="1.0" encoding="utf-8"?>
<ds:datastoreItem xmlns:ds="http://schemas.openxmlformats.org/officeDocument/2006/customXml" ds:itemID="{00869F89-7C0D-49DD-AAB0-0D1AC62EBB3D}"/>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Order Establishing Decoupling Conservation Requirement; Requiring Performance of Commitment</vt:lpstr>
    </vt:vector>
  </TitlesOfParts>
  <LinksUpToDate>false</LinksUpToDate>
  <CharactersWithSpaces>10187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Establishing Decoupling Conservation Requirement; Requiring Performance of Commitment</dc:title>
  <dc:subject/>
  <dc:creator/>
  <cp:keywords/>
  <cp:lastModifiedBy/>
  <cp:revision>1</cp:revision>
  <dcterms:created xsi:type="dcterms:W3CDTF">2014-09-11T16:51:00Z</dcterms:created>
  <dcterms:modified xsi:type="dcterms:W3CDTF">2014-09-11T16:56:00Z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0x0101006E56B4D1795A2E4DB2F0B01679ED314A0011940A5867748F42B23F2496B49568D7</vt:lpwstr>
  </property>
  <property fmtid="{D5CDD505-2E9C-101B-9397-08002B2CF9AE}" pid="3" name="_docset_NoMedatataSyncRequired">
    <vt:lpwstr>False</vt:lpwstr>
  </property>
</Properties>
</file>