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BA5067" w:rsidP="00F45919">
      <w:pPr>
        <w:pStyle w:val="NoSpacing"/>
        <w:ind w:right="-270"/>
        <w:jc w:val="both"/>
        <w:rPr>
          <w:rFonts w:ascii="Times New Roman" w:hAnsi="Times New Roman"/>
          <w:sz w:val="24"/>
          <w:szCs w:val="24"/>
        </w:rPr>
      </w:pPr>
      <w:r>
        <w:rPr>
          <w:rFonts w:ascii="Times New Roman" w:hAnsi="Times New Roman"/>
          <w:sz w:val="24"/>
          <w:szCs w:val="24"/>
        </w:rPr>
        <w:t xml:space="preserve">May </w:t>
      </w:r>
      <w:r w:rsidR="00C77ADA">
        <w:rPr>
          <w:rFonts w:ascii="Times New Roman" w:hAnsi="Times New Roman"/>
          <w:sz w:val="24"/>
          <w:szCs w:val="24"/>
        </w:rPr>
        <w:t>9</w:t>
      </w:r>
      <w:r w:rsidR="008A797C">
        <w:rPr>
          <w:rFonts w:ascii="Times New Roman" w:hAnsi="Times New Roman"/>
          <w:sz w:val="24"/>
          <w:szCs w:val="24"/>
        </w:rPr>
        <w:t>,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proofErr w:type="gramStart"/>
      <w:r w:rsidRPr="00C4686F">
        <w:rPr>
          <w:rFonts w:ascii="Times New Roman" w:hAnsi="Times New Roman"/>
        </w:rPr>
        <w:t>1300 S. Evergreen Park Drive S. W.</w:t>
      </w:r>
      <w:proofErr w:type="gramEnd"/>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C77ADA"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w:t>
      </w:r>
      <w:r w:rsidR="008A797C">
        <w:rPr>
          <w:rFonts w:ascii="Times New Roman" w:hAnsi="Times New Roman"/>
          <w:sz w:val="24"/>
          <w:szCs w:val="24"/>
        </w:rPr>
        <w:t>-1</w:t>
      </w:r>
      <w:r w:rsidR="00C77ADA">
        <w:rPr>
          <w:rFonts w:ascii="Times New Roman" w:hAnsi="Times New Roman"/>
          <w:sz w:val="24"/>
          <w:szCs w:val="24"/>
        </w:rPr>
        <w:t>31723</w:t>
      </w:r>
      <w:r w:rsidR="00D96E8B">
        <w:rPr>
          <w:rFonts w:ascii="Times New Roman" w:hAnsi="Times New Roman"/>
          <w:sz w:val="24"/>
          <w:szCs w:val="24"/>
        </w:rPr>
        <w:t xml:space="preserve"> - </w:t>
      </w:r>
      <w:r w:rsidR="008A797C">
        <w:rPr>
          <w:rFonts w:ascii="Times New Roman" w:hAnsi="Times New Roman"/>
          <w:sz w:val="24"/>
          <w:szCs w:val="24"/>
        </w:rPr>
        <w:t>Comments of Avista Utilities</w:t>
      </w:r>
      <w:r w:rsidR="00C77ADA" w:rsidRPr="00C77ADA">
        <w:t xml:space="preserve"> </w:t>
      </w:r>
      <w:r w:rsidR="00C77ADA" w:rsidRPr="00C77ADA">
        <w:rPr>
          <w:rFonts w:ascii="Times New Roman" w:hAnsi="Times New Roman"/>
          <w:sz w:val="24"/>
          <w:szCs w:val="24"/>
        </w:rPr>
        <w:t>on Rulemaking for Energy Independence Act, WAC 480-109</w:t>
      </w:r>
    </w:p>
    <w:p w:rsidR="00F45919" w:rsidRPr="00F45919" w:rsidRDefault="00F45919" w:rsidP="00F45919">
      <w:pPr>
        <w:pStyle w:val="NoSpacing"/>
        <w:ind w:right="-270"/>
        <w:jc w:val="both"/>
        <w:rPr>
          <w:rFonts w:ascii="Times New Roman" w:hAnsi="Times New Roman"/>
          <w:sz w:val="24"/>
          <w:szCs w:val="24"/>
        </w:rPr>
      </w:pPr>
    </w:p>
    <w:p w:rsidR="00C77ADA" w:rsidRPr="000F5989" w:rsidRDefault="00F45919" w:rsidP="000F598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2012B0" w:rsidRDefault="00C77ADA" w:rsidP="00DA1C41">
      <w:pPr>
        <w:spacing w:line="360" w:lineRule="auto"/>
        <w:ind w:firstLine="720"/>
        <w:contextualSpacing/>
        <w:jc w:val="both"/>
        <w:rPr>
          <w:rFonts w:ascii="Times New Roman" w:hAnsi="Times New Roman" w:cs="Times New Roman"/>
        </w:rPr>
      </w:pPr>
      <w:r w:rsidRPr="00C77ADA">
        <w:rPr>
          <w:rFonts w:ascii="Times New Roman" w:hAnsi="Times New Roman" w:cs="Times New Roman"/>
        </w:rPr>
        <w:t>Avista Corporation dba Avista Utilities (Avista or Company) appreciates the opportunity to provide comments on procedural and legal issues arising from the consideration of new rules for implementing the Energy Independence Act (“EIA”) by the Washington Utilities and Transportation Commission (</w:t>
      </w:r>
      <w:r>
        <w:rPr>
          <w:rFonts w:ascii="Times New Roman" w:hAnsi="Times New Roman" w:cs="Times New Roman"/>
        </w:rPr>
        <w:t>UTC or Commission</w:t>
      </w:r>
      <w:r w:rsidRPr="00C77ADA">
        <w:rPr>
          <w:rFonts w:ascii="Times New Roman" w:hAnsi="Times New Roman" w:cs="Times New Roman"/>
        </w:rPr>
        <w:t xml:space="preserve">).  In the Notice of Opportunity to File Written Comments, dated April 9, 2014, the Commission encouraged stakeholders </w:t>
      </w:r>
      <w:r w:rsidR="002012B0" w:rsidRPr="00B80097">
        <w:rPr>
          <w:rFonts w:ascii="Times New Roman" w:hAnsi="Times New Roman" w:cs="Times New Roman"/>
        </w:rPr>
        <w:t xml:space="preserve">to comment on both the informal draft rules </w:t>
      </w:r>
      <w:r w:rsidR="002012B0">
        <w:rPr>
          <w:rFonts w:ascii="Times New Roman" w:hAnsi="Times New Roman" w:cs="Times New Roman"/>
        </w:rPr>
        <w:t>and the following questions.</w:t>
      </w:r>
    </w:p>
    <w:p w:rsidR="002012B0" w:rsidRDefault="002012B0" w:rsidP="002012B0">
      <w:pPr>
        <w:spacing w:line="360" w:lineRule="auto"/>
        <w:ind w:firstLine="360"/>
        <w:jc w:val="both"/>
        <w:rPr>
          <w:rFonts w:ascii="Times New Roman" w:hAnsi="Times New Roman" w:cs="Times New Roman"/>
        </w:rPr>
      </w:pPr>
      <w:r w:rsidRPr="00B80097">
        <w:rPr>
          <w:rFonts w:ascii="Times New Roman" w:hAnsi="Times New Roman" w:cs="Times New Roman"/>
        </w:rPr>
        <w:t xml:space="preserve">In response to the Commission’s </w:t>
      </w:r>
      <w:r w:rsidR="00BA5067">
        <w:rPr>
          <w:rFonts w:ascii="Times New Roman" w:hAnsi="Times New Roman" w:cs="Times New Roman"/>
        </w:rPr>
        <w:t xml:space="preserve">specific </w:t>
      </w:r>
      <w:r w:rsidRPr="00B80097">
        <w:rPr>
          <w:rFonts w:ascii="Times New Roman" w:hAnsi="Times New Roman" w:cs="Times New Roman"/>
        </w:rPr>
        <w:t>questions</w:t>
      </w:r>
      <w:r w:rsidR="00BA5067">
        <w:rPr>
          <w:rFonts w:ascii="Times New Roman" w:hAnsi="Times New Roman" w:cs="Times New Roman"/>
        </w:rPr>
        <w:t>,</w:t>
      </w:r>
      <w:r w:rsidRPr="00B80097">
        <w:rPr>
          <w:rFonts w:ascii="Times New Roman" w:hAnsi="Times New Roman" w:cs="Times New Roman"/>
        </w:rPr>
        <w:t xml:space="preserve"> the Compan</w:t>
      </w:r>
      <w:r>
        <w:rPr>
          <w:rFonts w:ascii="Times New Roman" w:hAnsi="Times New Roman" w:cs="Times New Roman"/>
        </w:rPr>
        <w:t>y offers the following comments:</w:t>
      </w:r>
    </w:p>
    <w:p w:rsidR="002012B0" w:rsidRDefault="002012B0" w:rsidP="002012B0">
      <w:pPr>
        <w:spacing w:line="360" w:lineRule="auto"/>
        <w:ind w:firstLine="360"/>
        <w:jc w:val="both"/>
        <w:rPr>
          <w:rFonts w:ascii="Times New Roman" w:hAnsi="Times New Roman" w:cs="Times New Roman"/>
        </w:rPr>
      </w:pPr>
    </w:p>
    <w:p w:rsidR="002012B0" w:rsidRPr="002012B0" w:rsidRDefault="002012B0" w:rsidP="002012B0">
      <w:pPr>
        <w:spacing w:line="360" w:lineRule="auto"/>
        <w:ind w:firstLine="360"/>
        <w:jc w:val="both"/>
        <w:rPr>
          <w:rFonts w:ascii="Times New Roman" w:hAnsi="Times New Roman" w:cs="Times New Roman"/>
          <w:b/>
          <w:u w:val="single"/>
        </w:rPr>
      </w:pPr>
      <w:r w:rsidRPr="002012B0">
        <w:rPr>
          <w:rFonts w:ascii="Times New Roman" w:hAnsi="Times New Roman" w:cs="Times New Roman"/>
          <w:b/>
          <w:u w:val="single"/>
        </w:rPr>
        <w:t>Incremental hydropower calculation – WAC 480-109-020(7)</w:t>
      </w:r>
    </w:p>
    <w:p w:rsidR="002012B0" w:rsidRDefault="002012B0" w:rsidP="002012B0">
      <w:pPr>
        <w:pStyle w:val="ListParagraph"/>
        <w:numPr>
          <w:ilvl w:val="0"/>
          <w:numId w:val="11"/>
        </w:numPr>
        <w:spacing w:line="360" w:lineRule="auto"/>
        <w:jc w:val="both"/>
      </w:pPr>
      <w:r w:rsidRPr="00B80097">
        <w:t xml:space="preserve">How should an historic period be selected to best account for climatic variability and cyclical climate patterns? Please provide analysis or documentation to support your recommendation. </w:t>
      </w:r>
    </w:p>
    <w:p w:rsidR="002012B0" w:rsidRDefault="002012B0" w:rsidP="002012B0">
      <w:pPr>
        <w:pStyle w:val="ListParagraph"/>
        <w:spacing w:line="360" w:lineRule="auto"/>
        <w:jc w:val="both"/>
      </w:pPr>
      <w:r w:rsidRPr="00B80097">
        <w:rPr>
          <w:b/>
        </w:rPr>
        <w:lastRenderedPageBreak/>
        <w:t xml:space="preserve">Response:  </w:t>
      </w:r>
      <w:r w:rsidRPr="00B80097">
        <w:t xml:space="preserve">Avista believes a minimum of ten (10) years of historical data should be used when calculating incremental hydro generation with method 2 and method 3. </w:t>
      </w:r>
      <w:r>
        <w:t xml:space="preserve">When less than ten years of data </w:t>
      </w:r>
      <w:proofErr w:type="gramStart"/>
      <w:r>
        <w:t>is used, short-term climate variations</w:t>
      </w:r>
      <w:proofErr w:type="gramEnd"/>
      <w:r>
        <w:t xml:space="preserve"> could differ from long-term expectations. </w:t>
      </w:r>
    </w:p>
    <w:p w:rsidR="005C76C2" w:rsidRPr="00B80097" w:rsidRDefault="005C76C2" w:rsidP="002012B0">
      <w:pPr>
        <w:pStyle w:val="ListParagraph"/>
        <w:spacing w:line="360" w:lineRule="auto"/>
        <w:jc w:val="both"/>
      </w:pPr>
    </w:p>
    <w:p w:rsidR="002012B0" w:rsidRDefault="002012B0" w:rsidP="002012B0">
      <w:pPr>
        <w:pStyle w:val="ListParagraph"/>
        <w:numPr>
          <w:ilvl w:val="0"/>
          <w:numId w:val="11"/>
        </w:numPr>
        <w:spacing w:line="360" w:lineRule="auto"/>
        <w:jc w:val="both"/>
      </w:pPr>
      <w:r w:rsidRPr="00B80097">
        <w:t xml:space="preserve">What is the appropriate number of years of river discharge data a model should use to provide unbiased calculations of incremental hydroelectric production? Please provide analysis or documentation to support your recommendation. </w:t>
      </w:r>
    </w:p>
    <w:p w:rsidR="005C76C2" w:rsidRPr="00B80097" w:rsidRDefault="005C76C2" w:rsidP="005C76C2">
      <w:pPr>
        <w:pStyle w:val="ListParagraph"/>
        <w:spacing w:line="360" w:lineRule="auto"/>
        <w:jc w:val="both"/>
      </w:pPr>
    </w:p>
    <w:p w:rsidR="002012B0" w:rsidRDefault="002012B0" w:rsidP="005C76C2">
      <w:pPr>
        <w:pStyle w:val="ListParagraph"/>
        <w:spacing w:line="360" w:lineRule="auto"/>
        <w:jc w:val="both"/>
        <w:rPr>
          <w:b/>
        </w:rPr>
      </w:pPr>
      <w:r>
        <w:rPr>
          <w:b/>
          <w:noProof/>
        </w:rPr>
        <w:drawing>
          <wp:anchor distT="0" distB="0" distL="114300" distR="114300" simplePos="0" relativeHeight="251658240" behindDoc="0" locked="0" layoutInCell="1" allowOverlap="1">
            <wp:simplePos x="0" y="0"/>
            <wp:positionH relativeFrom="column">
              <wp:posOffset>823979</wp:posOffset>
            </wp:positionH>
            <wp:positionV relativeFrom="paragraph">
              <wp:posOffset>2348623</wp:posOffset>
            </wp:positionV>
            <wp:extent cx="4688179" cy="2897746"/>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88179" cy="2897746"/>
                    </a:xfrm>
                    <a:prstGeom prst="rect">
                      <a:avLst/>
                    </a:prstGeom>
                    <a:noFill/>
                    <a:ln w="9525">
                      <a:noFill/>
                      <a:miter lim="800000"/>
                      <a:headEnd/>
                      <a:tailEnd/>
                    </a:ln>
                  </pic:spPr>
                </pic:pic>
              </a:graphicData>
            </a:graphic>
          </wp:anchor>
        </w:drawing>
      </w:r>
      <w:r w:rsidRPr="00B80097">
        <w:rPr>
          <w:b/>
        </w:rPr>
        <w:t>Response:</w:t>
      </w:r>
      <w:r>
        <w:t xml:space="preserve"> The best estimate likely will come from the use of all available data. Avista uses 80 years (1929-2008) of data in its rate filings. The data in the chart below shows the 80-year record of Avista’s Noxon Rapids annual output model, along with 5, 10, and 20 year rolling averages. The annual data has a standard deviation of 42 aMW.  Using a rolling average reduces the standard deviation of the variation significantly.  Using a 20-year rolling average lowers the standard deviation to 11 aMW for 20 years.  Over 10 years the standard deviation is 17.4 aMW. The 5-year rolling average has a 21.5 aMW standard deviation. Clearly using a longer data set lowers the variability from the long-term mean.</w:t>
      </w: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2012B0" w:rsidRDefault="002012B0" w:rsidP="002012B0">
      <w:pPr>
        <w:pStyle w:val="BodyText"/>
        <w:keepNext/>
        <w:keepLines/>
        <w:ind w:left="720"/>
        <w:rPr>
          <w:rFonts w:ascii="Times New Roman" w:hAnsi="Times New Roman" w:cs="Times New Roman"/>
          <w:b/>
        </w:rPr>
      </w:pPr>
    </w:p>
    <w:p w:rsidR="005C76C2" w:rsidRDefault="005C76C2" w:rsidP="005C76C2">
      <w:pPr>
        <w:pStyle w:val="ListParagraph"/>
        <w:spacing w:line="360" w:lineRule="auto"/>
        <w:jc w:val="both"/>
      </w:pPr>
    </w:p>
    <w:p w:rsidR="002012B0" w:rsidRDefault="002012B0" w:rsidP="002012B0">
      <w:pPr>
        <w:pStyle w:val="ListParagraph"/>
        <w:numPr>
          <w:ilvl w:val="0"/>
          <w:numId w:val="11"/>
        </w:numPr>
        <w:spacing w:line="360" w:lineRule="auto"/>
        <w:jc w:val="both"/>
      </w:pPr>
      <w:r w:rsidRPr="00B80097">
        <w:lastRenderedPageBreak/>
        <w:t xml:space="preserve">How does a normal or average historic river discharge calculated with shorter historic periods compare to one calculated with multiple decades of data? Please provide a narrative explanation of your findings. </w:t>
      </w:r>
    </w:p>
    <w:p w:rsidR="005C76C2" w:rsidRPr="00B80097" w:rsidRDefault="005C76C2" w:rsidP="005C76C2">
      <w:pPr>
        <w:pStyle w:val="ListParagraph"/>
        <w:spacing w:line="360" w:lineRule="auto"/>
        <w:jc w:val="both"/>
      </w:pPr>
    </w:p>
    <w:p w:rsidR="002012B0" w:rsidRDefault="002012B0" w:rsidP="002012B0">
      <w:pPr>
        <w:pStyle w:val="ListParagraph"/>
        <w:spacing w:line="360" w:lineRule="auto"/>
        <w:jc w:val="both"/>
      </w:pPr>
      <w:r w:rsidRPr="00B80097">
        <w:rPr>
          <w:b/>
        </w:rPr>
        <w:t>Response:</w:t>
      </w:r>
      <w:r>
        <w:t xml:space="preserve"> As discussed in #2, shorter periods of data have higher standard deviations compared to using longer periods of time. If short periods are used there could be a larger amount of volatility when updating to a future period.</w:t>
      </w:r>
    </w:p>
    <w:p w:rsidR="005C76C2" w:rsidRPr="00C61315" w:rsidRDefault="005C76C2" w:rsidP="002012B0">
      <w:pPr>
        <w:pStyle w:val="ListParagraph"/>
        <w:spacing w:line="360" w:lineRule="auto"/>
        <w:jc w:val="both"/>
      </w:pPr>
    </w:p>
    <w:p w:rsidR="002012B0" w:rsidRDefault="002012B0" w:rsidP="002012B0">
      <w:pPr>
        <w:pStyle w:val="ListParagraph"/>
        <w:numPr>
          <w:ilvl w:val="0"/>
          <w:numId w:val="11"/>
        </w:numPr>
        <w:spacing w:line="360" w:lineRule="auto"/>
        <w:jc w:val="both"/>
      </w:pPr>
      <w:r w:rsidRPr="00B80097">
        <w:t xml:space="preserve">How does the use of a greater number of years in the data set for determining the normal or average historic water year increase the administrative burden? Please quantify the administrative burden. </w:t>
      </w:r>
    </w:p>
    <w:p w:rsidR="005C76C2" w:rsidRPr="00B80097" w:rsidRDefault="005C76C2" w:rsidP="005C76C2">
      <w:pPr>
        <w:pStyle w:val="ListParagraph"/>
        <w:spacing w:line="360" w:lineRule="auto"/>
        <w:jc w:val="both"/>
      </w:pPr>
    </w:p>
    <w:p w:rsidR="002012B0" w:rsidRDefault="002012B0" w:rsidP="002012B0">
      <w:pPr>
        <w:pStyle w:val="ListParagraph"/>
        <w:spacing w:line="360" w:lineRule="auto"/>
        <w:jc w:val="both"/>
      </w:pPr>
      <w:r w:rsidRPr="00B80097">
        <w:rPr>
          <w:b/>
        </w:rPr>
        <w:t>Response:</w:t>
      </w:r>
      <w:r>
        <w:t xml:space="preserve"> Avista can model incremental hydro using available daily flow data back to 1986; data between 1929 and 1985 requires estimated regulated daily flows by the Northwest Power Pool and BPA. Periodically these historical regulated flows are updated and will need to be re-run. Each additional year going forward will require Company staff time to </w:t>
      </w:r>
      <w:r w:rsidR="006A3645">
        <w:t>model the additional year</w:t>
      </w:r>
      <w:r>
        <w:t xml:space="preserve">. While Avista has the capability and data to complete </w:t>
      </w:r>
      <w:r w:rsidR="006A3645">
        <w:t xml:space="preserve">an </w:t>
      </w:r>
      <w:r>
        <w:t>80 plus-year dataset, we cannot speak for other utilities that might rely on other modeling techniques.</w:t>
      </w:r>
    </w:p>
    <w:p w:rsidR="002012B0" w:rsidRPr="00B80097" w:rsidRDefault="002012B0" w:rsidP="002012B0">
      <w:pPr>
        <w:pStyle w:val="ListParagraph"/>
        <w:spacing w:line="360" w:lineRule="auto"/>
        <w:jc w:val="both"/>
        <w:rPr>
          <w:b/>
        </w:rPr>
      </w:pPr>
    </w:p>
    <w:p w:rsidR="002012B0" w:rsidRPr="002012B0" w:rsidRDefault="002012B0" w:rsidP="00BA5067">
      <w:pPr>
        <w:spacing w:line="360" w:lineRule="auto"/>
        <w:jc w:val="both"/>
        <w:rPr>
          <w:rFonts w:ascii="Times New Roman" w:eastAsia="Times New Roman" w:hAnsi="Times New Roman" w:cs="Times New Roman"/>
          <w:b/>
        </w:rPr>
      </w:pPr>
      <w:r w:rsidRPr="002012B0">
        <w:rPr>
          <w:rFonts w:ascii="Times New Roman" w:eastAsia="Times New Roman" w:hAnsi="Times New Roman" w:cs="Times New Roman"/>
          <w:b/>
          <w:u w:val="single"/>
        </w:rPr>
        <w:t>Incremental cost calculations</w:t>
      </w:r>
      <w:r w:rsidRPr="002012B0">
        <w:rPr>
          <w:rFonts w:ascii="Times New Roman" w:eastAsia="Times New Roman" w:hAnsi="Times New Roman" w:cs="Times New Roman"/>
          <w:b/>
        </w:rPr>
        <w:t xml:space="preserve"> </w:t>
      </w:r>
      <w:r>
        <w:rPr>
          <w:rFonts w:ascii="Times New Roman" w:eastAsia="Times New Roman" w:hAnsi="Times New Roman" w:cs="Times New Roman"/>
          <w:b/>
        </w:rPr>
        <w:t>– WAC 480-109-040(2</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a)(</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w:t>
      </w:r>
    </w:p>
    <w:p w:rsidR="002012B0" w:rsidRDefault="002012B0" w:rsidP="00BA5067">
      <w:pPr>
        <w:pStyle w:val="ListParagraph"/>
        <w:numPr>
          <w:ilvl w:val="0"/>
          <w:numId w:val="12"/>
        </w:numPr>
        <w:spacing w:line="360" w:lineRule="auto"/>
        <w:jc w:val="both"/>
      </w:pPr>
      <w:r w:rsidRPr="00B80097">
        <w:t xml:space="preserve">Is it necessary for the Commission to require the use of a specific methodology to calculate integration costs? If so, please describe. </w:t>
      </w:r>
    </w:p>
    <w:p w:rsidR="005C76C2" w:rsidRPr="00B80097" w:rsidRDefault="005C76C2" w:rsidP="005C76C2">
      <w:pPr>
        <w:pStyle w:val="ListParagraph"/>
        <w:spacing w:line="360" w:lineRule="auto"/>
        <w:jc w:val="both"/>
      </w:pPr>
    </w:p>
    <w:p w:rsidR="002012B0" w:rsidRPr="002012B0" w:rsidRDefault="002012B0" w:rsidP="00D853E5">
      <w:pPr>
        <w:pStyle w:val="BodyText"/>
        <w:keepNext/>
        <w:keepLines/>
        <w:spacing w:after="0" w:line="360" w:lineRule="auto"/>
        <w:ind w:left="720"/>
        <w:jc w:val="both"/>
        <w:rPr>
          <w:rFonts w:ascii="Times New Roman" w:hAnsi="Times New Roman" w:cs="Times New Roman"/>
          <w:b/>
        </w:rPr>
      </w:pPr>
      <w:r w:rsidRPr="002012B0">
        <w:rPr>
          <w:rFonts w:ascii="Times New Roman" w:hAnsi="Times New Roman" w:cs="Times New Roman"/>
          <w:b/>
        </w:rPr>
        <w:t>Response:</w:t>
      </w:r>
      <w:r w:rsidRPr="002012B0">
        <w:rPr>
          <w:rFonts w:ascii="Times New Roman" w:hAnsi="Times New Roman" w:cs="Times New Roman"/>
        </w:rPr>
        <w:t xml:space="preserve"> No, the costs and methods to integrate intermittent resources will differ between the utilities resource capabilities. While, each utility should have a similar approach to model such costs, the uniqueness of each utility should be considered.</w:t>
      </w:r>
    </w:p>
    <w:p w:rsidR="00C77ADA" w:rsidRDefault="00C77ADA" w:rsidP="00DA1C41">
      <w:pPr>
        <w:spacing w:line="360" w:lineRule="auto"/>
        <w:ind w:firstLine="720"/>
        <w:contextualSpacing/>
        <w:jc w:val="both"/>
        <w:rPr>
          <w:rFonts w:ascii="Times New Roman" w:hAnsi="Times New Roman" w:cs="Times New Roman"/>
        </w:rPr>
      </w:pPr>
    </w:p>
    <w:p w:rsidR="005C76C2" w:rsidRDefault="005C76C2" w:rsidP="00DA1C41">
      <w:pPr>
        <w:spacing w:line="360" w:lineRule="auto"/>
        <w:ind w:firstLine="720"/>
        <w:contextualSpacing/>
        <w:jc w:val="both"/>
        <w:rPr>
          <w:rFonts w:ascii="Times New Roman" w:hAnsi="Times New Roman" w:cs="Times New Roman"/>
        </w:rPr>
      </w:pPr>
    </w:p>
    <w:p w:rsidR="005C76C2" w:rsidRDefault="005C76C2" w:rsidP="00DA1C41">
      <w:pPr>
        <w:spacing w:line="360" w:lineRule="auto"/>
        <w:ind w:firstLine="720"/>
        <w:contextualSpacing/>
        <w:jc w:val="both"/>
        <w:rPr>
          <w:rFonts w:ascii="Times New Roman" w:hAnsi="Times New Roman" w:cs="Times New Roman"/>
        </w:rPr>
      </w:pPr>
    </w:p>
    <w:p w:rsidR="002012B0" w:rsidRPr="00B80097" w:rsidRDefault="002012B0" w:rsidP="002012B0">
      <w:pPr>
        <w:spacing w:line="360" w:lineRule="auto"/>
        <w:jc w:val="both"/>
        <w:rPr>
          <w:rFonts w:ascii="Times New Roman" w:hAnsi="Times New Roman" w:cs="Times New Roman"/>
          <w:b/>
          <w:u w:val="single"/>
        </w:rPr>
      </w:pPr>
      <w:r w:rsidRPr="00B80097">
        <w:rPr>
          <w:rFonts w:ascii="Times New Roman" w:hAnsi="Times New Roman" w:cs="Times New Roman"/>
          <w:b/>
          <w:u w:val="single"/>
        </w:rPr>
        <w:lastRenderedPageBreak/>
        <w:t>Measuring progress across reporting periods</w:t>
      </w:r>
      <w:r>
        <w:rPr>
          <w:rFonts w:ascii="Times New Roman" w:hAnsi="Times New Roman" w:cs="Times New Roman"/>
          <w:b/>
          <w:u w:val="single"/>
        </w:rPr>
        <w:t xml:space="preserve"> </w:t>
      </w:r>
    </w:p>
    <w:p w:rsidR="002012B0" w:rsidRDefault="002012B0" w:rsidP="002012B0">
      <w:pPr>
        <w:pStyle w:val="ListParagraph"/>
        <w:numPr>
          <w:ilvl w:val="0"/>
          <w:numId w:val="13"/>
        </w:numPr>
        <w:spacing w:line="360" w:lineRule="auto"/>
        <w:jc w:val="both"/>
      </w:pPr>
      <w:r w:rsidRPr="00B80097">
        <w:t xml:space="preserve">On which metrics should the Commission rely to monitor energy and emissions intensity trends in utility service territories? </w:t>
      </w:r>
    </w:p>
    <w:p w:rsidR="005C76C2" w:rsidRPr="00B80097" w:rsidRDefault="005C76C2" w:rsidP="005C76C2">
      <w:pPr>
        <w:pStyle w:val="ListParagraph"/>
        <w:spacing w:line="360" w:lineRule="auto"/>
        <w:jc w:val="both"/>
      </w:pPr>
    </w:p>
    <w:p w:rsidR="002012B0" w:rsidRDefault="002012B0" w:rsidP="002012B0">
      <w:pPr>
        <w:pStyle w:val="ListParagraph"/>
        <w:spacing w:line="360" w:lineRule="auto"/>
        <w:jc w:val="both"/>
      </w:pPr>
      <w:r w:rsidRPr="00B80097">
        <w:rPr>
          <w:b/>
        </w:rPr>
        <w:t>Response:</w:t>
      </w:r>
      <w:r>
        <w:t xml:space="preserve"> The Commission should not attempt to quantify trends specific to utilities.  There is adequate public data (e.g., Dept. of Commerce, Energy Information Administration) to determine a state-wide performance of energy and emissions intensity.</w:t>
      </w:r>
    </w:p>
    <w:p w:rsidR="002012B0" w:rsidRDefault="002012B0" w:rsidP="002012B0">
      <w:pPr>
        <w:pStyle w:val="ListParagraph"/>
        <w:spacing w:line="360" w:lineRule="auto"/>
        <w:jc w:val="both"/>
      </w:pPr>
    </w:p>
    <w:p w:rsidR="005C76C2" w:rsidRDefault="002012B0" w:rsidP="002012B0">
      <w:pPr>
        <w:pStyle w:val="ListParagraph"/>
        <w:spacing w:line="360" w:lineRule="auto"/>
        <w:jc w:val="both"/>
      </w:pPr>
      <w:r>
        <w:t xml:space="preserve">The Commission should also be aware that any such monitoring will be difficult given the significant hydro base of the northwest.  A low hydro year can </w:t>
      </w:r>
      <w:r w:rsidR="006A3645">
        <w:t xml:space="preserve">greatly </w:t>
      </w:r>
      <w:r>
        <w:t>magnify emissions in Washington whereas a high hydro year will make emissions levels much lower.  For example, based on Avista’s 2013 IRP, the four northwest states CO2 emissions from electric generation can double in poor water years compared to an average water year. The hydro quantities have the potential to greatly mask the actual trend occurring in the industry and this circumstance will greatly decrease the value of any such monitoring.</w:t>
      </w:r>
    </w:p>
    <w:p w:rsidR="002012B0" w:rsidRPr="00324487" w:rsidRDefault="002012B0" w:rsidP="005C76C2">
      <w:pPr>
        <w:spacing w:line="360" w:lineRule="auto"/>
        <w:jc w:val="both"/>
      </w:pPr>
      <w:r>
        <w:t xml:space="preserve">  </w:t>
      </w:r>
    </w:p>
    <w:p w:rsidR="002012B0" w:rsidRDefault="002012B0" w:rsidP="002012B0">
      <w:pPr>
        <w:pStyle w:val="ListParagraph"/>
        <w:numPr>
          <w:ilvl w:val="0"/>
          <w:numId w:val="13"/>
        </w:numPr>
        <w:spacing w:line="360" w:lineRule="auto"/>
        <w:jc w:val="both"/>
      </w:pPr>
      <w:r w:rsidRPr="00B80097">
        <w:t xml:space="preserve">Should the rule require reports to include available energy and emissions intensity metrics? </w:t>
      </w:r>
    </w:p>
    <w:p w:rsidR="005C76C2" w:rsidRPr="00B80097" w:rsidRDefault="005C76C2" w:rsidP="005C76C2">
      <w:pPr>
        <w:pStyle w:val="ListParagraph"/>
        <w:spacing w:line="360" w:lineRule="auto"/>
        <w:jc w:val="both"/>
      </w:pPr>
    </w:p>
    <w:p w:rsidR="002012B0" w:rsidRPr="00324487" w:rsidRDefault="002012B0" w:rsidP="002012B0">
      <w:pPr>
        <w:pStyle w:val="ListParagraph"/>
        <w:spacing w:line="360" w:lineRule="auto"/>
        <w:jc w:val="both"/>
      </w:pPr>
      <w:r w:rsidRPr="00B80097">
        <w:rPr>
          <w:b/>
        </w:rPr>
        <w:t>Response:</w:t>
      </w:r>
      <w:r>
        <w:t xml:space="preserve"> No, energy monitoring and emission intensity metrics and trends are outside the scope of the EIA and should not be required or discussed further in this rule making process.  Further, hydro variability will mask what is truly going on in the industry.</w:t>
      </w:r>
    </w:p>
    <w:p w:rsidR="00BA5067" w:rsidRPr="00C77ADA" w:rsidRDefault="00BA5067" w:rsidP="00DA1C41">
      <w:pPr>
        <w:spacing w:line="360" w:lineRule="auto"/>
        <w:ind w:firstLine="720"/>
        <w:contextualSpacing/>
        <w:jc w:val="both"/>
        <w:rPr>
          <w:rFonts w:ascii="Times New Roman" w:hAnsi="Times New Roman" w:cs="Times New Roman"/>
        </w:rPr>
      </w:pPr>
    </w:p>
    <w:p w:rsidR="00A009A9" w:rsidRPr="00DD3B78" w:rsidRDefault="00DD3B78" w:rsidP="00DD3B78">
      <w:pPr>
        <w:spacing w:line="360" w:lineRule="auto"/>
        <w:contextualSpacing/>
        <w:jc w:val="both"/>
        <w:rPr>
          <w:rFonts w:ascii="Times New Roman" w:hAnsi="Times New Roman" w:cs="Times New Roman"/>
          <w:b/>
          <w:u w:val="single"/>
        </w:rPr>
      </w:pPr>
      <w:r w:rsidRPr="00DD3B78">
        <w:rPr>
          <w:rFonts w:ascii="Times New Roman" w:hAnsi="Times New Roman" w:cs="Times New Roman"/>
          <w:b/>
          <w:u w:val="single"/>
        </w:rPr>
        <w:t>Energy Efficiency</w:t>
      </w:r>
    </w:p>
    <w:p w:rsidR="00DD3B78" w:rsidRDefault="00DD3B78" w:rsidP="00DD3B78">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supports energy efficiency and has been providing uninterrupted service since 1978, with its stakeholder advisory group meeting regularly since 1992.  The Company has been promoting fuel switching for twenty-two years and recognizes conservation as its first resource in its Integrated Resource Plan. Thus, Avista's comments are intended to be supportive of energy efficiency while providing for revised regulations that can have demonstrated compliance.</w:t>
      </w:r>
    </w:p>
    <w:p w:rsidR="00A009A9" w:rsidRDefault="00A009A9" w:rsidP="00DA1C41">
      <w:pPr>
        <w:spacing w:line="360" w:lineRule="auto"/>
        <w:ind w:firstLine="720"/>
        <w:contextualSpacing/>
        <w:jc w:val="both"/>
        <w:rPr>
          <w:rFonts w:ascii="Times New Roman" w:hAnsi="Times New Roman" w:cs="Times New Roman"/>
        </w:rPr>
      </w:pPr>
    </w:p>
    <w:p w:rsidR="00A009A9" w:rsidRDefault="00A009A9" w:rsidP="00DA1C41">
      <w:pPr>
        <w:spacing w:line="360" w:lineRule="auto"/>
        <w:ind w:firstLine="720"/>
        <w:contextualSpacing/>
        <w:jc w:val="both"/>
        <w:rPr>
          <w:rFonts w:ascii="Times New Roman" w:hAnsi="Times New Roman" w:cs="Times New Roman"/>
        </w:rPr>
      </w:pPr>
    </w:p>
    <w:p w:rsidR="00A009A9" w:rsidRDefault="00DD3B78" w:rsidP="00E60DC4">
      <w:pPr>
        <w:spacing w:line="360" w:lineRule="auto"/>
        <w:ind w:firstLine="720"/>
        <w:contextualSpacing/>
        <w:jc w:val="both"/>
        <w:rPr>
          <w:rFonts w:ascii="Times New Roman" w:hAnsi="Times New Roman" w:cs="Times New Roman"/>
        </w:rPr>
      </w:pPr>
      <w:r>
        <w:rPr>
          <w:rFonts w:ascii="Times New Roman" w:hAnsi="Times New Roman" w:cs="Times New Roman"/>
        </w:rPr>
        <w:t xml:space="preserve">As an </w:t>
      </w:r>
      <w:r w:rsidR="00E60DC4">
        <w:rPr>
          <w:rFonts w:ascii="Times New Roman" w:hAnsi="Times New Roman" w:cs="Times New Roman"/>
        </w:rPr>
        <w:t xml:space="preserve">ongoing discussion point (see letter from Simon ffitch to David Danner dated August 2, 2012), </w:t>
      </w:r>
      <w:r>
        <w:rPr>
          <w:rFonts w:ascii="Times New Roman" w:hAnsi="Times New Roman" w:cs="Times New Roman"/>
        </w:rPr>
        <w:t xml:space="preserve">has been </w:t>
      </w:r>
      <w:r w:rsidR="00E60DC4">
        <w:rPr>
          <w:rFonts w:ascii="Times New Roman" w:hAnsi="Times New Roman" w:cs="Times New Roman"/>
        </w:rPr>
        <w:t xml:space="preserve">related to </w:t>
      </w:r>
      <w:r>
        <w:rPr>
          <w:rFonts w:ascii="Times New Roman" w:hAnsi="Times New Roman" w:cs="Times New Roman"/>
        </w:rPr>
        <w:t xml:space="preserve">what utilities should file and when. Avista looks forward to pursuing this </w:t>
      </w:r>
      <w:r w:rsidR="00E60DC4">
        <w:rPr>
          <w:rFonts w:ascii="Times New Roman" w:hAnsi="Times New Roman" w:cs="Times New Roman"/>
        </w:rPr>
        <w:t xml:space="preserve">topic </w:t>
      </w:r>
      <w:r>
        <w:rPr>
          <w:rFonts w:ascii="Times New Roman" w:hAnsi="Times New Roman" w:cs="Times New Roman"/>
        </w:rPr>
        <w:t xml:space="preserve">with all parties to bring </w:t>
      </w:r>
      <w:r w:rsidR="00E60DC4">
        <w:rPr>
          <w:rFonts w:ascii="Times New Roman" w:hAnsi="Times New Roman" w:cs="Times New Roman"/>
        </w:rPr>
        <w:t>greater consistency in the reporting and filing requirements</w:t>
      </w:r>
      <w:r>
        <w:rPr>
          <w:rFonts w:ascii="Times New Roman" w:hAnsi="Times New Roman" w:cs="Times New Roman"/>
        </w:rPr>
        <w:t>.</w:t>
      </w:r>
    </w:p>
    <w:p w:rsidR="00E60DC4" w:rsidRDefault="00BA5067"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The Company’s response to the draft rules is provided on the “UTC Comment Form” provided as Attachment A.  </w:t>
      </w:r>
      <w:r w:rsidR="00DD3B78">
        <w:rPr>
          <w:rFonts w:ascii="Times New Roman" w:hAnsi="Times New Roman" w:cs="Times New Roman"/>
        </w:rPr>
        <w:t xml:space="preserve">The Company respectfully requests that rules provide adequate guidance such that compliance requirements are clear. </w:t>
      </w:r>
    </w:p>
    <w:p w:rsidR="00F45919" w:rsidRPr="00DA1C41" w:rsidRDefault="00C77ADA" w:rsidP="00DA1C41">
      <w:pPr>
        <w:spacing w:line="360" w:lineRule="auto"/>
        <w:ind w:firstLine="720"/>
        <w:contextualSpacing/>
        <w:jc w:val="both"/>
        <w:rPr>
          <w:rFonts w:ascii="Times New Roman" w:hAnsi="Times New Roman" w:cs="Times New Roman"/>
        </w:rPr>
      </w:pPr>
      <w:r>
        <w:rPr>
          <w:rFonts w:ascii="Times New Roman" w:hAnsi="Times New Roman" w:cs="Times New Roman"/>
        </w:rPr>
        <w:t xml:space="preserve">Again, </w:t>
      </w:r>
      <w:r w:rsidR="00F45919" w:rsidRPr="0067498C">
        <w:rPr>
          <w:rFonts w:ascii="Times New Roman" w:hAnsi="Times New Roman" w:cs="Times New Roman"/>
        </w:rPr>
        <w:t xml:space="preserve">Avista appreciates the opportunity to provide these comments, and we look forward to participating in the workshop scheduled for </w:t>
      </w:r>
      <w:r>
        <w:rPr>
          <w:rFonts w:ascii="Times New Roman" w:hAnsi="Times New Roman" w:cs="Times New Roman"/>
        </w:rPr>
        <w:t>May 15</w:t>
      </w:r>
      <w:r w:rsidR="00D70AAA">
        <w:rPr>
          <w:rFonts w:ascii="Times New Roman" w:hAnsi="Times New Roman" w:cs="Times New Roman"/>
        </w:rPr>
        <w:t>, 2014</w:t>
      </w:r>
      <w:r w:rsidR="00F45919" w:rsidRPr="0067498C">
        <w:rPr>
          <w:rFonts w:ascii="Times New Roman" w:hAnsi="Times New Roman" w:cs="Times New Roman"/>
        </w:rPr>
        <w:t>, and the issues related to that topic.</w:t>
      </w:r>
      <w:r w:rsidR="00DA1C41">
        <w:rPr>
          <w:rFonts w:ascii="Times New Roman" w:hAnsi="Times New Roman" w:cs="Times New Roman"/>
        </w:rPr>
        <w:t xml:space="preserve"> </w:t>
      </w:r>
      <w:r w:rsidR="00F45919" w:rsidRPr="0067498C">
        <w:rPr>
          <w:rFonts w:ascii="Times New Roman" w:hAnsi="Times New Roman"/>
        </w:rPr>
        <w:t xml:space="preserve">If you have any questions regarding these comments, please contact </w:t>
      </w:r>
      <w:r w:rsidR="00F8014E">
        <w:rPr>
          <w:rFonts w:ascii="Times New Roman" w:hAnsi="Times New Roman"/>
        </w:rPr>
        <w:t>me</w:t>
      </w:r>
      <w:r w:rsidR="00F45919"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9"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1E24C8" w:rsidP="00337F64">
      <w:pPr>
        <w:jc w:val="both"/>
        <w:rPr>
          <w:rFonts w:ascii="Times New Roman" w:hAnsi="Times New Roman" w:cs="Times New Roman"/>
          <w:lang w:val="fr-FR"/>
        </w:rPr>
      </w:pPr>
      <w:hyperlink r:id="rId10"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p w:rsidR="003D0502" w:rsidRPr="003D0502" w:rsidRDefault="003D0502" w:rsidP="00B3771B">
      <w:pPr>
        <w:pStyle w:val="Heading1"/>
      </w:pPr>
    </w:p>
    <w:sectPr w:rsidR="003D0502" w:rsidRPr="003D0502" w:rsidSect="003D0502">
      <w:headerReference w:type="default" r:id="rId11"/>
      <w:footerReference w:type="default" r:id="rId12"/>
      <w:headerReference w:type="first" r:id="rId13"/>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78" w:rsidRDefault="00DD3B78" w:rsidP="002A1126">
      <w:r>
        <w:separator/>
      </w:r>
    </w:p>
  </w:endnote>
  <w:endnote w:type="continuationSeparator" w:id="0">
    <w:p w:rsidR="00DD3B78" w:rsidRDefault="00DD3B78"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13748"/>
      <w:docPartObj>
        <w:docPartGallery w:val="Page Numbers (Bottom of Page)"/>
        <w:docPartUnique/>
      </w:docPartObj>
    </w:sdtPr>
    <w:sdtEndPr>
      <w:rPr>
        <w:color w:val="7F7F7F" w:themeColor="background1" w:themeShade="7F"/>
        <w:spacing w:val="60"/>
      </w:rPr>
    </w:sdtEndPr>
    <w:sdtContent>
      <w:p w:rsidR="00DD3B78" w:rsidRDefault="00DD3B78">
        <w:pPr>
          <w:pStyle w:val="Footer"/>
          <w:pBdr>
            <w:top w:val="single" w:sz="4" w:space="1" w:color="D9D9D9" w:themeColor="background1" w:themeShade="D9"/>
          </w:pBdr>
          <w:jc w:val="right"/>
        </w:pPr>
        <w:fldSimple w:instr=" PAGE   \* MERGEFORMAT ">
          <w:r w:rsidR="00E60DC4">
            <w:rPr>
              <w:noProof/>
            </w:rPr>
            <w:t>2</w:t>
          </w:r>
        </w:fldSimple>
        <w:r>
          <w:t xml:space="preserve"> | </w:t>
        </w:r>
        <w:r>
          <w:rPr>
            <w:color w:val="7F7F7F" w:themeColor="background1" w:themeShade="7F"/>
            <w:spacing w:val="60"/>
          </w:rPr>
          <w:t>Page</w:t>
        </w:r>
      </w:p>
    </w:sdtContent>
  </w:sdt>
  <w:p w:rsidR="00DD3B78" w:rsidRDefault="00DD3B78"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78" w:rsidRDefault="00DD3B78" w:rsidP="002A1126">
      <w:r>
        <w:separator/>
      </w:r>
    </w:p>
  </w:footnote>
  <w:footnote w:type="continuationSeparator" w:id="0">
    <w:p w:rsidR="00DD3B78" w:rsidRDefault="00DD3B78" w:rsidP="002A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78" w:rsidRDefault="00DD3B78"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78" w:rsidRDefault="00DD3B78"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07F"/>
    <w:multiLevelType w:val="hybridMultilevel"/>
    <w:tmpl w:val="DBAC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D0A0D"/>
    <w:multiLevelType w:val="hybridMultilevel"/>
    <w:tmpl w:val="2CF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50CB1"/>
    <w:multiLevelType w:val="hybridMultilevel"/>
    <w:tmpl w:val="5D6ED374"/>
    <w:lvl w:ilvl="0" w:tplc="409C0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28453C"/>
    <w:multiLevelType w:val="hybridMultilevel"/>
    <w:tmpl w:val="8ACE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1"/>
  </w:num>
  <w:num w:numId="6">
    <w:abstractNumId w:val="6"/>
  </w:num>
  <w:num w:numId="7">
    <w:abstractNumId w:val="5"/>
  </w:num>
  <w:num w:numId="8">
    <w:abstractNumId w:val="11"/>
  </w:num>
  <w:num w:numId="9">
    <w:abstractNumId w:val="10"/>
  </w:num>
  <w:num w:numId="10">
    <w:abstractNumId w:val="7"/>
  </w:num>
  <w:num w:numId="11">
    <w:abstractNumId w:val="9"/>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F4873"/>
    <w:rsid w:val="000F5989"/>
    <w:rsid w:val="00114E77"/>
    <w:rsid w:val="00161957"/>
    <w:rsid w:val="001B29A5"/>
    <w:rsid w:val="001E24C8"/>
    <w:rsid w:val="001E2AB9"/>
    <w:rsid w:val="002012B0"/>
    <w:rsid w:val="002A1126"/>
    <w:rsid w:val="00337F64"/>
    <w:rsid w:val="00355E5A"/>
    <w:rsid w:val="003B0128"/>
    <w:rsid w:val="003D0502"/>
    <w:rsid w:val="003E1B9C"/>
    <w:rsid w:val="00421E87"/>
    <w:rsid w:val="004A6346"/>
    <w:rsid w:val="005011E0"/>
    <w:rsid w:val="0053159B"/>
    <w:rsid w:val="005C76C2"/>
    <w:rsid w:val="00651A83"/>
    <w:rsid w:val="006722CD"/>
    <w:rsid w:val="0067498C"/>
    <w:rsid w:val="00694FC3"/>
    <w:rsid w:val="00695A31"/>
    <w:rsid w:val="006A2183"/>
    <w:rsid w:val="006A3645"/>
    <w:rsid w:val="00706C17"/>
    <w:rsid w:val="007B73D2"/>
    <w:rsid w:val="00807809"/>
    <w:rsid w:val="008A797C"/>
    <w:rsid w:val="008C1322"/>
    <w:rsid w:val="00971839"/>
    <w:rsid w:val="0098158F"/>
    <w:rsid w:val="00A009A9"/>
    <w:rsid w:val="00A56024"/>
    <w:rsid w:val="00A87384"/>
    <w:rsid w:val="00AB0867"/>
    <w:rsid w:val="00AE1633"/>
    <w:rsid w:val="00AF3EBB"/>
    <w:rsid w:val="00B156C5"/>
    <w:rsid w:val="00B3771B"/>
    <w:rsid w:val="00B55D6C"/>
    <w:rsid w:val="00BA5067"/>
    <w:rsid w:val="00C51FB2"/>
    <w:rsid w:val="00C77ADA"/>
    <w:rsid w:val="00CA280D"/>
    <w:rsid w:val="00CA3409"/>
    <w:rsid w:val="00D64EBE"/>
    <w:rsid w:val="00D70AAA"/>
    <w:rsid w:val="00D853E5"/>
    <w:rsid w:val="00D92B05"/>
    <w:rsid w:val="00D96E8B"/>
    <w:rsid w:val="00DA1C41"/>
    <w:rsid w:val="00DC294F"/>
    <w:rsid w:val="00DD3B78"/>
    <w:rsid w:val="00DD7835"/>
    <w:rsid w:val="00E15441"/>
    <w:rsid w:val="00E3352F"/>
    <w:rsid w:val="00E4016E"/>
    <w:rsid w:val="00E60DC4"/>
    <w:rsid w:val="00E72C00"/>
    <w:rsid w:val="00E83AF0"/>
    <w:rsid w:val="00F31804"/>
    <w:rsid w:val="00F3627B"/>
    <w:rsid w:val="00F45919"/>
    <w:rsid w:val="00F6459F"/>
    <w:rsid w:val="00F8014E"/>
    <w:rsid w:val="00F86C06"/>
    <w:rsid w:val="00FC5BD5"/>
    <w:rsid w:val="00FD44D5"/>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BodyText">
    <w:name w:val="Body Text"/>
    <w:basedOn w:val="Normal"/>
    <w:link w:val="BodyTextChar"/>
    <w:uiPriority w:val="99"/>
    <w:semiHidden/>
    <w:unhideWhenUsed/>
    <w:rsid w:val="002012B0"/>
    <w:pPr>
      <w:spacing w:after="120"/>
    </w:pPr>
  </w:style>
  <w:style w:type="character" w:customStyle="1" w:styleId="BodyTextChar">
    <w:name w:val="Body Text Char"/>
    <w:basedOn w:val="DefaultParagraphFont"/>
    <w:link w:val="BodyText"/>
    <w:uiPriority w:val="99"/>
    <w:semiHidden/>
    <w:rsid w:val="002012B0"/>
    <w:rPr>
      <w:rFonts w:ascii="Arial" w:hAnsi="Arial"/>
      <w:sz w:val="24"/>
      <w:szCs w:val="24"/>
    </w:rPr>
  </w:style>
  <w:style w:type="character" w:styleId="CommentReference">
    <w:name w:val="annotation reference"/>
    <w:basedOn w:val="DefaultParagraphFont"/>
    <w:uiPriority w:val="99"/>
    <w:semiHidden/>
    <w:unhideWhenUsed/>
    <w:rsid w:val="002012B0"/>
    <w:rPr>
      <w:sz w:val="16"/>
      <w:szCs w:val="16"/>
    </w:rPr>
  </w:style>
</w:styles>
</file>

<file path=word/webSettings.xml><?xml version="1.0" encoding="utf-8"?>
<w:webSettings xmlns:r="http://schemas.openxmlformats.org/officeDocument/2006/relationships" xmlns:w="http://schemas.openxmlformats.org/wordprocessingml/2006/main">
  <w:divs>
    <w:div w:id="8404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FC3E51-2F97-4A0B-9931-A9E497C774A0}"/>
</file>

<file path=customXml/itemProps2.xml><?xml version="1.0" encoding="utf-8"?>
<ds:datastoreItem xmlns:ds="http://schemas.openxmlformats.org/officeDocument/2006/customXml" ds:itemID="{BBD78C36-299C-4DDE-9F0B-4DA36F7E072D}"/>
</file>

<file path=customXml/itemProps3.xml><?xml version="1.0" encoding="utf-8"?>
<ds:datastoreItem xmlns:ds="http://schemas.openxmlformats.org/officeDocument/2006/customXml" ds:itemID="{25BF790C-A6A4-4C0C-BAA1-DFB29D7E7263}"/>
</file>

<file path=customXml/itemProps4.xml><?xml version="1.0" encoding="utf-8"?>
<ds:datastoreItem xmlns:ds="http://schemas.openxmlformats.org/officeDocument/2006/customXml" ds:itemID="{899DA0DC-DD28-43DE-B141-8A3D95D00413}"/>
</file>

<file path=customXml/itemProps5.xml><?xml version="1.0" encoding="utf-8"?>
<ds:datastoreItem xmlns:ds="http://schemas.openxmlformats.org/officeDocument/2006/customXml" ds:itemID="{A1DDF3D6-1977-4782-8EF1-C8B8F6CF194A}"/>
</file>

<file path=docProps/app.xml><?xml version="1.0" encoding="utf-8"?>
<Properties xmlns="http://schemas.openxmlformats.org/officeDocument/2006/extended-properties" xmlns:vt="http://schemas.openxmlformats.org/officeDocument/2006/docPropsVTypes">
  <Template>Normal</Template>
  <TotalTime>62</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10</cp:revision>
  <cp:lastPrinted>2013-07-31T23:27:00Z</cp:lastPrinted>
  <dcterms:created xsi:type="dcterms:W3CDTF">2014-05-08T18:05:00Z</dcterms:created>
  <dcterms:modified xsi:type="dcterms:W3CDTF">2014-05-09T20:03:00Z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