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52" w:rsidRDefault="00785152" w:rsidP="00F65266">
      <w:pPr>
        <w:pStyle w:val="BodyTextIndent"/>
        <w:rPr>
          <w:b/>
          <w:bCs/>
        </w:rPr>
      </w:pPr>
      <w:r>
        <w:rPr>
          <w:b/>
          <w:bCs/>
        </w:rPr>
        <w:t>Q.</w:t>
      </w:r>
      <w:r>
        <w:rPr>
          <w:b/>
          <w:bCs/>
        </w:rPr>
        <w:tab/>
        <w:t xml:space="preserve">Please state your </w:t>
      </w:r>
      <w:r>
        <w:rPr>
          <w:rStyle w:val="LineNumber"/>
          <w:b/>
          <w:bCs/>
        </w:rPr>
        <w:t>name</w:t>
      </w:r>
      <w:r>
        <w:rPr>
          <w:b/>
          <w:bCs/>
        </w:rPr>
        <w:t>, business address and present position with PacifiCorp (</w:t>
      </w:r>
      <w:r w:rsidR="000F52AA">
        <w:rPr>
          <w:b/>
          <w:bCs/>
        </w:rPr>
        <w:t xml:space="preserve">the </w:t>
      </w:r>
      <w:r>
        <w:rPr>
          <w:b/>
          <w:bCs/>
        </w:rPr>
        <w:t>Company).</w:t>
      </w:r>
    </w:p>
    <w:p w:rsidR="00785152" w:rsidRDefault="00785152" w:rsidP="00F65266">
      <w:pPr>
        <w:numPr>
          <w:ilvl w:val="0"/>
          <w:numId w:val="34"/>
        </w:numPr>
      </w:pPr>
      <w:r>
        <w:t>My name is Bruce N. Williams.  My business address is 825 NE Multnomah</w:t>
      </w:r>
      <w:r w:rsidR="00542EE2">
        <w:t xml:space="preserve"> Street</w:t>
      </w:r>
      <w:r>
        <w:t xml:space="preserve">, Suite 1900, Portland, Oregon 97232.  </w:t>
      </w:r>
      <w:r w:rsidR="0016006C">
        <w:t>My present position is</w:t>
      </w:r>
      <w:r>
        <w:t xml:space="preserve"> Vice President and Treasurer.</w:t>
      </w:r>
    </w:p>
    <w:p w:rsidR="00785152" w:rsidRDefault="00E84C52" w:rsidP="00F65266">
      <w:pPr>
        <w:numPr>
          <w:ilvl w:val="0"/>
          <w:numId w:val="20"/>
        </w:numPr>
        <w:rPr>
          <w:b/>
          <w:bCs/>
        </w:rPr>
      </w:pPr>
      <w:r>
        <w:rPr>
          <w:b/>
          <w:bCs/>
        </w:rPr>
        <w:t>D</w:t>
      </w:r>
      <w:r w:rsidR="002E7DBB">
        <w:rPr>
          <w:b/>
          <w:bCs/>
        </w:rPr>
        <w:t>escribe your education</w:t>
      </w:r>
      <w:r w:rsidR="000F52AA">
        <w:rPr>
          <w:b/>
          <w:bCs/>
        </w:rPr>
        <w:t xml:space="preserve"> and professional background</w:t>
      </w:r>
      <w:r w:rsidR="00785152">
        <w:rPr>
          <w:b/>
          <w:bCs/>
        </w:rPr>
        <w:t xml:space="preserve">. </w:t>
      </w:r>
    </w:p>
    <w:p w:rsidR="00785152" w:rsidRDefault="00785152" w:rsidP="00F65266">
      <w:pPr>
        <w:pStyle w:val="BodyTextIndent"/>
        <w:numPr>
          <w:ilvl w:val="0"/>
          <w:numId w:val="21"/>
        </w:numPr>
      </w:pPr>
      <w:r>
        <w:t>I received a Bachelor of Science degree in Business Administration with a concentration in Finance from Oregon State University in 1980.  I also received the Chartered Financial Analyst designation upon passing the examination in 1986.  I</w:t>
      </w:r>
      <w:r w:rsidR="003A09E9">
        <w:t xml:space="preserve"> </w:t>
      </w:r>
      <w:r>
        <w:t>have been employed by the Company for 2</w:t>
      </w:r>
      <w:r w:rsidR="00175690">
        <w:t>5</w:t>
      </w:r>
      <w:r>
        <w:t xml:space="preserve"> years.  My business experience has included financing of the Company’s electric operations and non-utility activities, </w:t>
      </w:r>
      <w:r w:rsidR="00B71F78">
        <w:t xml:space="preserve">responsibility for the investment management of the Company’s qualified and non-qualified </w:t>
      </w:r>
      <w:r w:rsidR="00C06F73">
        <w:t>r</w:t>
      </w:r>
      <w:r w:rsidR="00B71F78">
        <w:t>etirement plan assets, and investor</w:t>
      </w:r>
      <w:r>
        <w:t xml:space="preserve"> relations.</w:t>
      </w:r>
    </w:p>
    <w:p w:rsidR="00785152" w:rsidRDefault="00E84C52" w:rsidP="00F65266">
      <w:pPr>
        <w:numPr>
          <w:ilvl w:val="0"/>
          <w:numId w:val="22"/>
        </w:numPr>
        <w:rPr>
          <w:b/>
          <w:bCs/>
        </w:rPr>
      </w:pPr>
      <w:r>
        <w:rPr>
          <w:b/>
          <w:bCs/>
        </w:rPr>
        <w:t>D</w:t>
      </w:r>
      <w:r w:rsidR="00785152">
        <w:rPr>
          <w:b/>
          <w:bCs/>
        </w:rPr>
        <w:t>escribe your present duties.</w:t>
      </w:r>
    </w:p>
    <w:p w:rsidR="00924CAA" w:rsidRPr="00924CAA" w:rsidRDefault="00785152" w:rsidP="00F65266">
      <w:pPr>
        <w:pStyle w:val="BodyTextIndent"/>
        <w:numPr>
          <w:ilvl w:val="0"/>
          <w:numId w:val="23"/>
        </w:numPr>
        <w:rPr>
          <w:b/>
        </w:rPr>
      </w:pPr>
      <w:r>
        <w:t xml:space="preserve">I am responsible for the Company’s treasury, credit risk management, pension and other investment management activities.  I am </w:t>
      </w:r>
      <w:r w:rsidR="0079648E">
        <w:t xml:space="preserve">also </w:t>
      </w:r>
      <w:r>
        <w:t xml:space="preserve">responsible for the preparation of PacifiCorp’s embedded cost of debt and preferred equity and </w:t>
      </w:r>
      <w:r w:rsidR="0079648E">
        <w:t xml:space="preserve">any associated </w:t>
      </w:r>
      <w:r>
        <w:t>testimony related to capital structure</w:t>
      </w:r>
      <w:r w:rsidR="0079648E">
        <w:t xml:space="preserve"> for regulatory filings in all of PacifiCorp’s state and federal jurisdictions</w:t>
      </w:r>
      <w:r w:rsidR="00542EE2">
        <w:t>.</w:t>
      </w:r>
    </w:p>
    <w:p w:rsidR="00BA6528" w:rsidRDefault="00785152" w:rsidP="00F65266">
      <w:pPr>
        <w:pStyle w:val="BodyTextIndent"/>
        <w:ind w:left="0" w:firstLine="0"/>
        <w:rPr>
          <w:b/>
        </w:rPr>
      </w:pPr>
      <w:r w:rsidRPr="00281FE9">
        <w:rPr>
          <w:b/>
        </w:rPr>
        <w:t>Purpose of Testimony</w:t>
      </w:r>
    </w:p>
    <w:p w:rsidR="00785152" w:rsidRDefault="00785152" w:rsidP="00F65266">
      <w:pPr>
        <w:numPr>
          <w:ilvl w:val="0"/>
          <w:numId w:val="24"/>
        </w:numPr>
        <w:rPr>
          <w:b/>
          <w:bCs/>
        </w:rPr>
      </w:pPr>
      <w:r>
        <w:rPr>
          <w:b/>
          <w:bCs/>
        </w:rPr>
        <w:t>What is the purpose of your testimony?</w:t>
      </w:r>
    </w:p>
    <w:p w:rsidR="00265965" w:rsidRDefault="00E32C3B" w:rsidP="00F65266">
      <w:pPr>
        <w:pStyle w:val="BodyTextIndent"/>
        <w:widowControl w:val="0"/>
        <w:ind w:firstLine="0"/>
      </w:pPr>
      <w:r>
        <w:t xml:space="preserve">My testimony provides limited updates to the Company’s </w:t>
      </w:r>
      <w:r w:rsidR="00EC3CC8">
        <w:t xml:space="preserve">recently determined </w:t>
      </w:r>
      <w:r>
        <w:t>cost of capital</w:t>
      </w:r>
      <w:r w:rsidR="00EC3CC8">
        <w:t>.</w:t>
      </w:r>
      <w:r>
        <w:t xml:space="preserve"> </w:t>
      </w:r>
      <w:r w:rsidR="00127F57">
        <w:t xml:space="preserve"> Given the limited timeframe between the filing of this case and </w:t>
      </w:r>
      <w:r w:rsidR="00127F57">
        <w:lastRenderedPageBreak/>
        <w:t>the March 2</w:t>
      </w:r>
      <w:r w:rsidR="009F3A2B">
        <w:t>5</w:t>
      </w:r>
      <w:r w:rsidR="00127F57">
        <w:t>, 2011, Order</w:t>
      </w:r>
      <w:r w:rsidR="00A30DD4">
        <w:t xml:space="preserve"> 06</w:t>
      </w:r>
      <w:r w:rsidR="00127F57">
        <w:t xml:space="preserve"> in Docket UE-100749 (2010 Rate Case)</w:t>
      </w:r>
      <w:r w:rsidR="00523D3D">
        <w:t>,</w:t>
      </w:r>
      <w:r w:rsidR="00A618B2">
        <w:t xml:space="preserve"> </w:t>
      </w:r>
      <w:r w:rsidR="00127F57">
        <w:t>f</w:t>
      </w:r>
      <w:r w:rsidR="00361C65">
        <w:t xml:space="preserve">or purposes of this proceeding, the Company is accepting the capital structure and return on equity </w:t>
      </w:r>
      <w:r w:rsidR="008A74B9">
        <w:t>ordered by th</w:t>
      </w:r>
      <w:r w:rsidR="00361C65">
        <w:t xml:space="preserve">e Commission in </w:t>
      </w:r>
      <w:r w:rsidR="005170A9">
        <w:t xml:space="preserve">the 2010 </w:t>
      </w:r>
      <w:r w:rsidR="00C54DFB">
        <w:t>Rate Case</w:t>
      </w:r>
      <w:r w:rsidR="00361C65">
        <w:t xml:space="preserve">.  </w:t>
      </w:r>
      <w:r w:rsidR="00127F57">
        <w:t>My testimony</w:t>
      </w:r>
      <w:r w:rsidR="00361C65">
        <w:t xml:space="preserve"> </w:t>
      </w:r>
      <w:r w:rsidR="00127F57">
        <w:t xml:space="preserve">provides </w:t>
      </w:r>
      <w:r w:rsidR="00361C65">
        <w:t xml:space="preserve">an update to the Company’s cost of long-term debt and preferred stock </w:t>
      </w:r>
      <w:r w:rsidR="00127F57">
        <w:t xml:space="preserve">for known and measurable events that have </w:t>
      </w:r>
      <w:r w:rsidR="007956E8">
        <w:t xml:space="preserve">already occurred </w:t>
      </w:r>
      <w:r w:rsidR="00127F57">
        <w:t xml:space="preserve">or will occur </w:t>
      </w:r>
      <w:r w:rsidR="007956E8">
        <w:t>during the pendency of this proceeding</w:t>
      </w:r>
      <w:r w:rsidR="00127F57">
        <w:t xml:space="preserve">.  These updates </w:t>
      </w:r>
      <w:r w:rsidR="005170A9">
        <w:t xml:space="preserve">result in </w:t>
      </w:r>
      <w:r w:rsidR="00127F57">
        <w:t xml:space="preserve">a </w:t>
      </w:r>
      <w:r w:rsidR="005170A9">
        <w:t xml:space="preserve">lower weighted average cost of capital for the </w:t>
      </w:r>
      <w:r w:rsidR="00361C65">
        <w:t xml:space="preserve">benefit </w:t>
      </w:r>
      <w:r w:rsidR="005170A9">
        <w:t>of</w:t>
      </w:r>
      <w:r w:rsidR="00361C65">
        <w:t xml:space="preserve"> customers.  </w:t>
      </w:r>
      <w:r w:rsidR="00127F57">
        <w:t>If, however, other parties to this proceeding decide to contest the Company’s capital structure or return on equity</w:t>
      </w:r>
      <w:r w:rsidR="007956E8">
        <w:t xml:space="preserve">, the Company </w:t>
      </w:r>
      <w:r w:rsidR="00542EE2">
        <w:t>would</w:t>
      </w:r>
      <w:r w:rsidR="0001341F">
        <w:t xml:space="preserve"> </w:t>
      </w:r>
      <w:r w:rsidR="007956E8">
        <w:t>present a comprehensive cost of capital analysis in its rebuttal filing in response.</w:t>
      </w:r>
    </w:p>
    <w:p w:rsidR="00127F57" w:rsidRDefault="0035639E" w:rsidP="00F65266">
      <w:pPr>
        <w:pStyle w:val="BodyTextIndent"/>
        <w:widowControl w:val="0"/>
        <w:rPr>
          <w:b/>
        </w:rPr>
      </w:pPr>
      <w:r w:rsidRPr="0035639E">
        <w:rPr>
          <w:b/>
        </w:rPr>
        <w:t>Q.</w:t>
      </w:r>
      <w:r w:rsidR="00DE7153" w:rsidRPr="00DE7153">
        <w:rPr>
          <w:b/>
        </w:rPr>
        <w:tab/>
      </w:r>
      <w:r w:rsidRPr="0035639E">
        <w:rPr>
          <w:b/>
        </w:rPr>
        <w:t xml:space="preserve">What overall </w:t>
      </w:r>
      <w:r w:rsidR="00127F57">
        <w:rPr>
          <w:b/>
        </w:rPr>
        <w:t>cost of capital</w:t>
      </w:r>
      <w:r w:rsidRPr="0035639E">
        <w:rPr>
          <w:b/>
        </w:rPr>
        <w:t xml:space="preserve"> was authorized for the Company in the 2010 </w:t>
      </w:r>
      <w:r w:rsidR="00C54DFB">
        <w:rPr>
          <w:b/>
        </w:rPr>
        <w:t>Rate Case</w:t>
      </w:r>
      <w:r w:rsidRPr="0035639E">
        <w:rPr>
          <w:b/>
        </w:rPr>
        <w:t>?</w:t>
      </w:r>
    </w:p>
    <w:p w:rsidR="00C87026" w:rsidRDefault="00DE7153" w:rsidP="00F65266">
      <w:pPr>
        <w:pStyle w:val="BodyTextIndent"/>
        <w:widowControl w:val="0"/>
      </w:pPr>
      <w:r w:rsidRPr="00593F07">
        <w:t>A.</w:t>
      </w:r>
      <w:r w:rsidRPr="00593F07">
        <w:tab/>
      </w:r>
      <w:r>
        <w:t xml:space="preserve">In the 2010 </w:t>
      </w:r>
      <w:r w:rsidR="00C54DFB">
        <w:t>Rate Case</w:t>
      </w:r>
      <w:r>
        <w:t xml:space="preserve">, the Commission adopted the following capital structure and cost elements, which produced an overall </w:t>
      </w:r>
      <w:r w:rsidR="00127F57">
        <w:t>cost of capital</w:t>
      </w:r>
      <w:r>
        <w:t xml:space="preserve"> of 7.81 percent:</w:t>
      </w:r>
      <w:r w:rsidR="002D3A89">
        <w:rPr>
          <w:rStyle w:val="FootnoteReference"/>
        </w:rPr>
        <w:footnoteReference w:id="1"/>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411"/>
        <w:gridCol w:w="1350"/>
        <w:gridCol w:w="2315"/>
      </w:tblGrid>
      <w:tr w:rsidR="00BE7429" w:rsidRPr="00DF515B" w:rsidTr="00EC3CC8">
        <w:trPr>
          <w:jc w:val="center"/>
        </w:trPr>
        <w:tc>
          <w:tcPr>
            <w:tcW w:w="2434" w:type="dxa"/>
          </w:tcPr>
          <w:p w:rsidR="00DE7153" w:rsidRPr="00DF515B" w:rsidRDefault="00070E21" w:rsidP="00F65266">
            <w:pPr>
              <w:spacing w:line="240" w:lineRule="auto"/>
              <w:ind w:left="0" w:firstLine="0"/>
              <w:rPr>
                <w:b/>
              </w:rPr>
            </w:pPr>
            <w:r w:rsidRPr="00DF515B">
              <w:rPr>
                <w:b/>
              </w:rPr>
              <w:t>Component</w:t>
            </w:r>
          </w:p>
        </w:tc>
        <w:tc>
          <w:tcPr>
            <w:tcW w:w="1411" w:type="dxa"/>
          </w:tcPr>
          <w:p w:rsidR="00070E21" w:rsidRPr="00DF515B" w:rsidRDefault="001B58EC" w:rsidP="00F65266">
            <w:pPr>
              <w:spacing w:line="240" w:lineRule="auto"/>
              <w:ind w:left="0" w:firstLine="0"/>
              <w:jc w:val="right"/>
              <w:rPr>
                <w:b/>
              </w:rPr>
            </w:pPr>
            <w:r w:rsidRPr="00DF515B">
              <w:rPr>
                <w:b/>
              </w:rPr>
              <w:t>Ratio (%)</w:t>
            </w:r>
          </w:p>
        </w:tc>
        <w:tc>
          <w:tcPr>
            <w:tcW w:w="1350" w:type="dxa"/>
          </w:tcPr>
          <w:p w:rsidR="00070E21" w:rsidRPr="00DF515B" w:rsidRDefault="001B58EC" w:rsidP="00F65266">
            <w:pPr>
              <w:spacing w:line="240" w:lineRule="auto"/>
              <w:ind w:left="0" w:firstLine="0"/>
              <w:jc w:val="right"/>
              <w:rPr>
                <w:b/>
              </w:rPr>
            </w:pPr>
            <w:r w:rsidRPr="00DF515B">
              <w:rPr>
                <w:b/>
              </w:rPr>
              <w:t>Cost (% )</w:t>
            </w:r>
          </w:p>
        </w:tc>
        <w:tc>
          <w:tcPr>
            <w:tcW w:w="2315" w:type="dxa"/>
          </w:tcPr>
          <w:p w:rsidR="00070E21" w:rsidRPr="00DF515B" w:rsidRDefault="001B58EC" w:rsidP="00F65266">
            <w:pPr>
              <w:spacing w:line="240" w:lineRule="auto"/>
              <w:ind w:left="0" w:firstLine="0"/>
              <w:jc w:val="right"/>
              <w:rPr>
                <w:b/>
              </w:rPr>
            </w:pPr>
            <w:r w:rsidRPr="00DF515B">
              <w:rPr>
                <w:b/>
              </w:rPr>
              <w:t>Weighted Cost (%)</w:t>
            </w:r>
          </w:p>
        </w:tc>
      </w:tr>
      <w:tr w:rsidR="00BE7429" w:rsidRPr="00DF515B" w:rsidTr="00EC3CC8">
        <w:trPr>
          <w:jc w:val="center"/>
        </w:trPr>
        <w:tc>
          <w:tcPr>
            <w:tcW w:w="2434" w:type="dxa"/>
          </w:tcPr>
          <w:p w:rsidR="00DE7153" w:rsidRPr="00DF515B" w:rsidRDefault="00070E21" w:rsidP="00F65266">
            <w:pPr>
              <w:spacing w:line="240" w:lineRule="auto"/>
              <w:ind w:left="0" w:firstLine="0"/>
            </w:pPr>
            <w:r w:rsidRPr="00DF515B">
              <w:t>Long-Term Debt</w:t>
            </w:r>
          </w:p>
        </w:tc>
        <w:tc>
          <w:tcPr>
            <w:tcW w:w="1411" w:type="dxa"/>
          </w:tcPr>
          <w:p w:rsidR="00070E21" w:rsidRPr="00DF515B" w:rsidRDefault="00070E21" w:rsidP="00F65266">
            <w:pPr>
              <w:spacing w:line="240" w:lineRule="auto"/>
              <w:ind w:left="0" w:firstLine="0"/>
              <w:jc w:val="right"/>
            </w:pPr>
            <w:r w:rsidRPr="00DF515B">
              <w:t>50.6%</w:t>
            </w:r>
          </w:p>
        </w:tc>
        <w:tc>
          <w:tcPr>
            <w:tcW w:w="1350" w:type="dxa"/>
          </w:tcPr>
          <w:p w:rsidR="00070E21" w:rsidRPr="00DF515B" w:rsidRDefault="001B58EC" w:rsidP="00F65266">
            <w:pPr>
              <w:spacing w:line="240" w:lineRule="auto"/>
              <w:ind w:left="0" w:firstLine="0"/>
              <w:jc w:val="right"/>
            </w:pPr>
            <w:r w:rsidRPr="00DF515B">
              <w:t>5.89%</w:t>
            </w:r>
          </w:p>
        </w:tc>
        <w:tc>
          <w:tcPr>
            <w:tcW w:w="2315" w:type="dxa"/>
          </w:tcPr>
          <w:p w:rsidR="00070E21" w:rsidRPr="00DF515B" w:rsidRDefault="001B58EC" w:rsidP="00F65266">
            <w:pPr>
              <w:spacing w:line="240" w:lineRule="auto"/>
              <w:ind w:left="0" w:firstLine="0"/>
              <w:jc w:val="right"/>
            </w:pPr>
            <w:r w:rsidRPr="00DF515B">
              <w:t>2.98%</w:t>
            </w:r>
          </w:p>
        </w:tc>
      </w:tr>
      <w:tr w:rsidR="00BE7429" w:rsidRPr="00DF515B" w:rsidTr="00EC3CC8">
        <w:trPr>
          <w:jc w:val="center"/>
        </w:trPr>
        <w:tc>
          <w:tcPr>
            <w:tcW w:w="2434" w:type="dxa"/>
          </w:tcPr>
          <w:p w:rsidR="00DE7153" w:rsidRPr="00DF515B" w:rsidRDefault="00070E21" w:rsidP="00F65266">
            <w:pPr>
              <w:spacing w:line="240" w:lineRule="auto"/>
              <w:ind w:left="0" w:firstLine="0"/>
            </w:pPr>
            <w:r w:rsidRPr="00DF515B">
              <w:t>Preferred Stock</w:t>
            </w:r>
          </w:p>
        </w:tc>
        <w:tc>
          <w:tcPr>
            <w:tcW w:w="1411" w:type="dxa"/>
          </w:tcPr>
          <w:p w:rsidR="00070E21" w:rsidRPr="00DF515B" w:rsidRDefault="00070E21" w:rsidP="00F65266">
            <w:pPr>
              <w:spacing w:line="240" w:lineRule="auto"/>
              <w:ind w:left="0" w:firstLine="0"/>
              <w:jc w:val="right"/>
            </w:pPr>
            <w:r w:rsidRPr="00DF515B">
              <w:t>0.3%</w:t>
            </w:r>
          </w:p>
        </w:tc>
        <w:tc>
          <w:tcPr>
            <w:tcW w:w="1350" w:type="dxa"/>
          </w:tcPr>
          <w:p w:rsidR="00070E21" w:rsidRPr="00DF515B" w:rsidRDefault="001B58EC" w:rsidP="00F65266">
            <w:pPr>
              <w:spacing w:line="240" w:lineRule="auto"/>
              <w:ind w:left="0" w:firstLine="0"/>
              <w:jc w:val="right"/>
            </w:pPr>
            <w:r w:rsidRPr="00DF515B">
              <w:t>5.41%</w:t>
            </w:r>
          </w:p>
        </w:tc>
        <w:tc>
          <w:tcPr>
            <w:tcW w:w="2315" w:type="dxa"/>
          </w:tcPr>
          <w:p w:rsidR="00070E21" w:rsidRPr="00DF515B" w:rsidRDefault="001B58EC" w:rsidP="00F65266">
            <w:pPr>
              <w:spacing w:line="240" w:lineRule="auto"/>
              <w:ind w:left="0" w:firstLine="0"/>
              <w:jc w:val="right"/>
            </w:pPr>
            <w:r w:rsidRPr="00DF515B">
              <w:t>0.02%</w:t>
            </w:r>
          </w:p>
        </w:tc>
      </w:tr>
      <w:tr w:rsidR="00BE7429" w:rsidRPr="00DF515B" w:rsidTr="00EC3CC8">
        <w:trPr>
          <w:jc w:val="center"/>
        </w:trPr>
        <w:tc>
          <w:tcPr>
            <w:tcW w:w="2434" w:type="dxa"/>
          </w:tcPr>
          <w:p w:rsidR="00DE7153" w:rsidRPr="00DF515B" w:rsidRDefault="00070E21" w:rsidP="00F65266">
            <w:pPr>
              <w:spacing w:line="240" w:lineRule="auto"/>
              <w:ind w:left="0" w:firstLine="0"/>
            </w:pPr>
            <w:r w:rsidRPr="00DF515B">
              <w:t>Common Stock Equity</w:t>
            </w:r>
          </w:p>
        </w:tc>
        <w:tc>
          <w:tcPr>
            <w:tcW w:w="1411" w:type="dxa"/>
          </w:tcPr>
          <w:p w:rsidR="00070E21" w:rsidRPr="00DF515B" w:rsidRDefault="00070E21" w:rsidP="00F65266">
            <w:pPr>
              <w:spacing w:line="240" w:lineRule="auto"/>
              <w:ind w:left="0" w:firstLine="0"/>
              <w:jc w:val="right"/>
            </w:pPr>
            <w:r w:rsidRPr="00DF515B">
              <w:t>49.1%</w:t>
            </w:r>
          </w:p>
        </w:tc>
        <w:tc>
          <w:tcPr>
            <w:tcW w:w="1350" w:type="dxa"/>
          </w:tcPr>
          <w:p w:rsidR="00070E21" w:rsidRPr="00DF515B" w:rsidRDefault="001B58EC" w:rsidP="00F65266">
            <w:pPr>
              <w:spacing w:line="240" w:lineRule="auto"/>
              <w:ind w:left="0" w:firstLine="0"/>
              <w:jc w:val="right"/>
            </w:pPr>
            <w:r w:rsidRPr="00DF515B">
              <w:t>9.80%</w:t>
            </w:r>
          </w:p>
        </w:tc>
        <w:tc>
          <w:tcPr>
            <w:tcW w:w="2315" w:type="dxa"/>
          </w:tcPr>
          <w:p w:rsidR="00070E21" w:rsidRPr="00DF515B" w:rsidRDefault="001B58EC" w:rsidP="00F65266">
            <w:pPr>
              <w:spacing w:line="240" w:lineRule="auto"/>
              <w:ind w:left="0" w:firstLine="0"/>
              <w:jc w:val="right"/>
            </w:pPr>
            <w:r w:rsidRPr="00DF515B">
              <w:t>4.8</w:t>
            </w:r>
            <w:r w:rsidR="00C817CA" w:rsidRPr="00DF515B">
              <w:t>1</w:t>
            </w:r>
            <w:r w:rsidRPr="00DF515B">
              <w:t>%</w:t>
            </w:r>
          </w:p>
        </w:tc>
      </w:tr>
      <w:tr w:rsidR="00BE7429" w:rsidRPr="00DF515B" w:rsidTr="00EC3CC8">
        <w:trPr>
          <w:jc w:val="center"/>
        </w:trPr>
        <w:tc>
          <w:tcPr>
            <w:tcW w:w="2434" w:type="dxa"/>
          </w:tcPr>
          <w:p w:rsidR="00DE7153" w:rsidRPr="00DF515B" w:rsidRDefault="00070E21" w:rsidP="00F65266">
            <w:pPr>
              <w:spacing w:line="240" w:lineRule="auto"/>
              <w:ind w:left="0" w:firstLine="0"/>
            </w:pPr>
            <w:r w:rsidRPr="00DF515B">
              <w:t>Total</w:t>
            </w:r>
          </w:p>
        </w:tc>
        <w:tc>
          <w:tcPr>
            <w:tcW w:w="1411" w:type="dxa"/>
          </w:tcPr>
          <w:p w:rsidR="00070E21" w:rsidRPr="00DF515B" w:rsidRDefault="00070E21" w:rsidP="00F65266">
            <w:pPr>
              <w:spacing w:line="240" w:lineRule="auto"/>
              <w:ind w:left="0" w:firstLine="0"/>
              <w:jc w:val="right"/>
            </w:pPr>
            <w:r w:rsidRPr="00DF515B">
              <w:t>100.0%</w:t>
            </w:r>
          </w:p>
        </w:tc>
        <w:tc>
          <w:tcPr>
            <w:tcW w:w="1350" w:type="dxa"/>
          </w:tcPr>
          <w:p w:rsidR="00070E21" w:rsidRPr="00DF515B" w:rsidRDefault="00070E21" w:rsidP="00F65266">
            <w:pPr>
              <w:spacing w:line="240" w:lineRule="auto"/>
              <w:ind w:left="0" w:firstLine="0"/>
              <w:jc w:val="right"/>
            </w:pPr>
          </w:p>
        </w:tc>
        <w:tc>
          <w:tcPr>
            <w:tcW w:w="2315" w:type="dxa"/>
          </w:tcPr>
          <w:p w:rsidR="00070E21" w:rsidRPr="00DF515B" w:rsidRDefault="001B58EC" w:rsidP="00F65266">
            <w:pPr>
              <w:spacing w:line="240" w:lineRule="auto"/>
              <w:ind w:left="0" w:firstLine="0"/>
              <w:jc w:val="right"/>
            </w:pPr>
            <w:r w:rsidRPr="00DF515B">
              <w:t>7.81%</w:t>
            </w:r>
          </w:p>
        </w:tc>
      </w:tr>
    </w:tbl>
    <w:p w:rsidR="00A30DD4" w:rsidRDefault="00A30DD4" w:rsidP="00F65266">
      <w:pPr>
        <w:pStyle w:val="BodyTextIndent"/>
        <w:suppressLineNumbers/>
        <w:ind w:left="0" w:firstLine="0"/>
        <w:rPr>
          <w:b/>
          <w:bCs/>
        </w:rPr>
      </w:pPr>
    </w:p>
    <w:p w:rsidR="00DF515B" w:rsidRDefault="005B5861" w:rsidP="00F65266">
      <w:pPr>
        <w:pStyle w:val="BodyTextIndent"/>
        <w:widowControl w:val="0"/>
        <w:rPr>
          <w:b/>
          <w:bCs/>
        </w:rPr>
      </w:pPr>
      <w:r>
        <w:rPr>
          <w:b/>
          <w:bCs/>
        </w:rPr>
        <w:t>Q.</w:t>
      </w:r>
      <w:r>
        <w:rPr>
          <w:b/>
          <w:bCs/>
        </w:rPr>
        <w:tab/>
        <w:t xml:space="preserve">What is the overall cost of capital that </w:t>
      </w:r>
      <w:r w:rsidR="00127F57">
        <w:rPr>
          <w:b/>
          <w:bCs/>
        </w:rPr>
        <w:t>the Company is</w:t>
      </w:r>
      <w:r>
        <w:rPr>
          <w:b/>
          <w:bCs/>
        </w:rPr>
        <w:t xml:space="preserve"> proposing in this proceeding?</w:t>
      </w:r>
    </w:p>
    <w:p w:rsidR="00C817CA" w:rsidRPr="00DF515B" w:rsidRDefault="005B5861" w:rsidP="00F65266">
      <w:pPr>
        <w:pStyle w:val="BodyTextIndent"/>
        <w:widowControl w:val="0"/>
      </w:pPr>
      <w:r>
        <w:t>A.</w:t>
      </w:r>
      <w:r>
        <w:tab/>
        <w:t xml:space="preserve">PacifiCorp is proposing an overall cost of capital of </w:t>
      </w:r>
      <w:r w:rsidR="00361C65">
        <w:t>7</w:t>
      </w:r>
      <w:r>
        <w:t>.</w:t>
      </w:r>
      <w:r w:rsidR="00361C65">
        <w:t>74</w:t>
      </w:r>
      <w:r>
        <w:t xml:space="preserve"> percent.  </w:t>
      </w:r>
      <w:r w:rsidR="00361C65">
        <w:t>As noted above</w:t>
      </w:r>
      <w:r w:rsidR="0088307B">
        <w:t>,</w:t>
      </w:r>
      <w:r w:rsidR="00361C65">
        <w:t xml:space="preserve"> I have </w:t>
      </w:r>
      <w:r w:rsidR="00B2787A">
        <w:t xml:space="preserve">only </w:t>
      </w:r>
      <w:r w:rsidR="00361C65">
        <w:t xml:space="preserve">updated the cost of long-term debt and preferred stock and the </w:t>
      </w:r>
      <w:r w:rsidR="00361C65">
        <w:lastRenderedPageBreak/>
        <w:t>resulting components and costs are as follows</w:t>
      </w:r>
      <w:r>
        <w:t>:</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411"/>
        <w:gridCol w:w="1350"/>
        <w:gridCol w:w="2315"/>
      </w:tblGrid>
      <w:tr w:rsidR="00BA647F" w:rsidRPr="00DF515B" w:rsidTr="00AF224B">
        <w:trPr>
          <w:jc w:val="center"/>
        </w:trPr>
        <w:tc>
          <w:tcPr>
            <w:tcW w:w="2434" w:type="dxa"/>
          </w:tcPr>
          <w:p w:rsidR="00BA647F" w:rsidRPr="00DF515B" w:rsidRDefault="00BA647F" w:rsidP="00F65266">
            <w:pPr>
              <w:spacing w:line="240" w:lineRule="auto"/>
              <w:ind w:left="0" w:firstLine="0"/>
              <w:rPr>
                <w:b/>
              </w:rPr>
            </w:pPr>
            <w:r w:rsidRPr="00DF515B">
              <w:rPr>
                <w:b/>
              </w:rPr>
              <w:t>Component</w:t>
            </w:r>
          </w:p>
        </w:tc>
        <w:tc>
          <w:tcPr>
            <w:tcW w:w="1411" w:type="dxa"/>
          </w:tcPr>
          <w:p w:rsidR="00BA647F" w:rsidRPr="00DF515B" w:rsidRDefault="00BA647F" w:rsidP="00F65266">
            <w:pPr>
              <w:spacing w:line="240" w:lineRule="auto"/>
              <w:ind w:left="0" w:firstLine="0"/>
              <w:jc w:val="right"/>
              <w:rPr>
                <w:b/>
              </w:rPr>
            </w:pPr>
            <w:r w:rsidRPr="00DF515B">
              <w:rPr>
                <w:b/>
              </w:rPr>
              <w:t>Ratio (%)</w:t>
            </w:r>
          </w:p>
        </w:tc>
        <w:tc>
          <w:tcPr>
            <w:tcW w:w="1350" w:type="dxa"/>
          </w:tcPr>
          <w:p w:rsidR="00BA647F" w:rsidRPr="00DF515B" w:rsidRDefault="00BA647F" w:rsidP="00F65266">
            <w:pPr>
              <w:spacing w:line="240" w:lineRule="auto"/>
              <w:ind w:left="0" w:firstLine="0"/>
              <w:jc w:val="right"/>
              <w:rPr>
                <w:b/>
              </w:rPr>
            </w:pPr>
            <w:r w:rsidRPr="00DF515B">
              <w:rPr>
                <w:b/>
              </w:rPr>
              <w:t>Cost (% )</w:t>
            </w:r>
          </w:p>
        </w:tc>
        <w:tc>
          <w:tcPr>
            <w:tcW w:w="2315" w:type="dxa"/>
          </w:tcPr>
          <w:p w:rsidR="00BA647F" w:rsidRPr="00DF515B" w:rsidRDefault="00BA647F" w:rsidP="00F65266">
            <w:pPr>
              <w:spacing w:line="240" w:lineRule="auto"/>
              <w:ind w:left="0" w:firstLine="0"/>
              <w:jc w:val="right"/>
              <w:rPr>
                <w:b/>
              </w:rPr>
            </w:pPr>
            <w:r w:rsidRPr="00DF515B">
              <w:rPr>
                <w:b/>
              </w:rPr>
              <w:t>Weighted Cost (%)</w:t>
            </w:r>
          </w:p>
        </w:tc>
      </w:tr>
      <w:tr w:rsidR="00BA647F" w:rsidRPr="00DF515B" w:rsidTr="00AF224B">
        <w:trPr>
          <w:jc w:val="center"/>
        </w:trPr>
        <w:tc>
          <w:tcPr>
            <w:tcW w:w="2434" w:type="dxa"/>
          </w:tcPr>
          <w:p w:rsidR="00BA647F" w:rsidRPr="00DF515B" w:rsidRDefault="00BA647F" w:rsidP="00F65266">
            <w:pPr>
              <w:spacing w:line="240" w:lineRule="auto"/>
              <w:ind w:left="0" w:firstLine="0"/>
            </w:pPr>
            <w:r w:rsidRPr="00DF515B">
              <w:t>Long-Term Debt</w:t>
            </w:r>
          </w:p>
        </w:tc>
        <w:tc>
          <w:tcPr>
            <w:tcW w:w="1411" w:type="dxa"/>
          </w:tcPr>
          <w:p w:rsidR="00BA647F" w:rsidRPr="00DF515B" w:rsidRDefault="00BA647F" w:rsidP="00F65266">
            <w:pPr>
              <w:spacing w:line="240" w:lineRule="auto"/>
              <w:ind w:left="0" w:firstLine="0"/>
              <w:jc w:val="right"/>
            </w:pPr>
            <w:r w:rsidRPr="00DF515B">
              <w:t>50.6%</w:t>
            </w:r>
          </w:p>
        </w:tc>
        <w:tc>
          <w:tcPr>
            <w:tcW w:w="1350" w:type="dxa"/>
          </w:tcPr>
          <w:p w:rsidR="00935D81" w:rsidRPr="00DF515B" w:rsidRDefault="00BA647F" w:rsidP="00F65266">
            <w:pPr>
              <w:spacing w:line="240" w:lineRule="auto"/>
              <w:ind w:left="0" w:firstLine="0"/>
              <w:jc w:val="right"/>
            </w:pPr>
            <w:r w:rsidRPr="00DF515B">
              <w:t>5.76%</w:t>
            </w:r>
          </w:p>
        </w:tc>
        <w:tc>
          <w:tcPr>
            <w:tcW w:w="2315" w:type="dxa"/>
          </w:tcPr>
          <w:p w:rsidR="00935D81" w:rsidRPr="00DF515B" w:rsidRDefault="00BA647F" w:rsidP="00F65266">
            <w:pPr>
              <w:spacing w:line="240" w:lineRule="auto"/>
              <w:ind w:left="0" w:firstLine="0"/>
              <w:jc w:val="right"/>
            </w:pPr>
            <w:r w:rsidRPr="00DF515B">
              <w:t>2.91%</w:t>
            </w:r>
          </w:p>
        </w:tc>
      </w:tr>
      <w:tr w:rsidR="00BA647F" w:rsidRPr="00DF515B" w:rsidTr="00AF224B">
        <w:trPr>
          <w:jc w:val="center"/>
        </w:trPr>
        <w:tc>
          <w:tcPr>
            <w:tcW w:w="2434" w:type="dxa"/>
          </w:tcPr>
          <w:p w:rsidR="00BA647F" w:rsidRPr="00DF515B" w:rsidRDefault="00BA647F" w:rsidP="00F65266">
            <w:pPr>
              <w:spacing w:line="240" w:lineRule="auto"/>
              <w:ind w:left="0" w:firstLine="0"/>
            </w:pPr>
            <w:r w:rsidRPr="00DF515B">
              <w:t>Preferred Stock</w:t>
            </w:r>
          </w:p>
        </w:tc>
        <w:tc>
          <w:tcPr>
            <w:tcW w:w="1411" w:type="dxa"/>
          </w:tcPr>
          <w:p w:rsidR="00BA647F" w:rsidRPr="00DF515B" w:rsidRDefault="00BA647F" w:rsidP="00F65266">
            <w:pPr>
              <w:spacing w:line="240" w:lineRule="auto"/>
              <w:ind w:left="0" w:firstLine="0"/>
              <w:jc w:val="right"/>
            </w:pPr>
            <w:r w:rsidRPr="00DF515B">
              <w:t>0.3%</w:t>
            </w:r>
          </w:p>
        </w:tc>
        <w:tc>
          <w:tcPr>
            <w:tcW w:w="1350" w:type="dxa"/>
          </w:tcPr>
          <w:p w:rsidR="00BA647F" w:rsidRPr="00DF515B" w:rsidRDefault="00BA647F" w:rsidP="00F65266">
            <w:pPr>
              <w:spacing w:line="240" w:lineRule="auto"/>
              <w:ind w:left="0" w:firstLine="0"/>
              <w:jc w:val="right"/>
            </w:pPr>
            <w:r w:rsidRPr="00DF515B">
              <w:t>5.43%</w:t>
            </w:r>
          </w:p>
        </w:tc>
        <w:tc>
          <w:tcPr>
            <w:tcW w:w="2315" w:type="dxa"/>
          </w:tcPr>
          <w:p w:rsidR="00BA647F" w:rsidRPr="00DF515B" w:rsidRDefault="00BA647F" w:rsidP="00F65266">
            <w:pPr>
              <w:spacing w:line="240" w:lineRule="auto"/>
              <w:ind w:left="0" w:firstLine="0"/>
              <w:jc w:val="right"/>
            </w:pPr>
            <w:r w:rsidRPr="00DF515B">
              <w:t>0.02%</w:t>
            </w:r>
          </w:p>
        </w:tc>
      </w:tr>
      <w:tr w:rsidR="00BA647F" w:rsidRPr="00DF515B" w:rsidTr="00AF224B">
        <w:trPr>
          <w:jc w:val="center"/>
        </w:trPr>
        <w:tc>
          <w:tcPr>
            <w:tcW w:w="2434" w:type="dxa"/>
          </w:tcPr>
          <w:p w:rsidR="00BA647F" w:rsidRPr="00DF515B" w:rsidRDefault="00BA647F" w:rsidP="00F65266">
            <w:pPr>
              <w:spacing w:line="240" w:lineRule="auto"/>
              <w:ind w:left="0" w:firstLine="0"/>
            </w:pPr>
            <w:r w:rsidRPr="00DF515B">
              <w:t>Common Stock Equity</w:t>
            </w:r>
          </w:p>
        </w:tc>
        <w:tc>
          <w:tcPr>
            <w:tcW w:w="1411" w:type="dxa"/>
          </w:tcPr>
          <w:p w:rsidR="00BA647F" w:rsidRPr="00DF515B" w:rsidRDefault="00BA647F" w:rsidP="00F65266">
            <w:pPr>
              <w:spacing w:line="240" w:lineRule="auto"/>
              <w:ind w:left="0" w:firstLine="0"/>
              <w:jc w:val="right"/>
            </w:pPr>
            <w:r w:rsidRPr="00DF515B">
              <w:t>49.1%</w:t>
            </w:r>
          </w:p>
        </w:tc>
        <w:tc>
          <w:tcPr>
            <w:tcW w:w="1350" w:type="dxa"/>
          </w:tcPr>
          <w:p w:rsidR="00BA647F" w:rsidRPr="00DF515B" w:rsidRDefault="00BA647F" w:rsidP="00F65266">
            <w:pPr>
              <w:spacing w:line="240" w:lineRule="auto"/>
              <w:ind w:left="0" w:firstLine="0"/>
              <w:jc w:val="right"/>
            </w:pPr>
            <w:r w:rsidRPr="00DF515B">
              <w:t>9.80%</w:t>
            </w:r>
          </w:p>
        </w:tc>
        <w:tc>
          <w:tcPr>
            <w:tcW w:w="2315" w:type="dxa"/>
          </w:tcPr>
          <w:p w:rsidR="00BA647F" w:rsidRPr="00DF515B" w:rsidRDefault="00BA647F" w:rsidP="00F65266">
            <w:pPr>
              <w:spacing w:line="240" w:lineRule="auto"/>
              <w:ind w:left="0" w:firstLine="0"/>
              <w:jc w:val="right"/>
            </w:pPr>
            <w:r w:rsidRPr="00DF515B">
              <w:t>4.81%</w:t>
            </w:r>
          </w:p>
        </w:tc>
      </w:tr>
      <w:tr w:rsidR="00BA647F" w:rsidRPr="00DF515B" w:rsidTr="00AF224B">
        <w:trPr>
          <w:jc w:val="center"/>
        </w:trPr>
        <w:tc>
          <w:tcPr>
            <w:tcW w:w="2434" w:type="dxa"/>
          </w:tcPr>
          <w:p w:rsidR="00BA647F" w:rsidRPr="00DF515B" w:rsidRDefault="00BA647F" w:rsidP="00F65266">
            <w:pPr>
              <w:spacing w:line="240" w:lineRule="auto"/>
              <w:ind w:left="0" w:firstLine="0"/>
            </w:pPr>
            <w:r w:rsidRPr="00DF515B">
              <w:t>Total</w:t>
            </w:r>
          </w:p>
        </w:tc>
        <w:tc>
          <w:tcPr>
            <w:tcW w:w="1411" w:type="dxa"/>
          </w:tcPr>
          <w:p w:rsidR="00BA647F" w:rsidRPr="00DF515B" w:rsidRDefault="00BA647F" w:rsidP="00F65266">
            <w:pPr>
              <w:spacing w:line="240" w:lineRule="auto"/>
              <w:ind w:left="0" w:firstLine="0"/>
              <w:jc w:val="right"/>
            </w:pPr>
            <w:r w:rsidRPr="00DF515B">
              <w:t>100.0%</w:t>
            </w:r>
          </w:p>
        </w:tc>
        <w:tc>
          <w:tcPr>
            <w:tcW w:w="1350" w:type="dxa"/>
          </w:tcPr>
          <w:p w:rsidR="00BA647F" w:rsidRPr="00DF515B" w:rsidRDefault="00BA647F" w:rsidP="00F65266">
            <w:pPr>
              <w:spacing w:line="240" w:lineRule="auto"/>
              <w:ind w:left="0" w:firstLine="0"/>
              <w:jc w:val="right"/>
            </w:pPr>
          </w:p>
        </w:tc>
        <w:tc>
          <w:tcPr>
            <w:tcW w:w="2315" w:type="dxa"/>
          </w:tcPr>
          <w:p w:rsidR="00BA647F" w:rsidRPr="00DF515B" w:rsidRDefault="00BA647F" w:rsidP="00F65266">
            <w:pPr>
              <w:spacing w:line="240" w:lineRule="auto"/>
              <w:ind w:left="0" w:firstLine="0"/>
              <w:jc w:val="right"/>
            </w:pPr>
            <w:r w:rsidRPr="00DF515B">
              <w:t>7.74%</w:t>
            </w:r>
          </w:p>
        </w:tc>
      </w:tr>
    </w:tbl>
    <w:p w:rsidR="0088307B" w:rsidRPr="00DF515B" w:rsidRDefault="0088307B" w:rsidP="00F65266">
      <w:pPr>
        <w:keepNext/>
        <w:keepLines/>
        <w:suppressLineNumbers/>
        <w:tabs>
          <w:tab w:val="right" w:pos="3600"/>
          <w:tab w:val="right" w:pos="4860"/>
          <w:tab w:val="right" w:pos="6210"/>
        </w:tabs>
        <w:ind w:left="0" w:firstLine="0"/>
      </w:pPr>
      <w:r w:rsidRPr="00DF515B">
        <w:tab/>
      </w:r>
      <w:r w:rsidR="005B5861" w:rsidRPr="00DF515B">
        <w:tab/>
      </w:r>
      <w:r w:rsidR="005B5861" w:rsidRPr="00DF515B">
        <w:tab/>
      </w:r>
    </w:p>
    <w:p w:rsidR="007E5F1F" w:rsidRDefault="007E5F1F" w:rsidP="00F65266">
      <w:pPr>
        <w:pStyle w:val="BodyTextIndent"/>
        <w:widowControl w:val="0"/>
      </w:pPr>
      <w:r w:rsidRPr="00361C65">
        <w:rPr>
          <w:b/>
          <w:bCs/>
        </w:rPr>
        <w:t>Q.</w:t>
      </w:r>
      <w:r w:rsidRPr="00361C65">
        <w:rPr>
          <w:b/>
          <w:bCs/>
        </w:rPr>
        <w:tab/>
      </w:r>
      <w:r w:rsidR="007956E8">
        <w:rPr>
          <w:b/>
          <w:bCs/>
        </w:rPr>
        <w:t>How did you determine the time period for updating the costs of long-term debt and preferred</w:t>
      </w:r>
      <w:r w:rsidRPr="00361C65">
        <w:rPr>
          <w:b/>
          <w:bCs/>
        </w:rPr>
        <w:t xml:space="preserve">? </w:t>
      </w:r>
    </w:p>
    <w:p w:rsidR="007E5F1F" w:rsidRDefault="007E5F1F" w:rsidP="00F65266">
      <w:pPr>
        <w:pStyle w:val="BodyTextIndent"/>
        <w:tabs>
          <w:tab w:val="left" w:pos="1620"/>
        </w:tabs>
      </w:pPr>
      <w:r>
        <w:t>A.</w:t>
      </w:r>
      <w:r>
        <w:tab/>
        <w:t xml:space="preserve">The test period </w:t>
      </w:r>
      <w:r w:rsidR="00523D3D">
        <w:t xml:space="preserve">in this proceeding is the 12 </w:t>
      </w:r>
      <w:r>
        <w:t>months ended December 31, 2010</w:t>
      </w:r>
      <w:r w:rsidR="00542EE2">
        <w:t>,</w:t>
      </w:r>
      <w:r>
        <w:t xml:space="preserve"> with known and measurable adjustments.  For </w:t>
      </w:r>
      <w:r w:rsidR="007956E8">
        <w:t xml:space="preserve">calculating the </w:t>
      </w:r>
      <w:r>
        <w:t xml:space="preserve">cost of long-term debt and preferred stock, the Company has </w:t>
      </w:r>
      <w:r w:rsidR="007956E8">
        <w:t>applied limited known and measurable adjustments to reflect events that have already occurred or will occur during the pendency of this proceeding.</w:t>
      </w:r>
      <w:r>
        <w:t xml:space="preserve">  </w:t>
      </w:r>
    </w:p>
    <w:p w:rsidR="00433695" w:rsidRDefault="001E438B" w:rsidP="00F65266">
      <w:pPr>
        <w:pStyle w:val="BodyTextIndent"/>
        <w:tabs>
          <w:tab w:val="left" w:pos="1620"/>
        </w:tabs>
        <w:rPr>
          <w:b/>
        </w:rPr>
      </w:pPr>
      <w:r w:rsidRPr="001E438B">
        <w:rPr>
          <w:b/>
        </w:rPr>
        <w:t>Q.</w:t>
      </w:r>
      <w:r w:rsidRPr="001E438B">
        <w:rPr>
          <w:b/>
        </w:rPr>
        <w:tab/>
      </w:r>
      <w:r w:rsidR="00433695">
        <w:rPr>
          <w:b/>
        </w:rPr>
        <w:t>Has there been any material change in the Company’s actual capital structure since the 2010 Rate Case decision?</w:t>
      </w:r>
    </w:p>
    <w:p w:rsidR="00433695" w:rsidRDefault="00433695" w:rsidP="00F65266">
      <w:pPr>
        <w:pStyle w:val="BodyTextIndent"/>
        <w:tabs>
          <w:tab w:val="left" w:pos="1620"/>
        </w:tabs>
      </w:pPr>
      <w:r>
        <w:t>A.</w:t>
      </w:r>
      <w:r>
        <w:tab/>
        <w:t>No.  The Company’s actual capital structure remains in line with its actual capital structure in the 2010 Rate Case</w:t>
      </w:r>
      <w:r w:rsidR="003043DB">
        <w:t xml:space="preserve"> with a common equity component in excess of the 49.1 percent adopted by the Commission.</w:t>
      </w:r>
    </w:p>
    <w:p w:rsidR="00433695" w:rsidRDefault="001E438B" w:rsidP="00F65266">
      <w:pPr>
        <w:pStyle w:val="BodyTextIndent"/>
        <w:tabs>
          <w:tab w:val="left" w:pos="1620"/>
        </w:tabs>
        <w:rPr>
          <w:b/>
        </w:rPr>
      </w:pPr>
      <w:r w:rsidRPr="001E438B">
        <w:rPr>
          <w:b/>
        </w:rPr>
        <w:t>Q.</w:t>
      </w:r>
      <w:r w:rsidRPr="001E438B">
        <w:rPr>
          <w:b/>
        </w:rPr>
        <w:tab/>
      </w:r>
      <w:r w:rsidR="00433695">
        <w:rPr>
          <w:b/>
        </w:rPr>
        <w:t>Are you aware if Dr. Samuel Hadaway, the Company’s cost of equity witness in the 2010 Rate Case, has materially changed his return on equity recommendations for PacifiCorp?</w:t>
      </w:r>
    </w:p>
    <w:p w:rsidR="00433695" w:rsidRPr="00433695" w:rsidRDefault="00433695" w:rsidP="00F65266">
      <w:pPr>
        <w:pStyle w:val="BodyTextIndent"/>
        <w:tabs>
          <w:tab w:val="left" w:pos="1620"/>
        </w:tabs>
        <w:rPr>
          <w:b/>
        </w:rPr>
      </w:pPr>
      <w:r>
        <w:t>A.</w:t>
      </w:r>
      <w:r>
        <w:tab/>
        <w:t>I am aware that Dr. Hadaway’s recommendations in recent PacifiCorp general rate cases continue to support a return on equity in excess of the 9.8 percent authorized by the Commission in the 2010 Rate Case.</w:t>
      </w:r>
      <w:r>
        <w:rPr>
          <w:b/>
        </w:rPr>
        <w:t xml:space="preserve"> </w:t>
      </w:r>
    </w:p>
    <w:p w:rsidR="007E5F1F" w:rsidRDefault="007E5F1F" w:rsidP="00F65266">
      <w:pPr>
        <w:keepNext/>
        <w:keepLines/>
        <w:tabs>
          <w:tab w:val="right" w:pos="3600"/>
          <w:tab w:val="right" w:pos="4860"/>
          <w:tab w:val="right" w:pos="6210"/>
        </w:tabs>
        <w:rPr>
          <w:b/>
        </w:rPr>
      </w:pPr>
      <w:r>
        <w:rPr>
          <w:b/>
        </w:rPr>
        <w:t>Financing Cost Calculations</w:t>
      </w:r>
    </w:p>
    <w:p w:rsidR="007E5F1F" w:rsidRDefault="007E5F1F" w:rsidP="00F65266">
      <w:pPr>
        <w:keepNext/>
        <w:keepLines/>
        <w:tabs>
          <w:tab w:val="right" w:pos="3600"/>
          <w:tab w:val="right" w:pos="4860"/>
          <w:tab w:val="right" w:pos="6210"/>
        </w:tabs>
        <w:rPr>
          <w:b/>
        </w:rPr>
      </w:pPr>
      <w:r>
        <w:rPr>
          <w:b/>
        </w:rPr>
        <w:t>Q.</w:t>
      </w:r>
      <w:r>
        <w:rPr>
          <w:b/>
        </w:rPr>
        <w:tab/>
        <w:t>How did you calculate the Company’s embedded costs of long-term debt and preferred stock?</w:t>
      </w:r>
    </w:p>
    <w:p w:rsidR="00A30DD4" w:rsidRPr="00DF515B" w:rsidRDefault="007E5F1F" w:rsidP="00F65266">
      <w:pPr>
        <w:keepNext/>
        <w:keepLines/>
        <w:tabs>
          <w:tab w:val="right" w:pos="3600"/>
          <w:tab w:val="right" w:pos="4860"/>
          <w:tab w:val="right" w:pos="6210"/>
        </w:tabs>
      </w:pPr>
      <w:r>
        <w:t>A.</w:t>
      </w:r>
      <w:r>
        <w:tab/>
        <w:t>I calculated the embedded costs of debt and preferred stock using the methodology relied upon in the Company’s previous rate cases in Washington and other jurisdictions.</w:t>
      </w:r>
      <w:r w:rsidR="00E75194">
        <w:t xml:space="preserve">  Both items were uncontested in the </w:t>
      </w:r>
      <w:r w:rsidR="00DE7153">
        <w:t xml:space="preserve">2010 </w:t>
      </w:r>
      <w:r w:rsidR="00347DF7">
        <w:t>Rate Case</w:t>
      </w:r>
      <w:r w:rsidR="00DE7153">
        <w:t xml:space="preserve">. </w:t>
      </w:r>
    </w:p>
    <w:p w:rsidR="00F23496" w:rsidRDefault="00F23496" w:rsidP="00F65266">
      <w:pPr>
        <w:pStyle w:val="BodyTextIndent"/>
      </w:pPr>
      <w:r>
        <w:rPr>
          <w:b/>
          <w:bCs/>
        </w:rPr>
        <w:t>Q.</w:t>
      </w:r>
      <w:r>
        <w:rPr>
          <w:b/>
          <w:bCs/>
        </w:rPr>
        <w:tab/>
        <w:t>Please explain the cost of long-term debt calculation.</w:t>
      </w:r>
    </w:p>
    <w:p w:rsidR="00F23496" w:rsidRDefault="00F23496" w:rsidP="00F65266">
      <w:pPr>
        <w:pStyle w:val="BodyTextIndent"/>
        <w:widowControl w:val="0"/>
      </w:pPr>
      <w:r>
        <w:t>A.</w:t>
      </w:r>
      <w:r>
        <w:tab/>
        <w:t>I calculated the cost of debt by issue, based on each debt series’ interest rate and net proceeds at the issuance date, to produce a bond yield to maturity for each series of debt.  For variable rate securities, I used the costs at December 31, 2010.  It should be noted that in the event a bond was issued to refinance a higher cost bond, the pre-tax premium and unamortized costs, if any, associated with the refinancing were subtracted from the net proceeds of the bonds that were issued.  The bond yield was then multiplied by the principal amount outstanding of each debt issue, resulting in an annualized cost of each debt issue.  Aggregating the annual cost of each debt issue produces the total annualized cost of debt.  Dividing the total annualized cost of debt by the total principal amount of debt outstanding produces the weighted average cost for all debt issues.  This is the Company’s embedded cost of long-term debt.</w:t>
      </w:r>
    </w:p>
    <w:p w:rsidR="00F23496" w:rsidRDefault="00F23496" w:rsidP="00F65266">
      <w:pPr>
        <w:pStyle w:val="BodyTextIndent"/>
        <w:ind w:left="0" w:firstLine="0"/>
        <w:rPr>
          <w:b/>
          <w:bCs/>
        </w:rPr>
      </w:pPr>
      <w:r>
        <w:rPr>
          <w:b/>
          <w:bCs/>
        </w:rPr>
        <w:t>Q.</w:t>
      </w:r>
      <w:r>
        <w:rPr>
          <w:b/>
          <w:bCs/>
        </w:rPr>
        <w:tab/>
        <w:t>How did you calculate the embedded cost of preferred stock?</w:t>
      </w:r>
    </w:p>
    <w:p w:rsidR="00F23496" w:rsidRDefault="00F23496" w:rsidP="00F65266">
      <w:pPr>
        <w:pStyle w:val="BodyTextIndent"/>
      </w:pPr>
      <w:r>
        <w:t>A.</w:t>
      </w:r>
      <w:r>
        <w:tab/>
        <w:t xml:space="preserve">The embedded cost of preferred stock was calculated by first determining the cost of money for each issue.  This is the result of dividing the annual dividend rate by the per share net proceeds for each series of preferred stock.  The cost associated with each series was then multiplied by the total par or stated value outstanding for each issue to yield the annualized cost for each issue.  The sum of annualized costs for each issue produces the total annual cost for the entire preferred stock portfolio.  I then divided the total annual cost by the total amount of preferred stock outstanding to produce the weighted average cost for all issues.  This is the Company’s embedded cost of preferred stock. </w:t>
      </w:r>
    </w:p>
    <w:p w:rsidR="00F23496" w:rsidRDefault="00F23496" w:rsidP="00F65266">
      <w:pPr>
        <w:pStyle w:val="BodyTextIndent"/>
        <w:ind w:left="0" w:firstLine="0"/>
        <w:rPr>
          <w:b/>
          <w:bCs/>
        </w:rPr>
      </w:pPr>
      <w:r>
        <w:rPr>
          <w:b/>
          <w:bCs/>
        </w:rPr>
        <w:t>Embedded Cost of Long-Term Debt</w:t>
      </w:r>
    </w:p>
    <w:p w:rsidR="00F23496" w:rsidRPr="0088307B" w:rsidRDefault="00F23496" w:rsidP="00F65266">
      <w:pPr>
        <w:keepNext/>
        <w:keepLines/>
        <w:tabs>
          <w:tab w:val="right" w:pos="3600"/>
          <w:tab w:val="right" w:pos="4860"/>
          <w:tab w:val="right" w:pos="6210"/>
        </w:tabs>
        <w:rPr>
          <w:b/>
        </w:rPr>
      </w:pPr>
      <w:r w:rsidRPr="0088307B">
        <w:rPr>
          <w:b/>
        </w:rPr>
        <w:t>Q.</w:t>
      </w:r>
      <w:r w:rsidRPr="0088307B">
        <w:rPr>
          <w:b/>
        </w:rPr>
        <w:tab/>
        <w:t xml:space="preserve">What are the changes to the cost of long-term debt from the </w:t>
      </w:r>
      <w:r w:rsidR="007956E8">
        <w:rPr>
          <w:b/>
        </w:rPr>
        <w:t>2010 Rate Case</w:t>
      </w:r>
      <w:r w:rsidRPr="0088307B">
        <w:rPr>
          <w:b/>
        </w:rPr>
        <w:t>?</w:t>
      </w:r>
    </w:p>
    <w:p w:rsidR="00F23496" w:rsidRDefault="00F23496" w:rsidP="00F65266">
      <w:pPr>
        <w:pStyle w:val="BodyTextIndent"/>
      </w:pPr>
      <w:r>
        <w:t>A.</w:t>
      </w:r>
      <w:r>
        <w:tab/>
      </w:r>
      <w:r w:rsidR="007956E8">
        <w:t xml:space="preserve">There are </w:t>
      </w:r>
      <w:r w:rsidR="00C87026">
        <w:t xml:space="preserve">certain </w:t>
      </w:r>
      <w:r w:rsidR="007956E8">
        <w:t xml:space="preserve">events that </w:t>
      </w:r>
      <w:r w:rsidR="00D3493F">
        <w:t>are reflected in the updated cost</w:t>
      </w:r>
      <w:r w:rsidR="00267015">
        <w:t xml:space="preserve"> </w:t>
      </w:r>
      <w:r w:rsidR="00D3493F">
        <w:t>of</w:t>
      </w:r>
      <w:r w:rsidR="00267015">
        <w:t xml:space="preserve"> long-term debt.   </w:t>
      </w:r>
    </w:p>
    <w:p w:rsidR="00D3493F" w:rsidRDefault="00267015" w:rsidP="00F65266">
      <w:pPr>
        <w:pStyle w:val="BodyTextIndent"/>
      </w:pPr>
      <w:r>
        <w:tab/>
      </w:r>
      <w:r w:rsidR="00D3493F">
        <w:tab/>
        <w:t>First, d</w:t>
      </w:r>
      <w:r>
        <w:t>uring May</w:t>
      </w:r>
      <w:r w:rsidR="00D3493F">
        <w:t xml:space="preserve"> of </w:t>
      </w:r>
      <w:r>
        <w:t xml:space="preserve">2011, the Company completed the issuance of $400 million of first mortgage bonds with a coupon rate of 3.85 percent and a maturity of 2021.  </w:t>
      </w:r>
    </w:p>
    <w:p w:rsidR="00924CAA" w:rsidRDefault="00D3493F" w:rsidP="00F65266">
      <w:pPr>
        <w:pStyle w:val="BodyTextIndent"/>
      </w:pPr>
      <w:r>
        <w:tab/>
      </w:r>
      <w:r>
        <w:tab/>
        <w:t xml:space="preserve">Second, </w:t>
      </w:r>
      <w:r w:rsidR="00523D3D">
        <w:t>during the 12</w:t>
      </w:r>
      <w:r w:rsidR="006B718B">
        <w:t xml:space="preserve"> months ending December 31, 2011, the balance of the outstanding long-term debt will change through maturities and principal amortizations totaling $586.7 million as detailed below.</w:t>
      </w:r>
      <w:r w:rsidR="006B718B">
        <w:tab/>
      </w: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p w:rsidR="00F65266" w:rsidRDefault="00F65266" w:rsidP="00F65266">
      <w:pPr>
        <w:pStyle w:val="BodyTextIndent"/>
        <w:suppressLineNumbers/>
      </w:pPr>
    </w:p>
    <w:tbl>
      <w:tblPr>
        <w:tblW w:w="8540" w:type="dxa"/>
        <w:tblInd w:w="93" w:type="dxa"/>
        <w:tblLook w:val="04A0"/>
      </w:tblPr>
      <w:tblGrid>
        <w:gridCol w:w="960"/>
        <w:gridCol w:w="960"/>
        <w:gridCol w:w="928"/>
        <w:gridCol w:w="2185"/>
        <w:gridCol w:w="850"/>
        <w:gridCol w:w="1733"/>
        <w:gridCol w:w="960"/>
      </w:tblGrid>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5660" w:type="dxa"/>
            <w:gridSpan w:val="4"/>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b/>
                <w:bCs/>
                <w:sz w:val="20"/>
                <w:szCs w:val="20"/>
              </w:rPr>
            </w:pPr>
            <w:bookmarkStart w:id="0" w:name="RANGE!C1:F17"/>
            <w:r w:rsidRPr="00DF515B">
              <w:rPr>
                <w:b/>
                <w:bCs/>
                <w:sz w:val="20"/>
                <w:szCs w:val="20"/>
              </w:rPr>
              <w:t xml:space="preserve">Long-Term Debt Securities </w:t>
            </w:r>
            <w:bookmarkEnd w:id="0"/>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b/>
                <w:bCs/>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5660" w:type="dxa"/>
            <w:gridSpan w:val="4"/>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b/>
                <w:bCs/>
                <w:sz w:val="20"/>
                <w:szCs w:val="20"/>
              </w:rPr>
            </w:pPr>
            <w:r w:rsidRPr="00DF515B">
              <w:rPr>
                <w:b/>
                <w:bCs/>
                <w:sz w:val="20"/>
                <w:szCs w:val="20"/>
              </w:rPr>
              <w:t>Maturity Schedule</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b/>
                <w:bCs/>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b/>
                <w:bCs/>
                <w:sz w:val="20"/>
                <w:szCs w:val="20"/>
              </w:rPr>
            </w:pPr>
          </w:p>
        </w:tc>
        <w:tc>
          <w:tcPr>
            <w:tcW w:w="5660" w:type="dxa"/>
            <w:gridSpan w:val="4"/>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b/>
                <w:bCs/>
                <w:sz w:val="20"/>
                <w:szCs w:val="20"/>
              </w:rPr>
            </w:pPr>
            <w:r w:rsidRPr="00DF515B">
              <w:rPr>
                <w:b/>
                <w:bCs/>
                <w:sz w:val="20"/>
                <w:szCs w:val="20"/>
              </w:rPr>
              <w:t>12 months ended 12/31/11</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b/>
                <w:bCs/>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5660" w:type="dxa"/>
            <w:gridSpan w:val="4"/>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Maturity</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Series</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Coupon</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single" w:sz="4" w:space="0" w:color="auto"/>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Date</w:t>
            </w:r>
          </w:p>
        </w:tc>
        <w:tc>
          <w:tcPr>
            <w:tcW w:w="2185" w:type="dxa"/>
            <w:tcBorders>
              <w:top w:val="nil"/>
              <w:left w:val="nil"/>
              <w:bottom w:val="single" w:sz="4" w:space="0" w:color="auto"/>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Description</w:t>
            </w:r>
          </w:p>
        </w:tc>
        <w:tc>
          <w:tcPr>
            <w:tcW w:w="827" w:type="dxa"/>
            <w:tcBorders>
              <w:top w:val="nil"/>
              <w:left w:val="nil"/>
              <w:bottom w:val="single" w:sz="4" w:space="0" w:color="auto"/>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Rate</w:t>
            </w:r>
          </w:p>
        </w:tc>
        <w:tc>
          <w:tcPr>
            <w:tcW w:w="1733" w:type="dxa"/>
            <w:tcBorders>
              <w:top w:val="nil"/>
              <w:left w:val="nil"/>
              <w:bottom w:val="single" w:sz="4" w:space="0" w:color="auto"/>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Amount</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08/09/11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Ser C MTN (secured)</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9.15%</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$8,000,000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09/01/11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Ser C MTN (secured)</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8.95%</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45,000,000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09/01/11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Ser C MTN (secured)</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8.92%</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20,000,000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7.978%</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412,000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8.493%</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1,723,000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8.797%</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1,298,000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8.734%</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2,042,000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8.294%</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3,036,000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8.635%</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1,116,000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10/01/11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 Installment</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8.470%</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1,059,000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11/15/11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FMB</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6.90%</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500,000,000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300"/>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r w:rsidRPr="00DF515B">
              <w:rPr>
                <w:sz w:val="20"/>
                <w:szCs w:val="20"/>
              </w:rPr>
              <w:t>12/30/11</w:t>
            </w: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r w:rsidRPr="00DF515B">
              <w:rPr>
                <w:sz w:val="20"/>
                <w:szCs w:val="20"/>
              </w:rPr>
              <w:t>Ser C MTN (secured)</w:t>
            </w: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8.29%</w:t>
            </w: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u w:val="single"/>
              </w:rPr>
            </w:pPr>
            <w:r w:rsidRPr="00DF515B">
              <w:rPr>
                <w:sz w:val="20"/>
                <w:szCs w:val="20"/>
                <w:u w:val="single"/>
              </w:rPr>
              <w:t xml:space="preserve">          3,000,000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r w:rsidR="00E92FAD" w:rsidRPr="00E92FAD" w:rsidTr="00E92FAD">
        <w:trPr>
          <w:trHeight w:val="255"/>
        </w:trPr>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E92FAD" w:rsidRPr="00E92FAD" w:rsidRDefault="00E92FAD" w:rsidP="00F65266">
            <w:pPr>
              <w:spacing w:line="240" w:lineRule="auto"/>
              <w:ind w:left="0" w:firstLine="0"/>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p>
        </w:tc>
        <w:tc>
          <w:tcPr>
            <w:tcW w:w="2185"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c>
          <w:tcPr>
            <w:tcW w:w="827"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center"/>
              <w:rPr>
                <w:sz w:val="20"/>
                <w:szCs w:val="20"/>
              </w:rPr>
            </w:pPr>
          </w:p>
        </w:tc>
        <w:tc>
          <w:tcPr>
            <w:tcW w:w="1733"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jc w:val="right"/>
              <w:rPr>
                <w:sz w:val="20"/>
                <w:szCs w:val="20"/>
              </w:rPr>
            </w:pPr>
            <w:r w:rsidRPr="00DF515B">
              <w:rPr>
                <w:sz w:val="20"/>
                <w:szCs w:val="20"/>
              </w:rPr>
              <w:t xml:space="preserve"> $    586,686,000 </w:t>
            </w:r>
          </w:p>
        </w:tc>
        <w:tc>
          <w:tcPr>
            <w:tcW w:w="960" w:type="dxa"/>
            <w:tcBorders>
              <w:top w:val="nil"/>
              <w:left w:val="nil"/>
              <w:bottom w:val="nil"/>
              <w:right w:val="nil"/>
            </w:tcBorders>
            <w:shd w:val="clear" w:color="auto" w:fill="auto"/>
            <w:noWrap/>
            <w:vAlign w:val="bottom"/>
            <w:hideMark/>
          </w:tcPr>
          <w:p w:rsidR="00E92FAD" w:rsidRPr="00DF515B" w:rsidRDefault="00E92FAD" w:rsidP="00F65266">
            <w:pPr>
              <w:spacing w:line="240" w:lineRule="auto"/>
              <w:ind w:left="0" w:firstLine="0"/>
              <w:rPr>
                <w:sz w:val="20"/>
                <w:szCs w:val="20"/>
              </w:rPr>
            </w:pPr>
          </w:p>
        </w:tc>
      </w:tr>
    </w:tbl>
    <w:p w:rsidR="006B718B" w:rsidRDefault="006B718B" w:rsidP="00F65266">
      <w:pPr>
        <w:pStyle w:val="BodyTextIndent"/>
        <w:suppressLineNumbers/>
      </w:pPr>
    </w:p>
    <w:p w:rsidR="00A30DD4" w:rsidRDefault="00DF515B" w:rsidP="00F65266">
      <w:pPr>
        <w:pStyle w:val="BodyTextIndent"/>
        <w:rPr>
          <w:b/>
          <w:bCs/>
        </w:rPr>
      </w:pPr>
      <w:r>
        <w:tab/>
      </w:r>
      <w:r>
        <w:tab/>
      </w:r>
      <w:r w:rsidR="00D3493F">
        <w:t>These events have been reflected in the cost of long-term debt calculation.</w:t>
      </w:r>
    </w:p>
    <w:p w:rsidR="00F23496" w:rsidRDefault="00F23496" w:rsidP="00F65266">
      <w:pPr>
        <w:pStyle w:val="BodyTextIndent"/>
        <w:rPr>
          <w:b/>
          <w:bCs/>
        </w:rPr>
      </w:pPr>
      <w:r>
        <w:rPr>
          <w:b/>
          <w:bCs/>
        </w:rPr>
        <w:t>Q.</w:t>
      </w:r>
      <w:r>
        <w:rPr>
          <w:b/>
          <w:bCs/>
        </w:rPr>
        <w:tab/>
        <w:t>What is the Company’s embedded cost of long-term debt?</w:t>
      </w:r>
    </w:p>
    <w:p w:rsidR="00F23496" w:rsidRPr="00B63011" w:rsidRDefault="00F23496" w:rsidP="00F65266">
      <w:pPr>
        <w:pStyle w:val="BodyTextIndent"/>
      </w:pPr>
      <w:r>
        <w:t>A.</w:t>
      </w:r>
      <w:r>
        <w:tab/>
        <w:t xml:space="preserve">The </w:t>
      </w:r>
      <w:r w:rsidR="009E62B7">
        <w:t xml:space="preserve">average </w:t>
      </w:r>
      <w:r>
        <w:t>cost of long-term debt is 5.76 percent</w:t>
      </w:r>
      <w:r w:rsidR="009E62B7">
        <w:t xml:space="preserve"> </w:t>
      </w:r>
      <w:r>
        <w:t>as shown in Exhibit No.___(BNW-</w:t>
      </w:r>
      <w:r w:rsidR="00B2787A">
        <w:t>2</w:t>
      </w:r>
      <w:r>
        <w:t xml:space="preserve">).    </w:t>
      </w:r>
    </w:p>
    <w:p w:rsidR="00F23496" w:rsidRDefault="00F23496" w:rsidP="00F65266">
      <w:pPr>
        <w:pStyle w:val="BodyTextIndent"/>
        <w:keepNext/>
        <w:ind w:left="0" w:firstLine="0"/>
        <w:rPr>
          <w:b/>
          <w:bCs/>
        </w:rPr>
      </w:pPr>
      <w:r>
        <w:rPr>
          <w:b/>
          <w:bCs/>
        </w:rPr>
        <w:t>Embedded Cost of Preferred Stock</w:t>
      </w:r>
    </w:p>
    <w:p w:rsidR="00F23496" w:rsidRDefault="00F23496" w:rsidP="00F65266">
      <w:pPr>
        <w:pStyle w:val="BodyTextIndent"/>
        <w:ind w:left="0" w:firstLine="0"/>
        <w:rPr>
          <w:b/>
          <w:bCs/>
        </w:rPr>
      </w:pPr>
      <w:r>
        <w:rPr>
          <w:b/>
          <w:bCs/>
        </w:rPr>
        <w:t>Q.</w:t>
      </w:r>
      <w:r>
        <w:rPr>
          <w:b/>
          <w:bCs/>
        </w:rPr>
        <w:tab/>
        <w:t>What is the Company’s embedded cost of preferred stock?</w:t>
      </w:r>
    </w:p>
    <w:p w:rsidR="00F23496" w:rsidRDefault="00F23496" w:rsidP="00F65266">
      <w:pPr>
        <w:pStyle w:val="BodyTextIndent"/>
        <w:numPr>
          <w:ilvl w:val="0"/>
          <w:numId w:val="32"/>
        </w:numPr>
        <w:tabs>
          <w:tab w:val="clear" w:pos="720"/>
        </w:tabs>
      </w:pPr>
      <w:r>
        <w:t>The embedded cost of preferred stock is 5.43 percent as shown in Exhibit No.__</w:t>
      </w:r>
      <w:proofErr w:type="gramStart"/>
      <w:r>
        <w:t>_(</w:t>
      </w:r>
      <w:proofErr w:type="gramEnd"/>
      <w:r>
        <w:t>BNW-</w:t>
      </w:r>
      <w:r w:rsidR="00B2787A">
        <w:t>3</w:t>
      </w:r>
      <w:r>
        <w:t xml:space="preserve">). </w:t>
      </w:r>
      <w:r w:rsidR="00F65266">
        <w:t xml:space="preserve"> </w:t>
      </w:r>
      <w:r w:rsidR="00D3493F">
        <w:t xml:space="preserve">This reflects a de minimus increase in the costs of preferred stock but has no impact on the weighted average cost of capital. </w:t>
      </w:r>
      <w:r>
        <w:t xml:space="preserve"> </w:t>
      </w:r>
    </w:p>
    <w:p w:rsidR="00F23496" w:rsidRPr="00F23496" w:rsidRDefault="00F23496" w:rsidP="00F65266">
      <w:pPr>
        <w:pStyle w:val="BodyTextIndent"/>
        <w:ind w:left="0" w:firstLine="0"/>
        <w:rPr>
          <w:b/>
        </w:rPr>
      </w:pPr>
      <w:r w:rsidRPr="00F23496">
        <w:rPr>
          <w:b/>
        </w:rPr>
        <w:t>Q.</w:t>
      </w:r>
      <w:r w:rsidRPr="00F23496">
        <w:rPr>
          <w:b/>
        </w:rPr>
        <w:tab/>
        <w:t>Does this conclude your direct testimony?</w:t>
      </w:r>
    </w:p>
    <w:p w:rsidR="0088307B" w:rsidRPr="0088307B" w:rsidRDefault="00F23496" w:rsidP="00F65266">
      <w:pPr>
        <w:pStyle w:val="BodyTextIndent"/>
        <w:ind w:left="0" w:firstLine="0"/>
      </w:pPr>
      <w:r>
        <w:t>A.</w:t>
      </w:r>
      <w:r>
        <w:tab/>
        <w:t>Yes.</w:t>
      </w:r>
    </w:p>
    <w:p w:rsidR="00EE5416" w:rsidRDefault="005B5861" w:rsidP="00F65266">
      <w:pPr>
        <w:keepNext/>
        <w:keepLines/>
        <w:suppressLineNumbers/>
        <w:tabs>
          <w:tab w:val="right" w:pos="3600"/>
          <w:tab w:val="right" w:pos="4860"/>
          <w:tab w:val="right" w:pos="6210"/>
        </w:tabs>
      </w:pPr>
      <w:r>
        <w:tab/>
      </w:r>
      <w:r w:rsidR="00EE5416">
        <w:t xml:space="preserve"> </w:t>
      </w:r>
    </w:p>
    <w:sectPr w:rsidR="00EE5416" w:rsidSect="009F2D1B">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FC" w:rsidRDefault="004968FC">
      <w:r>
        <w:separator/>
      </w:r>
    </w:p>
  </w:endnote>
  <w:endnote w:type="continuationSeparator" w:id="0">
    <w:p w:rsidR="004968FC" w:rsidRDefault="0049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4" w:rsidRDefault="00C02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4B" w:rsidRDefault="00AF224B" w:rsidP="000F52AA">
    <w:pPr>
      <w:pStyle w:val="Footer"/>
      <w:tabs>
        <w:tab w:val="clear" w:pos="4320"/>
      </w:tabs>
      <w:spacing w:line="240" w:lineRule="auto"/>
      <w:rPr>
        <w:rStyle w:val="PageNumber"/>
      </w:rPr>
    </w:pPr>
    <w:r>
      <w:rPr>
        <w:rStyle w:val="PageNumber"/>
      </w:rPr>
      <w:t>Direct Testimony of Bruce N. Williams</w:t>
    </w:r>
    <w:r>
      <w:rPr>
        <w:rStyle w:val="PageNumber"/>
      </w:rPr>
      <w:tab/>
      <w:t>Exhibit No.___(BNW-1T)</w:t>
    </w:r>
  </w:p>
  <w:p w:rsidR="00AF224B" w:rsidRDefault="00AF224B" w:rsidP="000F52AA">
    <w:pPr>
      <w:pStyle w:val="Footer"/>
      <w:tabs>
        <w:tab w:val="clear" w:pos="4320"/>
      </w:tabs>
      <w:spacing w:line="240" w:lineRule="auto"/>
      <w:jc w:val="right"/>
    </w:pPr>
    <w:r>
      <w:rPr>
        <w:rStyle w:val="PageNumber"/>
      </w:rPr>
      <w:t xml:space="preserve">Page </w:t>
    </w:r>
    <w:r w:rsidR="00341342">
      <w:rPr>
        <w:rStyle w:val="PageNumber"/>
      </w:rPr>
      <w:fldChar w:fldCharType="begin"/>
    </w:r>
    <w:r>
      <w:rPr>
        <w:rStyle w:val="PageNumber"/>
      </w:rPr>
      <w:instrText xml:space="preserve"> PAGE </w:instrText>
    </w:r>
    <w:r w:rsidR="00341342">
      <w:rPr>
        <w:rStyle w:val="PageNumber"/>
      </w:rPr>
      <w:fldChar w:fldCharType="separate"/>
    </w:r>
    <w:r w:rsidR="00C022E4">
      <w:rPr>
        <w:rStyle w:val="PageNumber"/>
        <w:noProof/>
      </w:rPr>
      <w:t>1</w:t>
    </w:r>
    <w:r w:rsidR="0034134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4" w:rsidRDefault="00C02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FC" w:rsidRDefault="004968FC">
      <w:r>
        <w:separator/>
      </w:r>
    </w:p>
  </w:footnote>
  <w:footnote w:type="continuationSeparator" w:id="0">
    <w:p w:rsidR="004968FC" w:rsidRDefault="004968FC">
      <w:r>
        <w:continuationSeparator/>
      </w:r>
    </w:p>
  </w:footnote>
  <w:footnote w:id="1">
    <w:p w:rsidR="002D3A89" w:rsidRPr="002D3A89" w:rsidRDefault="002D3A89" w:rsidP="008019AD">
      <w:pPr>
        <w:pStyle w:val="FootnoteText"/>
        <w:spacing w:line="240" w:lineRule="auto"/>
        <w:ind w:left="0" w:firstLine="0"/>
      </w:pPr>
      <w:r>
        <w:rPr>
          <w:rStyle w:val="FootnoteReference"/>
        </w:rPr>
        <w:footnoteRef/>
      </w:r>
      <w:r>
        <w:t xml:space="preserve"> See </w:t>
      </w:r>
      <w:r>
        <w:rPr>
          <w:i/>
        </w:rPr>
        <w:t xml:space="preserve">Wash.Util. </w:t>
      </w:r>
      <w:proofErr w:type="gramStart"/>
      <w:r>
        <w:rPr>
          <w:i/>
        </w:rPr>
        <w:t xml:space="preserve">&amp; Transp. Comm’n v. PacifiCorp, </w:t>
      </w:r>
      <w:r>
        <w:t xml:space="preserve">Docket UE-100749, Order 06 </w:t>
      </w:r>
      <w:r w:rsidR="008019AD">
        <w:t xml:space="preserve">at pp.14-40 </w:t>
      </w:r>
      <w:r>
        <w:t>(March 25, 2011).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4" w:rsidRDefault="00C02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4" w:rsidRDefault="00C02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4" w:rsidRDefault="00C02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F57"/>
    <w:multiLevelType w:val="singleLevel"/>
    <w:tmpl w:val="15ACE200"/>
    <w:lvl w:ilvl="0">
      <w:start w:val="17"/>
      <w:numFmt w:val="upperLetter"/>
      <w:lvlText w:val="%1."/>
      <w:lvlJc w:val="left"/>
      <w:pPr>
        <w:tabs>
          <w:tab w:val="num" w:pos="720"/>
        </w:tabs>
        <w:ind w:left="720" w:hanging="720"/>
      </w:pPr>
      <w:rPr>
        <w:rFonts w:cs="Times New Roman" w:hint="default"/>
      </w:rPr>
    </w:lvl>
  </w:abstractNum>
  <w:abstractNum w:abstractNumId="1">
    <w:nsid w:val="0928017C"/>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2">
    <w:nsid w:val="0BF858F0"/>
    <w:multiLevelType w:val="singleLevel"/>
    <w:tmpl w:val="8DCE93C6"/>
    <w:lvl w:ilvl="0">
      <w:start w:val="17"/>
      <w:numFmt w:val="upperLetter"/>
      <w:lvlText w:val="%1."/>
      <w:lvlJc w:val="left"/>
      <w:pPr>
        <w:tabs>
          <w:tab w:val="num" w:pos="720"/>
        </w:tabs>
        <w:ind w:left="720" w:hanging="720"/>
      </w:pPr>
      <w:rPr>
        <w:rFonts w:cs="Times New Roman" w:hint="default"/>
      </w:rPr>
    </w:lvl>
  </w:abstractNum>
  <w:abstractNum w:abstractNumId="3">
    <w:nsid w:val="0EB03597"/>
    <w:multiLevelType w:val="singleLevel"/>
    <w:tmpl w:val="2C0E6A5E"/>
    <w:lvl w:ilvl="0">
      <w:start w:val="17"/>
      <w:numFmt w:val="upperLetter"/>
      <w:lvlText w:val="%1."/>
      <w:lvlJc w:val="left"/>
      <w:pPr>
        <w:tabs>
          <w:tab w:val="num" w:pos="720"/>
        </w:tabs>
        <w:ind w:left="720" w:hanging="720"/>
      </w:pPr>
      <w:rPr>
        <w:rFonts w:cs="Times New Roman" w:hint="default"/>
      </w:rPr>
    </w:lvl>
  </w:abstractNum>
  <w:abstractNum w:abstractNumId="4">
    <w:nsid w:val="0F136DF6"/>
    <w:multiLevelType w:val="singleLevel"/>
    <w:tmpl w:val="A21A6D8C"/>
    <w:lvl w:ilvl="0">
      <w:start w:val="17"/>
      <w:numFmt w:val="upperLetter"/>
      <w:lvlText w:val="%1."/>
      <w:lvlJc w:val="left"/>
      <w:pPr>
        <w:tabs>
          <w:tab w:val="num" w:pos="720"/>
        </w:tabs>
        <w:ind w:left="720" w:hanging="720"/>
      </w:pPr>
      <w:rPr>
        <w:rFonts w:cs="Times New Roman" w:hint="default"/>
      </w:rPr>
    </w:lvl>
  </w:abstractNum>
  <w:abstractNum w:abstractNumId="5">
    <w:nsid w:val="0FBA0E24"/>
    <w:multiLevelType w:val="singleLevel"/>
    <w:tmpl w:val="5ACCD2CE"/>
    <w:lvl w:ilvl="0">
      <w:start w:val="1"/>
      <w:numFmt w:val="upperLetter"/>
      <w:lvlText w:val="%1."/>
      <w:lvlJc w:val="left"/>
      <w:pPr>
        <w:tabs>
          <w:tab w:val="num" w:pos="720"/>
        </w:tabs>
        <w:ind w:left="720" w:hanging="720"/>
      </w:pPr>
      <w:rPr>
        <w:rFonts w:cs="Times New Roman" w:hint="default"/>
      </w:rPr>
    </w:lvl>
  </w:abstractNum>
  <w:abstractNum w:abstractNumId="6">
    <w:nsid w:val="12492BC6"/>
    <w:multiLevelType w:val="hybridMultilevel"/>
    <w:tmpl w:val="8E76DE6A"/>
    <w:lvl w:ilvl="0" w:tplc="3A8A39CA">
      <w:start w:val="17"/>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A42576"/>
    <w:multiLevelType w:val="singleLevel"/>
    <w:tmpl w:val="8F60B86A"/>
    <w:lvl w:ilvl="0">
      <w:start w:val="1"/>
      <w:numFmt w:val="upperLetter"/>
      <w:lvlText w:val="%1."/>
      <w:lvlJc w:val="left"/>
      <w:pPr>
        <w:tabs>
          <w:tab w:val="num" w:pos="720"/>
        </w:tabs>
        <w:ind w:left="720" w:hanging="720"/>
      </w:pPr>
      <w:rPr>
        <w:rFonts w:cs="Times New Roman" w:hint="default"/>
      </w:rPr>
    </w:lvl>
  </w:abstractNum>
  <w:abstractNum w:abstractNumId="8">
    <w:nsid w:val="14F355CD"/>
    <w:multiLevelType w:val="singleLevel"/>
    <w:tmpl w:val="06508F40"/>
    <w:lvl w:ilvl="0">
      <w:start w:val="17"/>
      <w:numFmt w:val="upperLetter"/>
      <w:lvlText w:val="%1."/>
      <w:lvlJc w:val="left"/>
      <w:pPr>
        <w:tabs>
          <w:tab w:val="num" w:pos="720"/>
        </w:tabs>
        <w:ind w:left="720" w:hanging="720"/>
      </w:pPr>
      <w:rPr>
        <w:rFonts w:cs="Times New Roman" w:hint="default"/>
        <w:b/>
      </w:rPr>
    </w:lvl>
  </w:abstractNum>
  <w:abstractNum w:abstractNumId="9">
    <w:nsid w:val="16C24C82"/>
    <w:multiLevelType w:val="singleLevel"/>
    <w:tmpl w:val="9B4C264E"/>
    <w:lvl w:ilvl="0">
      <w:start w:val="17"/>
      <w:numFmt w:val="upperLetter"/>
      <w:lvlText w:val="%1."/>
      <w:lvlJc w:val="left"/>
      <w:pPr>
        <w:tabs>
          <w:tab w:val="num" w:pos="720"/>
        </w:tabs>
        <w:ind w:left="720" w:hanging="720"/>
      </w:pPr>
      <w:rPr>
        <w:rFonts w:cs="Times New Roman" w:hint="default"/>
      </w:rPr>
    </w:lvl>
  </w:abstractNum>
  <w:abstractNum w:abstractNumId="10">
    <w:nsid w:val="17E027B6"/>
    <w:multiLevelType w:val="singleLevel"/>
    <w:tmpl w:val="63E4A964"/>
    <w:lvl w:ilvl="0">
      <w:start w:val="17"/>
      <w:numFmt w:val="upperLetter"/>
      <w:lvlText w:val="%1."/>
      <w:lvlJc w:val="left"/>
      <w:pPr>
        <w:tabs>
          <w:tab w:val="num" w:pos="720"/>
        </w:tabs>
        <w:ind w:left="720" w:hanging="720"/>
      </w:pPr>
      <w:rPr>
        <w:rFonts w:cs="Times New Roman" w:hint="default"/>
      </w:rPr>
    </w:lvl>
  </w:abstractNum>
  <w:abstractNum w:abstractNumId="11">
    <w:nsid w:val="1926056F"/>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2">
    <w:nsid w:val="1D143778"/>
    <w:multiLevelType w:val="hybridMultilevel"/>
    <w:tmpl w:val="69EE6FE2"/>
    <w:lvl w:ilvl="0" w:tplc="4C829A98">
      <w:start w:val="1"/>
      <w:numFmt w:val="upperLetter"/>
      <w:lvlText w:val="%1."/>
      <w:lvlJc w:val="left"/>
      <w:pPr>
        <w:tabs>
          <w:tab w:val="num" w:pos="2160"/>
        </w:tabs>
        <w:ind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nsid w:val="1D1C5FA4"/>
    <w:multiLevelType w:val="singleLevel"/>
    <w:tmpl w:val="C2167736"/>
    <w:lvl w:ilvl="0">
      <w:start w:val="17"/>
      <w:numFmt w:val="upperLetter"/>
      <w:lvlText w:val="%1."/>
      <w:lvlJc w:val="left"/>
      <w:pPr>
        <w:tabs>
          <w:tab w:val="num" w:pos="720"/>
        </w:tabs>
        <w:ind w:left="720" w:hanging="720"/>
      </w:pPr>
      <w:rPr>
        <w:rFonts w:cs="Times New Roman" w:hint="default"/>
      </w:rPr>
    </w:lvl>
  </w:abstractNum>
  <w:abstractNum w:abstractNumId="14">
    <w:nsid w:val="21027531"/>
    <w:multiLevelType w:val="singleLevel"/>
    <w:tmpl w:val="6DB2CF7A"/>
    <w:lvl w:ilvl="0">
      <w:start w:val="17"/>
      <w:numFmt w:val="upperLetter"/>
      <w:lvlText w:val="%1."/>
      <w:lvlJc w:val="left"/>
      <w:pPr>
        <w:tabs>
          <w:tab w:val="num" w:pos="720"/>
        </w:tabs>
        <w:ind w:left="720" w:hanging="720"/>
      </w:pPr>
      <w:rPr>
        <w:rFonts w:cs="Times New Roman" w:hint="default"/>
      </w:rPr>
    </w:lvl>
  </w:abstractNum>
  <w:abstractNum w:abstractNumId="15">
    <w:nsid w:val="2925291E"/>
    <w:multiLevelType w:val="singleLevel"/>
    <w:tmpl w:val="5CCA1020"/>
    <w:lvl w:ilvl="0">
      <w:start w:val="1"/>
      <w:numFmt w:val="upperLetter"/>
      <w:lvlText w:val="%1."/>
      <w:lvlJc w:val="left"/>
      <w:pPr>
        <w:tabs>
          <w:tab w:val="num" w:pos="720"/>
        </w:tabs>
        <w:ind w:left="720" w:hanging="720"/>
      </w:pPr>
      <w:rPr>
        <w:rFonts w:cs="Times New Roman" w:hint="default"/>
      </w:rPr>
    </w:lvl>
  </w:abstractNum>
  <w:abstractNum w:abstractNumId="16">
    <w:nsid w:val="2E470ED7"/>
    <w:multiLevelType w:val="singleLevel"/>
    <w:tmpl w:val="193C7A44"/>
    <w:lvl w:ilvl="0">
      <w:start w:val="17"/>
      <w:numFmt w:val="upperLetter"/>
      <w:lvlText w:val="%1."/>
      <w:lvlJc w:val="left"/>
      <w:pPr>
        <w:tabs>
          <w:tab w:val="num" w:pos="720"/>
        </w:tabs>
        <w:ind w:left="720" w:hanging="720"/>
      </w:pPr>
      <w:rPr>
        <w:rFonts w:cs="Times New Roman" w:hint="default"/>
      </w:rPr>
    </w:lvl>
  </w:abstractNum>
  <w:abstractNum w:abstractNumId="17">
    <w:nsid w:val="34D475D0"/>
    <w:multiLevelType w:val="singleLevel"/>
    <w:tmpl w:val="13E8F0EE"/>
    <w:lvl w:ilvl="0">
      <w:start w:val="17"/>
      <w:numFmt w:val="upperLetter"/>
      <w:lvlText w:val="%1."/>
      <w:lvlJc w:val="left"/>
      <w:pPr>
        <w:tabs>
          <w:tab w:val="num" w:pos="720"/>
        </w:tabs>
        <w:ind w:left="720" w:hanging="720"/>
      </w:pPr>
      <w:rPr>
        <w:rFonts w:cs="Times New Roman" w:hint="default"/>
      </w:rPr>
    </w:lvl>
  </w:abstractNum>
  <w:abstractNum w:abstractNumId="18">
    <w:nsid w:val="38252F51"/>
    <w:multiLevelType w:val="hybridMultilevel"/>
    <w:tmpl w:val="43AE00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89727DC"/>
    <w:multiLevelType w:val="singleLevel"/>
    <w:tmpl w:val="B5842D0A"/>
    <w:lvl w:ilvl="0">
      <w:start w:val="17"/>
      <w:numFmt w:val="upperLetter"/>
      <w:lvlText w:val="%1."/>
      <w:lvlJc w:val="left"/>
      <w:pPr>
        <w:tabs>
          <w:tab w:val="num" w:pos="720"/>
        </w:tabs>
        <w:ind w:left="720" w:hanging="720"/>
      </w:pPr>
      <w:rPr>
        <w:rFonts w:cs="Times New Roman" w:hint="default"/>
      </w:rPr>
    </w:lvl>
  </w:abstractNum>
  <w:abstractNum w:abstractNumId="20">
    <w:nsid w:val="3D911900"/>
    <w:multiLevelType w:val="singleLevel"/>
    <w:tmpl w:val="B5169BD0"/>
    <w:lvl w:ilvl="0">
      <w:start w:val="1"/>
      <w:numFmt w:val="upperLetter"/>
      <w:lvlText w:val="%1."/>
      <w:lvlJc w:val="left"/>
      <w:pPr>
        <w:tabs>
          <w:tab w:val="num" w:pos="720"/>
        </w:tabs>
        <w:ind w:left="720" w:hanging="720"/>
      </w:pPr>
      <w:rPr>
        <w:rFonts w:cs="Times New Roman" w:hint="default"/>
      </w:rPr>
    </w:lvl>
  </w:abstractNum>
  <w:abstractNum w:abstractNumId="21">
    <w:nsid w:val="3FA73383"/>
    <w:multiLevelType w:val="singleLevel"/>
    <w:tmpl w:val="D1E6F980"/>
    <w:lvl w:ilvl="0">
      <w:start w:val="17"/>
      <w:numFmt w:val="upperLetter"/>
      <w:lvlText w:val="%1."/>
      <w:lvlJc w:val="left"/>
      <w:pPr>
        <w:tabs>
          <w:tab w:val="num" w:pos="720"/>
        </w:tabs>
        <w:ind w:left="720" w:hanging="720"/>
      </w:pPr>
      <w:rPr>
        <w:rFonts w:cs="Times New Roman" w:hint="default"/>
      </w:rPr>
    </w:lvl>
  </w:abstractNum>
  <w:abstractNum w:abstractNumId="22">
    <w:nsid w:val="45B62BD9"/>
    <w:multiLevelType w:val="singleLevel"/>
    <w:tmpl w:val="B82AC302"/>
    <w:lvl w:ilvl="0">
      <w:start w:val="17"/>
      <w:numFmt w:val="upperLetter"/>
      <w:lvlText w:val="%1."/>
      <w:lvlJc w:val="left"/>
      <w:pPr>
        <w:tabs>
          <w:tab w:val="num" w:pos="720"/>
        </w:tabs>
        <w:ind w:left="720" w:hanging="720"/>
      </w:pPr>
      <w:rPr>
        <w:rFonts w:cs="Times New Roman" w:hint="default"/>
      </w:rPr>
    </w:lvl>
  </w:abstractNum>
  <w:abstractNum w:abstractNumId="23">
    <w:nsid w:val="48274762"/>
    <w:multiLevelType w:val="singleLevel"/>
    <w:tmpl w:val="82A21A52"/>
    <w:lvl w:ilvl="0">
      <w:start w:val="17"/>
      <w:numFmt w:val="upperLetter"/>
      <w:lvlText w:val="%1."/>
      <w:lvlJc w:val="left"/>
      <w:pPr>
        <w:tabs>
          <w:tab w:val="num" w:pos="720"/>
        </w:tabs>
        <w:ind w:left="720" w:hanging="720"/>
      </w:pPr>
      <w:rPr>
        <w:rFonts w:cs="Times New Roman" w:hint="default"/>
      </w:rPr>
    </w:lvl>
  </w:abstractNum>
  <w:abstractNum w:abstractNumId="24">
    <w:nsid w:val="4C302328"/>
    <w:multiLevelType w:val="singleLevel"/>
    <w:tmpl w:val="D450962C"/>
    <w:lvl w:ilvl="0">
      <w:start w:val="1"/>
      <w:numFmt w:val="upperLetter"/>
      <w:lvlText w:val="%1."/>
      <w:lvlJc w:val="left"/>
      <w:pPr>
        <w:tabs>
          <w:tab w:val="num" w:pos="720"/>
        </w:tabs>
        <w:ind w:left="720" w:hanging="720"/>
      </w:pPr>
      <w:rPr>
        <w:rFonts w:cs="Times New Roman" w:hint="default"/>
      </w:rPr>
    </w:lvl>
  </w:abstractNum>
  <w:abstractNum w:abstractNumId="25">
    <w:nsid w:val="527F1ECA"/>
    <w:multiLevelType w:val="singleLevel"/>
    <w:tmpl w:val="B8AE8FAE"/>
    <w:lvl w:ilvl="0">
      <w:start w:val="1"/>
      <w:numFmt w:val="upperLetter"/>
      <w:lvlText w:val="%1."/>
      <w:lvlJc w:val="left"/>
      <w:pPr>
        <w:tabs>
          <w:tab w:val="num" w:pos="720"/>
        </w:tabs>
        <w:ind w:left="720" w:hanging="720"/>
      </w:pPr>
      <w:rPr>
        <w:rFonts w:cs="Times New Roman" w:hint="default"/>
      </w:rPr>
    </w:lvl>
  </w:abstractNum>
  <w:abstractNum w:abstractNumId="26">
    <w:nsid w:val="547541AA"/>
    <w:multiLevelType w:val="hybridMultilevel"/>
    <w:tmpl w:val="97225FE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782C0D"/>
    <w:multiLevelType w:val="singleLevel"/>
    <w:tmpl w:val="453A21C2"/>
    <w:lvl w:ilvl="0">
      <w:start w:val="17"/>
      <w:numFmt w:val="upperLetter"/>
      <w:lvlText w:val="%1."/>
      <w:lvlJc w:val="left"/>
      <w:pPr>
        <w:tabs>
          <w:tab w:val="num" w:pos="720"/>
        </w:tabs>
        <w:ind w:left="720" w:hanging="720"/>
      </w:pPr>
      <w:rPr>
        <w:rFonts w:cs="Times New Roman" w:hint="default"/>
      </w:rPr>
    </w:lvl>
  </w:abstractNum>
  <w:abstractNum w:abstractNumId="28">
    <w:nsid w:val="59804B01"/>
    <w:multiLevelType w:val="hybridMultilevel"/>
    <w:tmpl w:val="41B888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9D87C02"/>
    <w:multiLevelType w:val="hybridMultilevel"/>
    <w:tmpl w:val="72524BC2"/>
    <w:lvl w:ilvl="0" w:tplc="AC801FE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B2F7445"/>
    <w:multiLevelType w:val="singleLevel"/>
    <w:tmpl w:val="9ECEB9EE"/>
    <w:lvl w:ilvl="0">
      <w:start w:val="1"/>
      <w:numFmt w:val="upperLetter"/>
      <w:lvlText w:val="%1."/>
      <w:lvlJc w:val="left"/>
      <w:pPr>
        <w:tabs>
          <w:tab w:val="num" w:pos="720"/>
        </w:tabs>
        <w:ind w:left="720" w:hanging="720"/>
      </w:pPr>
      <w:rPr>
        <w:rFonts w:cs="Times New Roman" w:hint="default"/>
      </w:rPr>
    </w:lvl>
  </w:abstractNum>
  <w:abstractNum w:abstractNumId="31">
    <w:nsid w:val="5C7F4F52"/>
    <w:multiLevelType w:val="singleLevel"/>
    <w:tmpl w:val="98487AE4"/>
    <w:lvl w:ilvl="0">
      <w:start w:val="1"/>
      <w:numFmt w:val="upperLetter"/>
      <w:lvlText w:val="%1."/>
      <w:lvlJc w:val="left"/>
      <w:pPr>
        <w:tabs>
          <w:tab w:val="num" w:pos="720"/>
        </w:tabs>
        <w:ind w:left="720" w:hanging="720"/>
      </w:pPr>
      <w:rPr>
        <w:rFonts w:cs="Times New Roman" w:hint="default"/>
      </w:rPr>
    </w:lvl>
  </w:abstractNum>
  <w:abstractNum w:abstractNumId="32">
    <w:nsid w:val="5FEE7F56"/>
    <w:multiLevelType w:val="singleLevel"/>
    <w:tmpl w:val="B56474C4"/>
    <w:lvl w:ilvl="0">
      <w:start w:val="17"/>
      <w:numFmt w:val="upperLetter"/>
      <w:lvlText w:val="%1."/>
      <w:lvlJc w:val="left"/>
      <w:pPr>
        <w:tabs>
          <w:tab w:val="num" w:pos="720"/>
        </w:tabs>
        <w:ind w:left="720" w:hanging="720"/>
      </w:pPr>
      <w:rPr>
        <w:rFonts w:cs="Times New Roman" w:hint="default"/>
      </w:rPr>
    </w:lvl>
  </w:abstractNum>
  <w:abstractNum w:abstractNumId="33">
    <w:nsid w:val="61F94788"/>
    <w:multiLevelType w:val="singleLevel"/>
    <w:tmpl w:val="F2FC6A6C"/>
    <w:lvl w:ilvl="0">
      <w:start w:val="1"/>
      <w:numFmt w:val="upperLetter"/>
      <w:lvlText w:val="%1."/>
      <w:lvlJc w:val="left"/>
      <w:pPr>
        <w:tabs>
          <w:tab w:val="num" w:pos="720"/>
        </w:tabs>
        <w:ind w:left="720" w:hanging="720"/>
      </w:pPr>
      <w:rPr>
        <w:rFonts w:cs="Times New Roman" w:hint="default"/>
      </w:rPr>
    </w:lvl>
  </w:abstractNum>
  <w:abstractNum w:abstractNumId="34">
    <w:nsid w:val="64777C36"/>
    <w:multiLevelType w:val="singleLevel"/>
    <w:tmpl w:val="3B0A7ADE"/>
    <w:lvl w:ilvl="0">
      <w:start w:val="1"/>
      <w:numFmt w:val="upperLetter"/>
      <w:lvlText w:val="%1."/>
      <w:lvlJc w:val="left"/>
      <w:pPr>
        <w:tabs>
          <w:tab w:val="num" w:pos="720"/>
        </w:tabs>
        <w:ind w:left="720" w:hanging="720"/>
      </w:pPr>
      <w:rPr>
        <w:rFonts w:cs="Times New Roman" w:hint="default"/>
        <w:b w:val="0"/>
      </w:rPr>
    </w:lvl>
  </w:abstractNum>
  <w:abstractNum w:abstractNumId="35">
    <w:nsid w:val="64E72E4D"/>
    <w:multiLevelType w:val="singleLevel"/>
    <w:tmpl w:val="FE36F916"/>
    <w:lvl w:ilvl="0">
      <w:start w:val="17"/>
      <w:numFmt w:val="upperLetter"/>
      <w:lvlText w:val="%1."/>
      <w:lvlJc w:val="left"/>
      <w:pPr>
        <w:tabs>
          <w:tab w:val="num" w:pos="720"/>
        </w:tabs>
        <w:ind w:left="720" w:hanging="720"/>
      </w:pPr>
      <w:rPr>
        <w:rFonts w:cs="Times New Roman" w:hint="default"/>
      </w:rPr>
    </w:lvl>
  </w:abstractNum>
  <w:abstractNum w:abstractNumId="36">
    <w:nsid w:val="66F76126"/>
    <w:multiLevelType w:val="hybridMultilevel"/>
    <w:tmpl w:val="1DC43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35ECD"/>
    <w:multiLevelType w:val="singleLevel"/>
    <w:tmpl w:val="66181CB4"/>
    <w:lvl w:ilvl="0">
      <w:start w:val="17"/>
      <w:numFmt w:val="upperLetter"/>
      <w:lvlText w:val="%1."/>
      <w:lvlJc w:val="left"/>
      <w:pPr>
        <w:tabs>
          <w:tab w:val="num" w:pos="720"/>
        </w:tabs>
        <w:ind w:left="720" w:hanging="720"/>
      </w:pPr>
      <w:rPr>
        <w:rFonts w:cs="Times New Roman" w:hint="default"/>
      </w:rPr>
    </w:lvl>
  </w:abstractNum>
  <w:abstractNum w:abstractNumId="38">
    <w:nsid w:val="6C9C6CB5"/>
    <w:multiLevelType w:val="multilevel"/>
    <w:tmpl w:val="72524BC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nsid w:val="6D0472AD"/>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40">
    <w:nsid w:val="70C177BB"/>
    <w:multiLevelType w:val="singleLevel"/>
    <w:tmpl w:val="1A184E90"/>
    <w:lvl w:ilvl="0">
      <w:start w:val="1"/>
      <w:numFmt w:val="upperLetter"/>
      <w:lvlText w:val="%1."/>
      <w:lvlJc w:val="left"/>
      <w:pPr>
        <w:tabs>
          <w:tab w:val="num" w:pos="720"/>
        </w:tabs>
        <w:ind w:left="720" w:hanging="720"/>
      </w:pPr>
      <w:rPr>
        <w:rFonts w:cs="Times New Roman" w:hint="default"/>
      </w:rPr>
    </w:lvl>
  </w:abstractNum>
  <w:abstractNum w:abstractNumId="41">
    <w:nsid w:val="779C5FD4"/>
    <w:multiLevelType w:val="singleLevel"/>
    <w:tmpl w:val="39ACF3F6"/>
    <w:lvl w:ilvl="0">
      <w:start w:val="17"/>
      <w:numFmt w:val="upperLetter"/>
      <w:lvlText w:val="%1."/>
      <w:lvlJc w:val="left"/>
      <w:pPr>
        <w:tabs>
          <w:tab w:val="num" w:pos="720"/>
        </w:tabs>
        <w:ind w:left="720" w:hanging="720"/>
      </w:pPr>
      <w:rPr>
        <w:rFonts w:cs="Times New Roman" w:hint="default"/>
      </w:rPr>
    </w:lvl>
  </w:abstractNum>
  <w:abstractNum w:abstractNumId="42">
    <w:nsid w:val="791E5602"/>
    <w:multiLevelType w:val="singleLevel"/>
    <w:tmpl w:val="8F4CBD52"/>
    <w:lvl w:ilvl="0">
      <w:start w:val="17"/>
      <w:numFmt w:val="upperLetter"/>
      <w:lvlText w:val="%1."/>
      <w:lvlJc w:val="left"/>
      <w:pPr>
        <w:tabs>
          <w:tab w:val="num" w:pos="720"/>
        </w:tabs>
        <w:ind w:left="720" w:hanging="720"/>
      </w:pPr>
      <w:rPr>
        <w:rFonts w:cs="Times New Roman" w:hint="default"/>
      </w:rPr>
    </w:lvl>
  </w:abstractNum>
  <w:num w:numId="1">
    <w:abstractNumId w:val="0"/>
  </w:num>
  <w:num w:numId="2">
    <w:abstractNumId w:val="30"/>
  </w:num>
  <w:num w:numId="3">
    <w:abstractNumId w:val="23"/>
  </w:num>
  <w:num w:numId="4">
    <w:abstractNumId w:val="4"/>
  </w:num>
  <w:num w:numId="5">
    <w:abstractNumId w:val="17"/>
  </w:num>
  <w:num w:numId="6">
    <w:abstractNumId w:val="25"/>
  </w:num>
  <w:num w:numId="7">
    <w:abstractNumId w:val="21"/>
  </w:num>
  <w:num w:numId="8">
    <w:abstractNumId w:val="10"/>
  </w:num>
  <w:num w:numId="9">
    <w:abstractNumId w:val="37"/>
  </w:num>
  <w:num w:numId="10">
    <w:abstractNumId w:val="24"/>
  </w:num>
  <w:num w:numId="11">
    <w:abstractNumId w:val="32"/>
  </w:num>
  <w:num w:numId="12">
    <w:abstractNumId w:val="16"/>
  </w:num>
  <w:num w:numId="13">
    <w:abstractNumId w:val="1"/>
  </w:num>
  <w:num w:numId="14">
    <w:abstractNumId w:val="11"/>
  </w:num>
  <w:num w:numId="15">
    <w:abstractNumId w:val="42"/>
  </w:num>
  <w:num w:numId="16">
    <w:abstractNumId w:val="9"/>
  </w:num>
  <w:num w:numId="17">
    <w:abstractNumId w:val="22"/>
  </w:num>
  <w:num w:numId="18">
    <w:abstractNumId w:val="39"/>
  </w:num>
  <w:num w:numId="19">
    <w:abstractNumId w:val="2"/>
  </w:num>
  <w:num w:numId="20">
    <w:abstractNumId w:val="3"/>
  </w:num>
  <w:num w:numId="21">
    <w:abstractNumId w:val="7"/>
  </w:num>
  <w:num w:numId="22">
    <w:abstractNumId w:val="13"/>
  </w:num>
  <w:num w:numId="23">
    <w:abstractNumId w:val="34"/>
  </w:num>
  <w:num w:numId="24">
    <w:abstractNumId w:val="35"/>
  </w:num>
  <w:num w:numId="25">
    <w:abstractNumId w:val="15"/>
  </w:num>
  <w:num w:numId="26">
    <w:abstractNumId w:val="41"/>
  </w:num>
  <w:num w:numId="27">
    <w:abstractNumId w:val="33"/>
  </w:num>
  <w:num w:numId="28">
    <w:abstractNumId w:val="14"/>
  </w:num>
  <w:num w:numId="29">
    <w:abstractNumId w:val="5"/>
  </w:num>
  <w:num w:numId="30">
    <w:abstractNumId w:val="27"/>
  </w:num>
  <w:num w:numId="31">
    <w:abstractNumId w:val="20"/>
  </w:num>
  <w:num w:numId="32">
    <w:abstractNumId w:val="40"/>
  </w:num>
  <w:num w:numId="33">
    <w:abstractNumId w:val="19"/>
  </w:num>
  <w:num w:numId="34">
    <w:abstractNumId w:val="31"/>
  </w:num>
  <w:num w:numId="35">
    <w:abstractNumId w:val="26"/>
  </w:num>
  <w:num w:numId="36">
    <w:abstractNumId w:val="28"/>
  </w:num>
  <w:num w:numId="37">
    <w:abstractNumId w:val="29"/>
  </w:num>
  <w:num w:numId="38">
    <w:abstractNumId w:val="38"/>
  </w:num>
  <w:num w:numId="39">
    <w:abstractNumId w:val="18"/>
  </w:num>
  <w:num w:numId="40">
    <w:abstractNumId w:val="6"/>
  </w:num>
  <w:num w:numId="41">
    <w:abstractNumId w:val="12"/>
  </w:num>
  <w:num w:numId="42">
    <w:abstractNumId w:val="8"/>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rsids>
    <w:rsidRoot w:val="00534982"/>
    <w:rsid w:val="00007755"/>
    <w:rsid w:val="00012014"/>
    <w:rsid w:val="0001341F"/>
    <w:rsid w:val="00016494"/>
    <w:rsid w:val="000166F7"/>
    <w:rsid w:val="00017651"/>
    <w:rsid w:val="00017C93"/>
    <w:rsid w:val="00024BB4"/>
    <w:rsid w:val="00026A66"/>
    <w:rsid w:val="00030457"/>
    <w:rsid w:val="000311CB"/>
    <w:rsid w:val="00032FDC"/>
    <w:rsid w:val="000330AE"/>
    <w:rsid w:val="000344DE"/>
    <w:rsid w:val="000350ED"/>
    <w:rsid w:val="00037E10"/>
    <w:rsid w:val="00043CFA"/>
    <w:rsid w:val="00044D14"/>
    <w:rsid w:val="000567FC"/>
    <w:rsid w:val="00056AA0"/>
    <w:rsid w:val="0006734D"/>
    <w:rsid w:val="00070BB8"/>
    <w:rsid w:val="00070E21"/>
    <w:rsid w:val="00074DDB"/>
    <w:rsid w:val="0009641E"/>
    <w:rsid w:val="000A0D94"/>
    <w:rsid w:val="000B3585"/>
    <w:rsid w:val="000B5294"/>
    <w:rsid w:val="000B6275"/>
    <w:rsid w:val="000C5F8B"/>
    <w:rsid w:val="000C723A"/>
    <w:rsid w:val="000D7CCB"/>
    <w:rsid w:val="000E2345"/>
    <w:rsid w:val="000E29B1"/>
    <w:rsid w:val="000E3370"/>
    <w:rsid w:val="000F1370"/>
    <w:rsid w:val="000F1685"/>
    <w:rsid w:val="000F44CA"/>
    <w:rsid w:val="000F4F56"/>
    <w:rsid w:val="000F52AA"/>
    <w:rsid w:val="000F64F8"/>
    <w:rsid w:val="00100671"/>
    <w:rsid w:val="00110D17"/>
    <w:rsid w:val="00111B75"/>
    <w:rsid w:val="001141FD"/>
    <w:rsid w:val="00122C22"/>
    <w:rsid w:val="00124F43"/>
    <w:rsid w:val="00127F57"/>
    <w:rsid w:val="00136DC1"/>
    <w:rsid w:val="00142D02"/>
    <w:rsid w:val="00143811"/>
    <w:rsid w:val="00143FB8"/>
    <w:rsid w:val="00157829"/>
    <w:rsid w:val="00157C7D"/>
    <w:rsid w:val="0016006C"/>
    <w:rsid w:val="00160376"/>
    <w:rsid w:val="0016697A"/>
    <w:rsid w:val="00170F3B"/>
    <w:rsid w:val="00175690"/>
    <w:rsid w:val="00193C86"/>
    <w:rsid w:val="00195592"/>
    <w:rsid w:val="00196C99"/>
    <w:rsid w:val="00197F72"/>
    <w:rsid w:val="001A202C"/>
    <w:rsid w:val="001A6256"/>
    <w:rsid w:val="001B58EC"/>
    <w:rsid w:val="001B5FFF"/>
    <w:rsid w:val="001C37C8"/>
    <w:rsid w:val="001C52C5"/>
    <w:rsid w:val="001D7E93"/>
    <w:rsid w:val="001E0BDC"/>
    <w:rsid w:val="001E2D67"/>
    <w:rsid w:val="001E38C2"/>
    <w:rsid w:val="001E438B"/>
    <w:rsid w:val="001E4BA0"/>
    <w:rsid w:val="001F6761"/>
    <w:rsid w:val="00204CBA"/>
    <w:rsid w:val="002102E0"/>
    <w:rsid w:val="002126DB"/>
    <w:rsid w:val="00213FA0"/>
    <w:rsid w:val="002179D8"/>
    <w:rsid w:val="00222AE5"/>
    <w:rsid w:val="00223601"/>
    <w:rsid w:val="0022396C"/>
    <w:rsid w:val="00225CBB"/>
    <w:rsid w:val="00240EC1"/>
    <w:rsid w:val="0024250B"/>
    <w:rsid w:val="00244DDE"/>
    <w:rsid w:val="00262A04"/>
    <w:rsid w:val="00265965"/>
    <w:rsid w:val="00267015"/>
    <w:rsid w:val="002742B6"/>
    <w:rsid w:val="00274F94"/>
    <w:rsid w:val="002761FA"/>
    <w:rsid w:val="00281901"/>
    <w:rsid w:val="00281FE9"/>
    <w:rsid w:val="00287810"/>
    <w:rsid w:val="002919E3"/>
    <w:rsid w:val="00297E9F"/>
    <w:rsid w:val="002A2FBC"/>
    <w:rsid w:val="002A4223"/>
    <w:rsid w:val="002A7803"/>
    <w:rsid w:val="002B5CFB"/>
    <w:rsid w:val="002B71E4"/>
    <w:rsid w:val="002C0B46"/>
    <w:rsid w:val="002C1393"/>
    <w:rsid w:val="002C2DA8"/>
    <w:rsid w:val="002C55DD"/>
    <w:rsid w:val="002C735C"/>
    <w:rsid w:val="002D3A89"/>
    <w:rsid w:val="002D5B76"/>
    <w:rsid w:val="002E1A58"/>
    <w:rsid w:val="002E6A61"/>
    <w:rsid w:val="002E7080"/>
    <w:rsid w:val="002E7DBB"/>
    <w:rsid w:val="002F0145"/>
    <w:rsid w:val="002F04DC"/>
    <w:rsid w:val="002F2EC9"/>
    <w:rsid w:val="002F3089"/>
    <w:rsid w:val="0030092C"/>
    <w:rsid w:val="003043DB"/>
    <w:rsid w:val="003055CB"/>
    <w:rsid w:val="0030569E"/>
    <w:rsid w:val="003125F7"/>
    <w:rsid w:val="0031795F"/>
    <w:rsid w:val="00320074"/>
    <w:rsid w:val="003204BA"/>
    <w:rsid w:val="003215BA"/>
    <w:rsid w:val="00325BB2"/>
    <w:rsid w:val="0032667E"/>
    <w:rsid w:val="003319ED"/>
    <w:rsid w:val="0034057A"/>
    <w:rsid w:val="00341342"/>
    <w:rsid w:val="00343E5F"/>
    <w:rsid w:val="00347883"/>
    <w:rsid w:val="00347DF7"/>
    <w:rsid w:val="00351565"/>
    <w:rsid w:val="00352A33"/>
    <w:rsid w:val="0035639E"/>
    <w:rsid w:val="003564ED"/>
    <w:rsid w:val="00361C65"/>
    <w:rsid w:val="00362B48"/>
    <w:rsid w:val="00367310"/>
    <w:rsid w:val="00376D93"/>
    <w:rsid w:val="0038036D"/>
    <w:rsid w:val="00387151"/>
    <w:rsid w:val="003875E5"/>
    <w:rsid w:val="0038782F"/>
    <w:rsid w:val="00391540"/>
    <w:rsid w:val="003962D8"/>
    <w:rsid w:val="003A09E9"/>
    <w:rsid w:val="003A25E8"/>
    <w:rsid w:val="003A5423"/>
    <w:rsid w:val="003B1810"/>
    <w:rsid w:val="003B406A"/>
    <w:rsid w:val="003C1D58"/>
    <w:rsid w:val="003C1FED"/>
    <w:rsid w:val="003C5D80"/>
    <w:rsid w:val="003C64ED"/>
    <w:rsid w:val="003C71FE"/>
    <w:rsid w:val="003D485A"/>
    <w:rsid w:val="003D4B2D"/>
    <w:rsid w:val="003D7E38"/>
    <w:rsid w:val="003F00AC"/>
    <w:rsid w:val="003F148E"/>
    <w:rsid w:val="003F1E97"/>
    <w:rsid w:val="004003F7"/>
    <w:rsid w:val="00401FA6"/>
    <w:rsid w:val="004023B9"/>
    <w:rsid w:val="00406070"/>
    <w:rsid w:val="00407D39"/>
    <w:rsid w:val="004125D7"/>
    <w:rsid w:val="004179FC"/>
    <w:rsid w:val="00425CA3"/>
    <w:rsid w:val="0043315A"/>
    <w:rsid w:val="00433695"/>
    <w:rsid w:val="00440AE0"/>
    <w:rsid w:val="0045075C"/>
    <w:rsid w:val="004560AE"/>
    <w:rsid w:val="00460FF2"/>
    <w:rsid w:val="00461B21"/>
    <w:rsid w:val="004678B3"/>
    <w:rsid w:val="00475229"/>
    <w:rsid w:val="00484412"/>
    <w:rsid w:val="004968FC"/>
    <w:rsid w:val="00497955"/>
    <w:rsid w:val="004A0E41"/>
    <w:rsid w:val="004A5D9B"/>
    <w:rsid w:val="004C2C40"/>
    <w:rsid w:val="004C594A"/>
    <w:rsid w:val="004C6FAD"/>
    <w:rsid w:val="004D787C"/>
    <w:rsid w:val="004E21CB"/>
    <w:rsid w:val="004E3795"/>
    <w:rsid w:val="004E4370"/>
    <w:rsid w:val="004F09F8"/>
    <w:rsid w:val="004F7F6E"/>
    <w:rsid w:val="00501345"/>
    <w:rsid w:val="00501B53"/>
    <w:rsid w:val="005143CE"/>
    <w:rsid w:val="00514CB4"/>
    <w:rsid w:val="00515856"/>
    <w:rsid w:val="00516340"/>
    <w:rsid w:val="005170A9"/>
    <w:rsid w:val="00523D3D"/>
    <w:rsid w:val="0052433C"/>
    <w:rsid w:val="00524A59"/>
    <w:rsid w:val="00530905"/>
    <w:rsid w:val="00533E78"/>
    <w:rsid w:val="00534982"/>
    <w:rsid w:val="00542EE2"/>
    <w:rsid w:val="00547CB2"/>
    <w:rsid w:val="00553A58"/>
    <w:rsid w:val="00561BB5"/>
    <w:rsid w:val="005653A6"/>
    <w:rsid w:val="00571EBA"/>
    <w:rsid w:val="0057376A"/>
    <w:rsid w:val="0058574A"/>
    <w:rsid w:val="00586CCC"/>
    <w:rsid w:val="005902E5"/>
    <w:rsid w:val="0059626C"/>
    <w:rsid w:val="00597FE3"/>
    <w:rsid w:val="005A6450"/>
    <w:rsid w:val="005A7BC0"/>
    <w:rsid w:val="005B34E6"/>
    <w:rsid w:val="005B5861"/>
    <w:rsid w:val="005C00E8"/>
    <w:rsid w:val="005C5469"/>
    <w:rsid w:val="005D2AE1"/>
    <w:rsid w:val="005E1408"/>
    <w:rsid w:val="005E51AA"/>
    <w:rsid w:val="005E7260"/>
    <w:rsid w:val="005F1EE0"/>
    <w:rsid w:val="005F4269"/>
    <w:rsid w:val="005F74E2"/>
    <w:rsid w:val="005F7D01"/>
    <w:rsid w:val="0060134D"/>
    <w:rsid w:val="006031DF"/>
    <w:rsid w:val="006067C4"/>
    <w:rsid w:val="00606AB1"/>
    <w:rsid w:val="0060707A"/>
    <w:rsid w:val="00612523"/>
    <w:rsid w:val="00613EC4"/>
    <w:rsid w:val="006161C6"/>
    <w:rsid w:val="006165E9"/>
    <w:rsid w:val="006170B5"/>
    <w:rsid w:val="00632017"/>
    <w:rsid w:val="00633BA0"/>
    <w:rsid w:val="00634A3C"/>
    <w:rsid w:val="00642C93"/>
    <w:rsid w:val="0065718F"/>
    <w:rsid w:val="006573A9"/>
    <w:rsid w:val="0066026C"/>
    <w:rsid w:val="00661088"/>
    <w:rsid w:val="00665862"/>
    <w:rsid w:val="00673D6C"/>
    <w:rsid w:val="00674F40"/>
    <w:rsid w:val="00681919"/>
    <w:rsid w:val="00685A49"/>
    <w:rsid w:val="00694A50"/>
    <w:rsid w:val="00696BE5"/>
    <w:rsid w:val="006A0E47"/>
    <w:rsid w:val="006A3979"/>
    <w:rsid w:val="006B172C"/>
    <w:rsid w:val="006B20ED"/>
    <w:rsid w:val="006B718B"/>
    <w:rsid w:val="006C52F4"/>
    <w:rsid w:val="006C6902"/>
    <w:rsid w:val="006D0713"/>
    <w:rsid w:val="006D65B1"/>
    <w:rsid w:val="006E2438"/>
    <w:rsid w:val="006E24B9"/>
    <w:rsid w:val="006E3A13"/>
    <w:rsid w:val="006E7161"/>
    <w:rsid w:val="006F3BC2"/>
    <w:rsid w:val="007072BB"/>
    <w:rsid w:val="00710425"/>
    <w:rsid w:val="007106A7"/>
    <w:rsid w:val="007126C1"/>
    <w:rsid w:val="00716293"/>
    <w:rsid w:val="0072623F"/>
    <w:rsid w:val="007334B2"/>
    <w:rsid w:val="00733F7B"/>
    <w:rsid w:val="0073681D"/>
    <w:rsid w:val="0074063B"/>
    <w:rsid w:val="00744786"/>
    <w:rsid w:val="0074689D"/>
    <w:rsid w:val="00750F9B"/>
    <w:rsid w:val="007549B8"/>
    <w:rsid w:val="00771E9C"/>
    <w:rsid w:val="00773176"/>
    <w:rsid w:val="00773CF6"/>
    <w:rsid w:val="00775E1E"/>
    <w:rsid w:val="00777891"/>
    <w:rsid w:val="00782410"/>
    <w:rsid w:val="00785152"/>
    <w:rsid w:val="00785655"/>
    <w:rsid w:val="007956E8"/>
    <w:rsid w:val="0079648E"/>
    <w:rsid w:val="00797982"/>
    <w:rsid w:val="007A782D"/>
    <w:rsid w:val="007A7FCE"/>
    <w:rsid w:val="007B5BAF"/>
    <w:rsid w:val="007B656F"/>
    <w:rsid w:val="007C25E6"/>
    <w:rsid w:val="007C5A8B"/>
    <w:rsid w:val="007C618C"/>
    <w:rsid w:val="007C71C9"/>
    <w:rsid w:val="007D4210"/>
    <w:rsid w:val="007D693A"/>
    <w:rsid w:val="007D746C"/>
    <w:rsid w:val="007E164F"/>
    <w:rsid w:val="007E5F1F"/>
    <w:rsid w:val="007E61D6"/>
    <w:rsid w:val="007E715E"/>
    <w:rsid w:val="007F2C09"/>
    <w:rsid w:val="007F49FC"/>
    <w:rsid w:val="008019AD"/>
    <w:rsid w:val="008048E3"/>
    <w:rsid w:val="008317F8"/>
    <w:rsid w:val="00833DE9"/>
    <w:rsid w:val="00833FC1"/>
    <w:rsid w:val="008349DF"/>
    <w:rsid w:val="00835F56"/>
    <w:rsid w:val="00837E4C"/>
    <w:rsid w:val="0084006D"/>
    <w:rsid w:val="0084558E"/>
    <w:rsid w:val="008471C3"/>
    <w:rsid w:val="0087259B"/>
    <w:rsid w:val="0087432B"/>
    <w:rsid w:val="0088307B"/>
    <w:rsid w:val="008A7155"/>
    <w:rsid w:val="008A74B9"/>
    <w:rsid w:val="008C2D39"/>
    <w:rsid w:val="008C67EE"/>
    <w:rsid w:val="008C694B"/>
    <w:rsid w:val="008D2FF2"/>
    <w:rsid w:val="008D3AEC"/>
    <w:rsid w:val="008D6D7C"/>
    <w:rsid w:val="008D7BB3"/>
    <w:rsid w:val="008E4209"/>
    <w:rsid w:val="008E6938"/>
    <w:rsid w:val="009013C4"/>
    <w:rsid w:val="00902CE6"/>
    <w:rsid w:val="00903785"/>
    <w:rsid w:val="00904454"/>
    <w:rsid w:val="00910EBE"/>
    <w:rsid w:val="00910FF2"/>
    <w:rsid w:val="00915AE1"/>
    <w:rsid w:val="00924CAA"/>
    <w:rsid w:val="009258C7"/>
    <w:rsid w:val="00925982"/>
    <w:rsid w:val="00932C07"/>
    <w:rsid w:val="0093446E"/>
    <w:rsid w:val="00935D81"/>
    <w:rsid w:val="0094233E"/>
    <w:rsid w:val="00945666"/>
    <w:rsid w:val="00947DEA"/>
    <w:rsid w:val="00950943"/>
    <w:rsid w:val="00963795"/>
    <w:rsid w:val="00963946"/>
    <w:rsid w:val="009771EA"/>
    <w:rsid w:val="0098209F"/>
    <w:rsid w:val="009850FD"/>
    <w:rsid w:val="0099300A"/>
    <w:rsid w:val="0099793E"/>
    <w:rsid w:val="009A6956"/>
    <w:rsid w:val="009B18A3"/>
    <w:rsid w:val="009B54C0"/>
    <w:rsid w:val="009B5C07"/>
    <w:rsid w:val="009C3C58"/>
    <w:rsid w:val="009C515F"/>
    <w:rsid w:val="009C6EAF"/>
    <w:rsid w:val="009E1FB3"/>
    <w:rsid w:val="009E62B7"/>
    <w:rsid w:val="009F0356"/>
    <w:rsid w:val="009F2D1B"/>
    <w:rsid w:val="009F3357"/>
    <w:rsid w:val="009F3A2B"/>
    <w:rsid w:val="009F584B"/>
    <w:rsid w:val="00A067E6"/>
    <w:rsid w:val="00A07294"/>
    <w:rsid w:val="00A11BF4"/>
    <w:rsid w:val="00A30DD4"/>
    <w:rsid w:val="00A30FED"/>
    <w:rsid w:val="00A44499"/>
    <w:rsid w:val="00A47C6F"/>
    <w:rsid w:val="00A50D61"/>
    <w:rsid w:val="00A542DE"/>
    <w:rsid w:val="00A54C5D"/>
    <w:rsid w:val="00A60713"/>
    <w:rsid w:val="00A618B2"/>
    <w:rsid w:val="00A62A67"/>
    <w:rsid w:val="00A67833"/>
    <w:rsid w:val="00A70237"/>
    <w:rsid w:val="00A71916"/>
    <w:rsid w:val="00A7422C"/>
    <w:rsid w:val="00A74648"/>
    <w:rsid w:val="00A854E0"/>
    <w:rsid w:val="00AA2A58"/>
    <w:rsid w:val="00AA2B43"/>
    <w:rsid w:val="00AA6014"/>
    <w:rsid w:val="00AB03FB"/>
    <w:rsid w:val="00AC2F95"/>
    <w:rsid w:val="00AC35E5"/>
    <w:rsid w:val="00AE4BFB"/>
    <w:rsid w:val="00AF224B"/>
    <w:rsid w:val="00AF3369"/>
    <w:rsid w:val="00AF3993"/>
    <w:rsid w:val="00AF4DA5"/>
    <w:rsid w:val="00B21742"/>
    <w:rsid w:val="00B23BE3"/>
    <w:rsid w:val="00B2787A"/>
    <w:rsid w:val="00B33AE4"/>
    <w:rsid w:val="00B56D21"/>
    <w:rsid w:val="00B60F7A"/>
    <w:rsid w:val="00B618CE"/>
    <w:rsid w:val="00B63011"/>
    <w:rsid w:val="00B7120E"/>
    <w:rsid w:val="00B71F78"/>
    <w:rsid w:val="00B72F06"/>
    <w:rsid w:val="00B81500"/>
    <w:rsid w:val="00B816E1"/>
    <w:rsid w:val="00B85EE4"/>
    <w:rsid w:val="00B86C6D"/>
    <w:rsid w:val="00B870F8"/>
    <w:rsid w:val="00BA647F"/>
    <w:rsid w:val="00BA6528"/>
    <w:rsid w:val="00BB6193"/>
    <w:rsid w:val="00BB6B2C"/>
    <w:rsid w:val="00BC38D3"/>
    <w:rsid w:val="00BC7735"/>
    <w:rsid w:val="00BE7429"/>
    <w:rsid w:val="00BE7755"/>
    <w:rsid w:val="00BF1A10"/>
    <w:rsid w:val="00BF1B01"/>
    <w:rsid w:val="00BF31F9"/>
    <w:rsid w:val="00BF4D16"/>
    <w:rsid w:val="00C015E8"/>
    <w:rsid w:val="00C022E4"/>
    <w:rsid w:val="00C06F73"/>
    <w:rsid w:val="00C079CE"/>
    <w:rsid w:val="00C223A3"/>
    <w:rsid w:val="00C23BC3"/>
    <w:rsid w:val="00C25488"/>
    <w:rsid w:val="00C257D4"/>
    <w:rsid w:val="00C34085"/>
    <w:rsid w:val="00C3533C"/>
    <w:rsid w:val="00C36139"/>
    <w:rsid w:val="00C43FB5"/>
    <w:rsid w:val="00C54DFB"/>
    <w:rsid w:val="00C5725B"/>
    <w:rsid w:val="00C768C2"/>
    <w:rsid w:val="00C817CA"/>
    <w:rsid w:val="00C85292"/>
    <w:rsid w:val="00C87026"/>
    <w:rsid w:val="00C87334"/>
    <w:rsid w:val="00C94A93"/>
    <w:rsid w:val="00C951B7"/>
    <w:rsid w:val="00CA2E8A"/>
    <w:rsid w:val="00CB1144"/>
    <w:rsid w:val="00CC3573"/>
    <w:rsid w:val="00CD101B"/>
    <w:rsid w:val="00CD3F52"/>
    <w:rsid w:val="00CF7144"/>
    <w:rsid w:val="00D05921"/>
    <w:rsid w:val="00D11223"/>
    <w:rsid w:val="00D1143E"/>
    <w:rsid w:val="00D15953"/>
    <w:rsid w:val="00D21562"/>
    <w:rsid w:val="00D3493F"/>
    <w:rsid w:val="00D36583"/>
    <w:rsid w:val="00D52309"/>
    <w:rsid w:val="00D61BA8"/>
    <w:rsid w:val="00D86C11"/>
    <w:rsid w:val="00D92162"/>
    <w:rsid w:val="00D953CC"/>
    <w:rsid w:val="00D95747"/>
    <w:rsid w:val="00D96F2B"/>
    <w:rsid w:val="00D97DCD"/>
    <w:rsid w:val="00DA022B"/>
    <w:rsid w:val="00DA68D3"/>
    <w:rsid w:val="00DB05BC"/>
    <w:rsid w:val="00DB2D2C"/>
    <w:rsid w:val="00DB31EA"/>
    <w:rsid w:val="00DB3C72"/>
    <w:rsid w:val="00DB55C4"/>
    <w:rsid w:val="00DB6E96"/>
    <w:rsid w:val="00DC31A0"/>
    <w:rsid w:val="00DD044A"/>
    <w:rsid w:val="00DD1E80"/>
    <w:rsid w:val="00DD2EB4"/>
    <w:rsid w:val="00DD7966"/>
    <w:rsid w:val="00DE5CE4"/>
    <w:rsid w:val="00DE7153"/>
    <w:rsid w:val="00DF094D"/>
    <w:rsid w:val="00DF2E0C"/>
    <w:rsid w:val="00DF3159"/>
    <w:rsid w:val="00DF515B"/>
    <w:rsid w:val="00E02CDD"/>
    <w:rsid w:val="00E05522"/>
    <w:rsid w:val="00E16C9D"/>
    <w:rsid w:val="00E16EAD"/>
    <w:rsid w:val="00E21741"/>
    <w:rsid w:val="00E24C4A"/>
    <w:rsid w:val="00E25AA0"/>
    <w:rsid w:val="00E32C3B"/>
    <w:rsid w:val="00E40491"/>
    <w:rsid w:val="00E404D1"/>
    <w:rsid w:val="00E40B07"/>
    <w:rsid w:val="00E41296"/>
    <w:rsid w:val="00E45642"/>
    <w:rsid w:val="00E45B69"/>
    <w:rsid w:val="00E47C2D"/>
    <w:rsid w:val="00E54CE3"/>
    <w:rsid w:val="00E54D83"/>
    <w:rsid w:val="00E61DDB"/>
    <w:rsid w:val="00E65B05"/>
    <w:rsid w:val="00E733CE"/>
    <w:rsid w:val="00E75194"/>
    <w:rsid w:val="00E829D8"/>
    <w:rsid w:val="00E84C52"/>
    <w:rsid w:val="00E92FAD"/>
    <w:rsid w:val="00E94580"/>
    <w:rsid w:val="00EA114D"/>
    <w:rsid w:val="00EA195C"/>
    <w:rsid w:val="00EA2451"/>
    <w:rsid w:val="00EA4E36"/>
    <w:rsid w:val="00EB0382"/>
    <w:rsid w:val="00EB4AB7"/>
    <w:rsid w:val="00EC2280"/>
    <w:rsid w:val="00EC3437"/>
    <w:rsid w:val="00EC3CC8"/>
    <w:rsid w:val="00ED2334"/>
    <w:rsid w:val="00ED49E4"/>
    <w:rsid w:val="00EE22DD"/>
    <w:rsid w:val="00EE5416"/>
    <w:rsid w:val="00EE660F"/>
    <w:rsid w:val="00EE6FDF"/>
    <w:rsid w:val="00EF16F6"/>
    <w:rsid w:val="00EF3732"/>
    <w:rsid w:val="00EF47BF"/>
    <w:rsid w:val="00F103EE"/>
    <w:rsid w:val="00F23496"/>
    <w:rsid w:val="00F26A88"/>
    <w:rsid w:val="00F27341"/>
    <w:rsid w:val="00F3079D"/>
    <w:rsid w:val="00F349D1"/>
    <w:rsid w:val="00F3687E"/>
    <w:rsid w:val="00F3704F"/>
    <w:rsid w:val="00F379B6"/>
    <w:rsid w:val="00F51489"/>
    <w:rsid w:val="00F53332"/>
    <w:rsid w:val="00F628F4"/>
    <w:rsid w:val="00F65266"/>
    <w:rsid w:val="00F716F0"/>
    <w:rsid w:val="00F727C4"/>
    <w:rsid w:val="00F7759B"/>
    <w:rsid w:val="00F85CE8"/>
    <w:rsid w:val="00F92CD5"/>
    <w:rsid w:val="00F9695A"/>
    <w:rsid w:val="00FB15DB"/>
    <w:rsid w:val="00FB24A2"/>
    <w:rsid w:val="00FB3B1E"/>
    <w:rsid w:val="00FB6130"/>
    <w:rsid w:val="00FC3EFB"/>
    <w:rsid w:val="00FC5359"/>
    <w:rsid w:val="00FE28A2"/>
    <w:rsid w:val="00FF1467"/>
    <w:rsid w:val="00FF3E45"/>
    <w:rsid w:val="00FF7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13"/>
    <w:pPr>
      <w:spacing w:line="480" w:lineRule="auto"/>
      <w:ind w:left="720" w:hanging="720"/>
    </w:pPr>
    <w:rPr>
      <w:sz w:val="24"/>
      <w:szCs w:val="24"/>
    </w:rPr>
  </w:style>
  <w:style w:type="paragraph" w:styleId="Heading1">
    <w:name w:val="heading 1"/>
    <w:basedOn w:val="Normal"/>
    <w:next w:val="Normal"/>
    <w:link w:val="Heading1Char"/>
    <w:qFormat/>
    <w:rsid w:val="006E3A13"/>
    <w:pPr>
      <w:keepNext/>
      <w:outlineLvl w:val="0"/>
    </w:pPr>
    <w:rPr>
      <w:b/>
      <w:bCs/>
    </w:rPr>
  </w:style>
  <w:style w:type="paragraph" w:styleId="Heading2">
    <w:name w:val="heading 2"/>
    <w:basedOn w:val="Normal"/>
    <w:next w:val="Normal"/>
    <w:link w:val="Heading2Char"/>
    <w:qFormat/>
    <w:rsid w:val="006E3A13"/>
    <w:pPr>
      <w:keepNext/>
      <w:ind w:left="0" w:firstLine="0"/>
      <w:outlineLvl w:val="1"/>
    </w:pPr>
    <w:rPr>
      <w:b/>
      <w:bCs/>
    </w:rPr>
  </w:style>
  <w:style w:type="paragraph" w:styleId="Heading3">
    <w:name w:val="heading 3"/>
    <w:basedOn w:val="Normal"/>
    <w:next w:val="Normal"/>
    <w:link w:val="Heading3Char"/>
    <w:qFormat/>
    <w:rsid w:val="006E3A13"/>
    <w:pPr>
      <w:keepNext/>
      <w:outlineLvl w:val="2"/>
    </w:pPr>
    <w:rPr>
      <w:u w:val="single"/>
    </w:rPr>
  </w:style>
  <w:style w:type="paragraph" w:styleId="Heading4">
    <w:name w:val="heading 4"/>
    <w:basedOn w:val="Normal"/>
    <w:next w:val="Normal"/>
    <w:link w:val="Heading4Char"/>
    <w:qFormat/>
    <w:rsid w:val="006E3A13"/>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EC9"/>
    <w:rPr>
      <w:rFonts w:ascii="Cambria" w:hAnsi="Cambria" w:cs="Cambria"/>
      <w:b/>
      <w:bCs/>
      <w:kern w:val="32"/>
      <w:sz w:val="32"/>
      <w:szCs w:val="32"/>
    </w:rPr>
  </w:style>
  <w:style w:type="character" w:customStyle="1" w:styleId="Heading2Char">
    <w:name w:val="Heading 2 Char"/>
    <w:basedOn w:val="DefaultParagraphFont"/>
    <w:link w:val="Heading2"/>
    <w:semiHidden/>
    <w:rsid w:val="002F2EC9"/>
    <w:rPr>
      <w:rFonts w:ascii="Cambria" w:hAnsi="Cambria" w:cs="Cambria"/>
      <w:b/>
      <w:bCs/>
      <w:i/>
      <w:iCs/>
      <w:sz w:val="28"/>
      <w:szCs w:val="28"/>
    </w:rPr>
  </w:style>
  <w:style w:type="character" w:customStyle="1" w:styleId="Heading3Char">
    <w:name w:val="Heading 3 Char"/>
    <w:basedOn w:val="DefaultParagraphFont"/>
    <w:link w:val="Heading3"/>
    <w:semiHidden/>
    <w:rsid w:val="002F2EC9"/>
    <w:rPr>
      <w:rFonts w:ascii="Cambria" w:hAnsi="Cambria" w:cs="Cambria"/>
      <w:b/>
      <w:bCs/>
      <w:sz w:val="26"/>
      <w:szCs w:val="26"/>
    </w:rPr>
  </w:style>
  <w:style w:type="character" w:customStyle="1" w:styleId="Heading4Char">
    <w:name w:val="Heading 4 Char"/>
    <w:basedOn w:val="DefaultParagraphFont"/>
    <w:link w:val="Heading4"/>
    <w:semiHidden/>
    <w:rsid w:val="002F2EC9"/>
    <w:rPr>
      <w:rFonts w:ascii="Calibri" w:hAnsi="Calibri" w:cs="Calibri"/>
      <w:b/>
      <w:bCs/>
      <w:sz w:val="28"/>
      <w:szCs w:val="28"/>
    </w:rPr>
  </w:style>
  <w:style w:type="paragraph" w:styleId="BodyTextIndent">
    <w:name w:val="Body Text Indent"/>
    <w:basedOn w:val="Normal"/>
    <w:link w:val="BodyTextIndentChar"/>
    <w:rsid w:val="006E3A13"/>
  </w:style>
  <w:style w:type="character" w:customStyle="1" w:styleId="BodyText2Char">
    <w:name w:val="Body Text 2 Char"/>
    <w:basedOn w:val="DefaultParagraphFont"/>
    <w:link w:val="BodyTextIndent"/>
    <w:semiHidden/>
    <w:rsid w:val="00475229"/>
    <w:rPr>
      <w:rFonts w:cs="Times New Roman"/>
      <w:sz w:val="24"/>
      <w:szCs w:val="24"/>
    </w:rPr>
  </w:style>
  <w:style w:type="character" w:customStyle="1" w:styleId="BodyTextIndentChar">
    <w:name w:val="Body Text Indent Char"/>
    <w:basedOn w:val="DefaultParagraphFont"/>
    <w:link w:val="BodyTextIndent"/>
    <w:rsid w:val="002F2EC9"/>
    <w:rPr>
      <w:rFonts w:cs="Times New Roman"/>
      <w:sz w:val="24"/>
      <w:szCs w:val="24"/>
    </w:rPr>
  </w:style>
  <w:style w:type="paragraph" w:styleId="Header">
    <w:name w:val="header"/>
    <w:basedOn w:val="Normal"/>
    <w:link w:val="HeaderChar"/>
    <w:rsid w:val="006E3A13"/>
    <w:pPr>
      <w:tabs>
        <w:tab w:val="center" w:pos="4320"/>
        <w:tab w:val="right" w:pos="8640"/>
      </w:tabs>
      <w:spacing w:line="240" w:lineRule="auto"/>
    </w:pPr>
  </w:style>
  <w:style w:type="character" w:customStyle="1" w:styleId="HeaderChar">
    <w:name w:val="Header Char"/>
    <w:basedOn w:val="DefaultParagraphFont"/>
    <w:link w:val="Header"/>
    <w:semiHidden/>
    <w:rsid w:val="002F2EC9"/>
    <w:rPr>
      <w:rFonts w:cs="Times New Roman"/>
      <w:sz w:val="24"/>
      <w:szCs w:val="24"/>
    </w:rPr>
  </w:style>
  <w:style w:type="paragraph" w:styleId="Footer">
    <w:name w:val="footer"/>
    <w:basedOn w:val="Normal"/>
    <w:link w:val="FooterChar"/>
    <w:rsid w:val="006E3A13"/>
    <w:pPr>
      <w:tabs>
        <w:tab w:val="center" w:pos="4320"/>
        <w:tab w:val="right" w:pos="8640"/>
      </w:tabs>
    </w:pPr>
  </w:style>
  <w:style w:type="character" w:customStyle="1" w:styleId="FooterChar">
    <w:name w:val="Footer Char"/>
    <w:basedOn w:val="DefaultParagraphFont"/>
    <w:link w:val="Footer"/>
    <w:semiHidden/>
    <w:rsid w:val="002F2EC9"/>
    <w:rPr>
      <w:rFonts w:cs="Times New Roman"/>
      <w:sz w:val="24"/>
      <w:szCs w:val="24"/>
    </w:rPr>
  </w:style>
  <w:style w:type="character" w:styleId="PageNumber">
    <w:name w:val="page number"/>
    <w:basedOn w:val="DefaultParagraphFont"/>
    <w:rsid w:val="006E3A13"/>
    <w:rPr>
      <w:rFonts w:cs="Times New Roman"/>
    </w:rPr>
  </w:style>
  <w:style w:type="character" w:styleId="LineNumber">
    <w:name w:val="line number"/>
    <w:basedOn w:val="DefaultParagraphFont"/>
    <w:rsid w:val="006E3A13"/>
    <w:rPr>
      <w:rFonts w:cs="Times New Roman"/>
    </w:rPr>
  </w:style>
  <w:style w:type="paragraph" w:styleId="DocumentMap">
    <w:name w:val="Document Map"/>
    <w:basedOn w:val="Normal"/>
    <w:link w:val="DocumentMapChar"/>
    <w:semiHidden/>
    <w:rsid w:val="006E3A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2EC9"/>
    <w:rPr>
      <w:rFonts w:cs="Times New Roman"/>
      <w:sz w:val="2"/>
      <w:szCs w:val="2"/>
    </w:rPr>
  </w:style>
  <w:style w:type="paragraph" w:styleId="Title">
    <w:name w:val="Title"/>
    <w:basedOn w:val="Normal"/>
    <w:link w:val="TitleChar"/>
    <w:qFormat/>
    <w:rsid w:val="006E3A13"/>
    <w:pPr>
      <w:jc w:val="center"/>
    </w:pPr>
    <w:rPr>
      <w:b/>
      <w:bCs/>
      <w:sz w:val="28"/>
      <w:szCs w:val="28"/>
    </w:rPr>
  </w:style>
  <w:style w:type="character" w:customStyle="1" w:styleId="TitleChar">
    <w:name w:val="Title Char"/>
    <w:basedOn w:val="DefaultParagraphFont"/>
    <w:link w:val="Title"/>
    <w:rsid w:val="002F2EC9"/>
    <w:rPr>
      <w:rFonts w:ascii="Cambria" w:hAnsi="Cambria" w:cs="Cambria"/>
      <w:b/>
      <w:bCs/>
      <w:kern w:val="28"/>
      <w:sz w:val="32"/>
      <w:szCs w:val="32"/>
    </w:rPr>
  </w:style>
  <w:style w:type="paragraph" w:customStyle="1" w:styleId="FirmName">
    <w:name w:val="Firm Name"/>
    <w:basedOn w:val="Normal"/>
    <w:rsid w:val="006E3A13"/>
    <w:pPr>
      <w:spacing w:line="254" w:lineRule="exact"/>
      <w:ind w:left="0" w:firstLine="0"/>
      <w:jc w:val="center"/>
    </w:pPr>
    <w:rPr>
      <w:sz w:val="20"/>
      <w:szCs w:val="20"/>
    </w:rPr>
  </w:style>
  <w:style w:type="paragraph" w:styleId="BalloonText">
    <w:name w:val="Balloon Text"/>
    <w:basedOn w:val="Normal"/>
    <w:link w:val="BalloonTextChar"/>
    <w:semiHidden/>
    <w:rsid w:val="006E3A13"/>
    <w:rPr>
      <w:rFonts w:ascii="Tahoma" w:hAnsi="Tahoma" w:cs="Tahoma"/>
      <w:sz w:val="16"/>
      <w:szCs w:val="16"/>
    </w:rPr>
  </w:style>
  <w:style w:type="character" w:customStyle="1" w:styleId="BalloonTextChar">
    <w:name w:val="Balloon Text Char"/>
    <w:basedOn w:val="DefaultParagraphFont"/>
    <w:link w:val="BalloonText"/>
    <w:semiHidden/>
    <w:rsid w:val="002F2EC9"/>
    <w:rPr>
      <w:rFonts w:cs="Times New Roman"/>
      <w:sz w:val="2"/>
      <w:szCs w:val="2"/>
    </w:rPr>
  </w:style>
  <w:style w:type="paragraph" w:customStyle="1" w:styleId="CharChar1">
    <w:name w:val="Char Char1"/>
    <w:basedOn w:val="Normal"/>
    <w:rsid w:val="00534982"/>
    <w:pPr>
      <w:spacing w:after="160" w:line="240" w:lineRule="exact"/>
      <w:ind w:left="0" w:firstLine="0"/>
    </w:pPr>
    <w:rPr>
      <w:rFonts w:ascii="Verdana" w:hAnsi="Verdana" w:cs="Verdana"/>
      <w:sz w:val="20"/>
      <w:szCs w:val="20"/>
    </w:rPr>
  </w:style>
  <w:style w:type="paragraph" w:customStyle="1" w:styleId="CharChar2">
    <w:name w:val="Char Char2"/>
    <w:basedOn w:val="Normal"/>
    <w:rsid w:val="00612523"/>
    <w:pPr>
      <w:spacing w:after="160" w:line="240" w:lineRule="exact"/>
      <w:ind w:left="0" w:firstLine="0"/>
    </w:pPr>
    <w:rPr>
      <w:rFonts w:ascii="Verdana" w:hAnsi="Verdana"/>
    </w:rPr>
  </w:style>
  <w:style w:type="character" w:styleId="CommentReference">
    <w:name w:val="annotation reference"/>
    <w:basedOn w:val="DefaultParagraphFont"/>
    <w:semiHidden/>
    <w:rsid w:val="0030569E"/>
    <w:rPr>
      <w:sz w:val="16"/>
      <w:szCs w:val="16"/>
    </w:rPr>
  </w:style>
  <w:style w:type="paragraph" w:styleId="CommentText">
    <w:name w:val="annotation text"/>
    <w:basedOn w:val="Normal"/>
    <w:semiHidden/>
    <w:rsid w:val="0030569E"/>
    <w:rPr>
      <w:sz w:val="20"/>
      <w:szCs w:val="20"/>
    </w:rPr>
  </w:style>
  <w:style w:type="paragraph" w:styleId="CommentSubject">
    <w:name w:val="annotation subject"/>
    <w:basedOn w:val="CommentText"/>
    <w:next w:val="CommentText"/>
    <w:semiHidden/>
    <w:rsid w:val="0030569E"/>
    <w:rPr>
      <w:b/>
      <w:bCs/>
    </w:rPr>
  </w:style>
  <w:style w:type="paragraph" w:styleId="FootnoteText">
    <w:name w:val="footnote text"/>
    <w:basedOn w:val="Normal"/>
    <w:link w:val="FootnoteTextChar"/>
    <w:uiPriority w:val="99"/>
    <w:semiHidden/>
    <w:unhideWhenUsed/>
    <w:rsid w:val="007D693A"/>
    <w:rPr>
      <w:sz w:val="20"/>
      <w:szCs w:val="20"/>
    </w:rPr>
  </w:style>
  <w:style w:type="character" w:customStyle="1" w:styleId="FootnoteTextChar">
    <w:name w:val="Footnote Text Char"/>
    <w:basedOn w:val="DefaultParagraphFont"/>
    <w:link w:val="FootnoteText"/>
    <w:uiPriority w:val="99"/>
    <w:semiHidden/>
    <w:rsid w:val="007D693A"/>
  </w:style>
  <w:style w:type="character" w:styleId="FootnoteReference">
    <w:name w:val="footnote reference"/>
    <w:basedOn w:val="DefaultParagraphFont"/>
    <w:uiPriority w:val="99"/>
    <w:semiHidden/>
    <w:unhideWhenUsed/>
    <w:rsid w:val="007D693A"/>
    <w:rPr>
      <w:vertAlign w:val="superscript"/>
    </w:rPr>
  </w:style>
  <w:style w:type="paragraph" w:styleId="Revision">
    <w:name w:val="Revision"/>
    <w:hidden/>
    <w:uiPriority w:val="99"/>
    <w:semiHidden/>
    <w:rsid w:val="00673D6C"/>
    <w:rPr>
      <w:sz w:val="24"/>
      <w:szCs w:val="24"/>
    </w:rPr>
  </w:style>
  <w:style w:type="paragraph" w:styleId="BodyText2">
    <w:name w:val="Body Text 2"/>
    <w:basedOn w:val="Normal"/>
    <w:link w:val="BodyText2Char1"/>
    <w:uiPriority w:val="99"/>
    <w:unhideWhenUsed/>
    <w:rsid w:val="00142D02"/>
    <w:pPr>
      <w:spacing w:after="120"/>
    </w:pPr>
  </w:style>
  <w:style w:type="character" w:customStyle="1" w:styleId="BodyText2Char1">
    <w:name w:val="Body Text 2 Char1"/>
    <w:basedOn w:val="DefaultParagraphFont"/>
    <w:link w:val="BodyText2"/>
    <w:uiPriority w:val="99"/>
    <w:rsid w:val="00142D02"/>
    <w:rPr>
      <w:sz w:val="24"/>
      <w:szCs w:val="24"/>
    </w:rPr>
  </w:style>
  <w:style w:type="paragraph" w:styleId="ListParagraph">
    <w:name w:val="List Paragraph"/>
    <w:basedOn w:val="Normal"/>
    <w:uiPriority w:val="34"/>
    <w:qFormat/>
    <w:rsid w:val="00A067E6"/>
    <w:pPr>
      <w:contextualSpacing/>
    </w:pPr>
  </w:style>
  <w:style w:type="table" w:styleId="TableGrid">
    <w:name w:val="Table Grid"/>
    <w:basedOn w:val="TableNormal"/>
    <w:uiPriority w:val="59"/>
    <w:rsid w:val="00DE7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618B2"/>
    <w:pPr>
      <w:spacing w:line="240" w:lineRule="auto"/>
    </w:pPr>
    <w:rPr>
      <w:sz w:val="20"/>
      <w:szCs w:val="20"/>
    </w:rPr>
  </w:style>
  <w:style w:type="character" w:customStyle="1" w:styleId="EndnoteTextChar">
    <w:name w:val="Endnote Text Char"/>
    <w:basedOn w:val="DefaultParagraphFont"/>
    <w:link w:val="EndnoteText"/>
    <w:uiPriority w:val="99"/>
    <w:semiHidden/>
    <w:rsid w:val="00A618B2"/>
  </w:style>
  <w:style w:type="character" w:styleId="EndnoteReference">
    <w:name w:val="endnote reference"/>
    <w:basedOn w:val="DefaultParagraphFont"/>
    <w:uiPriority w:val="99"/>
    <w:semiHidden/>
    <w:unhideWhenUsed/>
    <w:rsid w:val="00A618B2"/>
    <w:rPr>
      <w:vertAlign w:val="superscript"/>
    </w:rPr>
  </w:style>
</w:styles>
</file>

<file path=word/webSettings.xml><?xml version="1.0" encoding="utf-8"?>
<w:webSettings xmlns:r="http://schemas.openxmlformats.org/officeDocument/2006/relationships" xmlns:w="http://schemas.openxmlformats.org/wordprocessingml/2006/main">
  <w:divs>
    <w:div w:id="86851985">
      <w:bodyDiv w:val="1"/>
      <w:marLeft w:val="0"/>
      <w:marRight w:val="0"/>
      <w:marTop w:val="0"/>
      <w:marBottom w:val="0"/>
      <w:divBdr>
        <w:top w:val="none" w:sz="0" w:space="0" w:color="auto"/>
        <w:left w:val="none" w:sz="0" w:space="0" w:color="auto"/>
        <w:bottom w:val="none" w:sz="0" w:space="0" w:color="auto"/>
        <w:right w:val="none" w:sz="0" w:space="0" w:color="auto"/>
      </w:divBdr>
    </w:div>
    <w:div w:id="368919354">
      <w:bodyDiv w:val="1"/>
      <w:marLeft w:val="0"/>
      <w:marRight w:val="0"/>
      <w:marTop w:val="0"/>
      <w:marBottom w:val="0"/>
      <w:divBdr>
        <w:top w:val="none" w:sz="0" w:space="0" w:color="auto"/>
        <w:left w:val="none" w:sz="0" w:space="0" w:color="auto"/>
        <w:bottom w:val="none" w:sz="0" w:space="0" w:color="auto"/>
        <w:right w:val="none" w:sz="0" w:space="0" w:color="auto"/>
      </w:divBdr>
    </w:div>
    <w:div w:id="430325058">
      <w:bodyDiv w:val="1"/>
      <w:marLeft w:val="0"/>
      <w:marRight w:val="0"/>
      <w:marTop w:val="0"/>
      <w:marBottom w:val="0"/>
      <w:divBdr>
        <w:top w:val="none" w:sz="0" w:space="0" w:color="auto"/>
        <w:left w:val="none" w:sz="0" w:space="0" w:color="auto"/>
        <w:bottom w:val="none" w:sz="0" w:space="0" w:color="auto"/>
        <w:right w:val="none" w:sz="0" w:space="0" w:color="auto"/>
      </w:divBdr>
    </w:div>
    <w:div w:id="944852000">
      <w:bodyDiv w:val="1"/>
      <w:marLeft w:val="0"/>
      <w:marRight w:val="0"/>
      <w:marTop w:val="0"/>
      <w:marBottom w:val="0"/>
      <w:divBdr>
        <w:top w:val="none" w:sz="0" w:space="0" w:color="auto"/>
        <w:left w:val="none" w:sz="0" w:space="0" w:color="auto"/>
        <w:bottom w:val="none" w:sz="0" w:space="0" w:color="auto"/>
        <w:right w:val="none" w:sz="0" w:space="0" w:color="auto"/>
      </w:divBdr>
    </w:div>
    <w:div w:id="1988391215">
      <w:bodyDiv w:val="1"/>
      <w:marLeft w:val="0"/>
      <w:marRight w:val="0"/>
      <w:marTop w:val="0"/>
      <w:marBottom w:val="0"/>
      <w:divBdr>
        <w:top w:val="none" w:sz="0" w:space="0" w:color="auto"/>
        <w:left w:val="none" w:sz="0" w:space="0" w:color="auto"/>
        <w:bottom w:val="none" w:sz="0" w:space="0" w:color="auto"/>
        <w:right w:val="none" w:sz="0" w:space="0" w:color="auto"/>
      </w:divBdr>
    </w:div>
    <w:div w:id="20251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A41BAF-92A9-44C6-999D-1C2FB1F1FF08}"/>
</file>

<file path=customXml/itemProps2.xml><?xml version="1.0" encoding="utf-8"?>
<ds:datastoreItem xmlns:ds="http://schemas.openxmlformats.org/officeDocument/2006/customXml" ds:itemID="{FEE26CE7-8630-4386-8874-C1E06F708378}"/>
</file>

<file path=customXml/itemProps3.xml><?xml version="1.0" encoding="utf-8"?>
<ds:datastoreItem xmlns:ds="http://schemas.openxmlformats.org/officeDocument/2006/customXml" ds:itemID="{3A10388E-B5F7-48D9-908E-ADE3650F48F2}"/>
</file>

<file path=customXml/itemProps4.xml><?xml version="1.0" encoding="utf-8"?>
<ds:datastoreItem xmlns:ds="http://schemas.openxmlformats.org/officeDocument/2006/customXml" ds:itemID="{E5C40E56-4CF9-4B4D-BCDC-33B8DA3F0591}"/>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7100</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2011-06-24T22:48:00Z</dcterms:created>
  <dcterms:modified xsi:type="dcterms:W3CDTF">2011-06-24T22:48:00Z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