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38" w:rsidRPr="004F23DD" w:rsidRDefault="00414638" w:rsidP="004F23DD">
      <w:pPr>
        <w:tabs>
          <w:tab w:val="center" w:pos="4680"/>
        </w:tabs>
        <w:spacing w:after="0" w:line="480" w:lineRule="auto"/>
        <w:ind w:right="-108" w:hanging="180"/>
        <w:jc w:val="both"/>
        <w:rPr>
          <w:rFonts w:ascii="Times New Roman" w:hAnsi="Times New Roman" w:cs="Times New Roman"/>
          <w:sz w:val="24"/>
          <w:szCs w:val="24"/>
        </w:rPr>
      </w:pPr>
    </w:p>
    <w:p w:rsidR="00414638" w:rsidRPr="004F23DD" w:rsidRDefault="00414638" w:rsidP="004F23DD">
      <w:pPr>
        <w:tabs>
          <w:tab w:val="center" w:pos="4680"/>
        </w:tabs>
        <w:spacing w:after="0" w:line="480" w:lineRule="auto"/>
        <w:ind w:right="-108" w:hanging="180"/>
        <w:jc w:val="both"/>
        <w:rPr>
          <w:rFonts w:ascii="Times New Roman" w:hAnsi="Times New Roman" w:cs="Times New Roman"/>
          <w:sz w:val="24"/>
          <w:szCs w:val="24"/>
        </w:rPr>
      </w:pPr>
    </w:p>
    <w:p w:rsidR="00414638" w:rsidRPr="004F23DD" w:rsidRDefault="00414638" w:rsidP="004F23DD">
      <w:pPr>
        <w:tabs>
          <w:tab w:val="center" w:pos="4680"/>
        </w:tabs>
        <w:spacing w:after="0" w:line="480" w:lineRule="auto"/>
        <w:ind w:right="-108" w:hanging="180"/>
        <w:jc w:val="both"/>
        <w:rPr>
          <w:rFonts w:ascii="Times New Roman" w:hAnsi="Times New Roman" w:cs="Times New Roman"/>
          <w:sz w:val="24"/>
          <w:szCs w:val="24"/>
        </w:rPr>
      </w:pPr>
    </w:p>
    <w:p w:rsidR="00414638" w:rsidRPr="004F23DD" w:rsidRDefault="00414638" w:rsidP="004F23DD">
      <w:pPr>
        <w:tabs>
          <w:tab w:val="center" w:pos="4680"/>
        </w:tabs>
        <w:spacing w:after="0" w:line="240" w:lineRule="auto"/>
        <w:ind w:right="-108" w:hanging="180"/>
        <w:jc w:val="both"/>
        <w:rPr>
          <w:rFonts w:ascii="Times New Roman" w:hAnsi="Times New Roman" w:cs="Times New Roman"/>
          <w:sz w:val="24"/>
          <w:szCs w:val="24"/>
        </w:rPr>
      </w:pPr>
      <w:r w:rsidRPr="004F23DD">
        <w:rPr>
          <w:rFonts w:ascii="Times New Roman" w:hAnsi="Times New Roman" w:cs="Times New Roman"/>
          <w:sz w:val="24"/>
          <w:szCs w:val="24"/>
        </w:rPr>
        <w:t>BEFORE THE WASHINGTON UTILITIES AND TRANSPORTATION COMMISSION</w:t>
      </w:r>
    </w:p>
    <w:p w:rsidR="00414638" w:rsidRPr="004F23DD" w:rsidRDefault="00414638" w:rsidP="004F23DD">
      <w:pPr>
        <w:spacing w:after="0" w:line="240" w:lineRule="auto"/>
        <w:jc w:val="both"/>
        <w:rPr>
          <w:rFonts w:ascii="Times New Roman" w:hAnsi="Times New Roman" w:cs="Times New Roman"/>
          <w:sz w:val="24"/>
          <w:szCs w:val="24"/>
        </w:rPr>
      </w:pPr>
    </w:p>
    <w:p w:rsidR="00414638" w:rsidRPr="004F23DD" w:rsidRDefault="00414638" w:rsidP="004F23DD">
      <w:pPr>
        <w:spacing w:after="0" w:line="240" w:lineRule="auto"/>
        <w:jc w:val="both"/>
        <w:rPr>
          <w:rFonts w:ascii="Times New Roman" w:hAnsi="Times New Roman" w:cs="Times New Roman"/>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414638" w:rsidRPr="004F23DD" w:rsidTr="00A30A22">
        <w:tc>
          <w:tcPr>
            <w:tcW w:w="4590" w:type="dxa"/>
            <w:tcBorders>
              <w:top w:val="single" w:sz="6" w:space="0" w:color="FFFFFF"/>
              <w:left w:val="single" w:sz="6" w:space="0" w:color="FFFFFF"/>
              <w:bottom w:val="single" w:sz="7" w:space="0" w:color="000000"/>
              <w:right w:val="single" w:sz="6" w:space="0" w:color="FFFFFF"/>
            </w:tcBorders>
          </w:tcPr>
          <w:p w:rsidR="00414638" w:rsidRPr="004F23DD" w:rsidRDefault="00414638" w:rsidP="004F23DD">
            <w:pPr>
              <w:spacing w:after="0" w:line="240" w:lineRule="auto"/>
              <w:rPr>
                <w:rFonts w:ascii="Times New Roman" w:hAnsi="Times New Roman" w:cs="Times New Roman"/>
                <w:sz w:val="24"/>
                <w:szCs w:val="24"/>
              </w:rPr>
            </w:pPr>
            <w:r w:rsidRPr="004F23DD">
              <w:rPr>
                <w:rFonts w:ascii="Times New Roman" w:hAnsi="Times New Roman" w:cs="Times New Roman"/>
                <w:sz w:val="24"/>
                <w:szCs w:val="24"/>
              </w:rPr>
              <w:t>In the Matter of the Application of</w:t>
            </w:r>
          </w:p>
          <w:p w:rsidR="00414638" w:rsidRPr="004F23DD" w:rsidRDefault="00414638" w:rsidP="004F23DD">
            <w:pPr>
              <w:spacing w:after="0" w:line="240" w:lineRule="auto"/>
              <w:rPr>
                <w:rFonts w:ascii="Times New Roman" w:hAnsi="Times New Roman" w:cs="Times New Roman"/>
                <w:sz w:val="24"/>
                <w:szCs w:val="24"/>
              </w:rPr>
            </w:pPr>
          </w:p>
          <w:p w:rsidR="00414638" w:rsidRPr="004F23DD" w:rsidRDefault="00414638" w:rsidP="004F23DD">
            <w:pPr>
              <w:spacing w:after="0" w:line="240" w:lineRule="auto"/>
              <w:rPr>
                <w:rFonts w:ascii="Times New Roman" w:hAnsi="Times New Roman" w:cs="Times New Roman"/>
                <w:sz w:val="24"/>
                <w:szCs w:val="24"/>
              </w:rPr>
            </w:pPr>
            <w:r w:rsidRPr="004F23DD">
              <w:rPr>
                <w:rFonts w:ascii="Times New Roman" w:hAnsi="Times New Roman" w:cs="Times New Roman"/>
                <w:sz w:val="24"/>
                <w:szCs w:val="24"/>
              </w:rPr>
              <w:t>WASTE MANAGEMENT OF WASHINGTON, INC. D/B/A WM HEALTHCARE SOLUTIONS OF WASHINGTON</w:t>
            </w:r>
          </w:p>
          <w:p w:rsidR="00414638" w:rsidRPr="004F23DD" w:rsidRDefault="00414638" w:rsidP="004F23DD">
            <w:pPr>
              <w:spacing w:after="0" w:line="240" w:lineRule="auto"/>
              <w:rPr>
                <w:rFonts w:ascii="Times New Roman" w:hAnsi="Times New Roman" w:cs="Times New Roman"/>
                <w:sz w:val="24"/>
                <w:szCs w:val="24"/>
              </w:rPr>
            </w:pPr>
          </w:p>
          <w:p w:rsidR="00414638" w:rsidRPr="004F23DD" w:rsidRDefault="00414638" w:rsidP="004F23DD">
            <w:pPr>
              <w:spacing w:after="0" w:line="240" w:lineRule="auto"/>
              <w:rPr>
                <w:rFonts w:ascii="Times New Roman" w:hAnsi="Times New Roman" w:cs="Times New Roman"/>
                <w:sz w:val="24"/>
                <w:szCs w:val="24"/>
              </w:rPr>
            </w:pPr>
            <w:r w:rsidRPr="004F23DD">
              <w:rPr>
                <w:rFonts w:ascii="Times New Roman" w:hAnsi="Times New Roman" w:cs="Times New Roman"/>
                <w:sz w:val="24"/>
                <w:szCs w:val="24"/>
              </w:rPr>
              <w:t>For an extension of Certificate G</w:t>
            </w:r>
            <w:r w:rsidRPr="004F23DD">
              <w:rPr>
                <w:rFonts w:ascii="Times New Roman" w:hAnsi="Times New Roman" w:cs="Times New Roman"/>
                <w:sz w:val="24"/>
                <w:szCs w:val="24"/>
              </w:rPr>
              <w:noBreakHyphen/>
              <w:t>237 for a Certificate of Public Convenience and Necessity to Operate Motor Vehicles in Furnishing Solid Waste Collection Service</w:t>
            </w:r>
          </w:p>
          <w:p w:rsidR="00414638" w:rsidRPr="004F23DD" w:rsidRDefault="00414638" w:rsidP="004F23DD">
            <w:pPr>
              <w:spacing w:after="0" w:line="240" w:lineRule="auto"/>
              <w:rPr>
                <w:rFonts w:ascii="Times New Roman" w:hAnsi="Times New Roman" w:cs="Times New Roman"/>
                <w:sz w:val="24"/>
                <w:szCs w:val="24"/>
              </w:rPr>
            </w:pPr>
          </w:p>
        </w:tc>
        <w:tc>
          <w:tcPr>
            <w:tcW w:w="4590" w:type="dxa"/>
            <w:tcBorders>
              <w:top w:val="single" w:sz="6" w:space="0" w:color="FFFFFF"/>
              <w:left w:val="single" w:sz="7" w:space="0" w:color="000000"/>
              <w:bottom w:val="single" w:sz="6" w:space="0" w:color="FFFFFF"/>
              <w:right w:val="single" w:sz="6" w:space="0" w:color="FFFFFF"/>
            </w:tcBorders>
          </w:tcPr>
          <w:p w:rsidR="00414638" w:rsidRPr="004F23DD" w:rsidRDefault="00414638" w:rsidP="004F23DD">
            <w:pPr>
              <w:spacing w:after="0" w:line="240" w:lineRule="auto"/>
              <w:ind w:left="686"/>
              <w:rPr>
                <w:rFonts w:ascii="Times New Roman" w:hAnsi="Times New Roman" w:cs="Times New Roman"/>
                <w:sz w:val="24"/>
                <w:szCs w:val="24"/>
              </w:rPr>
            </w:pPr>
            <w:r w:rsidRPr="004F23DD">
              <w:rPr>
                <w:rFonts w:ascii="Times New Roman" w:hAnsi="Times New Roman" w:cs="Times New Roman"/>
                <w:sz w:val="24"/>
                <w:szCs w:val="24"/>
              </w:rPr>
              <w:t>DOCKET TG-120033</w:t>
            </w:r>
          </w:p>
          <w:p w:rsidR="00414638" w:rsidRPr="004F23DD" w:rsidRDefault="00414638" w:rsidP="004F23DD">
            <w:pPr>
              <w:spacing w:after="0" w:line="240" w:lineRule="auto"/>
              <w:ind w:left="686"/>
              <w:rPr>
                <w:rFonts w:ascii="Times New Roman" w:hAnsi="Times New Roman" w:cs="Times New Roman"/>
                <w:sz w:val="24"/>
                <w:szCs w:val="24"/>
              </w:rPr>
            </w:pPr>
          </w:p>
          <w:p w:rsidR="00414638" w:rsidRPr="004F23DD" w:rsidRDefault="004F23DD" w:rsidP="004F23DD">
            <w:pPr>
              <w:pStyle w:val="BodyTextIndent2"/>
              <w:rPr>
                <w:rFonts w:ascii="Times New Roman" w:hAnsi="Times New Roman"/>
                <w:lang w:val="en-US" w:eastAsia="en-US"/>
              </w:rPr>
            </w:pPr>
            <w:r w:rsidRPr="004F23DD">
              <w:rPr>
                <w:rFonts w:ascii="Times New Roman" w:hAnsi="Times New Roman"/>
              </w:rPr>
              <w:t>COMMISSION STAFF’S ANSWER TO PETITIONS FOR REVIEW OF INITIAL ORDER</w:t>
            </w:r>
          </w:p>
        </w:tc>
      </w:tr>
    </w:tbl>
    <w:p w:rsidR="00414638" w:rsidRDefault="00414638" w:rsidP="004F23DD">
      <w:pPr>
        <w:spacing w:after="0" w:line="480" w:lineRule="auto"/>
        <w:rPr>
          <w:rFonts w:ascii="Times New Roman" w:hAnsi="Times New Roman" w:cs="Times New Roman"/>
          <w:sz w:val="24"/>
          <w:szCs w:val="24"/>
        </w:rPr>
      </w:pPr>
    </w:p>
    <w:p w:rsidR="00DB4595" w:rsidRPr="00DB4595" w:rsidRDefault="00DB4595" w:rsidP="00DB459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INTRODUCTION</w:t>
      </w:r>
    </w:p>
    <w:p w:rsidR="004F23DD" w:rsidRDefault="004F23DD" w:rsidP="004F23DD">
      <w:pPr>
        <w:pStyle w:val="ListParagraph"/>
        <w:numPr>
          <w:ilvl w:val="0"/>
          <w:numId w:val="2"/>
        </w:numPr>
        <w:spacing w:after="0"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4F5173" w:rsidRPr="004F23DD">
        <w:rPr>
          <w:rFonts w:ascii="Times New Roman" w:hAnsi="Times New Roman" w:cs="Times New Roman"/>
          <w:sz w:val="24"/>
          <w:szCs w:val="24"/>
        </w:rPr>
        <w:t xml:space="preserve">The Staff of the Washington Utilities and Transportation Commission (“Staff”) </w:t>
      </w:r>
      <w:r w:rsidRPr="004F23DD">
        <w:rPr>
          <w:rFonts w:ascii="Times New Roman" w:hAnsi="Times New Roman" w:cs="Times New Roman"/>
          <w:sz w:val="24"/>
          <w:szCs w:val="24"/>
        </w:rPr>
        <w:t>files this answer in response to the Petitions for Administrative Review filed by Stericycle of Washington, Inc. (Stericycle) and the Washington Refuse and Recycling Association and its four member certificate holders who are parties in this</w:t>
      </w:r>
      <w:r>
        <w:rPr>
          <w:rFonts w:ascii="Times New Roman" w:hAnsi="Times New Roman" w:cs="Times New Roman"/>
          <w:sz w:val="24"/>
          <w:szCs w:val="24"/>
        </w:rPr>
        <w:t xml:space="preserve"> matter (collectively the WRRA)</w:t>
      </w:r>
      <w:r w:rsidR="00DB4595">
        <w:rPr>
          <w:rFonts w:ascii="Times New Roman" w:hAnsi="Times New Roman" w:cs="Times New Roman"/>
          <w:sz w:val="24"/>
          <w:szCs w:val="24"/>
        </w:rPr>
        <w:t>.</w:t>
      </w:r>
    </w:p>
    <w:p w:rsidR="00DB4595" w:rsidRPr="00DB4595" w:rsidRDefault="00DB4595" w:rsidP="00DB4595">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ARGUMENT</w:t>
      </w:r>
    </w:p>
    <w:p w:rsidR="004F23DD" w:rsidRDefault="004F23DD" w:rsidP="004F23DD">
      <w:pPr>
        <w:pStyle w:val="ListParagraph"/>
        <w:numPr>
          <w:ilvl w:val="0"/>
          <w:numId w:val="2"/>
        </w:numPr>
        <w:spacing w:after="0"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Pr="004F23DD">
        <w:rPr>
          <w:rFonts w:ascii="Times New Roman" w:hAnsi="Times New Roman" w:cs="Times New Roman"/>
          <w:sz w:val="24"/>
          <w:szCs w:val="24"/>
        </w:rPr>
        <w:t>The petitions for review do not challenge the fitness of the applicant Waste Management of Washington, Inc. (Waste Management) or address the public convenience or necessity element of RCW 81.77.040.  The primary issue raised in the petitions relates to the initial order’s treatment of whether the existing certificate holders “provide service to the satisfaction of the commission.”</w:t>
      </w:r>
      <w:r w:rsidRPr="004F23DD">
        <w:rPr>
          <w:rStyle w:val="FootnoteReference"/>
          <w:rFonts w:ascii="Times New Roman" w:hAnsi="Times New Roman" w:cs="Times New Roman"/>
          <w:sz w:val="24"/>
          <w:szCs w:val="24"/>
        </w:rPr>
        <w:footnoteReference w:id="1"/>
      </w:r>
      <w:r w:rsidRPr="004F23DD">
        <w:rPr>
          <w:rFonts w:ascii="Times New Roman" w:hAnsi="Times New Roman" w:cs="Times New Roman"/>
          <w:sz w:val="24"/>
          <w:szCs w:val="24"/>
        </w:rPr>
        <w:t xml:space="preserve"> Staff’s answer addresses that issue.</w:t>
      </w:r>
    </w:p>
    <w:p w:rsidR="004F23DD" w:rsidRDefault="004F23DD" w:rsidP="004F23DD">
      <w:pPr>
        <w:pStyle w:val="ListParagraph"/>
        <w:spacing w:after="0" w:line="240" w:lineRule="auto"/>
        <w:ind w:hanging="720"/>
        <w:rPr>
          <w:rFonts w:ascii="Times New Roman" w:hAnsi="Times New Roman" w:cs="Times New Roman"/>
          <w:b/>
          <w:sz w:val="24"/>
          <w:szCs w:val="24"/>
        </w:rPr>
      </w:pPr>
      <w:r w:rsidRPr="004F23DD">
        <w:rPr>
          <w:rFonts w:ascii="Times New Roman" w:hAnsi="Times New Roman" w:cs="Times New Roman"/>
          <w:b/>
          <w:sz w:val="24"/>
          <w:szCs w:val="24"/>
        </w:rPr>
        <w:lastRenderedPageBreak/>
        <w:t>A.</w:t>
      </w:r>
      <w:r>
        <w:rPr>
          <w:rFonts w:ascii="Times New Roman" w:hAnsi="Times New Roman" w:cs="Times New Roman"/>
          <w:sz w:val="24"/>
          <w:szCs w:val="24"/>
        </w:rPr>
        <w:tab/>
      </w:r>
      <w:r w:rsidRPr="004F23DD">
        <w:rPr>
          <w:rFonts w:ascii="Times New Roman" w:hAnsi="Times New Roman" w:cs="Times New Roman"/>
          <w:b/>
          <w:sz w:val="24"/>
          <w:szCs w:val="24"/>
        </w:rPr>
        <w:t>Satisfaction of the Commission in the Context of Biomedical Waste Transportation</w:t>
      </w:r>
    </w:p>
    <w:p w:rsidR="004F23DD" w:rsidRPr="004F23DD" w:rsidRDefault="004F23DD" w:rsidP="004F23DD">
      <w:pPr>
        <w:pStyle w:val="ListParagraph"/>
        <w:spacing w:after="0" w:line="240" w:lineRule="auto"/>
        <w:ind w:hanging="720"/>
        <w:rPr>
          <w:rFonts w:ascii="Times New Roman" w:hAnsi="Times New Roman" w:cs="Times New Roman"/>
          <w:sz w:val="24"/>
          <w:szCs w:val="24"/>
        </w:rPr>
      </w:pPr>
    </w:p>
    <w:p w:rsidR="004F23DD" w:rsidRDefault="004F23DD" w:rsidP="004F23DD">
      <w:pPr>
        <w:pStyle w:val="ListParagraph"/>
        <w:numPr>
          <w:ilvl w:val="0"/>
          <w:numId w:val="2"/>
        </w:numPr>
        <w:spacing w:after="0"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Pr="004F23DD">
        <w:rPr>
          <w:rFonts w:ascii="Times New Roman" w:hAnsi="Times New Roman" w:cs="Times New Roman"/>
          <w:sz w:val="24"/>
          <w:szCs w:val="24"/>
        </w:rPr>
        <w:t>In the Prehearing Conference Order dated April 16, 2012, Administrative Law Judge Kopta directed the parties to brief the legal issue of the interpretation of that part of RCW 81.77.040 that states that the Commission may issue a certificate for a service territory “only if the existing solid waste collection company or companies serving the territory will not provide service to the satisfaction of the commission.”</w:t>
      </w:r>
      <w:r w:rsidRPr="004F23DD">
        <w:rPr>
          <w:rStyle w:val="FootnoteReference"/>
          <w:rFonts w:ascii="Times New Roman" w:hAnsi="Times New Roman" w:cs="Times New Roman"/>
          <w:sz w:val="24"/>
          <w:szCs w:val="24"/>
        </w:rPr>
        <w:footnoteReference w:id="2"/>
      </w:r>
      <w:r w:rsidRPr="004F23DD">
        <w:rPr>
          <w:rFonts w:ascii="Times New Roman" w:hAnsi="Times New Roman" w:cs="Times New Roman"/>
          <w:sz w:val="24"/>
          <w:szCs w:val="24"/>
        </w:rPr>
        <w:t xml:space="preserve"> </w:t>
      </w:r>
      <w:r w:rsidR="00E02F54">
        <w:rPr>
          <w:rFonts w:ascii="Times New Roman" w:hAnsi="Times New Roman" w:cs="Times New Roman"/>
          <w:sz w:val="24"/>
          <w:szCs w:val="24"/>
        </w:rPr>
        <w:t>S</w:t>
      </w:r>
      <w:r w:rsidRPr="004F23DD">
        <w:rPr>
          <w:rFonts w:ascii="Times New Roman" w:hAnsi="Times New Roman" w:cs="Times New Roman"/>
          <w:sz w:val="24"/>
          <w:szCs w:val="24"/>
        </w:rPr>
        <w:t>taff presented no direct case in this proceeding</w:t>
      </w:r>
      <w:r w:rsidR="00344CDB">
        <w:rPr>
          <w:rFonts w:ascii="Times New Roman" w:hAnsi="Times New Roman" w:cs="Times New Roman"/>
          <w:sz w:val="24"/>
          <w:szCs w:val="24"/>
        </w:rPr>
        <w:t>,</w:t>
      </w:r>
      <w:r w:rsidRPr="004F23DD">
        <w:rPr>
          <w:rFonts w:ascii="Times New Roman" w:hAnsi="Times New Roman" w:cs="Times New Roman"/>
          <w:sz w:val="24"/>
          <w:szCs w:val="24"/>
        </w:rPr>
        <w:t xml:space="preserve"> but in response to this directive did </w:t>
      </w:r>
      <w:r w:rsidR="00344CDB">
        <w:rPr>
          <w:rFonts w:ascii="Times New Roman" w:hAnsi="Times New Roman" w:cs="Times New Roman"/>
          <w:sz w:val="24"/>
          <w:szCs w:val="24"/>
        </w:rPr>
        <w:t xml:space="preserve">address </w:t>
      </w:r>
      <w:r w:rsidRPr="004F23DD">
        <w:rPr>
          <w:rFonts w:ascii="Times New Roman" w:hAnsi="Times New Roman" w:cs="Times New Roman"/>
          <w:sz w:val="24"/>
          <w:szCs w:val="24"/>
        </w:rPr>
        <w:t xml:space="preserve">this </w:t>
      </w:r>
      <w:r>
        <w:rPr>
          <w:rFonts w:ascii="Times New Roman" w:hAnsi="Times New Roman" w:cs="Times New Roman"/>
          <w:sz w:val="24"/>
          <w:szCs w:val="24"/>
        </w:rPr>
        <w:t>criterion.</w:t>
      </w:r>
    </w:p>
    <w:p w:rsidR="004F23DD" w:rsidRDefault="004F23DD" w:rsidP="004F23DD">
      <w:pPr>
        <w:pStyle w:val="ListParagraph"/>
        <w:numPr>
          <w:ilvl w:val="0"/>
          <w:numId w:val="2"/>
        </w:numPr>
        <w:spacing w:after="0"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Pr="004F23DD">
        <w:rPr>
          <w:rFonts w:ascii="Times New Roman" w:hAnsi="Times New Roman" w:cs="Times New Roman"/>
          <w:sz w:val="24"/>
          <w:szCs w:val="24"/>
        </w:rPr>
        <w:t xml:space="preserve">In its Initial Brief on Preliminary Legal Issue, </w:t>
      </w:r>
      <w:r w:rsidR="00E02F54">
        <w:rPr>
          <w:rFonts w:ascii="Times New Roman" w:hAnsi="Times New Roman" w:cs="Times New Roman"/>
          <w:sz w:val="24"/>
          <w:szCs w:val="24"/>
        </w:rPr>
        <w:t>S</w:t>
      </w:r>
      <w:r w:rsidRPr="004F23DD">
        <w:rPr>
          <w:rFonts w:ascii="Times New Roman" w:hAnsi="Times New Roman" w:cs="Times New Roman"/>
          <w:sz w:val="24"/>
          <w:szCs w:val="24"/>
        </w:rPr>
        <w:t>taff reviewed the Commission’s orders on the issue of “satisfaction of the commission” in the specialized context of applications for authority to transport biomedical waste.</w:t>
      </w:r>
      <w:r w:rsidRPr="004F23DD">
        <w:rPr>
          <w:rStyle w:val="FootnoteReference"/>
          <w:rFonts w:ascii="Times New Roman" w:hAnsi="Times New Roman" w:cs="Times New Roman"/>
          <w:sz w:val="24"/>
          <w:szCs w:val="24"/>
        </w:rPr>
        <w:footnoteReference w:id="3"/>
      </w:r>
      <w:r w:rsidRPr="004F23DD">
        <w:rPr>
          <w:rFonts w:ascii="Times New Roman" w:hAnsi="Times New Roman" w:cs="Times New Roman"/>
          <w:sz w:val="24"/>
          <w:szCs w:val="24"/>
        </w:rPr>
        <w:t xml:space="preserve"> </w:t>
      </w:r>
      <w:r w:rsidR="007107ED">
        <w:rPr>
          <w:rFonts w:ascii="Times New Roman" w:hAnsi="Times New Roman" w:cs="Times New Roman"/>
          <w:sz w:val="24"/>
          <w:szCs w:val="24"/>
        </w:rPr>
        <w:t>And i</w:t>
      </w:r>
      <w:r w:rsidR="007107ED" w:rsidRPr="004F23DD">
        <w:rPr>
          <w:rFonts w:ascii="Times New Roman" w:hAnsi="Times New Roman" w:cs="Times New Roman"/>
          <w:sz w:val="24"/>
          <w:szCs w:val="24"/>
        </w:rPr>
        <w:t>n response to Waste Management’s brief on the preliminary legal issue</w:t>
      </w:r>
      <w:r w:rsidR="007107ED">
        <w:rPr>
          <w:rFonts w:ascii="Times New Roman" w:hAnsi="Times New Roman" w:cs="Times New Roman"/>
          <w:sz w:val="24"/>
          <w:szCs w:val="24"/>
        </w:rPr>
        <w:t>,</w:t>
      </w:r>
      <w:r w:rsidR="007107ED" w:rsidRPr="004F23DD">
        <w:rPr>
          <w:rFonts w:ascii="Times New Roman" w:hAnsi="Times New Roman" w:cs="Times New Roman"/>
          <w:sz w:val="24"/>
          <w:szCs w:val="24"/>
        </w:rPr>
        <w:t xml:space="preserve"> </w:t>
      </w:r>
      <w:r w:rsidRPr="004F23DD">
        <w:rPr>
          <w:rFonts w:ascii="Times New Roman" w:hAnsi="Times New Roman" w:cs="Times New Roman"/>
          <w:sz w:val="24"/>
          <w:szCs w:val="24"/>
        </w:rPr>
        <w:t>Staff restated our reading of these prior orders.</w:t>
      </w:r>
      <w:r w:rsidRPr="004F23DD">
        <w:rPr>
          <w:rStyle w:val="FootnoteReference"/>
          <w:rFonts w:ascii="Times New Roman" w:hAnsi="Times New Roman" w:cs="Times New Roman"/>
          <w:sz w:val="24"/>
          <w:szCs w:val="24"/>
        </w:rPr>
        <w:footnoteReference w:id="4"/>
      </w:r>
      <w:r w:rsidRPr="004F23DD">
        <w:rPr>
          <w:rFonts w:ascii="Times New Roman" w:hAnsi="Times New Roman" w:cs="Times New Roman"/>
          <w:sz w:val="24"/>
          <w:szCs w:val="24"/>
        </w:rPr>
        <w:t xml:space="preserve">  Staff did not take a position on whether, in this proceeding, Waste Management has shown that the incumbent certificate holders failed to “satisfy the specialized needs of customers … as the customers determine those needs.”</w:t>
      </w:r>
      <w:r w:rsidRPr="004F23DD">
        <w:rPr>
          <w:rStyle w:val="FootnoteReference"/>
          <w:rFonts w:ascii="Times New Roman" w:hAnsi="Times New Roman" w:cs="Times New Roman"/>
          <w:sz w:val="24"/>
          <w:szCs w:val="24"/>
        </w:rPr>
        <w:footnoteReference w:id="5"/>
      </w:r>
    </w:p>
    <w:p w:rsidR="004F23DD" w:rsidRPr="004F23DD" w:rsidRDefault="004F23DD" w:rsidP="004F23DD">
      <w:pPr>
        <w:spacing w:after="0" w:line="480" w:lineRule="auto"/>
        <w:rPr>
          <w:rFonts w:ascii="Times New Roman" w:hAnsi="Times New Roman" w:cs="Times New Roman"/>
          <w:b/>
          <w:sz w:val="24"/>
          <w:szCs w:val="24"/>
        </w:rPr>
      </w:pPr>
      <w:r w:rsidRPr="004F23DD">
        <w:rPr>
          <w:rFonts w:ascii="Times New Roman" w:hAnsi="Times New Roman" w:cs="Times New Roman"/>
          <w:b/>
          <w:sz w:val="24"/>
          <w:szCs w:val="24"/>
        </w:rPr>
        <w:t>B.</w:t>
      </w:r>
      <w:r w:rsidRPr="004F23DD">
        <w:rPr>
          <w:rFonts w:ascii="Times New Roman" w:hAnsi="Times New Roman" w:cs="Times New Roman"/>
          <w:b/>
          <w:sz w:val="24"/>
          <w:szCs w:val="24"/>
        </w:rPr>
        <w:tab/>
        <w:t xml:space="preserve">The Initial Order Granting Application </w:t>
      </w:r>
    </w:p>
    <w:p w:rsidR="00DB4595" w:rsidRDefault="004F23DD" w:rsidP="00DB4595">
      <w:pPr>
        <w:pStyle w:val="ListParagraph"/>
        <w:numPr>
          <w:ilvl w:val="0"/>
          <w:numId w:val="2"/>
        </w:numPr>
        <w:spacing w:after="0"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Pr="004F23DD">
        <w:rPr>
          <w:rFonts w:ascii="Times New Roman" w:hAnsi="Times New Roman" w:cs="Times New Roman"/>
          <w:sz w:val="24"/>
          <w:szCs w:val="24"/>
        </w:rPr>
        <w:t xml:space="preserve">The Initial Order noted that the Commission decisions from the early 1990s, including those reviewed by </w:t>
      </w:r>
      <w:r w:rsidR="00E02F54">
        <w:rPr>
          <w:rFonts w:ascii="Times New Roman" w:hAnsi="Times New Roman" w:cs="Times New Roman"/>
          <w:sz w:val="24"/>
          <w:szCs w:val="24"/>
        </w:rPr>
        <w:t>S</w:t>
      </w:r>
      <w:r w:rsidRPr="004F23DD">
        <w:rPr>
          <w:rFonts w:ascii="Times New Roman" w:hAnsi="Times New Roman" w:cs="Times New Roman"/>
          <w:sz w:val="24"/>
          <w:szCs w:val="24"/>
        </w:rPr>
        <w:t>taff in its briefing, found that “mere preference for competition” does not alone demonstrate a need for an additional carrier.</w:t>
      </w:r>
      <w:r w:rsidR="00E02F54">
        <w:rPr>
          <w:rFonts w:ascii="Times New Roman" w:hAnsi="Times New Roman" w:cs="Times New Roman"/>
          <w:sz w:val="24"/>
          <w:szCs w:val="24"/>
        </w:rPr>
        <w:t xml:space="preserve"> </w:t>
      </w:r>
      <w:r w:rsidRPr="004F23DD">
        <w:rPr>
          <w:rFonts w:ascii="Times New Roman" w:hAnsi="Times New Roman" w:cs="Times New Roman"/>
          <w:sz w:val="24"/>
          <w:szCs w:val="24"/>
        </w:rPr>
        <w:t xml:space="preserve"> However, the ALJ found that this is an appropriate time to revisit this issue.</w:t>
      </w:r>
      <w:r w:rsidRPr="004F23DD">
        <w:rPr>
          <w:rStyle w:val="FootnoteReference"/>
          <w:rFonts w:ascii="Times New Roman" w:hAnsi="Times New Roman" w:cs="Times New Roman"/>
          <w:sz w:val="24"/>
          <w:szCs w:val="24"/>
        </w:rPr>
        <w:footnoteReference w:id="6"/>
      </w:r>
      <w:r w:rsidRPr="004F23DD">
        <w:rPr>
          <w:rFonts w:ascii="Times New Roman" w:hAnsi="Times New Roman" w:cs="Times New Roman"/>
          <w:sz w:val="24"/>
          <w:szCs w:val="24"/>
        </w:rPr>
        <w:t xml:space="preserve">  ALJ Kopta concluded that those decisions from the 1990s “do not reflect the realities of the current marketplace” and </w:t>
      </w:r>
      <w:r w:rsidRPr="004F23DD">
        <w:rPr>
          <w:rFonts w:ascii="Times New Roman" w:hAnsi="Times New Roman" w:cs="Times New Roman"/>
          <w:sz w:val="24"/>
          <w:szCs w:val="24"/>
        </w:rPr>
        <w:lastRenderedPageBreak/>
        <w:t>therefor “the Commission will not rely on those prior decisions to make the requisite determination in this case.”</w:t>
      </w:r>
      <w:r w:rsidRPr="004F23DD">
        <w:rPr>
          <w:rStyle w:val="FootnoteReference"/>
          <w:rFonts w:ascii="Times New Roman" w:hAnsi="Times New Roman" w:cs="Times New Roman"/>
          <w:sz w:val="24"/>
          <w:szCs w:val="24"/>
        </w:rPr>
        <w:footnoteReference w:id="7"/>
      </w:r>
      <w:r w:rsidRPr="004F23DD">
        <w:rPr>
          <w:rFonts w:ascii="Times New Roman" w:hAnsi="Times New Roman" w:cs="Times New Roman"/>
          <w:sz w:val="24"/>
          <w:szCs w:val="24"/>
        </w:rPr>
        <w:t xml:space="preserve">  The rationale for reconsidering that Commission precedent is explained in greater detail in </w:t>
      </w:r>
      <w:r w:rsidR="00E02F54">
        <w:rPr>
          <w:rFonts w:ascii="Times New Roman" w:hAnsi="Times New Roman" w:cs="Times New Roman"/>
          <w:sz w:val="24"/>
          <w:szCs w:val="24"/>
        </w:rPr>
        <w:t>p</w:t>
      </w:r>
      <w:r w:rsidRPr="004F23DD">
        <w:rPr>
          <w:rFonts w:ascii="Times New Roman" w:hAnsi="Times New Roman" w:cs="Times New Roman"/>
          <w:sz w:val="24"/>
          <w:szCs w:val="24"/>
        </w:rPr>
        <w:t>aragraphs 11 through 15 of the Initial Order.</w:t>
      </w:r>
    </w:p>
    <w:p w:rsidR="004F23DD" w:rsidRPr="00DB4595" w:rsidRDefault="004F23DD" w:rsidP="00DB4595">
      <w:pPr>
        <w:pStyle w:val="ListParagraph"/>
        <w:spacing w:after="0" w:line="480" w:lineRule="auto"/>
        <w:ind w:left="0"/>
        <w:rPr>
          <w:rFonts w:ascii="Times New Roman" w:hAnsi="Times New Roman" w:cs="Times New Roman"/>
          <w:sz w:val="24"/>
          <w:szCs w:val="24"/>
        </w:rPr>
      </w:pPr>
      <w:r w:rsidRPr="00DB4595">
        <w:rPr>
          <w:rFonts w:ascii="Times New Roman" w:hAnsi="Times New Roman" w:cs="Times New Roman"/>
          <w:b/>
          <w:sz w:val="24"/>
          <w:szCs w:val="24"/>
        </w:rPr>
        <w:t>C.</w:t>
      </w:r>
      <w:r w:rsidRPr="00DB4595">
        <w:rPr>
          <w:rFonts w:ascii="Times New Roman" w:hAnsi="Times New Roman" w:cs="Times New Roman"/>
          <w:b/>
          <w:sz w:val="24"/>
          <w:szCs w:val="24"/>
        </w:rPr>
        <w:tab/>
      </w:r>
      <w:r w:rsidR="007107ED">
        <w:rPr>
          <w:rFonts w:ascii="Times New Roman" w:hAnsi="Times New Roman" w:cs="Times New Roman"/>
          <w:b/>
          <w:sz w:val="24"/>
          <w:szCs w:val="24"/>
        </w:rPr>
        <w:t>Agency Discretion to Depart from Precedent</w:t>
      </w:r>
    </w:p>
    <w:p w:rsidR="004F23DD" w:rsidRDefault="004F23DD" w:rsidP="004F23DD">
      <w:pPr>
        <w:pStyle w:val="ListParagraph"/>
        <w:numPr>
          <w:ilvl w:val="0"/>
          <w:numId w:val="2"/>
        </w:numPr>
        <w:spacing w:after="0"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Pr="004F23DD">
        <w:rPr>
          <w:rFonts w:ascii="Times New Roman" w:hAnsi="Times New Roman" w:cs="Times New Roman"/>
          <w:sz w:val="24"/>
          <w:szCs w:val="24"/>
        </w:rPr>
        <w:t>The Commission has considerable discretion under the “satisfaction of the commission” requirement.</w:t>
      </w:r>
      <w:r w:rsidRPr="004F23DD">
        <w:rPr>
          <w:rStyle w:val="FootnoteReference"/>
          <w:rFonts w:ascii="Times New Roman" w:hAnsi="Times New Roman" w:cs="Times New Roman"/>
          <w:sz w:val="24"/>
          <w:szCs w:val="24"/>
        </w:rPr>
        <w:footnoteReference w:id="8"/>
      </w:r>
      <w:r w:rsidRPr="004F23DD">
        <w:rPr>
          <w:rFonts w:ascii="Times New Roman" w:hAnsi="Times New Roman" w:cs="Times New Roman"/>
          <w:sz w:val="24"/>
          <w:szCs w:val="24"/>
        </w:rPr>
        <w:t xml:space="preserve">  Moreover, stare decisis plays a more limited role in the administrative agency context and</w:t>
      </w:r>
      <w:r w:rsidR="005C272E">
        <w:rPr>
          <w:rFonts w:ascii="Times New Roman" w:hAnsi="Times New Roman" w:cs="Times New Roman"/>
          <w:sz w:val="24"/>
          <w:szCs w:val="24"/>
        </w:rPr>
        <w:t>, of course,</w:t>
      </w:r>
      <w:r w:rsidRPr="004F23DD">
        <w:rPr>
          <w:rFonts w:ascii="Times New Roman" w:hAnsi="Times New Roman" w:cs="Times New Roman"/>
          <w:sz w:val="24"/>
          <w:szCs w:val="24"/>
        </w:rPr>
        <w:t xml:space="preserve"> </w:t>
      </w:r>
      <w:r w:rsidR="005C272E">
        <w:rPr>
          <w:rFonts w:ascii="Times New Roman" w:hAnsi="Times New Roman" w:cs="Times New Roman"/>
          <w:sz w:val="24"/>
          <w:szCs w:val="24"/>
        </w:rPr>
        <w:t>administrative agencies</w:t>
      </w:r>
      <w:r w:rsidRPr="004F23DD">
        <w:rPr>
          <w:rFonts w:ascii="Times New Roman" w:hAnsi="Times New Roman" w:cs="Times New Roman"/>
          <w:sz w:val="24"/>
          <w:szCs w:val="24"/>
        </w:rPr>
        <w:t xml:space="preserve"> can</w:t>
      </w:r>
      <w:r w:rsidR="00F83CE3">
        <w:rPr>
          <w:rFonts w:ascii="Times New Roman" w:hAnsi="Times New Roman" w:cs="Times New Roman"/>
          <w:sz w:val="24"/>
          <w:szCs w:val="24"/>
        </w:rPr>
        <w:t xml:space="preserve"> </w:t>
      </w:r>
      <w:r w:rsidR="00373964" w:rsidRPr="004F23DD">
        <w:rPr>
          <w:rFonts w:ascii="Times New Roman" w:hAnsi="Times New Roman" w:cs="Times New Roman"/>
          <w:sz w:val="24"/>
          <w:szCs w:val="24"/>
        </w:rPr>
        <w:t>change</w:t>
      </w:r>
      <w:r w:rsidR="00F83CE3">
        <w:rPr>
          <w:rFonts w:ascii="Times New Roman" w:hAnsi="Times New Roman" w:cs="Times New Roman"/>
          <w:sz w:val="24"/>
          <w:szCs w:val="24"/>
        </w:rPr>
        <w:t xml:space="preserve"> </w:t>
      </w:r>
      <w:proofErr w:type="gramStart"/>
      <w:r w:rsidR="00F83CE3">
        <w:rPr>
          <w:rFonts w:ascii="Times New Roman" w:hAnsi="Times New Roman" w:cs="Times New Roman"/>
          <w:sz w:val="24"/>
          <w:szCs w:val="24"/>
        </w:rPr>
        <w:t xml:space="preserve">their </w:t>
      </w:r>
      <w:r w:rsidR="00373964">
        <w:rPr>
          <w:rFonts w:ascii="Times New Roman" w:hAnsi="Times New Roman" w:cs="Times New Roman"/>
          <w:sz w:val="24"/>
          <w:szCs w:val="24"/>
        </w:rPr>
        <w:t xml:space="preserve"> </w:t>
      </w:r>
      <w:r w:rsidR="00373964" w:rsidRPr="004F23DD">
        <w:rPr>
          <w:rFonts w:ascii="Times New Roman" w:hAnsi="Times New Roman" w:cs="Times New Roman"/>
          <w:sz w:val="24"/>
          <w:szCs w:val="24"/>
        </w:rPr>
        <w:t>positions</w:t>
      </w:r>
      <w:proofErr w:type="gramEnd"/>
      <w:r w:rsidRPr="004F23DD">
        <w:rPr>
          <w:rFonts w:ascii="Times New Roman" w:hAnsi="Times New Roman" w:cs="Times New Roman"/>
          <w:sz w:val="24"/>
          <w:szCs w:val="24"/>
        </w:rPr>
        <w:t xml:space="preserve">.  </w:t>
      </w:r>
      <w:r w:rsidR="00373964">
        <w:rPr>
          <w:rFonts w:ascii="Times New Roman" w:hAnsi="Times New Roman" w:cs="Times New Roman"/>
          <w:sz w:val="24"/>
          <w:szCs w:val="24"/>
        </w:rPr>
        <w:t>State r</w:t>
      </w:r>
      <w:r w:rsidRPr="004F23DD">
        <w:rPr>
          <w:rFonts w:ascii="Times New Roman" w:hAnsi="Times New Roman" w:cs="Times New Roman"/>
          <w:sz w:val="24"/>
          <w:szCs w:val="24"/>
        </w:rPr>
        <w:t>eviewing courts, however, will look to the agency to explain its reasons for a departure from prior conclusions.</w:t>
      </w:r>
      <w:r w:rsidRPr="004F23DD">
        <w:rPr>
          <w:rStyle w:val="FootnoteReference"/>
          <w:rFonts w:ascii="Times New Roman" w:hAnsi="Times New Roman" w:cs="Times New Roman"/>
          <w:sz w:val="24"/>
          <w:szCs w:val="24"/>
        </w:rPr>
        <w:footnoteReference w:id="9"/>
      </w:r>
    </w:p>
    <w:p w:rsidR="00F72775" w:rsidRDefault="004F23DD" w:rsidP="00590873">
      <w:pPr>
        <w:pStyle w:val="ListParagraph"/>
        <w:numPr>
          <w:ilvl w:val="0"/>
          <w:numId w:val="2"/>
        </w:numPr>
        <w:spacing w:after="0"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373964">
        <w:rPr>
          <w:rFonts w:ascii="Times New Roman" w:hAnsi="Times New Roman" w:cs="Times New Roman"/>
          <w:sz w:val="24"/>
          <w:szCs w:val="24"/>
        </w:rPr>
        <w:t xml:space="preserve">And on the federal level </w:t>
      </w:r>
      <w:r w:rsidRPr="004F23DD">
        <w:rPr>
          <w:rFonts w:ascii="Times New Roman" w:hAnsi="Times New Roman" w:cs="Times New Roman"/>
          <w:sz w:val="24"/>
          <w:szCs w:val="24"/>
        </w:rPr>
        <w:t>courts have upheld an agency’s departure from precedent where the agency, acting within its discretion, has acknowledged the departure, and adequately explained the basis for the new approach.</w:t>
      </w:r>
      <w:r w:rsidRPr="004F23DD">
        <w:rPr>
          <w:rStyle w:val="FootnoteReference"/>
          <w:rFonts w:ascii="Times New Roman" w:hAnsi="Times New Roman" w:cs="Times New Roman"/>
          <w:sz w:val="24"/>
          <w:szCs w:val="24"/>
        </w:rPr>
        <w:footnoteReference w:id="10"/>
      </w:r>
      <w:r w:rsidR="00E02F54">
        <w:rPr>
          <w:rFonts w:ascii="Times New Roman" w:hAnsi="Times New Roman" w:cs="Times New Roman"/>
          <w:sz w:val="24"/>
          <w:szCs w:val="24"/>
        </w:rPr>
        <w:t xml:space="preserve"> </w:t>
      </w:r>
      <w:r w:rsidRPr="004F23DD">
        <w:rPr>
          <w:rFonts w:ascii="Times New Roman" w:hAnsi="Times New Roman" w:cs="Times New Roman"/>
          <w:sz w:val="24"/>
          <w:szCs w:val="24"/>
        </w:rPr>
        <w:t xml:space="preserve"> One federal court stated the matter this way: “[Agency] inconsistency provides a basis for rejecting an agency’s interpretation only in ‘rare circumstances such as when an agency provides no explanation at all for a change in policy, or when its explanation is so unclear or contradictory that we are left in doubt as to the reason for the change in direction.’”</w:t>
      </w:r>
      <w:r w:rsidRPr="004F23DD">
        <w:rPr>
          <w:rStyle w:val="FootnoteReference"/>
          <w:rFonts w:ascii="Times New Roman" w:hAnsi="Times New Roman" w:cs="Times New Roman"/>
          <w:sz w:val="24"/>
          <w:szCs w:val="24"/>
        </w:rPr>
        <w:footnoteReference w:id="11"/>
      </w:r>
    </w:p>
    <w:p w:rsidR="00F72775" w:rsidRDefault="00F72775" w:rsidP="00F72775">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b/>
          <w:sz w:val="24"/>
          <w:szCs w:val="24"/>
        </w:rPr>
        <w:tab/>
        <w:t>CONCLUSION</w:t>
      </w:r>
    </w:p>
    <w:p w:rsidR="00E02F54" w:rsidRPr="00F72775" w:rsidRDefault="00F72775" w:rsidP="00E02F54">
      <w:pPr>
        <w:pStyle w:val="ListParagraph"/>
        <w:numPr>
          <w:ilvl w:val="0"/>
          <w:numId w:val="2"/>
        </w:numPr>
        <w:spacing w:after="0" w:line="480" w:lineRule="auto"/>
        <w:ind w:left="0" w:hanging="720"/>
        <w:rPr>
          <w:rFonts w:ascii="Times New Roman" w:hAnsi="Times New Roman" w:cs="Times New Roman"/>
          <w:sz w:val="24"/>
          <w:szCs w:val="24"/>
        </w:rPr>
      </w:pPr>
      <w:r w:rsidRPr="00F72775">
        <w:rPr>
          <w:rFonts w:ascii="Times New Roman" w:hAnsi="Times New Roman" w:cs="Times New Roman"/>
          <w:sz w:val="24"/>
          <w:szCs w:val="24"/>
        </w:rPr>
        <w:tab/>
      </w:r>
      <w:r w:rsidR="00CA42F7" w:rsidRPr="00F72775">
        <w:rPr>
          <w:rFonts w:ascii="Times New Roman" w:hAnsi="Times New Roman" w:cs="Times New Roman"/>
          <w:sz w:val="24"/>
          <w:szCs w:val="24"/>
        </w:rPr>
        <w:t xml:space="preserve">As noted, Staff did not take a position below on whether Waste Management has made the required showing under the “satisfaction of the commission” criterion. We do not intend to imply by the </w:t>
      </w:r>
      <w:r w:rsidR="00F83CE3" w:rsidRPr="00F72775">
        <w:rPr>
          <w:rFonts w:ascii="Times New Roman" w:hAnsi="Times New Roman" w:cs="Times New Roman"/>
          <w:sz w:val="24"/>
          <w:szCs w:val="24"/>
        </w:rPr>
        <w:t>general discussion</w:t>
      </w:r>
      <w:r w:rsidR="00CA42F7" w:rsidRPr="00F72775">
        <w:rPr>
          <w:rFonts w:ascii="Times New Roman" w:hAnsi="Times New Roman" w:cs="Times New Roman"/>
          <w:sz w:val="24"/>
          <w:szCs w:val="24"/>
        </w:rPr>
        <w:t xml:space="preserve"> above, that staff is now taking a position on this issue.</w:t>
      </w:r>
      <w:bookmarkStart w:id="0" w:name="_GoBack"/>
      <w:bookmarkEnd w:id="0"/>
    </w:p>
    <w:p w:rsidR="00414638" w:rsidRPr="004F23DD" w:rsidRDefault="00414638" w:rsidP="004F23DD">
      <w:pPr>
        <w:keepNext/>
        <w:spacing w:after="0" w:line="240" w:lineRule="auto"/>
        <w:ind w:left="720"/>
        <w:rPr>
          <w:rFonts w:ascii="Times New Roman" w:hAnsi="Times New Roman" w:cs="Times New Roman"/>
          <w:sz w:val="24"/>
          <w:szCs w:val="24"/>
        </w:rPr>
      </w:pPr>
      <w:proofErr w:type="gramStart"/>
      <w:r w:rsidRPr="004F23DD">
        <w:rPr>
          <w:rFonts w:ascii="Times New Roman" w:hAnsi="Times New Roman" w:cs="Times New Roman"/>
          <w:sz w:val="24"/>
          <w:szCs w:val="24"/>
        </w:rPr>
        <w:t xml:space="preserve">DATED this </w:t>
      </w:r>
      <w:r w:rsidR="004F23DD">
        <w:rPr>
          <w:rFonts w:ascii="Times New Roman" w:hAnsi="Times New Roman" w:cs="Times New Roman"/>
          <w:sz w:val="24"/>
          <w:szCs w:val="24"/>
        </w:rPr>
        <w:t>8</w:t>
      </w:r>
      <w:r w:rsidRPr="004F23DD">
        <w:rPr>
          <w:rFonts w:ascii="Times New Roman" w:hAnsi="Times New Roman" w:cs="Times New Roman"/>
          <w:sz w:val="24"/>
          <w:szCs w:val="24"/>
          <w:vertAlign w:val="superscript"/>
        </w:rPr>
        <w:t xml:space="preserve">th </w:t>
      </w:r>
      <w:r w:rsidRPr="004F23DD">
        <w:rPr>
          <w:rFonts w:ascii="Times New Roman" w:hAnsi="Times New Roman" w:cs="Times New Roman"/>
          <w:sz w:val="24"/>
          <w:szCs w:val="24"/>
        </w:rPr>
        <w:t xml:space="preserve">day of </w:t>
      </w:r>
      <w:r w:rsidR="004F23DD">
        <w:rPr>
          <w:rFonts w:ascii="Times New Roman" w:hAnsi="Times New Roman" w:cs="Times New Roman"/>
          <w:sz w:val="24"/>
          <w:szCs w:val="24"/>
        </w:rPr>
        <w:t>April,</w:t>
      </w:r>
      <w:r w:rsidRPr="004F23DD">
        <w:rPr>
          <w:rFonts w:ascii="Times New Roman" w:hAnsi="Times New Roman" w:cs="Times New Roman"/>
          <w:sz w:val="24"/>
          <w:szCs w:val="24"/>
        </w:rPr>
        <w:t xml:space="preserve"> 2013.</w:t>
      </w:r>
      <w:proofErr w:type="gramEnd"/>
    </w:p>
    <w:p w:rsidR="00414638" w:rsidRPr="004F23DD" w:rsidRDefault="00414638" w:rsidP="004F23DD">
      <w:pPr>
        <w:keepNext/>
        <w:spacing w:after="0" w:line="240" w:lineRule="auto"/>
        <w:ind w:left="720"/>
        <w:rPr>
          <w:rFonts w:ascii="Times New Roman" w:hAnsi="Times New Roman" w:cs="Times New Roman"/>
          <w:sz w:val="24"/>
          <w:szCs w:val="24"/>
        </w:rPr>
      </w:pPr>
    </w:p>
    <w:p w:rsidR="00414638" w:rsidRPr="004F23DD" w:rsidRDefault="00414638" w:rsidP="004F23DD">
      <w:pPr>
        <w:keepNext/>
        <w:spacing w:after="0" w:line="240" w:lineRule="auto"/>
        <w:ind w:left="5040"/>
        <w:rPr>
          <w:rFonts w:ascii="Times New Roman" w:hAnsi="Times New Roman" w:cs="Times New Roman"/>
          <w:sz w:val="24"/>
          <w:szCs w:val="24"/>
        </w:rPr>
      </w:pPr>
      <w:r w:rsidRPr="004F23DD">
        <w:rPr>
          <w:rFonts w:ascii="Times New Roman" w:hAnsi="Times New Roman" w:cs="Times New Roman"/>
          <w:sz w:val="24"/>
          <w:szCs w:val="24"/>
        </w:rPr>
        <w:t xml:space="preserve">Respectfully submitted, </w:t>
      </w:r>
    </w:p>
    <w:p w:rsidR="00414638" w:rsidRPr="004F23DD" w:rsidRDefault="00414638" w:rsidP="004F23DD">
      <w:pPr>
        <w:pStyle w:val="BodyTextIndent2"/>
        <w:keepNext/>
        <w:rPr>
          <w:rFonts w:ascii="Times New Roman" w:hAnsi="Times New Roman"/>
        </w:rPr>
      </w:pPr>
    </w:p>
    <w:p w:rsidR="00414638" w:rsidRPr="004F23DD" w:rsidRDefault="00414638" w:rsidP="004F23DD">
      <w:pPr>
        <w:keepNext/>
        <w:spacing w:after="0" w:line="240" w:lineRule="auto"/>
        <w:ind w:left="5040"/>
        <w:jc w:val="both"/>
        <w:rPr>
          <w:rFonts w:ascii="Times New Roman" w:hAnsi="Times New Roman" w:cs="Times New Roman"/>
          <w:sz w:val="24"/>
          <w:szCs w:val="24"/>
        </w:rPr>
      </w:pPr>
      <w:r w:rsidRPr="004F23DD">
        <w:rPr>
          <w:rFonts w:ascii="Times New Roman" w:hAnsi="Times New Roman" w:cs="Times New Roman"/>
          <w:sz w:val="24"/>
          <w:szCs w:val="24"/>
        </w:rPr>
        <w:t xml:space="preserve">ROBERT W. FERGUSON </w:t>
      </w:r>
    </w:p>
    <w:p w:rsidR="00414638" w:rsidRPr="004F23DD" w:rsidRDefault="00414638" w:rsidP="004F23DD">
      <w:pPr>
        <w:keepNext/>
        <w:spacing w:after="0" w:line="240" w:lineRule="auto"/>
        <w:ind w:firstLine="5040"/>
        <w:jc w:val="both"/>
        <w:rPr>
          <w:rFonts w:ascii="Times New Roman" w:hAnsi="Times New Roman" w:cs="Times New Roman"/>
          <w:sz w:val="24"/>
          <w:szCs w:val="24"/>
        </w:rPr>
      </w:pPr>
      <w:r w:rsidRPr="004F23DD">
        <w:rPr>
          <w:rFonts w:ascii="Times New Roman" w:hAnsi="Times New Roman" w:cs="Times New Roman"/>
          <w:sz w:val="24"/>
          <w:szCs w:val="24"/>
        </w:rPr>
        <w:t>Attorney General of Washington</w:t>
      </w:r>
    </w:p>
    <w:p w:rsidR="00414638" w:rsidRPr="004F23DD" w:rsidRDefault="00414638" w:rsidP="004F23DD">
      <w:pPr>
        <w:spacing w:after="0" w:line="240" w:lineRule="auto"/>
        <w:jc w:val="both"/>
        <w:rPr>
          <w:rFonts w:ascii="Times New Roman" w:hAnsi="Times New Roman" w:cs="Times New Roman"/>
          <w:sz w:val="24"/>
          <w:szCs w:val="24"/>
        </w:rPr>
      </w:pPr>
    </w:p>
    <w:p w:rsidR="00414638" w:rsidRPr="004F23DD" w:rsidRDefault="00414638" w:rsidP="004F23DD">
      <w:pPr>
        <w:spacing w:after="0" w:line="240" w:lineRule="auto"/>
        <w:jc w:val="both"/>
        <w:rPr>
          <w:rFonts w:ascii="Times New Roman" w:hAnsi="Times New Roman" w:cs="Times New Roman"/>
          <w:sz w:val="24"/>
          <w:szCs w:val="24"/>
        </w:rPr>
      </w:pPr>
    </w:p>
    <w:p w:rsidR="00414638" w:rsidRPr="004F23DD" w:rsidRDefault="00414638" w:rsidP="004F23DD">
      <w:pPr>
        <w:spacing w:after="0" w:line="240" w:lineRule="auto"/>
        <w:ind w:left="1440" w:firstLine="3600"/>
        <w:jc w:val="both"/>
        <w:rPr>
          <w:rFonts w:ascii="Times New Roman" w:hAnsi="Times New Roman" w:cs="Times New Roman"/>
          <w:sz w:val="24"/>
          <w:szCs w:val="24"/>
        </w:rPr>
      </w:pPr>
      <w:r w:rsidRPr="004F23DD">
        <w:rPr>
          <w:rFonts w:ascii="Times New Roman" w:hAnsi="Times New Roman" w:cs="Times New Roman"/>
          <w:sz w:val="24"/>
          <w:szCs w:val="24"/>
        </w:rPr>
        <w:t>______________________________</w:t>
      </w:r>
    </w:p>
    <w:p w:rsidR="00414638" w:rsidRPr="004F23DD" w:rsidRDefault="00414638" w:rsidP="004F23DD">
      <w:pPr>
        <w:spacing w:after="0" w:line="240" w:lineRule="auto"/>
        <w:ind w:firstLine="5040"/>
        <w:jc w:val="both"/>
        <w:rPr>
          <w:rFonts w:ascii="Times New Roman" w:hAnsi="Times New Roman" w:cs="Times New Roman"/>
          <w:sz w:val="24"/>
          <w:szCs w:val="24"/>
        </w:rPr>
      </w:pPr>
      <w:r w:rsidRPr="004F23DD">
        <w:rPr>
          <w:rFonts w:ascii="Times New Roman" w:hAnsi="Times New Roman" w:cs="Times New Roman"/>
          <w:sz w:val="24"/>
          <w:szCs w:val="24"/>
        </w:rPr>
        <w:t>STEVEN W. SMITH</w:t>
      </w:r>
    </w:p>
    <w:p w:rsidR="00414638" w:rsidRPr="004F23DD" w:rsidRDefault="00414638" w:rsidP="004F23DD">
      <w:pPr>
        <w:spacing w:after="0" w:line="240" w:lineRule="auto"/>
        <w:ind w:left="1440" w:firstLine="3600"/>
        <w:rPr>
          <w:rFonts w:ascii="Times New Roman" w:hAnsi="Times New Roman" w:cs="Times New Roman"/>
          <w:sz w:val="24"/>
          <w:szCs w:val="24"/>
        </w:rPr>
      </w:pPr>
      <w:r w:rsidRPr="004F23DD">
        <w:rPr>
          <w:rFonts w:ascii="Times New Roman" w:hAnsi="Times New Roman" w:cs="Times New Roman"/>
          <w:sz w:val="24"/>
          <w:szCs w:val="24"/>
        </w:rPr>
        <w:t>Assistant Attorney General</w:t>
      </w:r>
    </w:p>
    <w:p w:rsidR="00414638" w:rsidRPr="004F23DD" w:rsidRDefault="00414638" w:rsidP="004F23DD">
      <w:pPr>
        <w:spacing w:after="0" w:line="240" w:lineRule="auto"/>
        <w:ind w:left="5040"/>
        <w:rPr>
          <w:rFonts w:ascii="Times New Roman" w:hAnsi="Times New Roman" w:cs="Times New Roman"/>
          <w:sz w:val="24"/>
          <w:szCs w:val="24"/>
        </w:rPr>
      </w:pPr>
      <w:r w:rsidRPr="004F23DD">
        <w:rPr>
          <w:rFonts w:ascii="Times New Roman" w:hAnsi="Times New Roman" w:cs="Times New Roman"/>
          <w:sz w:val="24"/>
          <w:szCs w:val="24"/>
        </w:rPr>
        <w:t>Counsel for Washington Utilities and Transportation Commission Staff</w:t>
      </w:r>
    </w:p>
    <w:p w:rsidR="00414638" w:rsidRPr="004F23DD" w:rsidRDefault="00414638" w:rsidP="004F23DD">
      <w:pPr>
        <w:spacing w:after="0" w:line="240" w:lineRule="auto"/>
        <w:rPr>
          <w:rFonts w:ascii="Times New Roman" w:hAnsi="Times New Roman" w:cs="Times New Roman"/>
          <w:sz w:val="24"/>
          <w:szCs w:val="24"/>
        </w:rPr>
      </w:pPr>
    </w:p>
    <w:sectPr w:rsidR="00414638" w:rsidRPr="004F23DD" w:rsidSect="00414638">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73" w:rsidRDefault="00590873" w:rsidP="001112C7">
      <w:pPr>
        <w:spacing w:after="0" w:line="240" w:lineRule="auto"/>
      </w:pPr>
      <w:r>
        <w:separator/>
      </w:r>
    </w:p>
  </w:endnote>
  <w:endnote w:type="continuationSeparator" w:id="0">
    <w:p w:rsidR="00590873" w:rsidRDefault="00590873" w:rsidP="0011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873" w:rsidRPr="00414638" w:rsidRDefault="00590873">
    <w:pPr>
      <w:pStyle w:val="Footer"/>
      <w:rPr>
        <w:rFonts w:ascii="Times New Roman" w:hAnsi="Times New Roman" w:cs="Times New Roman"/>
        <w:sz w:val="20"/>
        <w:szCs w:val="20"/>
      </w:rPr>
    </w:pPr>
  </w:p>
  <w:p w:rsidR="00590873" w:rsidRDefault="00590873">
    <w:pPr>
      <w:pStyle w:val="Footer"/>
      <w:rPr>
        <w:rFonts w:ascii="Times New Roman" w:hAnsi="Times New Roman" w:cs="Times New Roman"/>
        <w:sz w:val="20"/>
        <w:szCs w:val="20"/>
      </w:rPr>
    </w:pPr>
    <w:r w:rsidRPr="00414638">
      <w:rPr>
        <w:rFonts w:ascii="Times New Roman" w:hAnsi="Times New Roman" w:cs="Times New Roman"/>
        <w:sz w:val="20"/>
        <w:szCs w:val="20"/>
      </w:rPr>
      <w:t>COMMISSION STAFF</w:t>
    </w:r>
    <w:r>
      <w:rPr>
        <w:rFonts w:ascii="Times New Roman" w:hAnsi="Times New Roman" w:cs="Times New Roman"/>
        <w:sz w:val="20"/>
        <w:szCs w:val="20"/>
      </w:rPr>
      <w:t>’S</w:t>
    </w:r>
    <w:r w:rsidRPr="00414638">
      <w:rPr>
        <w:rFonts w:ascii="Times New Roman" w:hAnsi="Times New Roman" w:cs="Times New Roman"/>
        <w:sz w:val="20"/>
        <w:szCs w:val="20"/>
      </w:rPr>
      <w:t xml:space="preserve"> </w:t>
    </w:r>
    <w:r w:rsidRPr="004F23DD">
      <w:rPr>
        <w:rFonts w:ascii="Times New Roman" w:hAnsi="Times New Roman" w:cs="Times New Roman"/>
        <w:sz w:val="20"/>
        <w:szCs w:val="20"/>
      </w:rPr>
      <w:t>ANSWER TO PETITIONS</w:t>
    </w:r>
  </w:p>
  <w:p w:rsidR="00590873" w:rsidRPr="00414638" w:rsidRDefault="00590873">
    <w:pPr>
      <w:pStyle w:val="Footer"/>
      <w:rPr>
        <w:rFonts w:ascii="Times New Roman" w:hAnsi="Times New Roman" w:cs="Times New Roman"/>
        <w:sz w:val="20"/>
        <w:szCs w:val="20"/>
      </w:rPr>
    </w:pPr>
    <w:r w:rsidRPr="004F23DD">
      <w:rPr>
        <w:rFonts w:ascii="Times New Roman" w:hAnsi="Times New Roman" w:cs="Times New Roman"/>
        <w:sz w:val="20"/>
        <w:szCs w:val="20"/>
      </w:rPr>
      <w:t>FOR REVIEW OF INITIAL ORDER</w:t>
    </w:r>
    <w:r w:rsidRPr="00414638">
      <w:rPr>
        <w:rFonts w:ascii="Times New Roman" w:hAnsi="Times New Roman" w:cs="Times New Roman"/>
        <w:sz w:val="20"/>
        <w:szCs w:val="20"/>
      </w:rPr>
      <w:t xml:space="preserve">- </w:t>
    </w:r>
    <w:r w:rsidRPr="00414638">
      <w:rPr>
        <w:rFonts w:ascii="Times New Roman" w:hAnsi="Times New Roman" w:cs="Times New Roman"/>
        <w:sz w:val="20"/>
        <w:szCs w:val="20"/>
      </w:rPr>
      <w:fldChar w:fldCharType="begin"/>
    </w:r>
    <w:r w:rsidRPr="00414638">
      <w:rPr>
        <w:rFonts w:ascii="Times New Roman" w:hAnsi="Times New Roman" w:cs="Times New Roman"/>
        <w:sz w:val="20"/>
        <w:szCs w:val="20"/>
      </w:rPr>
      <w:instrText xml:space="preserve"> PAGE   \* MERGEFORMAT </w:instrText>
    </w:r>
    <w:r w:rsidRPr="00414638">
      <w:rPr>
        <w:rFonts w:ascii="Times New Roman" w:hAnsi="Times New Roman" w:cs="Times New Roman"/>
        <w:sz w:val="20"/>
        <w:szCs w:val="20"/>
      </w:rPr>
      <w:fldChar w:fldCharType="separate"/>
    </w:r>
    <w:r w:rsidR="00F72775">
      <w:rPr>
        <w:rFonts w:ascii="Times New Roman" w:hAnsi="Times New Roman" w:cs="Times New Roman"/>
        <w:noProof/>
        <w:sz w:val="20"/>
        <w:szCs w:val="20"/>
      </w:rPr>
      <w:t>4</w:t>
    </w:r>
    <w:r w:rsidRPr="00414638">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73" w:rsidRDefault="00590873" w:rsidP="001112C7">
      <w:pPr>
        <w:spacing w:after="0" w:line="240" w:lineRule="auto"/>
      </w:pPr>
      <w:r>
        <w:separator/>
      </w:r>
    </w:p>
  </w:footnote>
  <w:footnote w:type="continuationSeparator" w:id="0">
    <w:p w:rsidR="00590873" w:rsidRDefault="00590873" w:rsidP="001112C7">
      <w:pPr>
        <w:spacing w:after="0" w:line="240" w:lineRule="auto"/>
      </w:pPr>
      <w:r>
        <w:continuationSeparator/>
      </w:r>
    </w:p>
  </w:footnote>
  <w:footnote w:id="1">
    <w:p w:rsidR="00590873" w:rsidRDefault="00590873" w:rsidP="004F23DD">
      <w:pPr>
        <w:pStyle w:val="FootnoteText"/>
      </w:pPr>
      <w:r>
        <w:rPr>
          <w:rStyle w:val="FootnoteReference"/>
        </w:rPr>
        <w:footnoteRef/>
      </w:r>
      <w:r>
        <w:t xml:space="preserve"> </w:t>
      </w:r>
      <w:proofErr w:type="gramStart"/>
      <w:r>
        <w:t>RCW 81.77.040.</w:t>
      </w:r>
      <w:proofErr w:type="gramEnd"/>
    </w:p>
  </w:footnote>
  <w:footnote w:id="2">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Order 01, ¶6.</w:t>
      </w:r>
    </w:p>
  </w:footnote>
  <w:footnote w:id="3">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Commission Staff’s Initial Brief on Preliminary Legal Issue, ¶10-15</w:t>
      </w:r>
      <w:r>
        <w:rPr>
          <w:rFonts w:cs="Times New Roman"/>
        </w:rPr>
        <w:t>.</w:t>
      </w:r>
    </w:p>
  </w:footnote>
  <w:footnote w:id="4">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Commission Staff’s Response Brief on Preliminary Legal Issue, ¶ 3-4.</w:t>
      </w:r>
    </w:p>
  </w:footnote>
  <w:footnote w:id="5">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w:t>
      </w:r>
      <w:proofErr w:type="gramStart"/>
      <w:r w:rsidRPr="00E02F54">
        <w:rPr>
          <w:rFonts w:cs="Times New Roman"/>
        </w:rPr>
        <w:t>Commission Staff Post-Hearing Brief</w:t>
      </w:r>
      <w:r>
        <w:rPr>
          <w:rFonts w:cs="Times New Roman"/>
        </w:rPr>
        <w:t>,</w:t>
      </w:r>
      <w:r w:rsidRPr="00E02F54">
        <w:rPr>
          <w:rFonts w:cs="Times New Roman"/>
        </w:rPr>
        <w:t xml:space="preserve"> ¶26.</w:t>
      </w:r>
      <w:proofErr w:type="gramEnd"/>
    </w:p>
  </w:footnote>
  <w:footnote w:id="6">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Order 07, ¶10.</w:t>
      </w:r>
    </w:p>
  </w:footnote>
  <w:footnote w:id="7">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Order 07, ¶ 15.</w:t>
      </w:r>
    </w:p>
  </w:footnote>
  <w:footnote w:id="8">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w:t>
      </w:r>
      <w:proofErr w:type="gramStart"/>
      <w:r w:rsidRPr="00E02F54">
        <w:rPr>
          <w:rFonts w:cs="Times New Roman"/>
          <w:i/>
        </w:rPr>
        <w:t>Pac. N.W. Transp. v. Utils.</w:t>
      </w:r>
      <w:proofErr w:type="gramEnd"/>
      <w:r w:rsidRPr="00E02F54">
        <w:rPr>
          <w:rFonts w:cs="Times New Roman"/>
          <w:i/>
        </w:rPr>
        <w:t xml:space="preserve"> &amp; Transp.</w:t>
      </w:r>
      <w:r w:rsidRPr="00E02F54">
        <w:rPr>
          <w:rFonts w:cs="Times New Roman"/>
        </w:rPr>
        <w:t>, 91 Wn. App. 589,597 (1998) (discussing identical stat</w:t>
      </w:r>
      <w:r>
        <w:rPr>
          <w:rFonts w:cs="Times New Roman"/>
        </w:rPr>
        <w:t>utory language in RCW 81.68.040</w:t>
      </w:r>
      <w:r w:rsidRPr="00E02F54">
        <w:rPr>
          <w:rFonts w:cs="Times New Roman"/>
        </w:rPr>
        <w:t>)</w:t>
      </w:r>
      <w:r>
        <w:rPr>
          <w:rFonts w:cs="Times New Roman"/>
        </w:rPr>
        <w:t>.</w:t>
      </w:r>
    </w:p>
  </w:footnote>
  <w:footnote w:id="9">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w:t>
      </w:r>
      <w:proofErr w:type="spellStart"/>
      <w:r w:rsidRPr="00E02F54">
        <w:rPr>
          <w:rFonts w:cs="Times New Roman"/>
          <w:i/>
        </w:rPr>
        <w:t>Vergeyle</w:t>
      </w:r>
      <w:proofErr w:type="spellEnd"/>
      <w:r w:rsidRPr="00E02F54">
        <w:rPr>
          <w:rFonts w:cs="Times New Roman"/>
          <w:i/>
        </w:rPr>
        <w:t xml:space="preserve"> v. Employment Security</w:t>
      </w:r>
      <w:r w:rsidRPr="00E02F54">
        <w:rPr>
          <w:rFonts w:cs="Times New Roman"/>
        </w:rPr>
        <w:t>, 28 Wn. App. 399, 404, 623 P. 2d 736 (1981)</w:t>
      </w:r>
      <w:r>
        <w:rPr>
          <w:rFonts w:cs="Times New Roman"/>
        </w:rPr>
        <w:t xml:space="preserve">, </w:t>
      </w:r>
      <w:r w:rsidR="00F72775">
        <w:rPr>
          <w:rFonts w:cs="Times New Roman"/>
        </w:rPr>
        <w:t>r</w:t>
      </w:r>
      <w:r>
        <w:rPr>
          <w:rFonts w:cs="Times New Roman"/>
        </w:rPr>
        <w:t>eview denied, 95 Wash. 2d 1021 (1981).</w:t>
      </w:r>
    </w:p>
  </w:footnote>
  <w:footnote w:id="10">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Richard J. Pierce, </w:t>
      </w:r>
      <w:r>
        <w:rPr>
          <w:rFonts w:cs="Times New Roman"/>
        </w:rPr>
        <w:t>“</w:t>
      </w:r>
      <w:r w:rsidRPr="00DF5B14">
        <w:rPr>
          <w:rFonts w:cs="Times New Roman"/>
        </w:rPr>
        <w:t>Administrative Law Treatise</w:t>
      </w:r>
      <w:r>
        <w:rPr>
          <w:rFonts w:cs="Times New Roman"/>
        </w:rPr>
        <w:t>”</w:t>
      </w:r>
      <w:proofErr w:type="gramStart"/>
      <w:r w:rsidRPr="00E02F54">
        <w:rPr>
          <w:rFonts w:cs="Times New Roman"/>
        </w:rPr>
        <w:t xml:space="preserve">,  </w:t>
      </w:r>
      <w:proofErr w:type="spellStart"/>
      <w:r w:rsidRPr="00E02F54">
        <w:rPr>
          <w:rFonts w:cs="Times New Roman"/>
        </w:rPr>
        <w:t>Fifith</w:t>
      </w:r>
      <w:proofErr w:type="spellEnd"/>
      <w:proofErr w:type="gramEnd"/>
      <w:r w:rsidRPr="00E02F54">
        <w:rPr>
          <w:rFonts w:cs="Times New Roman"/>
        </w:rPr>
        <w:t xml:space="preserve"> Edition, § 11.5 (2013 Cumulative Supplement). </w:t>
      </w:r>
    </w:p>
  </w:footnote>
  <w:footnote w:id="11">
    <w:p w:rsidR="00590873" w:rsidRPr="00E02F54" w:rsidRDefault="00590873" w:rsidP="004F23DD">
      <w:pPr>
        <w:pStyle w:val="FootnoteText"/>
        <w:rPr>
          <w:rFonts w:cs="Times New Roman"/>
        </w:rPr>
      </w:pPr>
      <w:r w:rsidRPr="00E02F54">
        <w:rPr>
          <w:rStyle w:val="FootnoteReference"/>
          <w:rFonts w:cs="Times New Roman"/>
        </w:rPr>
        <w:footnoteRef/>
      </w:r>
      <w:r w:rsidRPr="00E02F54">
        <w:rPr>
          <w:rFonts w:cs="Times New Roman"/>
        </w:rPr>
        <w:t xml:space="preserve"> </w:t>
      </w:r>
      <w:proofErr w:type="gramStart"/>
      <w:r w:rsidRPr="00E02F54">
        <w:rPr>
          <w:rFonts w:cs="Times New Roman"/>
          <w:i/>
        </w:rPr>
        <w:t xml:space="preserve">International Rehabilitative Sciences v, </w:t>
      </w:r>
      <w:proofErr w:type="spellStart"/>
      <w:r w:rsidRPr="00E02F54">
        <w:rPr>
          <w:rFonts w:cs="Times New Roman"/>
          <w:i/>
        </w:rPr>
        <w:t>Sebelius</w:t>
      </w:r>
      <w:proofErr w:type="spellEnd"/>
      <w:r w:rsidRPr="00E02F54">
        <w:rPr>
          <w:rFonts w:cs="Times New Roman"/>
        </w:rPr>
        <w:t>, 688 F. 3d 994, 1001(9</w:t>
      </w:r>
      <w:r w:rsidRPr="00E02F54">
        <w:rPr>
          <w:rFonts w:cs="Times New Roman"/>
          <w:vertAlign w:val="superscript"/>
        </w:rPr>
        <w:t>th</w:t>
      </w:r>
      <w:r w:rsidRPr="00E02F54">
        <w:rPr>
          <w:rFonts w:cs="Times New Roman"/>
        </w:rPr>
        <w:t xml:space="preserve"> Cir. 2012).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E7812"/>
    <w:multiLevelType w:val="hybridMultilevel"/>
    <w:tmpl w:val="158E45E6"/>
    <w:lvl w:ilvl="0" w:tplc="F874215E">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D6B59F3"/>
    <w:multiLevelType w:val="hybridMultilevel"/>
    <w:tmpl w:val="8BF001BC"/>
    <w:lvl w:ilvl="0" w:tplc="F874215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73"/>
    <w:rsid w:val="001112C7"/>
    <w:rsid w:val="00156BAD"/>
    <w:rsid w:val="001A2D21"/>
    <w:rsid w:val="00225EC0"/>
    <w:rsid w:val="00317C56"/>
    <w:rsid w:val="00344CDB"/>
    <w:rsid w:val="00373964"/>
    <w:rsid w:val="003A2C4E"/>
    <w:rsid w:val="00414638"/>
    <w:rsid w:val="004525C5"/>
    <w:rsid w:val="004F23DD"/>
    <w:rsid w:val="004F5173"/>
    <w:rsid w:val="00590873"/>
    <w:rsid w:val="005B6342"/>
    <w:rsid w:val="005C272E"/>
    <w:rsid w:val="00636551"/>
    <w:rsid w:val="00654619"/>
    <w:rsid w:val="007107ED"/>
    <w:rsid w:val="00906C3D"/>
    <w:rsid w:val="0098007E"/>
    <w:rsid w:val="009957B1"/>
    <w:rsid w:val="009E0937"/>
    <w:rsid w:val="00A25443"/>
    <w:rsid w:val="00A30A22"/>
    <w:rsid w:val="00C61681"/>
    <w:rsid w:val="00C961DC"/>
    <w:rsid w:val="00CA42F7"/>
    <w:rsid w:val="00CB74D5"/>
    <w:rsid w:val="00D455B1"/>
    <w:rsid w:val="00D90A76"/>
    <w:rsid w:val="00DB4595"/>
    <w:rsid w:val="00DB67B6"/>
    <w:rsid w:val="00DF5B14"/>
    <w:rsid w:val="00E02F54"/>
    <w:rsid w:val="00F72775"/>
    <w:rsid w:val="00F83CE3"/>
    <w:rsid w:val="00F8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463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14638"/>
    <w:rPr>
      <w:rFonts w:ascii="Times New Roman" w:hAnsi="Times New Roman"/>
      <w:sz w:val="20"/>
      <w:szCs w:val="20"/>
    </w:rPr>
  </w:style>
  <w:style w:type="character" w:styleId="FootnoteReference">
    <w:name w:val="footnote reference"/>
    <w:basedOn w:val="DefaultParagraphFont"/>
    <w:uiPriority w:val="99"/>
    <w:semiHidden/>
    <w:unhideWhenUsed/>
    <w:rsid w:val="001112C7"/>
    <w:rPr>
      <w:vertAlign w:val="superscript"/>
    </w:rPr>
  </w:style>
  <w:style w:type="paragraph" w:styleId="BodyTextIndent2">
    <w:name w:val="Body Text Indent 2"/>
    <w:basedOn w:val="Normal"/>
    <w:link w:val="BodyTextIndent2Char"/>
    <w:rsid w:val="00414638"/>
    <w:pPr>
      <w:spacing w:after="0" w:line="240" w:lineRule="auto"/>
      <w:ind w:left="686"/>
    </w:pPr>
    <w:rPr>
      <w:rFonts w:ascii="Palatino Linotype" w:eastAsia="Times New Roman" w:hAnsi="Palatino Linotype" w:cs="Times New Roman"/>
      <w:sz w:val="24"/>
      <w:szCs w:val="24"/>
      <w:lang w:val="x-none" w:eastAsia="x-none"/>
    </w:rPr>
  </w:style>
  <w:style w:type="character" w:customStyle="1" w:styleId="BodyTextIndent2Char">
    <w:name w:val="Body Text Indent 2 Char"/>
    <w:basedOn w:val="DefaultParagraphFont"/>
    <w:link w:val="BodyTextIndent2"/>
    <w:rsid w:val="00414638"/>
    <w:rPr>
      <w:rFonts w:ascii="Palatino Linotype" w:eastAsia="Times New Roman" w:hAnsi="Palatino Linotype" w:cs="Times New Roman"/>
      <w:sz w:val="24"/>
      <w:szCs w:val="24"/>
      <w:lang w:val="x-none" w:eastAsia="x-none"/>
    </w:rPr>
  </w:style>
  <w:style w:type="paragraph" w:styleId="Header">
    <w:name w:val="header"/>
    <w:basedOn w:val="Normal"/>
    <w:link w:val="HeaderChar"/>
    <w:uiPriority w:val="99"/>
    <w:unhideWhenUsed/>
    <w:rsid w:val="0041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38"/>
  </w:style>
  <w:style w:type="paragraph" w:styleId="Footer">
    <w:name w:val="footer"/>
    <w:basedOn w:val="Normal"/>
    <w:link w:val="FooterChar"/>
    <w:uiPriority w:val="99"/>
    <w:unhideWhenUsed/>
    <w:rsid w:val="00414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38"/>
  </w:style>
  <w:style w:type="paragraph" w:styleId="ListParagraph">
    <w:name w:val="List Paragraph"/>
    <w:basedOn w:val="Normal"/>
    <w:uiPriority w:val="34"/>
    <w:qFormat/>
    <w:rsid w:val="00980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463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14638"/>
    <w:rPr>
      <w:rFonts w:ascii="Times New Roman" w:hAnsi="Times New Roman"/>
      <w:sz w:val="20"/>
      <w:szCs w:val="20"/>
    </w:rPr>
  </w:style>
  <w:style w:type="character" w:styleId="FootnoteReference">
    <w:name w:val="footnote reference"/>
    <w:basedOn w:val="DefaultParagraphFont"/>
    <w:uiPriority w:val="99"/>
    <w:semiHidden/>
    <w:unhideWhenUsed/>
    <w:rsid w:val="001112C7"/>
    <w:rPr>
      <w:vertAlign w:val="superscript"/>
    </w:rPr>
  </w:style>
  <w:style w:type="paragraph" w:styleId="BodyTextIndent2">
    <w:name w:val="Body Text Indent 2"/>
    <w:basedOn w:val="Normal"/>
    <w:link w:val="BodyTextIndent2Char"/>
    <w:rsid w:val="00414638"/>
    <w:pPr>
      <w:spacing w:after="0" w:line="240" w:lineRule="auto"/>
      <w:ind w:left="686"/>
    </w:pPr>
    <w:rPr>
      <w:rFonts w:ascii="Palatino Linotype" w:eastAsia="Times New Roman" w:hAnsi="Palatino Linotype" w:cs="Times New Roman"/>
      <w:sz w:val="24"/>
      <w:szCs w:val="24"/>
      <w:lang w:val="x-none" w:eastAsia="x-none"/>
    </w:rPr>
  </w:style>
  <w:style w:type="character" w:customStyle="1" w:styleId="BodyTextIndent2Char">
    <w:name w:val="Body Text Indent 2 Char"/>
    <w:basedOn w:val="DefaultParagraphFont"/>
    <w:link w:val="BodyTextIndent2"/>
    <w:rsid w:val="00414638"/>
    <w:rPr>
      <w:rFonts w:ascii="Palatino Linotype" w:eastAsia="Times New Roman" w:hAnsi="Palatino Linotype" w:cs="Times New Roman"/>
      <w:sz w:val="24"/>
      <w:szCs w:val="24"/>
      <w:lang w:val="x-none" w:eastAsia="x-none"/>
    </w:rPr>
  </w:style>
  <w:style w:type="paragraph" w:styleId="Header">
    <w:name w:val="header"/>
    <w:basedOn w:val="Normal"/>
    <w:link w:val="HeaderChar"/>
    <w:uiPriority w:val="99"/>
    <w:unhideWhenUsed/>
    <w:rsid w:val="0041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38"/>
  </w:style>
  <w:style w:type="paragraph" w:styleId="Footer">
    <w:name w:val="footer"/>
    <w:basedOn w:val="Normal"/>
    <w:link w:val="FooterChar"/>
    <w:uiPriority w:val="99"/>
    <w:unhideWhenUsed/>
    <w:rsid w:val="00414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38"/>
  </w:style>
  <w:style w:type="paragraph" w:styleId="ListParagraph">
    <w:name w:val="List Paragraph"/>
    <w:basedOn w:val="Normal"/>
    <w:uiPriority w:val="34"/>
    <w:qFormat/>
    <w:rsid w:val="00980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2011-12-30T08:00:00+00:00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702C4AF602440A75427A84B605696" ma:contentTypeVersion="139" ma:contentTypeDescription="" ma:contentTypeScope="" ma:versionID="096abf71eef04c5921b607dfdb705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FBABD-D377-4B41-9EAE-E827E973EF73}"/>
</file>

<file path=customXml/itemProps2.xml><?xml version="1.0" encoding="utf-8"?>
<ds:datastoreItem xmlns:ds="http://schemas.openxmlformats.org/officeDocument/2006/customXml" ds:itemID="{108F6CF2-CABA-4B79-94D6-015A91917563}"/>
</file>

<file path=customXml/itemProps3.xml><?xml version="1.0" encoding="utf-8"?>
<ds:datastoreItem xmlns:ds="http://schemas.openxmlformats.org/officeDocument/2006/customXml" ds:itemID="{C4A292F4-D96B-4C3C-94AD-9AEDE5C90F3B}"/>
</file>

<file path=customXml/itemProps4.xml><?xml version="1.0" encoding="utf-8"?>
<ds:datastoreItem xmlns:ds="http://schemas.openxmlformats.org/officeDocument/2006/customXml" ds:itemID="{36B3D6EB-E713-4C03-BAC2-822863291890}"/>
</file>

<file path=customXml/itemProps5.xml><?xml version="1.0" encoding="utf-8"?>
<ds:datastoreItem xmlns:ds="http://schemas.openxmlformats.org/officeDocument/2006/customXml" ds:itemID="{D95109C8-73C2-4DAF-8725-8736C95AB430}"/>
</file>

<file path=docProps/app.xml><?xml version="1.0" encoding="utf-8"?>
<Properties xmlns="http://schemas.openxmlformats.org/officeDocument/2006/extended-properties" xmlns:vt="http://schemas.openxmlformats.org/officeDocument/2006/docPropsVTypes">
  <Template>Normal.dotm</Template>
  <TotalTime>38</TotalTime>
  <Pages>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Steve</dc:creator>
  <cp:lastModifiedBy>DeMarco, Betsy (UTC)</cp:lastModifiedBy>
  <cp:revision>14</cp:revision>
  <cp:lastPrinted>2013-01-25T16:40:00Z</cp:lastPrinted>
  <dcterms:created xsi:type="dcterms:W3CDTF">2013-04-05T20:08:00Z</dcterms:created>
  <dcterms:modified xsi:type="dcterms:W3CDTF">2013-04-08T16:51:00Z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0x0101006E56B4D1795A2E4DB2F0B01679ED314A000F8702C4AF602440A75427A84B605696</vt:lpwstr>
  </property>
  <property fmtid="{D5CDD505-2E9C-101B-9397-08002B2CF9AE}" pid="3" name="_docset_NoMedatataSyncRequired">
    <vt:lpwstr>False</vt:lpwstr>
  </property>
</Properties>
</file>