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94" w:rsidRDefault="00341494" w:rsidP="00341494">
      <w:pPr>
        <w:tabs>
          <w:tab w:val="center" w:pos="4680"/>
        </w:tabs>
        <w:ind w:right="-108" w:hanging="180"/>
        <w:jc w:val="center"/>
        <w:rPr>
          <w:sz w:val="24"/>
        </w:rPr>
      </w:pPr>
    </w:p>
    <w:p w:rsidR="00341494" w:rsidRDefault="00341494" w:rsidP="00341494">
      <w:pPr>
        <w:tabs>
          <w:tab w:val="center" w:pos="4680"/>
        </w:tabs>
        <w:ind w:right="-108" w:hanging="180"/>
        <w:jc w:val="center"/>
        <w:rPr>
          <w:sz w:val="24"/>
        </w:rPr>
      </w:pPr>
    </w:p>
    <w:p w:rsidR="00DD5F96" w:rsidRPr="004A2910" w:rsidRDefault="00DD5F96" w:rsidP="00341494">
      <w:pPr>
        <w:tabs>
          <w:tab w:val="center" w:pos="4680"/>
        </w:tabs>
        <w:ind w:right="-108" w:hanging="180"/>
        <w:jc w:val="center"/>
        <w:rPr>
          <w:sz w:val="24"/>
        </w:rPr>
      </w:pPr>
      <w:r w:rsidRPr="004A2910">
        <w:rPr>
          <w:sz w:val="24"/>
        </w:rPr>
        <w:t>BEFORE THE WASHINGTON UTILITIES AND TRANSPORTATION COMMISSION</w:t>
      </w:r>
    </w:p>
    <w:p w:rsidR="00DD5F96" w:rsidRPr="005532F3" w:rsidRDefault="00DD5F96" w:rsidP="00DD5F96">
      <w:pPr>
        <w:jc w:val="both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DD5F96" w:rsidRPr="005532F3" w:rsidTr="00A66A98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 xml:space="preserve">WASHINGTON UTILITIES AND TRANSPORTATION COMMISSION, </w:t>
            </w:r>
          </w:p>
          <w:p w:rsidR="00DD5F96" w:rsidRPr="005532F3" w:rsidRDefault="00DD5F96" w:rsidP="00AF79BB">
            <w:pPr>
              <w:rPr>
                <w:sz w:val="24"/>
              </w:rPr>
            </w:pPr>
          </w:p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ab/>
            </w:r>
            <w:r w:rsidRPr="005532F3">
              <w:rPr>
                <w:sz w:val="24"/>
              </w:rPr>
              <w:tab/>
              <w:t>Complainant,</w:t>
            </w:r>
          </w:p>
          <w:p w:rsidR="00DD5F96" w:rsidRPr="005532F3" w:rsidRDefault="00DD5F96" w:rsidP="00AF79BB">
            <w:pPr>
              <w:rPr>
                <w:sz w:val="24"/>
              </w:rPr>
            </w:pPr>
          </w:p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>v.</w:t>
            </w:r>
          </w:p>
          <w:p w:rsidR="00DD5F96" w:rsidRPr="005532F3" w:rsidRDefault="00DD5F96" w:rsidP="00AF79BB">
            <w:pPr>
              <w:rPr>
                <w:sz w:val="24"/>
              </w:rPr>
            </w:pPr>
          </w:p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 xml:space="preserve">PUGET SOUND ENERGY, INC., </w:t>
            </w:r>
          </w:p>
          <w:p w:rsidR="00DD5F96" w:rsidRPr="005532F3" w:rsidRDefault="00DD5F96" w:rsidP="00AF79BB">
            <w:pPr>
              <w:rPr>
                <w:sz w:val="24"/>
              </w:rPr>
            </w:pPr>
          </w:p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ab/>
            </w:r>
            <w:r w:rsidRPr="005532F3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ab/>
              <w:t xml:space="preserve">DOCKETS UE-090704 </w:t>
            </w:r>
          </w:p>
          <w:p w:rsidR="00DD5F96" w:rsidRPr="005532F3" w:rsidRDefault="00DD5F96" w:rsidP="00AF79BB">
            <w:pPr>
              <w:rPr>
                <w:sz w:val="24"/>
              </w:rPr>
            </w:pPr>
            <w:r w:rsidRPr="005532F3">
              <w:rPr>
                <w:sz w:val="24"/>
              </w:rPr>
              <w:tab/>
              <w:t xml:space="preserve">and UG-090705 (consolidated) </w:t>
            </w:r>
          </w:p>
          <w:p w:rsidR="00DD5F96" w:rsidRPr="005532F3" w:rsidRDefault="00DD5F96" w:rsidP="00AF79BB">
            <w:pPr>
              <w:rPr>
                <w:sz w:val="24"/>
              </w:rPr>
            </w:pPr>
          </w:p>
          <w:p w:rsidR="00DD5F96" w:rsidRPr="005532F3" w:rsidRDefault="00DD5F96" w:rsidP="00AF79BB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RESPONSE OF COMMISSION STAFF </w:t>
            </w:r>
            <w:r w:rsidR="00B9272B">
              <w:rPr>
                <w:sz w:val="24"/>
              </w:rPr>
              <w:t>IN OPPOSITION TO</w:t>
            </w:r>
            <w:r>
              <w:rPr>
                <w:sz w:val="24"/>
              </w:rPr>
              <w:t xml:space="preserve"> NUCOR </w:t>
            </w:r>
            <w:r w:rsidR="00AF79BB">
              <w:rPr>
                <w:sz w:val="24"/>
              </w:rPr>
              <w:t xml:space="preserve">LATE-FILED </w:t>
            </w:r>
            <w:r>
              <w:rPr>
                <w:sz w:val="24"/>
              </w:rPr>
              <w:t>PETITION TO INTERVENE</w:t>
            </w:r>
          </w:p>
        </w:tc>
      </w:tr>
    </w:tbl>
    <w:p w:rsidR="0017547C" w:rsidRPr="00A66A98" w:rsidRDefault="0017547C">
      <w:pPr>
        <w:rPr>
          <w:sz w:val="24"/>
        </w:rPr>
      </w:pPr>
    </w:p>
    <w:p w:rsidR="00341494" w:rsidRPr="00A66A98" w:rsidRDefault="00341494">
      <w:pPr>
        <w:rPr>
          <w:sz w:val="24"/>
        </w:rPr>
      </w:pPr>
    </w:p>
    <w:p w:rsidR="00DD5F96" w:rsidRPr="00341494" w:rsidRDefault="00341494" w:rsidP="003414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ab/>
      </w:r>
      <w:r w:rsidR="00DD5F96" w:rsidRPr="00341494">
        <w:rPr>
          <w:sz w:val="24"/>
        </w:rPr>
        <w:t xml:space="preserve">On July 23, 2009, Nucor Steel Seattle, Inc. (Nucor) filed with the Commission a late-filed petition to intervene </w:t>
      </w:r>
      <w:r w:rsidR="00CE7FA5" w:rsidRPr="00341494">
        <w:rPr>
          <w:sz w:val="24"/>
        </w:rPr>
        <w:t xml:space="preserve">in these dockets, </w:t>
      </w:r>
      <w:r w:rsidR="002B64D1">
        <w:rPr>
          <w:sz w:val="24"/>
        </w:rPr>
        <w:t>which involve</w:t>
      </w:r>
      <w:r w:rsidR="00DD5F96" w:rsidRPr="00341494">
        <w:rPr>
          <w:sz w:val="24"/>
        </w:rPr>
        <w:t xml:space="preserve"> a request by Puget Sound Energy, Inc.</w:t>
      </w:r>
      <w:r w:rsidR="00CF6DE0">
        <w:rPr>
          <w:sz w:val="24"/>
        </w:rPr>
        <w:t xml:space="preserve"> </w:t>
      </w:r>
      <w:r w:rsidR="00D6238C" w:rsidRPr="00341494">
        <w:rPr>
          <w:sz w:val="24"/>
        </w:rPr>
        <w:t xml:space="preserve">(PSE) </w:t>
      </w:r>
      <w:r w:rsidR="00CE7FA5" w:rsidRPr="00341494">
        <w:rPr>
          <w:sz w:val="24"/>
        </w:rPr>
        <w:t xml:space="preserve">to increase </w:t>
      </w:r>
      <w:r w:rsidR="00DD5F96" w:rsidRPr="00341494">
        <w:rPr>
          <w:sz w:val="24"/>
        </w:rPr>
        <w:t xml:space="preserve">rates for electricity and natural gas service.  Nucor’s petition </w:t>
      </w:r>
      <w:r w:rsidR="00AF79BB" w:rsidRPr="00341494">
        <w:rPr>
          <w:sz w:val="24"/>
        </w:rPr>
        <w:t xml:space="preserve">ignored WAC 480-07-355(1)(b) because it did not </w:t>
      </w:r>
      <w:r w:rsidR="00DD5F96" w:rsidRPr="00341494">
        <w:rPr>
          <w:sz w:val="24"/>
        </w:rPr>
        <w:t xml:space="preserve">explain why </w:t>
      </w:r>
      <w:r w:rsidR="00AF79BB" w:rsidRPr="00341494">
        <w:rPr>
          <w:sz w:val="24"/>
        </w:rPr>
        <w:t>Nucor</w:t>
      </w:r>
      <w:r w:rsidR="00DD5F96" w:rsidRPr="00341494">
        <w:rPr>
          <w:sz w:val="24"/>
        </w:rPr>
        <w:t xml:space="preserve"> did not timely seek intervention</w:t>
      </w:r>
      <w:r w:rsidR="00AF79BB" w:rsidRPr="00341494">
        <w:rPr>
          <w:sz w:val="24"/>
        </w:rPr>
        <w:t xml:space="preserve"> and because Nucor did not attempt to provide good cause to justify late intervention</w:t>
      </w:r>
      <w:r w:rsidR="00DD5F96" w:rsidRPr="00341494">
        <w:rPr>
          <w:sz w:val="24"/>
        </w:rPr>
        <w:t xml:space="preserve">.  </w:t>
      </w:r>
      <w:r w:rsidR="00AF79BB" w:rsidRPr="00341494">
        <w:rPr>
          <w:sz w:val="24"/>
        </w:rPr>
        <w:t>Thus</w:t>
      </w:r>
      <w:r w:rsidR="00DD5F96" w:rsidRPr="00341494">
        <w:rPr>
          <w:sz w:val="24"/>
        </w:rPr>
        <w:t>, Staff opposed intervention</w:t>
      </w:r>
      <w:r w:rsidR="00AF79BB" w:rsidRPr="00341494">
        <w:rPr>
          <w:sz w:val="24"/>
        </w:rPr>
        <w:t>.  I</w:t>
      </w:r>
      <w:r w:rsidR="00DD5F96" w:rsidRPr="00341494">
        <w:rPr>
          <w:sz w:val="24"/>
        </w:rPr>
        <w:t xml:space="preserve">n the alternative, </w:t>
      </w:r>
      <w:r w:rsidR="00AF79BB" w:rsidRPr="00341494">
        <w:rPr>
          <w:sz w:val="24"/>
        </w:rPr>
        <w:t xml:space="preserve">Staff </w:t>
      </w:r>
      <w:r w:rsidR="00DD5F96" w:rsidRPr="00341494">
        <w:rPr>
          <w:sz w:val="24"/>
        </w:rPr>
        <w:t>asked the Commission to require Nucor to comply with WAC 48</w:t>
      </w:r>
      <w:r w:rsidR="00CE7FA5" w:rsidRPr="00341494">
        <w:rPr>
          <w:sz w:val="24"/>
        </w:rPr>
        <w:t>0</w:t>
      </w:r>
      <w:r w:rsidR="00DD5F96" w:rsidRPr="00341494">
        <w:rPr>
          <w:sz w:val="24"/>
        </w:rPr>
        <w:t>-07-355(1)(b)</w:t>
      </w:r>
      <w:r w:rsidR="00AF79BB" w:rsidRPr="00341494">
        <w:rPr>
          <w:sz w:val="24"/>
        </w:rPr>
        <w:t>, with opportunity for other parties to respond</w:t>
      </w:r>
      <w:r w:rsidR="00600073" w:rsidRPr="00341494">
        <w:rPr>
          <w:sz w:val="24"/>
        </w:rPr>
        <w:t xml:space="preserve"> to any</w:t>
      </w:r>
      <w:r w:rsidR="001C3FA2" w:rsidRPr="00341494">
        <w:rPr>
          <w:sz w:val="24"/>
        </w:rPr>
        <w:t xml:space="preserve"> new information</w:t>
      </w:r>
      <w:r w:rsidR="00DD5F96" w:rsidRPr="00341494">
        <w:rPr>
          <w:sz w:val="24"/>
        </w:rPr>
        <w:t>.</w:t>
      </w:r>
    </w:p>
    <w:p w:rsidR="00DD5F96" w:rsidRPr="00341494" w:rsidRDefault="00341494" w:rsidP="003414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ab/>
      </w:r>
      <w:r w:rsidR="00CE7FA5" w:rsidRPr="00341494">
        <w:rPr>
          <w:sz w:val="24"/>
        </w:rPr>
        <w:t xml:space="preserve">Nucor responded to Staff’s alternative proposal with the following </w:t>
      </w:r>
      <w:r w:rsidR="00B9272B" w:rsidRPr="00341494">
        <w:rPr>
          <w:sz w:val="24"/>
        </w:rPr>
        <w:t>information</w:t>
      </w:r>
      <w:r w:rsidR="00AF79BB" w:rsidRPr="00341494">
        <w:rPr>
          <w:sz w:val="24"/>
        </w:rPr>
        <w:t>:</w:t>
      </w:r>
    </w:p>
    <w:p w:rsidR="00CE7FA5" w:rsidRDefault="00CE7FA5" w:rsidP="00341494">
      <w:pPr>
        <w:ind w:left="720" w:right="828" w:hanging="720"/>
        <w:rPr>
          <w:sz w:val="24"/>
        </w:rPr>
      </w:pPr>
      <w:r>
        <w:rPr>
          <w:sz w:val="24"/>
        </w:rPr>
        <w:tab/>
        <w:t>At the time of the aforementioned prehearing confer</w:t>
      </w:r>
      <w:r w:rsidR="00341494">
        <w:rPr>
          <w:sz w:val="24"/>
        </w:rPr>
        <w:t xml:space="preserve">ence of June 22, 2009, Nucor’s </w:t>
      </w:r>
      <w:r>
        <w:rPr>
          <w:sz w:val="24"/>
        </w:rPr>
        <w:t>representatives were engaged in the process of evalu</w:t>
      </w:r>
      <w:r w:rsidR="00341494">
        <w:rPr>
          <w:sz w:val="24"/>
        </w:rPr>
        <w:t xml:space="preserve">ating PSE’s filing to determine </w:t>
      </w:r>
      <w:r>
        <w:rPr>
          <w:sz w:val="24"/>
        </w:rPr>
        <w:t>whether Nucor had a substantial interest in the proceeding that warranted Nucor’s participation.  In fact, PSE scheduled an information meeting about this proceeding</w:t>
      </w:r>
      <w:r w:rsidR="00341494">
        <w:rPr>
          <w:sz w:val="24"/>
        </w:rPr>
        <w:t xml:space="preserve"> </w:t>
      </w:r>
      <w:r>
        <w:rPr>
          <w:sz w:val="24"/>
        </w:rPr>
        <w:t>for “Major Accounts” on June</w:t>
      </w:r>
      <w:r w:rsidR="00341494">
        <w:rPr>
          <w:sz w:val="24"/>
        </w:rPr>
        <w:t> </w:t>
      </w:r>
      <w:r>
        <w:rPr>
          <w:sz w:val="24"/>
        </w:rPr>
        <w:t>22, 2009.  As of June 22, 2009, Nucor had not authorized</w:t>
      </w:r>
      <w:r w:rsidR="00341494">
        <w:rPr>
          <w:sz w:val="24"/>
        </w:rPr>
        <w:t xml:space="preserve"> </w:t>
      </w:r>
      <w:r>
        <w:rPr>
          <w:sz w:val="24"/>
        </w:rPr>
        <w:t>the filing of a petition to intervene.</w:t>
      </w:r>
      <w:r>
        <w:rPr>
          <w:rStyle w:val="FootnoteReference"/>
          <w:sz w:val="24"/>
        </w:rPr>
        <w:footnoteReference w:id="1"/>
      </w:r>
    </w:p>
    <w:p w:rsidR="00592C66" w:rsidRDefault="00592C66" w:rsidP="00CE7FA5">
      <w:pPr>
        <w:rPr>
          <w:sz w:val="24"/>
        </w:rPr>
      </w:pPr>
    </w:p>
    <w:p w:rsidR="00600073" w:rsidRDefault="00592C66" w:rsidP="00592C66">
      <w:pPr>
        <w:spacing w:line="480" w:lineRule="auto"/>
        <w:rPr>
          <w:sz w:val="24"/>
        </w:rPr>
      </w:pPr>
      <w:r>
        <w:rPr>
          <w:sz w:val="24"/>
        </w:rPr>
        <w:t xml:space="preserve">Nucor’s explanation is insufficient.  </w:t>
      </w:r>
    </w:p>
    <w:p w:rsidR="00592C66" w:rsidRPr="00341494" w:rsidRDefault="00341494" w:rsidP="00A66A98">
      <w:pPr>
        <w:pStyle w:val="ListParagraph"/>
        <w:widowControl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lastRenderedPageBreak/>
        <w:tab/>
      </w:r>
      <w:r w:rsidR="00592C66" w:rsidRPr="00341494">
        <w:rPr>
          <w:sz w:val="24"/>
        </w:rPr>
        <w:t xml:space="preserve">First, Nucor is not a stranger to Commission proceedings.  It intervened on a timely basis in the last </w:t>
      </w:r>
      <w:r w:rsidR="00D6238C" w:rsidRPr="00341494">
        <w:rPr>
          <w:sz w:val="24"/>
        </w:rPr>
        <w:t xml:space="preserve">PSE </w:t>
      </w:r>
      <w:r w:rsidR="00592C66" w:rsidRPr="00341494">
        <w:rPr>
          <w:sz w:val="24"/>
        </w:rPr>
        <w:t>general rate</w:t>
      </w:r>
      <w:r w:rsidR="00D6238C" w:rsidRPr="00341494">
        <w:rPr>
          <w:sz w:val="24"/>
        </w:rPr>
        <w:t xml:space="preserve"> case</w:t>
      </w:r>
      <w:r w:rsidR="00592C66" w:rsidRPr="00341494">
        <w:rPr>
          <w:sz w:val="24"/>
        </w:rPr>
        <w:t>.</w:t>
      </w:r>
      <w:r w:rsidR="00592C66">
        <w:rPr>
          <w:rStyle w:val="FootnoteReference"/>
          <w:sz w:val="24"/>
        </w:rPr>
        <w:footnoteReference w:id="2"/>
      </w:r>
      <w:r w:rsidR="00D6238C" w:rsidRPr="00341494">
        <w:rPr>
          <w:sz w:val="24"/>
        </w:rPr>
        <w:t xml:space="preserve">  Nucor should be held to the same standard now</w:t>
      </w:r>
      <w:r w:rsidR="00592C66" w:rsidRPr="00341494">
        <w:rPr>
          <w:sz w:val="24"/>
        </w:rPr>
        <w:t>.</w:t>
      </w:r>
    </w:p>
    <w:p w:rsidR="007845CC" w:rsidRPr="00341494" w:rsidRDefault="00341494" w:rsidP="003414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ab/>
      </w:r>
      <w:r w:rsidR="00D6238C" w:rsidRPr="00341494">
        <w:rPr>
          <w:sz w:val="24"/>
        </w:rPr>
        <w:t xml:space="preserve">Second, any party seeking to intervene in a Commission proceeding has the </w:t>
      </w:r>
      <w:r w:rsidR="007845CC" w:rsidRPr="00341494">
        <w:rPr>
          <w:sz w:val="24"/>
        </w:rPr>
        <w:t xml:space="preserve">independent </w:t>
      </w:r>
      <w:r w:rsidR="00D6238C" w:rsidRPr="00341494">
        <w:rPr>
          <w:sz w:val="24"/>
        </w:rPr>
        <w:t>responsibility to assess in a timely manner the ramifications of the case on i</w:t>
      </w:r>
      <w:r w:rsidR="00812020" w:rsidRPr="00341494">
        <w:rPr>
          <w:sz w:val="24"/>
        </w:rPr>
        <w:t>ts interests.  Nucor provides no</w:t>
      </w:r>
      <w:r w:rsidR="00D6238C" w:rsidRPr="00341494">
        <w:rPr>
          <w:sz w:val="24"/>
        </w:rPr>
        <w:t xml:space="preserve"> explanation why it did not and could not make that assessment in the 45 day period that elapsed between PSE’s initial filing on May 8, 2009</w:t>
      </w:r>
      <w:r w:rsidR="00CF6DE0">
        <w:rPr>
          <w:sz w:val="24"/>
        </w:rPr>
        <w:t>,</w:t>
      </w:r>
      <w:r w:rsidR="00D6238C" w:rsidRPr="00341494">
        <w:rPr>
          <w:sz w:val="24"/>
        </w:rPr>
        <w:t xml:space="preserve"> and the June</w:t>
      </w:r>
      <w:r w:rsidR="00CF6DE0">
        <w:rPr>
          <w:sz w:val="24"/>
        </w:rPr>
        <w:t> </w:t>
      </w:r>
      <w:r w:rsidR="00D6238C" w:rsidRPr="00341494">
        <w:rPr>
          <w:sz w:val="24"/>
        </w:rPr>
        <w:t>22, 2009</w:t>
      </w:r>
      <w:r w:rsidR="00CF6DE0">
        <w:rPr>
          <w:sz w:val="24"/>
        </w:rPr>
        <w:t>,</w:t>
      </w:r>
      <w:r w:rsidR="00D6238C" w:rsidRPr="00341494">
        <w:rPr>
          <w:sz w:val="24"/>
        </w:rPr>
        <w:t xml:space="preserve"> prehe</w:t>
      </w:r>
      <w:r w:rsidR="007845CC" w:rsidRPr="00341494">
        <w:rPr>
          <w:sz w:val="24"/>
        </w:rPr>
        <w:t>aring conference.</w:t>
      </w:r>
      <w:r w:rsidR="002B64D1">
        <w:rPr>
          <w:rStyle w:val="FootnoteReference"/>
          <w:sz w:val="24"/>
        </w:rPr>
        <w:footnoteReference w:id="3"/>
      </w:r>
      <w:r w:rsidR="007845CC" w:rsidRPr="00341494">
        <w:rPr>
          <w:sz w:val="24"/>
        </w:rPr>
        <w:t xml:space="preserve">  It is insufficient for Nucor to rely on a meeting scheduled by PSE on the same day as the prehearing conference to escape its </w:t>
      </w:r>
      <w:r w:rsidR="002B64D1">
        <w:rPr>
          <w:sz w:val="24"/>
        </w:rPr>
        <w:t xml:space="preserve">own </w:t>
      </w:r>
      <w:r w:rsidR="007845CC" w:rsidRPr="00341494">
        <w:rPr>
          <w:sz w:val="24"/>
        </w:rPr>
        <w:t>responsibility to</w:t>
      </w:r>
      <w:r w:rsidR="00812020" w:rsidRPr="00341494">
        <w:rPr>
          <w:sz w:val="24"/>
        </w:rPr>
        <w:t xml:space="preserve"> meet Commission deadlines.</w:t>
      </w:r>
    </w:p>
    <w:p w:rsidR="00D6238C" w:rsidRPr="00341494" w:rsidRDefault="00341494" w:rsidP="003414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ab/>
      </w:r>
      <w:r w:rsidR="00812020" w:rsidRPr="00341494">
        <w:rPr>
          <w:sz w:val="24"/>
        </w:rPr>
        <w:t>Third, Nucor had a way out of the dilemma it believed it faced.  It could have filed a timely petition to intervene, completed its internal rate impact assessment, and then made a decision whether or not to stay in the case or seek leave to withdraw.  Its failure to take that course of action should not be excused.</w:t>
      </w:r>
    </w:p>
    <w:p w:rsidR="004F1DE0" w:rsidRPr="002B64D1" w:rsidRDefault="00341494" w:rsidP="004F1DE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2B64D1">
        <w:rPr>
          <w:sz w:val="24"/>
        </w:rPr>
        <w:tab/>
      </w:r>
      <w:r w:rsidR="00812020" w:rsidRPr="002B64D1">
        <w:rPr>
          <w:sz w:val="24"/>
        </w:rPr>
        <w:t>Finally, Staff does not oppose intervention by Nucor merely as a mechanical application of Commission procedural rules</w:t>
      </w:r>
      <w:r w:rsidR="00B9272B" w:rsidRPr="002B64D1">
        <w:rPr>
          <w:sz w:val="24"/>
        </w:rPr>
        <w:t xml:space="preserve">.  Timely intervention is </w:t>
      </w:r>
      <w:r w:rsidR="00600073" w:rsidRPr="002B64D1">
        <w:rPr>
          <w:sz w:val="24"/>
        </w:rPr>
        <w:t>important to the efficient litigation and potential negotiation of a complex proceeding such as the one now before the Commission.  Late intervention, such as that proposed by Nucor, may undermine such efforts</w:t>
      </w:r>
      <w:r w:rsidR="002B64D1" w:rsidRPr="002B64D1">
        <w:rPr>
          <w:sz w:val="24"/>
        </w:rPr>
        <w:t xml:space="preserve"> and should not be excused absent good cause and sufficient explanation</w:t>
      </w:r>
      <w:r w:rsidR="00600073" w:rsidRPr="002B64D1">
        <w:rPr>
          <w:sz w:val="24"/>
        </w:rPr>
        <w:t>.</w:t>
      </w:r>
      <w:r w:rsidR="002B64D1" w:rsidRPr="002B64D1">
        <w:rPr>
          <w:sz w:val="24"/>
        </w:rPr>
        <w:t xml:space="preserve">  Those standards have not been met here.</w:t>
      </w:r>
    </w:p>
    <w:p w:rsidR="004F1DE0" w:rsidRDefault="004F1DE0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600073" w:rsidRDefault="00341494" w:rsidP="0034149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lastRenderedPageBreak/>
        <w:tab/>
      </w:r>
      <w:r w:rsidR="00600073" w:rsidRPr="00341494">
        <w:rPr>
          <w:sz w:val="24"/>
        </w:rPr>
        <w:t>For these reasons, the Commission should deny Nucor’s petition for late-filed intervention.</w:t>
      </w:r>
    </w:p>
    <w:p w:rsidR="004F1DE0" w:rsidRPr="004F1DE0" w:rsidRDefault="004F1DE0" w:rsidP="004F1DE0">
      <w:pPr>
        <w:rPr>
          <w:sz w:val="24"/>
        </w:rPr>
      </w:pPr>
      <w:r>
        <w:rPr>
          <w:sz w:val="24"/>
        </w:rPr>
        <w:tab/>
      </w:r>
      <w:r w:rsidRPr="004F1DE0">
        <w:rPr>
          <w:sz w:val="24"/>
        </w:rPr>
        <w:t xml:space="preserve">DATED this </w:t>
      </w:r>
      <w:r w:rsidR="00D83AF4">
        <w:rPr>
          <w:sz w:val="24"/>
        </w:rPr>
        <w:t>30</w:t>
      </w:r>
      <w:r w:rsidRPr="004F1DE0">
        <w:rPr>
          <w:sz w:val="24"/>
          <w:vertAlign w:val="superscript"/>
        </w:rPr>
        <w:t>th</w:t>
      </w:r>
      <w:r w:rsidRPr="004F1DE0">
        <w:rPr>
          <w:sz w:val="24"/>
        </w:rPr>
        <w:t xml:space="preserve"> day of July, 2009.</w:t>
      </w:r>
    </w:p>
    <w:p w:rsidR="004F1DE0" w:rsidRPr="004F1DE0" w:rsidRDefault="004F1DE0" w:rsidP="004F1DE0">
      <w:pPr>
        <w:rPr>
          <w:sz w:val="24"/>
        </w:rPr>
      </w:pPr>
    </w:p>
    <w:p w:rsidR="004F1DE0" w:rsidRPr="004F1DE0" w:rsidRDefault="004F1DE0" w:rsidP="004F1DE0">
      <w:pPr>
        <w:rPr>
          <w:sz w:val="24"/>
        </w:rPr>
      </w:pPr>
      <w:r w:rsidRPr="004F1DE0">
        <w:rPr>
          <w:sz w:val="24"/>
        </w:rPr>
        <w:tab/>
      </w:r>
      <w:r w:rsidRPr="004F1DE0">
        <w:rPr>
          <w:sz w:val="24"/>
        </w:rPr>
        <w:tab/>
      </w:r>
      <w:r w:rsidRPr="004F1DE0">
        <w:rPr>
          <w:sz w:val="24"/>
        </w:rPr>
        <w:tab/>
      </w:r>
      <w:r w:rsidRPr="004F1DE0">
        <w:rPr>
          <w:sz w:val="24"/>
        </w:rPr>
        <w:tab/>
      </w:r>
      <w:r w:rsidRPr="004F1DE0">
        <w:rPr>
          <w:sz w:val="24"/>
        </w:rPr>
        <w:tab/>
      </w:r>
      <w:r w:rsidRPr="004F1DE0">
        <w:rPr>
          <w:sz w:val="24"/>
        </w:rPr>
        <w:tab/>
        <w:t xml:space="preserve">Respectfully submitted, </w:t>
      </w:r>
    </w:p>
    <w:p w:rsidR="004F1DE0" w:rsidRPr="004A2910" w:rsidRDefault="004F1DE0" w:rsidP="004F1DE0">
      <w:pPr>
        <w:pStyle w:val="BodyTextIndent2"/>
        <w:ind w:left="0"/>
        <w:rPr>
          <w:rFonts w:ascii="Times New Roman" w:hAnsi="Times New Roman"/>
        </w:rPr>
      </w:pP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 xml:space="preserve">ROBERT M. MCKENNA </w:t>
      </w: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>Attorney General</w:t>
      </w:r>
    </w:p>
    <w:p w:rsidR="004F1DE0" w:rsidRPr="004F1DE0" w:rsidRDefault="004F1DE0" w:rsidP="004F1DE0">
      <w:pPr>
        <w:ind w:firstLine="3870"/>
        <w:jc w:val="both"/>
        <w:rPr>
          <w:sz w:val="24"/>
        </w:rPr>
      </w:pPr>
    </w:p>
    <w:p w:rsidR="004F1DE0" w:rsidRPr="004F1DE0" w:rsidRDefault="004F1DE0" w:rsidP="004F1DE0">
      <w:pPr>
        <w:ind w:firstLine="3870"/>
        <w:jc w:val="both"/>
        <w:rPr>
          <w:sz w:val="24"/>
        </w:rPr>
      </w:pPr>
    </w:p>
    <w:p w:rsidR="004F1DE0" w:rsidRPr="004F1DE0" w:rsidRDefault="004F1DE0" w:rsidP="004F1DE0">
      <w:pPr>
        <w:ind w:firstLine="3870"/>
        <w:jc w:val="both"/>
        <w:rPr>
          <w:sz w:val="24"/>
        </w:rPr>
      </w:pP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>______________________________</w:t>
      </w: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 xml:space="preserve">ROBERT D. CEDARBAUM </w:t>
      </w: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>Assistant Attorney General</w:t>
      </w: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>Counsel for Washington Utilities and</w:t>
      </w:r>
    </w:p>
    <w:p w:rsidR="004F1DE0" w:rsidRPr="004F1DE0" w:rsidRDefault="002B64D1" w:rsidP="004F1DE0">
      <w:pPr>
        <w:ind w:firstLine="3870"/>
        <w:jc w:val="both"/>
        <w:rPr>
          <w:sz w:val="24"/>
        </w:rPr>
      </w:pPr>
      <w:r>
        <w:rPr>
          <w:sz w:val="24"/>
        </w:rPr>
        <w:tab/>
      </w:r>
      <w:r w:rsidR="004F1DE0" w:rsidRPr="004F1DE0">
        <w:rPr>
          <w:sz w:val="24"/>
        </w:rPr>
        <w:t>Transportation Commission Staff</w:t>
      </w:r>
    </w:p>
    <w:p w:rsidR="004F1DE0" w:rsidRDefault="004F1DE0" w:rsidP="004F1DE0">
      <w:pPr>
        <w:pStyle w:val="ListParagraph"/>
        <w:ind w:left="0"/>
      </w:pPr>
    </w:p>
    <w:p w:rsidR="00A66A98" w:rsidRPr="00341494" w:rsidRDefault="00A66A98" w:rsidP="00A66A98">
      <w:pPr>
        <w:pStyle w:val="ListParagraph"/>
        <w:spacing w:line="480" w:lineRule="auto"/>
        <w:ind w:left="0"/>
        <w:rPr>
          <w:sz w:val="24"/>
        </w:rPr>
      </w:pPr>
    </w:p>
    <w:sectPr w:rsidR="00A66A98" w:rsidRPr="00341494" w:rsidSect="00341494">
      <w:foot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2B" w:rsidRDefault="00B9272B" w:rsidP="00CE7FA5">
      <w:r>
        <w:separator/>
      </w:r>
    </w:p>
  </w:endnote>
  <w:endnote w:type="continuationSeparator" w:id="0">
    <w:p w:rsidR="00B9272B" w:rsidRDefault="00B9272B" w:rsidP="00CE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98" w:rsidRDefault="00A66A98">
    <w:pPr>
      <w:pStyle w:val="Footer"/>
    </w:pPr>
    <w:r>
      <w:t xml:space="preserve">STAFF RESPONSE IN OPPOSITION TO NUCOR </w:t>
    </w:r>
  </w:p>
  <w:p w:rsidR="00A66A98" w:rsidRDefault="00A66A98">
    <w:pPr>
      <w:pStyle w:val="Footer"/>
    </w:pPr>
    <w:r>
      <w:t xml:space="preserve">LATE FILED PETITION TO INTERVENE - </w:t>
    </w:r>
    <w:fldSimple w:instr=" PAGE   \* MERGEFORMAT ">
      <w:r w:rsidR="00CF6DE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2B" w:rsidRDefault="00B9272B" w:rsidP="00CE7FA5">
      <w:r>
        <w:separator/>
      </w:r>
    </w:p>
  </w:footnote>
  <w:footnote w:type="continuationSeparator" w:id="0">
    <w:p w:rsidR="00B9272B" w:rsidRDefault="00B9272B" w:rsidP="00CE7FA5">
      <w:r>
        <w:continuationSeparator/>
      </w:r>
    </w:p>
  </w:footnote>
  <w:footnote w:id="1">
    <w:p w:rsidR="00B9272B" w:rsidRDefault="00B9272B">
      <w:pPr>
        <w:pStyle w:val="FootnoteText"/>
      </w:pPr>
      <w:r>
        <w:rPr>
          <w:rStyle w:val="FootnoteReference"/>
        </w:rPr>
        <w:footnoteRef/>
      </w:r>
      <w:r>
        <w:t xml:space="preserve"> Nucor Steel Seattle, Inc. Response to Commission Staff at ¶ 5.</w:t>
      </w:r>
    </w:p>
  </w:footnote>
  <w:footnote w:id="2">
    <w:p w:rsidR="00B9272B" w:rsidRDefault="00B927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2C66">
        <w:rPr>
          <w:i/>
        </w:rPr>
        <w:t>WUTC v. Puget Sound Energy, Inc.</w:t>
      </w:r>
      <w:r w:rsidRPr="00592C66">
        <w:rPr>
          <w:i/>
        </w:rPr>
        <w:t>,</w:t>
      </w:r>
      <w:r>
        <w:t xml:space="preserve"> Dockets UE-072300 and UG-072301, Order 03 at ¶¶ 6 and 8 (January</w:t>
      </w:r>
      <w:r w:rsidR="00CF6DE0">
        <w:t> </w:t>
      </w:r>
      <w:r>
        <w:t>17, 2008).</w:t>
      </w:r>
    </w:p>
  </w:footnote>
  <w:footnote w:id="3">
    <w:p w:rsidR="002B64D1" w:rsidRDefault="002B64D1">
      <w:pPr>
        <w:pStyle w:val="FootnoteText"/>
      </w:pPr>
      <w:r>
        <w:rPr>
          <w:rStyle w:val="FootnoteReference"/>
        </w:rPr>
        <w:footnoteRef/>
      </w:r>
      <w:r>
        <w:t xml:space="preserve"> Indeed, another 30 days elapsed after the PSE meeting before Nucor sought intervention.  No explanation is offered for that further delay.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144"/>
    <w:multiLevelType w:val="hybridMultilevel"/>
    <w:tmpl w:val="2F14575E"/>
    <w:lvl w:ilvl="0" w:tplc="490CB36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6E1263"/>
    <w:multiLevelType w:val="hybridMultilevel"/>
    <w:tmpl w:val="469656CA"/>
    <w:lvl w:ilvl="0" w:tplc="490CB36E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96"/>
    <w:rsid w:val="00130F26"/>
    <w:rsid w:val="0017547C"/>
    <w:rsid w:val="001C3FA2"/>
    <w:rsid w:val="00241980"/>
    <w:rsid w:val="002849D8"/>
    <w:rsid w:val="002B64D1"/>
    <w:rsid w:val="002C1EB6"/>
    <w:rsid w:val="00341494"/>
    <w:rsid w:val="00452473"/>
    <w:rsid w:val="004A7585"/>
    <w:rsid w:val="004F1DE0"/>
    <w:rsid w:val="005241A1"/>
    <w:rsid w:val="00592C66"/>
    <w:rsid w:val="00600073"/>
    <w:rsid w:val="007845CC"/>
    <w:rsid w:val="00812020"/>
    <w:rsid w:val="0082436A"/>
    <w:rsid w:val="0097134E"/>
    <w:rsid w:val="00A66A98"/>
    <w:rsid w:val="00AF79BB"/>
    <w:rsid w:val="00B9272B"/>
    <w:rsid w:val="00CE7FA5"/>
    <w:rsid w:val="00CF6DE0"/>
    <w:rsid w:val="00D6238C"/>
    <w:rsid w:val="00D83AF4"/>
    <w:rsid w:val="00DD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E7FA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F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1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6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A9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6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A98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4F1DE0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4F1DE0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626014-25AB-4B6C-8CEE-FD26583F186F}"/>
</file>

<file path=customXml/itemProps2.xml><?xml version="1.0" encoding="utf-8"?>
<ds:datastoreItem xmlns:ds="http://schemas.openxmlformats.org/officeDocument/2006/customXml" ds:itemID="{B5A170EE-82A2-4D77-8FEA-B5919BA52347}"/>
</file>

<file path=customXml/itemProps3.xml><?xml version="1.0" encoding="utf-8"?>
<ds:datastoreItem xmlns:ds="http://schemas.openxmlformats.org/officeDocument/2006/customXml" ds:itemID="{C77E0991-D004-4A2C-AF3E-5884970D73BD}"/>
</file>

<file path=customXml/itemProps4.xml><?xml version="1.0" encoding="utf-8"?>
<ds:datastoreItem xmlns:ds="http://schemas.openxmlformats.org/officeDocument/2006/customXml" ds:itemID="{58E870C2-1CFD-4651-81EF-BFCE83347890}"/>
</file>

<file path=customXml/itemProps5.xml><?xml version="1.0" encoding="utf-8"?>
<ds:datastoreItem xmlns:ds="http://schemas.openxmlformats.org/officeDocument/2006/customXml" ds:itemID="{9BACFF46-D6E7-4CAF-8767-DEB1C0719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Cedarbaum</dc:creator>
  <cp:keywords/>
  <dc:description/>
  <cp:lastModifiedBy>Krista Gross</cp:lastModifiedBy>
  <cp:revision>10</cp:revision>
  <dcterms:created xsi:type="dcterms:W3CDTF">2009-07-30T18:47:00Z</dcterms:created>
  <dcterms:modified xsi:type="dcterms:W3CDTF">2009-07-30T21:56:00Z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