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46" w:rsidRDefault="00883A2E" w:rsidP="00077AFF">
      <w:pPr>
        <w:tabs>
          <w:tab w:val="center" w:pos="4680"/>
        </w:tabs>
        <w:ind w:right="-252" w:hanging="360"/>
        <w:jc w:val="right"/>
        <w:rPr>
          <w:b/>
          <w:bCs/>
        </w:rPr>
      </w:pPr>
      <w:r w:rsidRPr="003A2606">
        <w:rPr>
          <w:b/>
          <w:bCs/>
        </w:rPr>
        <w:tab/>
      </w:r>
      <w:r w:rsidRPr="003A2606">
        <w:rPr>
          <w:b/>
          <w:bCs/>
        </w:rPr>
        <w:tab/>
        <w:t xml:space="preserve">Exhibit No. ___ </w:t>
      </w:r>
      <w:r w:rsidR="00B63CCF">
        <w:rPr>
          <w:b/>
          <w:bCs/>
        </w:rPr>
        <w:t xml:space="preserve">T </w:t>
      </w:r>
      <w:r w:rsidRPr="003A2606">
        <w:rPr>
          <w:b/>
          <w:bCs/>
        </w:rPr>
        <w:t>(TES-</w:t>
      </w:r>
      <w:r w:rsidR="004F0323">
        <w:rPr>
          <w:b/>
          <w:bCs/>
        </w:rPr>
        <w:t>4</w:t>
      </w:r>
      <w:r w:rsidR="004F0323" w:rsidRPr="003A2606">
        <w:rPr>
          <w:b/>
          <w:bCs/>
        </w:rPr>
        <w:t>T</w:t>
      </w:r>
      <w:r w:rsidRPr="003A2606">
        <w:rPr>
          <w:b/>
          <w:bCs/>
        </w:rPr>
        <w:t xml:space="preserve">) </w:t>
      </w:r>
    </w:p>
    <w:p w:rsidR="00BC2646" w:rsidRPr="003A2606" w:rsidRDefault="00BC2646" w:rsidP="00BC2646">
      <w:pPr>
        <w:tabs>
          <w:tab w:val="center" w:pos="4680"/>
        </w:tabs>
        <w:ind w:right="-252" w:hanging="360"/>
        <w:jc w:val="right"/>
        <w:rPr>
          <w:b/>
          <w:bCs/>
        </w:rPr>
      </w:pPr>
      <w:r>
        <w:rPr>
          <w:b/>
          <w:bCs/>
        </w:rPr>
        <w:t>DOCKET UE-121373</w:t>
      </w:r>
    </w:p>
    <w:p w:rsidR="00883A2E" w:rsidRDefault="00883A2E" w:rsidP="00BC2646">
      <w:pPr>
        <w:tabs>
          <w:tab w:val="center" w:pos="4680"/>
        </w:tabs>
        <w:ind w:right="-252" w:hanging="360"/>
        <w:jc w:val="right"/>
        <w:rPr>
          <w:b/>
          <w:bCs/>
        </w:rPr>
      </w:pPr>
      <w:r w:rsidRPr="003A2606">
        <w:rPr>
          <w:b/>
          <w:bCs/>
        </w:rPr>
        <w:t>D</w:t>
      </w:r>
      <w:r w:rsidR="00BC2646">
        <w:rPr>
          <w:b/>
          <w:bCs/>
        </w:rPr>
        <w:t>OCKETS</w:t>
      </w:r>
      <w:r w:rsidRPr="003A2606">
        <w:rPr>
          <w:b/>
          <w:bCs/>
        </w:rPr>
        <w:t xml:space="preserve"> UE-</w:t>
      </w:r>
      <w:r w:rsidR="00920EB2">
        <w:rPr>
          <w:b/>
          <w:bCs/>
        </w:rPr>
        <w:t>121697</w:t>
      </w:r>
      <w:r w:rsidRPr="003A2606">
        <w:rPr>
          <w:b/>
          <w:bCs/>
        </w:rPr>
        <w:t>/UG-</w:t>
      </w:r>
      <w:r w:rsidR="00920EB2">
        <w:rPr>
          <w:b/>
          <w:bCs/>
        </w:rPr>
        <w:t>121705</w:t>
      </w:r>
    </w:p>
    <w:p w:rsidR="00920EB2" w:rsidRPr="003A2606" w:rsidRDefault="00BC2646" w:rsidP="00BC2646">
      <w:pPr>
        <w:tabs>
          <w:tab w:val="center" w:pos="4680"/>
        </w:tabs>
        <w:ind w:right="-252" w:hanging="360"/>
        <w:jc w:val="right"/>
        <w:rPr>
          <w:b/>
          <w:bCs/>
        </w:rPr>
      </w:pPr>
      <w:r>
        <w:rPr>
          <w:b/>
          <w:bCs/>
        </w:rPr>
        <w:t>DOCKETS UE-130137/UG-130138</w:t>
      </w:r>
    </w:p>
    <w:p w:rsidR="00883A2E" w:rsidRPr="003A2606" w:rsidRDefault="00883A2E" w:rsidP="00BC2646">
      <w:pPr>
        <w:tabs>
          <w:tab w:val="center" w:pos="4680"/>
        </w:tabs>
        <w:ind w:right="-252" w:hanging="360"/>
        <w:jc w:val="right"/>
        <w:rPr>
          <w:b/>
          <w:bCs/>
        </w:rPr>
      </w:pPr>
      <w:r w:rsidRPr="003A2606">
        <w:rPr>
          <w:b/>
          <w:bCs/>
        </w:rPr>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t>v.</w:t>
            </w:r>
          </w:p>
          <w:p w:rsidR="00883A2E" w:rsidRPr="003A2606" w:rsidRDefault="00883A2E" w:rsidP="002F0348">
            <w:pPr>
              <w:rPr>
                <w:b/>
              </w:rPr>
            </w:pPr>
          </w:p>
          <w:p w:rsidR="00883A2E" w:rsidRPr="003A2606" w:rsidRDefault="00883A2E" w:rsidP="002F0348">
            <w:pPr>
              <w:rPr>
                <w:b/>
              </w:rPr>
            </w:pPr>
            <w:r w:rsidRPr="003A2606">
              <w:rPr>
                <w:b/>
              </w:rPr>
              <w:t xml:space="preserve">PUGET SOUND ENERGY, </w:t>
            </w:r>
            <w:r w:rsidR="00020587">
              <w:rPr>
                <w:b/>
              </w:rPr>
              <w:t>INC.</w:t>
            </w:r>
            <w:r w:rsidR="009A1118">
              <w:rPr>
                <w:b/>
              </w:rPr>
              <w:t>,</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C2646" w:rsidRPr="003A2606" w:rsidRDefault="00BC2646" w:rsidP="006756E0">
            <w:pPr>
              <w:tabs>
                <w:tab w:val="center" w:pos="4680"/>
              </w:tabs>
              <w:ind w:left="416" w:right="-252"/>
              <w:rPr>
                <w:b/>
                <w:bCs/>
              </w:rPr>
            </w:pPr>
            <w:r>
              <w:rPr>
                <w:b/>
                <w:bCs/>
              </w:rPr>
              <w:t>DOCKET UE-121373</w:t>
            </w:r>
          </w:p>
          <w:p w:rsidR="00BC2646" w:rsidRDefault="00BC2646" w:rsidP="006756E0">
            <w:pPr>
              <w:tabs>
                <w:tab w:val="center" w:pos="4680"/>
              </w:tabs>
              <w:ind w:left="416" w:right="-252"/>
              <w:rPr>
                <w:b/>
                <w:bCs/>
              </w:rPr>
            </w:pPr>
            <w:r w:rsidRPr="003A2606">
              <w:rPr>
                <w:b/>
                <w:bCs/>
              </w:rPr>
              <w:t>D</w:t>
            </w:r>
            <w:r>
              <w:rPr>
                <w:b/>
                <w:bCs/>
              </w:rPr>
              <w:t>OCKETS</w:t>
            </w:r>
            <w:r w:rsidRPr="003A2606">
              <w:rPr>
                <w:b/>
                <w:bCs/>
              </w:rPr>
              <w:t xml:space="preserve"> UE-</w:t>
            </w:r>
            <w:r>
              <w:rPr>
                <w:b/>
                <w:bCs/>
              </w:rPr>
              <w:t>121697</w:t>
            </w:r>
            <w:r w:rsidRPr="003A2606">
              <w:rPr>
                <w:b/>
                <w:bCs/>
              </w:rPr>
              <w:t>/UG-</w:t>
            </w:r>
            <w:r>
              <w:rPr>
                <w:b/>
                <w:bCs/>
              </w:rPr>
              <w:t>121705</w:t>
            </w:r>
          </w:p>
          <w:p w:rsidR="00BC2646" w:rsidRPr="003A2606" w:rsidRDefault="00BC2646" w:rsidP="006756E0">
            <w:pPr>
              <w:tabs>
                <w:tab w:val="center" w:pos="4680"/>
              </w:tabs>
              <w:ind w:left="416" w:right="-252"/>
              <w:rPr>
                <w:b/>
                <w:bCs/>
              </w:rPr>
            </w:pPr>
            <w:r>
              <w:rPr>
                <w:b/>
                <w:bCs/>
              </w:rPr>
              <w:t>DOCKETS UE-130137/UG-130138</w:t>
            </w:r>
          </w:p>
          <w:p w:rsidR="002B2F2E" w:rsidRPr="002B2F2E" w:rsidRDefault="002B2F2E" w:rsidP="006756E0">
            <w:pPr>
              <w:spacing w:after="19"/>
              <w:ind w:left="416"/>
              <w:rPr>
                <w:b/>
              </w:rPr>
            </w:pPr>
          </w:p>
        </w:tc>
      </w:tr>
    </w:tbl>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 xml:space="preserve">REBUTTAL </w:t>
      </w:r>
      <w:r w:rsidR="00883A2E"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1A1C3B" w:rsidRPr="001A1C3B" w:rsidRDefault="00920EB2" w:rsidP="00883A2E">
      <w:pPr>
        <w:jc w:val="center"/>
        <w:rPr>
          <w:b/>
          <w:bCs/>
          <w:i/>
        </w:rPr>
      </w:pPr>
      <w:r w:rsidRPr="001A1C3B">
        <w:rPr>
          <w:b/>
          <w:bCs/>
          <w:i/>
        </w:rPr>
        <w:t xml:space="preserve">In Support of </w:t>
      </w:r>
      <w:r w:rsidR="001A1C3B" w:rsidRPr="001A1C3B">
        <w:rPr>
          <w:b/>
          <w:bCs/>
          <w:i/>
        </w:rPr>
        <w:t xml:space="preserve">Multiparty Settlement Re:  </w:t>
      </w:r>
    </w:p>
    <w:p w:rsidR="00883A2E" w:rsidRPr="003A2606" w:rsidRDefault="001A1C3B" w:rsidP="00883A2E">
      <w:pPr>
        <w:jc w:val="center"/>
        <w:rPr>
          <w:b/>
          <w:bCs/>
          <w:i/>
        </w:rPr>
      </w:pPr>
      <w:r w:rsidRPr="001A1C3B">
        <w:rPr>
          <w:b/>
          <w:bCs/>
          <w:i/>
        </w:rPr>
        <w:t>Coal Transition Power Purchase Agreement and Other Pending Dockets</w:t>
      </w:r>
    </w:p>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May</w:t>
      </w:r>
      <w:r w:rsidRPr="003A2606">
        <w:rPr>
          <w:b/>
          <w:bCs/>
        </w:rPr>
        <w:t xml:space="preserve"> </w:t>
      </w:r>
      <w:r>
        <w:rPr>
          <w:b/>
          <w:bCs/>
        </w:rPr>
        <w:t>8</w:t>
      </w:r>
      <w:r w:rsidR="00883A2E" w:rsidRPr="003A2606">
        <w:rPr>
          <w:b/>
          <w:bCs/>
        </w:rPr>
        <w:t>, 201</w:t>
      </w:r>
      <w:r w:rsidR="00920EB2">
        <w:rPr>
          <w:b/>
          <w:bCs/>
        </w:rPr>
        <w:t>3</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BB2779" w:rsidRDefault="00BB2779" w:rsidP="00883A2E">
      <w:pPr>
        <w:pStyle w:val="Heading3"/>
        <w:keepNext w:val="0"/>
        <w:widowControl w:val="0"/>
      </w:pPr>
    </w:p>
    <w:p w:rsidR="00883A2E" w:rsidRPr="003A2606" w:rsidRDefault="00883A2E" w:rsidP="00883A2E">
      <w:pPr>
        <w:pStyle w:val="Heading3"/>
        <w:keepNext w:val="0"/>
        <w:widowControl w:val="0"/>
      </w:pPr>
      <w:r w:rsidRPr="003A2606">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A70671">
        <w:t xml:space="preserve">COPE AND SUMMARY OF TESTIMONY </w:t>
      </w:r>
      <w:r w:rsidR="00A70671">
        <w:tab/>
        <w:t>1</w:t>
      </w:r>
    </w:p>
    <w:p w:rsidR="00883A2E" w:rsidRPr="003A2606" w:rsidRDefault="00883A2E" w:rsidP="00883A2E"/>
    <w:p w:rsidR="00883A2E" w:rsidRDefault="00883A2E" w:rsidP="00E44B28">
      <w:pPr>
        <w:tabs>
          <w:tab w:val="left" w:pos="720"/>
          <w:tab w:val="left" w:pos="1440"/>
          <w:tab w:val="left" w:pos="2160"/>
          <w:tab w:val="right" w:leader="dot" w:pos="9000"/>
        </w:tabs>
      </w:pPr>
      <w:r w:rsidRPr="003A2606">
        <w:t>III.</w:t>
      </w:r>
      <w:r w:rsidRPr="003A2606">
        <w:tab/>
      </w:r>
      <w:r w:rsidR="00A70671">
        <w:t xml:space="preserve">DISCUSSION </w:t>
      </w:r>
      <w:r w:rsidR="00A70671">
        <w:tab/>
        <w:t>2</w:t>
      </w:r>
    </w:p>
    <w:p w:rsidR="00A70671" w:rsidRDefault="00A70671" w:rsidP="00E44B28">
      <w:pPr>
        <w:tabs>
          <w:tab w:val="left" w:pos="720"/>
          <w:tab w:val="left" w:pos="1440"/>
          <w:tab w:val="left" w:pos="2160"/>
          <w:tab w:val="right" w:leader="dot" w:pos="9000"/>
        </w:tabs>
      </w:pPr>
    </w:p>
    <w:p w:rsidR="00A70671" w:rsidRPr="00A70671" w:rsidRDefault="00A70671" w:rsidP="00E44B28">
      <w:pPr>
        <w:tabs>
          <w:tab w:val="left" w:pos="720"/>
          <w:tab w:val="left" w:pos="1440"/>
          <w:tab w:val="left" w:pos="2160"/>
          <w:tab w:val="right" w:leader="dot" w:pos="9000"/>
        </w:tabs>
      </w:pPr>
      <w:r w:rsidRPr="00A70671">
        <w:tab/>
        <w:t xml:space="preserve">A. </w:t>
      </w:r>
      <w:r w:rsidRPr="00A70671">
        <w:tab/>
        <w:t xml:space="preserve">Summary of Contested Issues </w:t>
      </w:r>
      <w:r w:rsidRPr="00A70671">
        <w:tab/>
        <w:t>2</w:t>
      </w:r>
    </w:p>
    <w:p w:rsidR="00A70671" w:rsidRP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 xml:space="preserve">B. </w:t>
      </w:r>
      <w:r w:rsidRPr="00A70671">
        <w:tab/>
        <w:t xml:space="preserve">Rate of Return </w:t>
      </w:r>
      <w:r w:rsidRPr="00A70671">
        <w:tab/>
        <w:t>3</w:t>
      </w:r>
    </w:p>
    <w:p w:rsid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C.</w:t>
      </w:r>
      <w:r w:rsidRPr="00A70671">
        <w:tab/>
        <w:t xml:space="preserve">Expedited Rate Filing and End-of-Period Rate Base </w:t>
      </w:r>
      <w:r w:rsidRPr="00A70671">
        <w:tab/>
        <w:t>5</w:t>
      </w:r>
    </w:p>
    <w:p w:rsidR="00A70671" w:rsidRDefault="00A70671" w:rsidP="00E44B28">
      <w:pPr>
        <w:tabs>
          <w:tab w:val="left" w:pos="720"/>
          <w:tab w:val="left" w:pos="1440"/>
          <w:tab w:val="left" w:pos="2160"/>
          <w:tab w:val="right" w:leader="dot" w:pos="9000"/>
        </w:tabs>
      </w:pPr>
    </w:p>
    <w:p w:rsidR="00571398" w:rsidRPr="00571398" w:rsidRDefault="00571398" w:rsidP="00E44B28">
      <w:pPr>
        <w:tabs>
          <w:tab w:val="left" w:pos="720"/>
          <w:tab w:val="left" w:pos="1440"/>
          <w:tab w:val="left" w:pos="2160"/>
          <w:tab w:val="right" w:leader="dot" w:pos="9000"/>
        </w:tabs>
      </w:pPr>
      <w:r w:rsidRPr="00571398">
        <w:tab/>
      </w:r>
      <w:r w:rsidR="00E5203D">
        <w:t>D</w:t>
      </w:r>
      <w:r w:rsidRPr="00571398">
        <w:t>.</w:t>
      </w:r>
      <w:r w:rsidRPr="00571398">
        <w:tab/>
        <w:t>Claims That the ERF and Rate Plan are Overly Generous</w:t>
      </w:r>
      <w:r w:rsidR="00EC5F25">
        <w:t xml:space="preserve"> </w:t>
      </w:r>
      <w:r w:rsidR="00EC5F25">
        <w:tab/>
        <w:t>9</w:t>
      </w:r>
    </w:p>
    <w:p w:rsidR="00A70671" w:rsidRDefault="00A70671" w:rsidP="00E44B28">
      <w:pPr>
        <w:tabs>
          <w:tab w:val="left" w:pos="720"/>
          <w:tab w:val="left" w:pos="1440"/>
          <w:tab w:val="left" w:pos="2160"/>
          <w:tab w:val="right" w:leader="dot" w:pos="9000"/>
        </w:tabs>
      </w:pPr>
    </w:p>
    <w:p w:rsidR="00571398" w:rsidRPr="00E5203D" w:rsidRDefault="00E5203D" w:rsidP="00E44B28">
      <w:pPr>
        <w:tabs>
          <w:tab w:val="left" w:pos="720"/>
          <w:tab w:val="left" w:pos="1440"/>
          <w:tab w:val="left" w:pos="2160"/>
          <w:tab w:val="right" w:leader="dot" w:pos="9000"/>
        </w:tabs>
      </w:pPr>
      <w:r w:rsidRPr="00E5203D">
        <w:tab/>
        <w:t xml:space="preserve">E. </w:t>
      </w:r>
      <w:r w:rsidRPr="00E5203D">
        <w:tab/>
        <w:t>Decoupling</w:t>
      </w:r>
      <w:r w:rsidR="00EC5F25">
        <w:t xml:space="preserve"> </w:t>
      </w:r>
      <w:r w:rsidR="00EC5F25">
        <w:tab/>
        <w:t>9</w:t>
      </w:r>
    </w:p>
    <w:p w:rsidR="00A70671" w:rsidRDefault="00A70671" w:rsidP="00E44B28">
      <w:pPr>
        <w:tabs>
          <w:tab w:val="left" w:pos="720"/>
          <w:tab w:val="left" w:pos="1440"/>
          <w:tab w:val="left" w:pos="2160"/>
          <w:tab w:val="right" w:leader="dot" w:pos="9000"/>
        </w:tabs>
      </w:pPr>
    </w:p>
    <w:p w:rsidR="00F71B03" w:rsidRPr="00F71B03" w:rsidRDefault="00F71B03" w:rsidP="00E44B28">
      <w:pPr>
        <w:tabs>
          <w:tab w:val="left" w:pos="720"/>
          <w:tab w:val="left" w:pos="1440"/>
          <w:tab w:val="left" w:pos="2160"/>
          <w:tab w:val="right" w:leader="dot" w:pos="9000"/>
        </w:tabs>
      </w:pPr>
      <w:r w:rsidRPr="00F71B03">
        <w:tab/>
        <w:t xml:space="preserve">F. </w:t>
      </w:r>
      <w:r w:rsidRPr="00F71B03">
        <w:tab/>
        <w:t xml:space="preserve">Merits of the TransAlta Power Purchase Agreement and </w:t>
      </w:r>
    </w:p>
    <w:p w:rsidR="00E5203D" w:rsidRPr="00F71B03" w:rsidRDefault="00F71B03" w:rsidP="00E44B28">
      <w:pPr>
        <w:tabs>
          <w:tab w:val="left" w:pos="720"/>
          <w:tab w:val="left" w:pos="1440"/>
          <w:tab w:val="left" w:pos="2160"/>
          <w:tab w:val="right" w:leader="dot" w:pos="9000"/>
        </w:tabs>
      </w:pPr>
      <w:r w:rsidRPr="00F71B03">
        <w:tab/>
      </w:r>
      <w:r w:rsidRPr="00F71B03">
        <w:tab/>
        <w:t>Global Settlement</w:t>
      </w:r>
      <w:r w:rsidR="00EC5F25">
        <w:t xml:space="preserve"> </w:t>
      </w:r>
      <w:r w:rsidR="00EC5F25">
        <w:tab/>
        <w:t>12</w:t>
      </w:r>
    </w:p>
    <w:p w:rsidR="00E5203D" w:rsidRDefault="00E5203D" w:rsidP="00E44B28">
      <w:pPr>
        <w:tabs>
          <w:tab w:val="left" w:pos="720"/>
          <w:tab w:val="left" w:pos="1440"/>
          <w:tab w:val="left" w:pos="2160"/>
          <w:tab w:val="right" w:leader="dot" w:pos="9000"/>
        </w:tabs>
      </w:pPr>
    </w:p>
    <w:p w:rsidR="00166F9F" w:rsidRDefault="00166F9F" w:rsidP="00E44B28">
      <w:pPr>
        <w:tabs>
          <w:tab w:val="left" w:pos="720"/>
          <w:tab w:val="left" w:pos="1440"/>
          <w:tab w:val="left" w:pos="2160"/>
          <w:tab w:val="right" w:leader="dot" w:pos="9000"/>
        </w:tabs>
      </w:pPr>
      <w:r w:rsidRPr="00166F9F">
        <w:tab/>
        <w:t>G.</w:t>
      </w:r>
      <w:r w:rsidRPr="00166F9F">
        <w:tab/>
        <w:t>Adequacy of the Procedural Schedule</w:t>
      </w:r>
      <w:r w:rsidR="00EC5F25">
        <w:t xml:space="preserve"> </w:t>
      </w:r>
      <w:r w:rsidR="00EC5F25">
        <w:tab/>
        <w:t>13</w:t>
      </w:r>
    </w:p>
    <w:p w:rsidR="00166F9F" w:rsidRDefault="00166F9F" w:rsidP="00E44B28">
      <w:pPr>
        <w:tabs>
          <w:tab w:val="left" w:pos="720"/>
          <w:tab w:val="left" w:pos="1440"/>
          <w:tab w:val="left" w:pos="2160"/>
          <w:tab w:val="right" w:leader="dot" w:pos="9000"/>
        </w:tabs>
      </w:pPr>
    </w:p>
    <w:p w:rsidR="00166F9F" w:rsidRPr="00166F9F" w:rsidRDefault="00166F9F" w:rsidP="00E44B28">
      <w:pPr>
        <w:tabs>
          <w:tab w:val="left" w:pos="720"/>
          <w:tab w:val="left" w:pos="1440"/>
          <w:tab w:val="left" w:pos="2160"/>
          <w:tab w:val="right" w:leader="dot" w:pos="9000"/>
        </w:tabs>
      </w:pPr>
      <w:r w:rsidRPr="00166F9F">
        <w:t xml:space="preserve">IV. </w:t>
      </w:r>
      <w:r w:rsidRPr="00166F9F">
        <w:tab/>
        <w:t xml:space="preserve">CONCLUSION </w:t>
      </w:r>
      <w:r w:rsidRPr="00166F9F">
        <w:tab/>
        <w:t>14</w:t>
      </w:r>
    </w:p>
    <w:p w:rsidR="00883A2E" w:rsidRDefault="00883A2E" w:rsidP="00883A2E"/>
    <w:p w:rsidR="00883A2E" w:rsidRDefault="00883A2E" w:rsidP="00883A2E"/>
    <w:p w:rsidR="00BB2779" w:rsidRPr="003A2606" w:rsidRDefault="00BB2779" w:rsidP="00883A2E"/>
    <w:p w:rsidR="00883A2E" w:rsidRPr="003A2606" w:rsidRDefault="00883A2E" w:rsidP="00883A2E">
      <w:pPr>
        <w:jc w:val="center"/>
      </w:pPr>
      <w:r w:rsidRPr="003A2606">
        <w:rPr>
          <w:b/>
        </w:rPr>
        <w:t>LIST OF EXHIBITS</w:t>
      </w:r>
    </w:p>
    <w:p w:rsidR="00883A2E" w:rsidRPr="003A2606" w:rsidRDefault="00883A2E" w:rsidP="00883A2E"/>
    <w:p w:rsidR="00A74ABD" w:rsidRDefault="00A74ABD" w:rsidP="00BB2779">
      <w:pPr>
        <w:ind w:left="2520" w:hanging="2520"/>
      </w:pPr>
    </w:p>
    <w:p w:rsidR="00BC2646" w:rsidRDefault="00BC2646" w:rsidP="00BC2646">
      <w:r w:rsidRPr="003A2606">
        <w:t>Exhibit No. ___ (TES-</w:t>
      </w:r>
      <w:r>
        <w:t>3</w:t>
      </w:r>
      <w:r w:rsidR="0029505E">
        <w:t xml:space="preserve"> Revised</w:t>
      </w:r>
      <w:r w:rsidRPr="003A2606">
        <w:t>)</w:t>
      </w:r>
      <w:r w:rsidR="00410954">
        <w:t>,</w:t>
      </w:r>
      <w:r>
        <w:t xml:space="preserve"> </w:t>
      </w:r>
      <w:r w:rsidR="00410954">
        <w:t>Rates of return in Commission-basis Reports</w:t>
      </w:r>
    </w:p>
    <w:p w:rsidR="00883A2E" w:rsidRPr="003A2606" w:rsidRDefault="00883A2E" w:rsidP="00883A2E"/>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8C33A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ind w:left="720" w:hanging="720"/>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r>
      <w:r w:rsidR="0029505E">
        <w:rPr>
          <w:rFonts w:ascii="Times New Roman" w:hAnsi="Times New Roman" w:cs="Times New Roman"/>
          <w:color w:val="auto"/>
          <w:sz w:val="24"/>
          <w:szCs w:val="24"/>
        </w:rPr>
        <w:t>Are you the same Thomas E. Schooley that submitted testimony on March 27, 2013</w:t>
      </w:r>
      <w:r w:rsidRPr="003A2606">
        <w:rPr>
          <w:rFonts w:ascii="Times New Roman" w:hAnsi="Times New Roman" w:cs="Times New Roman"/>
          <w:color w:val="auto"/>
          <w:sz w:val="24"/>
          <w:szCs w:val="24"/>
        </w:rPr>
        <w:t xml:space="preserve">?  </w:t>
      </w:r>
    </w:p>
    <w:p w:rsidR="00883A2E" w:rsidRPr="003A2606" w:rsidRDefault="00883A2E" w:rsidP="00D96440">
      <w:pPr>
        <w:spacing w:line="480" w:lineRule="auto"/>
        <w:ind w:left="720" w:hanging="720"/>
      </w:pPr>
      <w:r w:rsidRPr="003A2606">
        <w:t>A.</w:t>
      </w:r>
      <w:r w:rsidRPr="003A2606">
        <w:tab/>
      </w:r>
      <w:r w:rsidR="0029505E">
        <w:t>Yes</w:t>
      </w:r>
      <w:r w:rsidR="00E31C9B">
        <w:t xml:space="preserve">.  </w:t>
      </w:r>
    </w:p>
    <w:p w:rsidR="00883A2E" w:rsidRPr="003A2606" w:rsidRDefault="00883A2E" w:rsidP="00D96440">
      <w:pPr>
        <w:pStyle w:val="BodyTextIndent"/>
      </w:pPr>
    </w:p>
    <w:p w:rsidR="00883A2E" w:rsidRPr="003A2606" w:rsidRDefault="00883A2E" w:rsidP="00D96440">
      <w:pPr>
        <w:pStyle w:val="BodyTextIndent"/>
        <w:keepNext/>
        <w:jc w:val="center"/>
      </w:pPr>
      <w:r w:rsidRPr="003A2606">
        <w:rPr>
          <w:b/>
        </w:rPr>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 xml:space="preserve">What is the purpose of your </w:t>
      </w:r>
      <w:r w:rsidR="0029505E">
        <w:rPr>
          <w:b/>
        </w:rPr>
        <w:t xml:space="preserve">rebuttal </w:t>
      </w:r>
      <w:r w:rsidRPr="003A2606">
        <w:rPr>
          <w:b/>
        </w:rPr>
        <w:t>testimony in this proceeding?</w:t>
      </w:r>
    </w:p>
    <w:p w:rsidR="001978F3" w:rsidRDefault="001978F3" w:rsidP="001267A9">
      <w:pPr>
        <w:spacing w:line="480" w:lineRule="auto"/>
        <w:ind w:left="720" w:hanging="720"/>
      </w:pPr>
      <w:r>
        <w:t>A.</w:t>
      </w:r>
      <w:r>
        <w:tab/>
      </w:r>
      <w:r w:rsidR="0003409F">
        <w:t>I</w:t>
      </w:r>
      <w:r w:rsidR="00920EB2">
        <w:t xml:space="preserve"> </w:t>
      </w:r>
      <w:r w:rsidR="0029505E">
        <w:t xml:space="preserve">reiterate </w:t>
      </w:r>
      <w:r w:rsidR="00123FDC">
        <w:t xml:space="preserve">Staff’s support for the global settlement of </w:t>
      </w:r>
      <w:r w:rsidR="00382AFC">
        <w:t>five dockets</w:t>
      </w:r>
      <w:r w:rsidR="0029505E">
        <w:rPr>
          <w:rStyle w:val="FootnoteReference"/>
        </w:rPr>
        <w:footnoteReference w:id="1"/>
      </w:r>
      <w:r w:rsidR="00382AFC">
        <w:t xml:space="preserve"> co</w:t>
      </w:r>
      <w:r w:rsidR="006C3ECD">
        <w:t>vering three major issues</w:t>
      </w:r>
      <w:r w:rsidR="0029505E">
        <w:t xml:space="preserve"> and rebut various claims </w:t>
      </w:r>
      <w:r w:rsidR="009A1118">
        <w:t xml:space="preserve">of </w:t>
      </w:r>
      <w:r w:rsidR="0029505E">
        <w:t>Public Counsel, and intervenors</w:t>
      </w:r>
      <w:r w:rsidR="009A1118">
        <w:t>.</w:t>
      </w:r>
      <w:r w:rsidR="00DE1CC3">
        <w:rPr>
          <w:rStyle w:val="FootnoteReference"/>
        </w:rPr>
        <w:footnoteReference w:id="2"/>
      </w:r>
      <w:r w:rsidR="00B26E2D">
        <w:t xml:space="preserve">  </w:t>
      </w:r>
    </w:p>
    <w:p w:rsidR="00DE1CC3" w:rsidRDefault="00DE1CC3" w:rsidP="001267A9">
      <w:pPr>
        <w:spacing w:line="480" w:lineRule="auto"/>
        <w:ind w:left="720" w:hanging="720"/>
      </w:pPr>
    </w:p>
    <w:p w:rsidR="00DE1CC3" w:rsidRPr="00F168B3" w:rsidRDefault="00DE1CC3" w:rsidP="001267A9">
      <w:pPr>
        <w:spacing w:line="480" w:lineRule="auto"/>
        <w:ind w:left="720" w:hanging="720"/>
        <w:rPr>
          <w:b/>
        </w:rPr>
      </w:pPr>
      <w:r w:rsidRPr="00F168B3">
        <w:rPr>
          <w:b/>
        </w:rPr>
        <w:t>Q.</w:t>
      </w:r>
      <w:r w:rsidRPr="00F168B3">
        <w:rPr>
          <w:b/>
        </w:rPr>
        <w:tab/>
        <w:t>Have any other parties joined the Global Settlement since Staff filed testimony on March 27, 2013?</w:t>
      </w:r>
    </w:p>
    <w:p w:rsidR="008B0C55" w:rsidRDefault="00DE1CC3" w:rsidP="001267A9">
      <w:pPr>
        <w:spacing w:line="480" w:lineRule="auto"/>
        <w:ind w:left="720" w:hanging="720"/>
      </w:pPr>
      <w:r>
        <w:t>A.</w:t>
      </w:r>
      <w:r>
        <w:tab/>
        <w:t xml:space="preserve">Yes.  </w:t>
      </w:r>
      <w:r w:rsidR="008B0C55">
        <w:t xml:space="preserve">NWIGU and The Energy Project have joined the Settling Parties.  </w:t>
      </w:r>
    </w:p>
    <w:p w:rsidR="00570BC9" w:rsidRDefault="008B0C55" w:rsidP="001267A9">
      <w:pPr>
        <w:spacing w:line="480" w:lineRule="auto"/>
        <w:ind w:left="720" w:hanging="720"/>
      </w:pPr>
      <w:r>
        <w:lastRenderedPageBreak/>
        <w:tab/>
      </w:r>
      <w:r w:rsidR="008C33A0">
        <w:tab/>
      </w:r>
      <w:r w:rsidR="00DE1CC3">
        <w:t xml:space="preserve">NWIGU accepts the Global Settlement as fair and reasonable with one condition.  It requested that </w:t>
      </w:r>
      <w:r w:rsidR="0035780D">
        <w:t xml:space="preserve">Schedules 85, </w:t>
      </w:r>
      <w:proofErr w:type="spellStart"/>
      <w:r w:rsidR="0035780D">
        <w:t>85T</w:t>
      </w:r>
      <w:proofErr w:type="spellEnd"/>
      <w:r w:rsidR="0035780D">
        <w:t xml:space="preserve">, 87 and </w:t>
      </w:r>
      <w:proofErr w:type="spellStart"/>
      <w:r w:rsidR="0035780D">
        <w:t>87T</w:t>
      </w:r>
      <w:proofErr w:type="spellEnd"/>
      <w:r w:rsidR="0035780D">
        <w:t xml:space="preserve"> be removed from the decoupling mechanism and instead, be treated consistently with “rate plan customers.”  T</w:t>
      </w:r>
      <w:r w:rsidR="00DE1CC3">
        <w:t xml:space="preserve">he demand charges in </w:t>
      </w:r>
      <w:r w:rsidR="0035780D">
        <w:t>these schedules</w:t>
      </w:r>
      <w:r w:rsidR="00DE1CC3">
        <w:t xml:space="preserve"> </w:t>
      </w:r>
      <w:r w:rsidR="0035780D">
        <w:t xml:space="preserve">will </w:t>
      </w:r>
      <w:r w:rsidR="00DE1CC3">
        <w:t>be exempt from the annual K-factor rate plan increases of 2.2 percent.  Th</w:t>
      </w:r>
      <w:r w:rsidR="00E71C5D">
        <w:t>e dollar impact is about $300,000 over the term of the plan, and will be absorbed by PSE.  Th</w:t>
      </w:r>
      <w:r w:rsidR="00DE1CC3">
        <w:t>is condition is acceptable to PSE and Staff</w:t>
      </w:r>
      <w:r w:rsidR="00E71C5D">
        <w:t>.</w:t>
      </w:r>
      <w:r w:rsidR="00DE1CC3">
        <w:t xml:space="preserve"> </w:t>
      </w:r>
      <w:r w:rsidR="009A1118">
        <w:t xml:space="preserve"> </w:t>
      </w:r>
    </w:p>
    <w:p w:rsidR="00DE1CC3" w:rsidRDefault="00570BC9" w:rsidP="001267A9">
      <w:pPr>
        <w:spacing w:line="480" w:lineRule="auto"/>
        <w:ind w:left="720" w:hanging="720"/>
      </w:pPr>
      <w:r>
        <w:tab/>
      </w:r>
      <w:r w:rsidR="008C33A0">
        <w:tab/>
      </w:r>
      <w:r w:rsidR="009A1118">
        <w:t>The Energy Project join</w:t>
      </w:r>
      <w:r>
        <w:t>s</w:t>
      </w:r>
      <w:r w:rsidR="009A1118">
        <w:t xml:space="preserve"> the Global Settlement</w:t>
      </w:r>
      <w:r>
        <w:t xml:space="preserve"> </w:t>
      </w:r>
      <w:r w:rsidR="008B0C55">
        <w:t>with</w:t>
      </w:r>
      <w:r>
        <w:t xml:space="preserve"> the condition</w:t>
      </w:r>
      <w:r w:rsidR="008B0C55">
        <w:t>s</w:t>
      </w:r>
      <w:r>
        <w:t xml:space="preserve">:  (1) The funding for HELP program is increased by $1.5 million to a total of $21.7 million; </w:t>
      </w:r>
      <w:r w:rsidR="000610FA">
        <w:t xml:space="preserve">and (2) </w:t>
      </w:r>
      <w:r>
        <w:t xml:space="preserve">PSE’s shareholders will contribute an additional $100,000 per year </w:t>
      </w:r>
      <w:r w:rsidR="000610FA">
        <w:t>to low-income energy efficiency programs for a total of up to $400,000 in additional non-recurring shareholder funding.</w:t>
      </w:r>
      <w:r w:rsidR="005A4685">
        <w:t xml:space="preserve">  These conditions are acceptable to PSE and Staff.</w:t>
      </w:r>
    </w:p>
    <w:p w:rsidR="001978F3" w:rsidRDefault="001978F3" w:rsidP="001978F3">
      <w:pPr>
        <w:spacing w:line="480" w:lineRule="auto"/>
      </w:pPr>
    </w:p>
    <w:p w:rsidR="00011120" w:rsidRPr="007F5895" w:rsidRDefault="00011120" w:rsidP="00D96440">
      <w:pPr>
        <w:spacing w:line="480" w:lineRule="auto"/>
        <w:ind w:left="720" w:hanging="720"/>
        <w:rPr>
          <w:b/>
        </w:rPr>
      </w:pPr>
      <w:r w:rsidRPr="007F5895">
        <w:rPr>
          <w:b/>
        </w:rPr>
        <w:t>Q.</w:t>
      </w:r>
      <w:r w:rsidRPr="007F5895">
        <w:rPr>
          <w:b/>
        </w:rPr>
        <w:tab/>
        <w:t xml:space="preserve">Have you prepared any exhibits in support of your </w:t>
      </w:r>
      <w:r w:rsidR="0029505E">
        <w:rPr>
          <w:b/>
        </w:rPr>
        <w:t xml:space="preserve">rebuttal </w:t>
      </w:r>
      <w:r w:rsidRPr="007F5895">
        <w:rPr>
          <w:b/>
        </w:rPr>
        <w:t>testimony?</w:t>
      </w:r>
    </w:p>
    <w:p w:rsidR="0029505E" w:rsidDel="0029505E" w:rsidRDefault="00011120" w:rsidP="0029505E">
      <w:pPr>
        <w:spacing w:line="480" w:lineRule="auto"/>
        <w:ind w:left="720" w:hanging="720"/>
      </w:pPr>
      <w:r>
        <w:t>A.</w:t>
      </w:r>
      <w:r>
        <w:tab/>
        <w:t>Yes,</w:t>
      </w:r>
      <w:r w:rsidR="00920EB2">
        <w:t xml:space="preserve"> </w:t>
      </w:r>
      <w:r w:rsidR="001978F3">
        <w:t xml:space="preserve">I </w:t>
      </w:r>
      <w:r w:rsidR="0029505E">
        <w:t>revised my</w:t>
      </w:r>
      <w:r w:rsidR="001978F3">
        <w:t xml:space="preserve"> </w:t>
      </w:r>
      <w:r w:rsidR="0029505E">
        <w:t>E</w:t>
      </w:r>
      <w:r w:rsidR="001978F3">
        <w:t>xhibit</w:t>
      </w:r>
      <w:r w:rsidR="0029505E">
        <w:t xml:space="preserve"> No. ___ (TES-3) to include the </w:t>
      </w:r>
      <w:r w:rsidR="009A1118">
        <w:t xml:space="preserve">most recent </w:t>
      </w:r>
      <w:r w:rsidR="0029505E">
        <w:t>information on PSE’s results of operations in 2012.</w:t>
      </w:r>
    </w:p>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B26E2D" w:rsidRDefault="00B26E2D" w:rsidP="00250757">
      <w:pPr>
        <w:spacing w:line="480" w:lineRule="auto"/>
        <w:rPr>
          <w:b/>
        </w:rPr>
      </w:pPr>
    </w:p>
    <w:p w:rsidR="0003409F" w:rsidRDefault="00513624" w:rsidP="00250757">
      <w:pPr>
        <w:spacing w:line="480" w:lineRule="auto"/>
        <w:rPr>
          <w:b/>
        </w:rPr>
      </w:pPr>
      <w:r>
        <w:rPr>
          <w:b/>
        </w:rPr>
        <w:t>A.</w:t>
      </w:r>
      <w:r w:rsidR="007B2204">
        <w:rPr>
          <w:b/>
        </w:rPr>
        <w:t xml:space="preserve"> </w:t>
      </w:r>
      <w:r w:rsidR="00250757">
        <w:rPr>
          <w:b/>
        </w:rPr>
        <w:tab/>
      </w:r>
      <w:r w:rsidR="007B2204">
        <w:rPr>
          <w:b/>
        </w:rPr>
        <w:t>Summary</w:t>
      </w:r>
      <w:r w:rsidR="00724D55">
        <w:rPr>
          <w:b/>
        </w:rPr>
        <w:t xml:space="preserve"> of </w:t>
      </w:r>
      <w:r w:rsidR="00DE1CC3">
        <w:rPr>
          <w:b/>
        </w:rPr>
        <w:t>Contested Issues</w:t>
      </w:r>
    </w:p>
    <w:p w:rsidR="00250757" w:rsidRDefault="00250757" w:rsidP="00250757">
      <w:pPr>
        <w:spacing w:line="480" w:lineRule="auto"/>
        <w:rPr>
          <w:b/>
        </w:rPr>
      </w:pPr>
    </w:p>
    <w:p w:rsidR="006D3C21" w:rsidRDefault="0003409F" w:rsidP="00D96440">
      <w:pPr>
        <w:spacing w:line="480" w:lineRule="auto"/>
        <w:ind w:left="720" w:hanging="720"/>
        <w:rPr>
          <w:b/>
        </w:rPr>
      </w:pPr>
      <w:r>
        <w:rPr>
          <w:b/>
        </w:rPr>
        <w:t>Q.</w:t>
      </w:r>
      <w:r>
        <w:rPr>
          <w:b/>
        </w:rPr>
        <w:tab/>
      </w:r>
      <w:r w:rsidR="006D3C21">
        <w:rPr>
          <w:b/>
        </w:rPr>
        <w:t xml:space="preserve">Please give a brief description of the </w:t>
      </w:r>
      <w:r w:rsidR="00DE1CC3">
        <w:rPr>
          <w:b/>
        </w:rPr>
        <w:t xml:space="preserve">issues presented by intervenors and Public Counsel in opposition to the </w:t>
      </w:r>
      <w:r w:rsidR="006D3C21">
        <w:rPr>
          <w:b/>
        </w:rPr>
        <w:t>Global Settlement</w:t>
      </w:r>
      <w:r w:rsidR="00513624">
        <w:rPr>
          <w:b/>
        </w:rPr>
        <w:t>.</w:t>
      </w:r>
    </w:p>
    <w:p w:rsidR="00E71C5D" w:rsidRDefault="006D3C21" w:rsidP="00E71C5D">
      <w:pPr>
        <w:spacing w:line="480" w:lineRule="auto"/>
        <w:ind w:left="720" w:hanging="720"/>
      </w:pPr>
      <w:r w:rsidRPr="00B534EA">
        <w:lastRenderedPageBreak/>
        <w:t>A.</w:t>
      </w:r>
      <w:r w:rsidRPr="00B534EA">
        <w:tab/>
      </w:r>
      <w:r w:rsidR="00DE1CC3">
        <w:t>Public Counsel and the intervenors contest t</w:t>
      </w:r>
      <w:r w:rsidRPr="00B534EA">
        <w:t xml:space="preserve">he Global Settlement </w:t>
      </w:r>
      <w:r w:rsidR="00E71C5D">
        <w:t>with the following claims:</w:t>
      </w:r>
    </w:p>
    <w:p w:rsidR="00E71C5D" w:rsidRDefault="002A3BD8" w:rsidP="002A3BD8">
      <w:pPr>
        <w:pStyle w:val="ListParagraph"/>
        <w:spacing w:line="480" w:lineRule="auto"/>
        <w:ind w:left="2160"/>
      </w:pPr>
      <w:r>
        <w:t>(a)</w:t>
      </w:r>
      <w:r>
        <w:tab/>
      </w:r>
      <w:r w:rsidR="00E71C5D" w:rsidRPr="00374FD2">
        <w:t>They</w:t>
      </w:r>
      <w:r w:rsidR="00E71C5D">
        <w:t xml:space="preserve"> claim the rate of return is too high</w:t>
      </w:r>
      <w:r w:rsidR="009A1118">
        <w:t>;</w:t>
      </w:r>
    </w:p>
    <w:p w:rsidR="00E71C5D" w:rsidRDefault="002A3BD8" w:rsidP="002A3BD8">
      <w:pPr>
        <w:pStyle w:val="ListParagraph"/>
        <w:spacing w:line="480" w:lineRule="auto"/>
        <w:ind w:left="2160"/>
      </w:pPr>
      <w:r>
        <w:t>(b)</w:t>
      </w:r>
      <w:r>
        <w:tab/>
      </w:r>
      <w:r w:rsidR="00E71C5D" w:rsidRPr="00374FD2">
        <w:t>They</w:t>
      </w:r>
      <w:r w:rsidR="00E71C5D">
        <w:t xml:space="preserve"> claim the use of end-of-period rate base </w:t>
      </w:r>
      <w:r w:rsidR="00D92054">
        <w:t>is unfair</w:t>
      </w:r>
      <w:r w:rsidR="009A1118">
        <w:t>;</w:t>
      </w:r>
    </w:p>
    <w:p w:rsidR="00D92054" w:rsidRDefault="002A3BD8" w:rsidP="002A3BD8">
      <w:pPr>
        <w:spacing w:line="480" w:lineRule="auto"/>
        <w:ind w:left="2880" w:hanging="720"/>
      </w:pPr>
      <w:r>
        <w:t>(c)</w:t>
      </w:r>
      <w:r>
        <w:tab/>
      </w:r>
      <w:r w:rsidR="00D92054">
        <w:t xml:space="preserve">They claim decoupling </w:t>
      </w:r>
      <w:r w:rsidR="00327FE9">
        <w:t xml:space="preserve">and the K-factor </w:t>
      </w:r>
      <w:r w:rsidR="00D92054">
        <w:t>is unacceptable</w:t>
      </w:r>
      <w:r w:rsidR="00D43960">
        <w:t xml:space="preserve"> in whole, or at least not</w:t>
      </w:r>
      <w:r w:rsidR="00D92054">
        <w:t xml:space="preserve"> without a decrease in the rate of return</w:t>
      </w:r>
      <w:r w:rsidR="009A1118">
        <w:t>;</w:t>
      </w:r>
    </w:p>
    <w:p w:rsidR="00D92054" w:rsidRDefault="002A3BD8" w:rsidP="002A3BD8">
      <w:pPr>
        <w:pStyle w:val="ListParagraph"/>
        <w:spacing w:line="480" w:lineRule="auto"/>
        <w:ind w:left="2160"/>
      </w:pPr>
      <w:r>
        <w:t>(d)</w:t>
      </w:r>
      <w:r>
        <w:tab/>
      </w:r>
      <w:r w:rsidR="00D92054">
        <w:t xml:space="preserve">They claim the rate plan is </w:t>
      </w:r>
      <w:r w:rsidR="009A1118">
        <w:t xml:space="preserve">overly </w:t>
      </w:r>
      <w:r w:rsidR="00D92054">
        <w:t>generous</w:t>
      </w:r>
      <w:r w:rsidR="005A4685">
        <w:t>;</w:t>
      </w:r>
    </w:p>
    <w:p w:rsidR="00D92054" w:rsidRDefault="002A3BD8" w:rsidP="002A3BD8">
      <w:pPr>
        <w:spacing w:line="480" w:lineRule="auto"/>
        <w:ind w:left="2880" w:hanging="720"/>
      </w:pPr>
      <w:r>
        <w:t>(e)</w:t>
      </w:r>
      <w:r>
        <w:tab/>
      </w:r>
      <w:r w:rsidR="00D92054">
        <w:t xml:space="preserve">They </w:t>
      </w:r>
      <w:r w:rsidR="009A1118">
        <w:t>largely ignore</w:t>
      </w:r>
      <w:r w:rsidR="00D92054">
        <w:t xml:space="preserve"> the merits </w:t>
      </w:r>
      <w:r w:rsidR="009A1118">
        <w:t xml:space="preserve">of </w:t>
      </w:r>
      <w:r w:rsidR="00D92054">
        <w:t>the public benefits of the</w:t>
      </w:r>
      <w:r w:rsidR="009A1118">
        <w:t xml:space="preserve"> PSE/TransAlta</w:t>
      </w:r>
      <w:r w:rsidR="00D92054">
        <w:t xml:space="preserve"> Centralia Power Purchase Agreement.</w:t>
      </w:r>
    </w:p>
    <w:p w:rsidR="009928A9" w:rsidRDefault="009928A9" w:rsidP="00F168B3">
      <w:pPr>
        <w:spacing w:line="480" w:lineRule="auto"/>
        <w:ind w:left="720" w:hanging="720"/>
        <w:rPr>
          <w:b/>
        </w:rPr>
      </w:pPr>
    </w:p>
    <w:p w:rsidR="0050491E" w:rsidRDefault="0050491E" w:rsidP="0050491E">
      <w:pPr>
        <w:keepNext/>
        <w:spacing w:line="480" w:lineRule="auto"/>
        <w:rPr>
          <w:b/>
        </w:rPr>
      </w:pPr>
      <w:r>
        <w:rPr>
          <w:b/>
        </w:rPr>
        <w:t xml:space="preserve">B. </w:t>
      </w:r>
      <w:r>
        <w:rPr>
          <w:b/>
        </w:rPr>
        <w:tab/>
        <w:t>Rate of Return</w:t>
      </w:r>
    </w:p>
    <w:p w:rsidR="006D3C21" w:rsidRPr="00F17BC5" w:rsidRDefault="006D3C21" w:rsidP="00D96440">
      <w:pPr>
        <w:spacing w:line="480" w:lineRule="auto"/>
        <w:ind w:left="720" w:hanging="720"/>
      </w:pPr>
    </w:p>
    <w:p w:rsidR="0003409F" w:rsidRDefault="006D3C21" w:rsidP="00D96440">
      <w:pPr>
        <w:spacing w:line="480" w:lineRule="auto"/>
        <w:ind w:left="720" w:hanging="720"/>
        <w:rPr>
          <w:b/>
        </w:rPr>
      </w:pPr>
      <w:r>
        <w:rPr>
          <w:b/>
        </w:rPr>
        <w:t>Q.</w:t>
      </w:r>
      <w:r>
        <w:rPr>
          <w:b/>
        </w:rPr>
        <w:tab/>
      </w:r>
      <w:r w:rsidR="0003409F" w:rsidRPr="0003409F">
        <w:rPr>
          <w:b/>
        </w:rPr>
        <w:t xml:space="preserve">Please summarize </w:t>
      </w:r>
      <w:r w:rsidR="00D64635">
        <w:rPr>
          <w:b/>
        </w:rPr>
        <w:t>your reply to concerns about the rate of return</w:t>
      </w:r>
      <w:r w:rsidR="001D0F6C">
        <w:rPr>
          <w:b/>
        </w:rPr>
        <w:t>.</w:t>
      </w:r>
      <w:r w:rsidR="0003409F" w:rsidRPr="00D22FEE">
        <w:rPr>
          <w:b/>
        </w:rPr>
        <w:t xml:space="preserve">  </w:t>
      </w:r>
    </w:p>
    <w:p w:rsidR="002B1E7E" w:rsidRDefault="0003409F" w:rsidP="00D64635">
      <w:pPr>
        <w:spacing w:line="480" w:lineRule="auto"/>
        <w:ind w:left="720" w:hanging="720"/>
      </w:pPr>
      <w:r>
        <w:t>A.</w:t>
      </w:r>
      <w:r>
        <w:tab/>
      </w:r>
      <w:r w:rsidR="000D7109">
        <w:t>The parties raise two distinct issues about the rate of return.  One is the return in the expedited rate case</w:t>
      </w:r>
      <w:r w:rsidR="009A1118">
        <w:t xml:space="preserve"> (ERF)</w:t>
      </w:r>
      <w:r w:rsidR="000D7109">
        <w:t>; the other is adjusting the return for a decoupling program. Taking the ERF issue f</w:t>
      </w:r>
      <w:r w:rsidR="00D64635">
        <w:t>irst</w:t>
      </w:r>
      <w:r w:rsidR="000D7109">
        <w:t>;</w:t>
      </w:r>
      <w:r w:rsidR="00D64635">
        <w:t xml:space="preserve"> I must point out one basic premise </w:t>
      </w:r>
      <w:r w:rsidR="000D7109">
        <w:t>of t</w:t>
      </w:r>
      <w:r w:rsidR="00D64635">
        <w:t>he ERF</w:t>
      </w:r>
      <w:r w:rsidR="000D7109">
        <w:t xml:space="preserve">.  </w:t>
      </w:r>
      <w:r w:rsidR="00D64635">
        <w:t xml:space="preserve">The whole point of this </w:t>
      </w:r>
      <w:r w:rsidR="009A1118">
        <w:t xml:space="preserve">filing receiving </w:t>
      </w:r>
      <w:r w:rsidR="00D64635">
        <w:t>“expedited”</w:t>
      </w:r>
      <w:r w:rsidR="009A1118">
        <w:t xml:space="preserve"> processing</w:t>
      </w:r>
      <w:r w:rsidR="00D64635">
        <w:t xml:space="preserve"> is to keep certain ratemaking variables constant.  </w:t>
      </w:r>
      <w:r w:rsidR="005A4685">
        <w:t xml:space="preserve">Principal </w:t>
      </w:r>
      <w:r w:rsidR="00D64635">
        <w:t xml:space="preserve">among those variables is the rate of return.  The Commission determined that 7.8 percent was fair and sufficient in Dockets UE-111048/UG-111049 in Order 08 dated May 7, 2012. </w:t>
      </w:r>
      <w:r w:rsidR="00651C13">
        <w:t xml:space="preserve"> </w:t>
      </w:r>
      <w:r w:rsidR="00FB1A44">
        <w:t>Subsequently, p</w:t>
      </w:r>
      <w:r w:rsidR="009A1118">
        <w:t xml:space="preserve">arties reached a settlement in the </w:t>
      </w:r>
      <w:r w:rsidR="00560A91">
        <w:t>Avista general rate case</w:t>
      </w:r>
      <w:r w:rsidR="00A87FED">
        <w:t>.</w:t>
      </w:r>
      <w:r w:rsidR="00560A91">
        <w:rPr>
          <w:rStyle w:val="FootnoteReference"/>
        </w:rPr>
        <w:footnoteReference w:id="3"/>
      </w:r>
      <w:r w:rsidR="00560A91">
        <w:t xml:space="preserve"> </w:t>
      </w:r>
      <w:r w:rsidR="00A87FED">
        <w:t>T</w:t>
      </w:r>
      <w:r w:rsidR="00560A91">
        <w:t>he Commission</w:t>
      </w:r>
      <w:r w:rsidR="00A87FED">
        <w:t xml:space="preserve"> accepted and adopted that settlement</w:t>
      </w:r>
      <w:r w:rsidR="00560A91">
        <w:t xml:space="preserve"> in December 2012, </w:t>
      </w:r>
      <w:r w:rsidR="00A87FED">
        <w:t>which authorized</w:t>
      </w:r>
      <w:r w:rsidR="00560A91">
        <w:t xml:space="preserve"> </w:t>
      </w:r>
      <w:r w:rsidR="000854FD">
        <w:t>a 7.8 percent</w:t>
      </w:r>
      <w:r w:rsidR="00560A91">
        <w:t xml:space="preserve"> rate of return.  </w:t>
      </w:r>
      <w:r w:rsidR="00997CB1">
        <w:t xml:space="preserve">Given that the Avista settlement is less than five months old, the </w:t>
      </w:r>
      <w:r w:rsidR="00651C13">
        <w:t xml:space="preserve">rate </w:t>
      </w:r>
      <w:r w:rsidR="00560A91">
        <w:t xml:space="preserve">of return of 7.8 </w:t>
      </w:r>
      <w:r w:rsidR="00560A91">
        <w:lastRenderedPageBreak/>
        <w:t xml:space="preserve">percent </w:t>
      </w:r>
      <w:r w:rsidR="00A87FED">
        <w:t>remains within the</w:t>
      </w:r>
      <w:r w:rsidR="00560A91">
        <w:t xml:space="preserve"> range of </w:t>
      </w:r>
      <w:r w:rsidR="00651C13">
        <w:t>reasonable</w:t>
      </w:r>
      <w:r w:rsidR="00A87FED">
        <w:t>ness</w:t>
      </w:r>
      <w:r w:rsidR="00651C13">
        <w:t>.</w:t>
      </w:r>
      <w:r w:rsidR="0015743D">
        <w:t xml:space="preserve"> </w:t>
      </w:r>
      <w:r w:rsidR="00560A91">
        <w:t xml:space="preserve"> Although the record will now have </w:t>
      </w:r>
      <w:r w:rsidR="000854FD">
        <w:t xml:space="preserve">some </w:t>
      </w:r>
      <w:r w:rsidR="00560A91">
        <w:t xml:space="preserve">testimony on equity returns and capital structure, the Commission does not have </w:t>
      </w:r>
      <w:r w:rsidR="00A87FED">
        <w:t xml:space="preserve">before it </w:t>
      </w:r>
      <w:r w:rsidR="00560A91">
        <w:t xml:space="preserve">sufficient or balanced </w:t>
      </w:r>
      <w:r w:rsidR="000854FD">
        <w:t>presentations</w:t>
      </w:r>
      <w:r w:rsidR="00560A91">
        <w:t xml:space="preserve"> to</w:t>
      </w:r>
      <w:r w:rsidR="00A87FED">
        <w:t xml:space="preserve"> enable it to arrive at a rate of return other than 7.8 percent.  </w:t>
      </w:r>
      <w:r w:rsidR="00997CB1">
        <w:t>Moreover,</w:t>
      </w:r>
      <w:r w:rsidR="00A87FED">
        <w:t xml:space="preserve"> the concept of an expedited rate filing </w:t>
      </w:r>
      <w:r w:rsidR="00997CB1">
        <w:t xml:space="preserve">does not </w:t>
      </w:r>
      <w:r w:rsidR="00A87FED">
        <w:t>contemplate that such a determination be made in this context.</w:t>
      </w:r>
      <w:r w:rsidR="00015873">
        <w:t xml:space="preserve"> </w:t>
      </w:r>
      <w:r w:rsidR="00560A91">
        <w:t xml:space="preserve"> </w:t>
      </w:r>
      <w:r w:rsidR="00997CB1">
        <w:t xml:space="preserve">Finally </w:t>
      </w:r>
      <w:r w:rsidR="00A87FED">
        <w:t xml:space="preserve">PSE continues to earn </w:t>
      </w:r>
      <w:r w:rsidR="00997CB1">
        <w:t xml:space="preserve">significantly </w:t>
      </w:r>
      <w:r w:rsidR="00A87FED">
        <w:t>less than the</w:t>
      </w:r>
      <w:r w:rsidR="00997CB1">
        <w:t>ir</w:t>
      </w:r>
      <w:r w:rsidR="00A87FED">
        <w:t xml:space="preserve"> </w:t>
      </w:r>
      <w:r w:rsidR="00997CB1">
        <w:t xml:space="preserve">authorized </w:t>
      </w:r>
      <w:r w:rsidR="00A87FED">
        <w:t>rate of return as I discuss below.</w:t>
      </w:r>
      <w:r w:rsidR="00560A91">
        <w:t xml:space="preserve"> </w:t>
      </w:r>
    </w:p>
    <w:p w:rsidR="002B1E7E" w:rsidRDefault="002B1E7E" w:rsidP="00D64635">
      <w:pPr>
        <w:spacing w:line="480" w:lineRule="auto"/>
        <w:ind w:left="720" w:hanging="720"/>
      </w:pPr>
    </w:p>
    <w:p w:rsidR="002B1E7E" w:rsidRPr="00DB0903" w:rsidRDefault="002B1E7E" w:rsidP="00D64635">
      <w:pPr>
        <w:spacing w:line="480" w:lineRule="auto"/>
        <w:ind w:left="720" w:hanging="720"/>
        <w:rPr>
          <w:b/>
        </w:rPr>
      </w:pPr>
      <w:r w:rsidRPr="00DB0903">
        <w:rPr>
          <w:b/>
        </w:rPr>
        <w:t>Q.</w:t>
      </w:r>
      <w:r w:rsidRPr="00DB0903">
        <w:rPr>
          <w:b/>
        </w:rPr>
        <w:tab/>
        <w:t xml:space="preserve">What is your </w:t>
      </w:r>
      <w:r w:rsidR="000D7109">
        <w:rPr>
          <w:b/>
        </w:rPr>
        <w:t>response to the issue of reducing returns in the context of a decoupling program</w:t>
      </w:r>
      <w:r w:rsidRPr="00DB0903">
        <w:rPr>
          <w:b/>
        </w:rPr>
        <w:t>?</w:t>
      </w:r>
    </w:p>
    <w:p w:rsidR="000D7109" w:rsidRDefault="002B1E7E" w:rsidP="00D64635">
      <w:pPr>
        <w:spacing w:line="480" w:lineRule="auto"/>
        <w:ind w:left="720" w:hanging="720"/>
      </w:pPr>
      <w:r>
        <w:t>A.</w:t>
      </w:r>
      <w:r>
        <w:tab/>
      </w:r>
      <w:r w:rsidR="000D7109">
        <w:t>To that</w:t>
      </w:r>
      <w:r w:rsidR="00560A91">
        <w:t xml:space="preserve"> point</w:t>
      </w:r>
      <w:r w:rsidR="00A87FED">
        <w:t>,</w:t>
      </w:r>
      <w:r w:rsidR="000D7109">
        <w:t xml:space="preserve"> one must</w:t>
      </w:r>
      <w:r w:rsidR="00560A91">
        <w:t xml:space="preserve"> </w:t>
      </w:r>
      <w:r w:rsidR="0015743D">
        <w:t>consider the fact that</w:t>
      </w:r>
      <w:r w:rsidR="00560A91">
        <w:t xml:space="preserve"> the rates in place today</w:t>
      </w:r>
      <w:r w:rsidR="0015743D">
        <w:t xml:space="preserve"> are not producing revenues sufficient to provide PSE its target rate of return</w:t>
      </w:r>
      <w:r w:rsidR="005A4685">
        <w:t xml:space="preserve"> </w:t>
      </w:r>
      <w:r w:rsidR="00A87FED">
        <w:t xml:space="preserve">of </w:t>
      </w:r>
      <w:r w:rsidR="0015743D">
        <w:t>7.8 percent</w:t>
      </w:r>
      <w:r w:rsidR="00560A91">
        <w:t>.</w:t>
      </w:r>
      <w:r w:rsidR="0015743D">
        <w:t xml:space="preserve">  Nor have rates over the past several years been sufficient to keep up with </w:t>
      </w:r>
      <w:r w:rsidR="00A87FED">
        <w:t xml:space="preserve">the Company’s </w:t>
      </w:r>
      <w:r w:rsidR="0015743D">
        <w:t>increases in costs or investments.</w:t>
      </w:r>
      <w:r w:rsidR="00560A91">
        <w:t xml:space="preserve">  </w:t>
      </w:r>
      <w:r w:rsidR="0015743D">
        <w:t>I present</w:t>
      </w:r>
      <w:r w:rsidR="000D7109">
        <w:t>ed</w:t>
      </w:r>
      <w:r w:rsidR="0015743D">
        <w:t xml:space="preserve"> Exhibit No. ___ (TES-3) as evidence </w:t>
      </w:r>
      <w:r w:rsidR="00A87FED">
        <w:t>of</w:t>
      </w:r>
      <w:r w:rsidR="0015743D">
        <w:t xml:space="preserve"> this trend and</w:t>
      </w:r>
      <w:r w:rsidR="000D7109">
        <w:t xml:space="preserve"> now</w:t>
      </w:r>
      <w:r w:rsidR="0015743D">
        <w:t xml:space="preserve"> update </w:t>
      </w:r>
      <w:r w:rsidR="000854FD">
        <w:t>my exhibit</w:t>
      </w:r>
      <w:r w:rsidR="0015743D">
        <w:t xml:space="preserve"> </w:t>
      </w:r>
      <w:r w:rsidR="007F4980">
        <w:t xml:space="preserve">to reflect </w:t>
      </w:r>
      <w:r w:rsidR="0015743D">
        <w:t>the rate increase instituted in May 2012, and the earnings results for 2012</w:t>
      </w:r>
      <w:r w:rsidR="007F4980">
        <w:t>.</w:t>
      </w:r>
      <w:r w:rsidR="002A3BCB">
        <w:rPr>
          <w:rStyle w:val="FootnoteReference"/>
        </w:rPr>
        <w:footnoteReference w:id="4"/>
      </w:r>
      <w:r w:rsidR="0015743D">
        <w:t xml:space="preserve">  </w:t>
      </w:r>
      <w:r>
        <w:t>R</w:t>
      </w:r>
      <w:r w:rsidR="0015743D">
        <w:t>evised Exhibit No. ___ (TES-3) shows PSE</w:t>
      </w:r>
      <w:r w:rsidR="002A3BCB">
        <w:t>’s</w:t>
      </w:r>
      <w:r w:rsidR="0015743D">
        <w:t xml:space="preserve"> </w:t>
      </w:r>
      <w:r w:rsidR="000D7109">
        <w:t xml:space="preserve">electric </w:t>
      </w:r>
      <w:r w:rsidR="0015743D">
        <w:t>earn</w:t>
      </w:r>
      <w:r>
        <w:t>ing</w:t>
      </w:r>
      <w:r w:rsidR="002A3BCB">
        <w:t xml:space="preserve">s were about 70 basis points less </w:t>
      </w:r>
      <w:r w:rsidR="000D7109">
        <w:t xml:space="preserve">and gas earnings were 30 basis points less </w:t>
      </w:r>
      <w:r w:rsidR="002A3BCB">
        <w:t>than the rate of return</w:t>
      </w:r>
      <w:r w:rsidR="0015743D">
        <w:t xml:space="preserve"> </w:t>
      </w:r>
      <w:r w:rsidR="002A3BCB">
        <w:t xml:space="preserve">granted in </w:t>
      </w:r>
      <w:r w:rsidR="0015743D">
        <w:t>2012</w:t>
      </w:r>
      <w:r w:rsidR="002A3BCB">
        <w:t xml:space="preserve">. </w:t>
      </w:r>
      <w:r w:rsidR="0015743D">
        <w:t xml:space="preserve"> </w:t>
      </w:r>
      <w:r w:rsidR="00B17F11">
        <w:t xml:space="preserve">The other </w:t>
      </w:r>
      <w:r w:rsidR="000D7109">
        <w:t>parties’</w:t>
      </w:r>
      <w:r w:rsidR="00B17F11">
        <w:t xml:space="preserve"> </w:t>
      </w:r>
      <w:r w:rsidR="007F4980">
        <w:t>push</w:t>
      </w:r>
      <w:r w:rsidR="00B17F11">
        <w:t xml:space="preserve"> </w:t>
      </w:r>
      <w:r w:rsidR="000D7109">
        <w:t>to reduce</w:t>
      </w:r>
      <w:r w:rsidR="00B17F11">
        <w:t xml:space="preserve"> returns </w:t>
      </w:r>
      <w:r w:rsidR="000D7109">
        <w:t xml:space="preserve">for any reason </w:t>
      </w:r>
      <w:r w:rsidR="00B17F11">
        <w:t xml:space="preserve">seem </w:t>
      </w:r>
      <w:r w:rsidR="007F4980">
        <w:t xml:space="preserve">overstated </w:t>
      </w:r>
      <w:r w:rsidR="00152E71">
        <w:t>since</w:t>
      </w:r>
      <w:r w:rsidR="00B17F11">
        <w:t xml:space="preserve"> PSE</w:t>
      </w:r>
      <w:r w:rsidR="00997CB1">
        <w:t>’s earnings are lower</w:t>
      </w:r>
      <w:r w:rsidR="00B17F11">
        <w:t xml:space="preserve"> </w:t>
      </w:r>
      <w:r w:rsidR="00997CB1">
        <w:t xml:space="preserve">than its authorized </w:t>
      </w:r>
      <w:r w:rsidR="00B17F11">
        <w:t>rates of return</w:t>
      </w:r>
      <w:r w:rsidR="00997CB1">
        <w:t xml:space="preserve"> and PSE has not achieved its authorized return for electric operations since 2006, and for gas operations since at least 2004</w:t>
      </w:r>
      <w:r w:rsidR="00B17F11">
        <w:t>.</w:t>
      </w:r>
      <w:r w:rsidR="000D7109">
        <w:t xml:space="preserve">  </w:t>
      </w:r>
    </w:p>
    <w:p w:rsidR="000D7109" w:rsidRDefault="000D7109" w:rsidP="00D64635">
      <w:pPr>
        <w:spacing w:line="480" w:lineRule="auto"/>
        <w:ind w:left="720" w:hanging="720"/>
      </w:pPr>
    </w:p>
    <w:p w:rsidR="00BF71BC" w:rsidRPr="00DB0903" w:rsidRDefault="000D7109" w:rsidP="00D64635">
      <w:pPr>
        <w:spacing w:line="480" w:lineRule="auto"/>
        <w:ind w:left="720" w:hanging="720"/>
        <w:rPr>
          <w:b/>
        </w:rPr>
      </w:pPr>
      <w:r w:rsidRPr="00DB0903">
        <w:rPr>
          <w:b/>
        </w:rPr>
        <w:lastRenderedPageBreak/>
        <w:t>Q.</w:t>
      </w:r>
      <w:r w:rsidRPr="00DB0903">
        <w:rPr>
          <w:b/>
        </w:rPr>
        <w:tab/>
        <w:t xml:space="preserve">The Commission’s policy statement </w:t>
      </w:r>
      <w:r w:rsidR="00D55A54">
        <w:rPr>
          <w:b/>
        </w:rPr>
        <w:t>advocate</w:t>
      </w:r>
      <w:r w:rsidR="00BF71BC" w:rsidRPr="00DB0903">
        <w:rPr>
          <w:b/>
        </w:rPr>
        <w:t xml:space="preserve">s a reduction to a company’s rate of return in a decoupling setting.  </w:t>
      </w:r>
      <w:r w:rsidR="007F4980">
        <w:rPr>
          <w:b/>
        </w:rPr>
        <w:t>What do you make of that</w:t>
      </w:r>
      <w:r w:rsidR="00BF71BC" w:rsidRPr="00DB0903">
        <w:rPr>
          <w:b/>
        </w:rPr>
        <w:t>?</w:t>
      </w:r>
    </w:p>
    <w:p w:rsidR="00D64635" w:rsidDel="00D64635" w:rsidRDefault="00BF71BC" w:rsidP="00D64635">
      <w:pPr>
        <w:spacing w:line="480" w:lineRule="auto"/>
        <w:ind w:left="720" w:hanging="720"/>
      </w:pPr>
      <w:r>
        <w:t>A.</w:t>
      </w:r>
      <w:r>
        <w:tab/>
      </w:r>
      <w:r w:rsidR="00D55A54">
        <w:t xml:space="preserve">The Decoupling </w:t>
      </w:r>
      <w:r w:rsidR="00490950">
        <w:t>Policy S</w:t>
      </w:r>
      <w:bookmarkStart w:id="0" w:name="_GoBack"/>
      <w:bookmarkEnd w:id="0"/>
      <w:r w:rsidR="00D55A54">
        <w:t xml:space="preserve">tatement sets forth principles for a decoupling plan, but </w:t>
      </w:r>
      <w:r w:rsidR="007F4980">
        <w:t xml:space="preserve">the Commission clarifies its intent stating, </w:t>
      </w:r>
      <w:r w:rsidR="00D55A54">
        <w:t>“</w:t>
      </w:r>
      <w:r w:rsidR="007F4980">
        <w:t>[The Policy Statement]</w:t>
      </w:r>
      <w:r w:rsidR="00D55A54">
        <w:t xml:space="preserve"> was not intended to set forth </w:t>
      </w:r>
      <w:r w:rsidR="007B3CE4">
        <w:t>immutable</w:t>
      </w:r>
      <w:r w:rsidR="00D55A54">
        <w:t xml:space="preserve"> doctrine on </w:t>
      </w:r>
      <w:r w:rsidR="000021DB">
        <w:t>[decoupling]</w:t>
      </w:r>
      <w:r w:rsidR="00D55A54">
        <w:t xml:space="preserve"> or to negatively imply that we would be receptive to nothing else.”</w:t>
      </w:r>
      <w:r w:rsidR="00D55A54">
        <w:rPr>
          <w:rStyle w:val="FootnoteReference"/>
        </w:rPr>
        <w:footnoteReference w:id="5"/>
      </w:r>
      <w:r w:rsidR="00D55A54">
        <w:t xml:space="preserve">  The </w:t>
      </w:r>
      <w:r w:rsidR="00D17479">
        <w:t>claim that decoupling reduces risk for regulated utilities has theoretical appeal, but is</w:t>
      </w:r>
      <w:r w:rsidR="00D55A54">
        <w:t xml:space="preserve"> </w:t>
      </w:r>
      <w:r w:rsidR="00D17479">
        <w:t xml:space="preserve">at best </w:t>
      </w:r>
      <w:r w:rsidR="00D55A54">
        <w:t xml:space="preserve">hypothetical and unsupported </w:t>
      </w:r>
      <w:r w:rsidR="000021DB">
        <w:t xml:space="preserve">by </w:t>
      </w:r>
      <w:r w:rsidR="00D55A54">
        <w:t xml:space="preserve">empirical evidence.  Here we have the opportunity to test that hypothesis.  </w:t>
      </w:r>
      <w:r w:rsidR="006B6F44">
        <w:t>This</w:t>
      </w:r>
      <w:r w:rsidR="00D55A54">
        <w:t xml:space="preserve"> full decoupling program </w:t>
      </w:r>
      <w:r w:rsidR="006B6F44">
        <w:t>will compare the</w:t>
      </w:r>
      <w:r w:rsidR="00D55A54">
        <w:t xml:space="preserve"> </w:t>
      </w:r>
      <w:r w:rsidR="006B6F44">
        <w:t xml:space="preserve">financial </w:t>
      </w:r>
      <w:r w:rsidR="00D55A54">
        <w:t xml:space="preserve">revenues </w:t>
      </w:r>
      <w:r w:rsidR="004F0323">
        <w:t xml:space="preserve">determined by multiplying </w:t>
      </w:r>
      <w:r w:rsidR="006B6F44">
        <w:t xml:space="preserve">the number of customers </w:t>
      </w:r>
      <w:r w:rsidR="008A3A5A">
        <w:t xml:space="preserve">by </w:t>
      </w:r>
      <w:r w:rsidR="00D55A54">
        <w:t xml:space="preserve">the </w:t>
      </w:r>
      <w:r w:rsidR="00382A07">
        <w:t xml:space="preserve">delivery </w:t>
      </w:r>
      <w:r w:rsidR="00D55A54">
        <w:t>revenues per customer versus the cash collected through volumetric rates intended to generate the same level of dollars.</w:t>
      </w:r>
      <w:r w:rsidR="006B6F44">
        <w:t xml:space="preserve">  The magnitude of the refunds and surcharges </w:t>
      </w:r>
      <w:r w:rsidR="008A3A5A">
        <w:t>will be</w:t>
      </w:r>
      <w:r w:rsidR="006B6F44">
        <w:t xml:space="preserve"> direct evidence of the volatility dampened by the decoupling program.  Given that this program addresses only delivery costs it cannot be extrapolated to the full impact on the utility’s rate of return.  However, it will be a good measure of</w:t>
      </w:r>
      <w:r w:rsidR="00382A07">
        <w:t xml:space="preserve"> decoupling’s impact on the one-half to one-third of the revenues represented by the delivery of gas or electricity.  It is important to understand these impacts on real world operations before establishing an “adjustment” to rates of return.</w:t>
      </w:r>
    </w:p>
    <w:p w:rsidR="009B0CCB" w:rsidRDefault="009B0CCB" w:rsidP="00B03844">
      <w:pPr>
        <w:spacing w:line="480" w:lineRule="auto"/>
        <w:ind w:left="720" w:hanging="720"/>
      </w:pPr>
    </w:p>
    <w:p w:rsidR="00250757" w:rsidRDefault="0050491E" w:rsidP="00250757">
      <w:pPr>
        <w:keepNext/>
        <w:spacing w:line="480" w:lineRule="auto"/>
        <w:rPr>
          <w:b/>
        </w:rPr>
      </w:pPr>
      <w:r>
        <w:rPr>
          <w:b/>
        </w:rPr>
        <w:t>C.</w:t>
      </w:r>
      <w:r>
        <w:rPr>
          <w:b/>
        </w:rPr>
        <w:tab/>
        <w:t>Expedited Rate Filing and End-of-Period Rate Base</w:t>
      </w:r>
    </w:p>
    <w:p w:rsidR="0050491E" w:rsidRDefault="0050491E" w:rsidP="00250757">
      <w:pPr>
        <w:keepNext/>
        <w:spacing w:line="480" w:lineRule="auto"/>
        <w:rPr>
          <w:b/>
        </w:rPr>
      </w:pPr>
    </w:p>
    <w:p w:rsidR="009B0CCB" w:rsidRPr="00A03670" w:rsidRDefault="009B0CCB" w:rsidP="009B0CCB">
      <w:pPr>
        <w:spacing w:line="480" w:lineRule="auto"/>
      </w:pPr>
      <w:r w:rsidRPr="0070138A">
        <w:rPr>
          <w:b/>
        </w:rPr>
        <w:t>Q.</w:t>
      </w:r>
      <w:r w:rsidRPr="0070138A">
        <w:rPr>
          <w:b/>
        </w:rPr>
        <w:tab/>
      </w:r>
      <w:r w:rsidR="008A3A5A">
        <w:rPr>
          <w:b/>
        </w:rPr>
        <w:t>Do the non-settling parties lodge</w:t>
      </w:r>
      <w:r w:rsidR="00427F2F">
        <w:rPr>
          <w:b/>
        </w:rPr>
        <w:t xml:space="preserve"> complaints against</w:t>
      </w:r>
      <w:r w:rsidRPr="00AE0A24">
        <w:rPr>
          <w:b/>
        </w:rPr>
        <w:t xml:space="preserve"> the expedited rate filing</w:t>
      </w:r>
      <w:r w:rsidR="00427F2F">
        <w:rPr>
          <w:b/>
        </w:rPr>
        <w:t>s?</w:t>
      </w:r>
      <w:r>
        <w:t xml:space="preserve"> </w:t>
      </w:r>
    </w:p>
    <w:p w:rsidR="00427F2F" w:rsidRDefault="009B0CCB" w:rsidP="009B0CCB">
      <w:pPr>
        <w:spacing w:line="480" w:lineRule="auto"/>
        <w:ind w:left="720" w:hanging="720"/>
      </w:pPr>
      <w:r>
        <w:lastRenderedPageBreak/>
        <w:t>A.</w:t>
      </w:r>
      <w:r>
        <w:tab/>
      </w:r>
      <w:r w:rsidR="008A3A5A">
        <w:t xml:space="preserve">Yes. </w:t>
      </w:r>
      <w:r w:rsidR="00427F2F">
        <w:t xml:space="preserve">Mr. Deen for ICNU raises issues </w:t>
      </w:r>
      <w:r w:rsidR="008A3A5A">
        <w:t xml:space="preserve">concerning:  </w:t>
      </w:r>
      <w:r w:rsidR="0000583C">
        <w:t>(</w:t>
      </w:r>
      <w:r w:rsidR="00427F2F">
        <w:t xml:space="preserve">1) the rate of return; </w:t>
      </w:r>
      <w:r w:rsidR="0000583C">
        <w:t>(</w:t>
      </w:r>
      <w:r w:rsidR="00427F2F">
        <w:t>2) a “hybrid” test year;</w:t>
      </w:r>
      <w:r w:rsidR="00427F2F">
        <w:rPr>
          <w:rStyle w:val="FootnoteReference"/>
        </w:rPr>
        <w:footnoteReference w:id="6"/>
      </w:r>
      <w:r w:rsidR="00427F2F">
        <w:t xml:space="preserve"> and </w:t>
      </w:r>
      <w:r w:rsidR="0000583C">
        <w:t>(</w:t>
      </w:r>
      <w:r w:rsidR="00427F2F">
        <w:t>3)</w:t>
      </w:r>
      <w:r w:rsidR="00427F2F" w:rsidRPr="00427F2F">
        <w:t xml:space="preserve"> </w:t>
      </w:r>
      <w:r w:rsidR="00427F2F">
        <w:t>“the novel use of end of period (EOP) rate base”</w:t>
      </w:r>
      <w:r w:rsidR="0000583C">
        <w:t>.</w:t>
      </w:r>
      <w:r w:rsidR="00427F2F">
        <w:rPr>
          <w:rStyle w:val="FootnoteReference"/>
        </w:rPr>
        <w:footnoteReference w:id="7"/>
      </w:r>
      <w:r w:rsidR="00427F2F">
        <w:t xml:space="preserve"> </w:t>
      </w:r>
      <w:r w:rsidR="005E0BBF">
        <w:t xml:space="preserve"> Mr. </w:t>
      </w:r>
      <w:r w:rsidR="00A70671">
        <w:t> </w:t>
      </w:r>
      <w:r w:rsidR="005E0BBF">
        <w:t>Dittmer for Public Counsel supports “the ERF in concept</w:t>
      </w:r>
      <w:r w:rsidR="0000583C">
        <w:t>,</w:t>
      </w:r>
      <w:r w:rsidR="005E0BBF">
        <w:t>” but chafes at the EOP rate base and rate of return, and proposes a “test-year-end revenue adjustment</w:t>
      </w:r>
      <w:r w:rsidR="005A4685">
        <w:t>.</w:t>
      </w:r>
      <w:r w:rsidR="0000583C">
        <w:t>”</w:t>
      </w:r>
      <w:r w:rsidR="005E0BBF">
        <w:rPr>
          <w:rStyle w:val="FootnoteReference"/>
        </w:rPr>
        <w:footnoteReference w:id="8"/>
      </w:r>
      <w:r w:rsidR="005E0BBF">
        <w:t xml:space="preserve">  </w:t>
      </w:r>
      <w:r w:rsidR="004307EC">
        <w:rPr>
          <w:rStyle w:val="FootnoteReference"/>
        </w:rPr>
        <w:footnoteReference w:id="9"/>
      </w:r>
      <w:r w:rsidR="009E455D">
        <w:t xml:space="preserve">  </w:t>
      </w:r>
    </w:p>
    <w:p w:rsidR="006A6067" w:rsidRDefault="006A6067" w:rsidP="009B0CCB">
      <w:pPr>
        <w:spacing w:line="480" w:lineRule="auto"/>
        <w:ind w:left="720" w:hanging="720"/>
        <w:rPr>
          <w:b/>
        </w:rPr>
      </w:pPr>
    </w:p>
    <w:p w:rsidR="00F32EB1" w:rsidRPr="00561D34" w:rsidRDefault="00F32EB1" w:rsidP="009B0CCB">
      <w:pPr>
        <w:spacing w:line="480" w:lineRule="auto"/>
        <w:ind w:left="720" w:hanging="720"/>
        <w:rPr>
          <w:b/>
        </w:rPr>
      </w:pPr>
      <w:r w:rsidRPr="00561D34">
        <w:rPr>
          <w:b/>
        </w:rPr>
        <w:t>Q.</w:t>
      </w:r>
      <w:r w:rsidRPr="00561D34">
        <w:rPr>
          <w:b/>
        </w:rPr>
        <w:tab/>
      </w:r>
      <w:r w:rsidR="0000583C">
        <w:rPr>
          <w:b/>
        </w:rPr>
        <w:t>How do you respond</w:t>
      </w:r>
      <w:r w:rsidR="009E455D" w:rsidRPr="00561D34">
        <w:rPr>
          <w:b/>
        </w:rPr>
        <w:t>?</w:t>
      </w:r>
    </w:p>
    <w:p w:rsidR="009E455D" w:rsidRDefault="009E455D" w:rsidP="009E455D">
      <w:pPr>
        <w:spacing w:line="480" w:lineRule="auto"/>
        <w:ind w:left="720" w:hanging="720"/>
      </w:pPr>
      <w:r>
        <w:t>A.</w:t>
      </w:r>
      <w:r>
        <w:tab/>
        <w:t xml:space="preserve">I address the following points:  </w:t>
      </w:r>
      <w:r w:rsidR="00570BC9">
        <w:t xml:space="preserve">(1) </w:t>
      </w:r>
      <w:r>
        <w:t xml:space="preserve">the test year; </w:t>
      </w:r>
      <w:r w:rsidR="00570BC9">
        <w:t xml:space="preserve">(2) </w:t>
      </w:r>
      <w:r>
        <w:t>EOP rate base</w:t>
      </w:r>
      <w:r w:rsidR="005A4685">
        <w:t>;</w:t>
      </w:r>
      <w:r>
        <w:t xml:space="preserve"> and </w:t>
      </w:r>
      <w:r w:rsidR="00570BC9">
        <w:t xml:space="preserve">(3) </w:t>
      </w:r>
      <w:r>
        <w:t>the year-end revenue adjustment.</w:t>
      </w:r>
      <w:r w:rsidR="00570BC9">
        <w:t xml:space="preserve">  I addressed the r</w:t>
      </w:r>
      <w:r>
        <w:t xml:space="preserve">ate of return </w:t>
      </w:r>
      <w:r w:rsidR="00327FE9">
        <w:t xml:space="preserve">in </w:t>
      </w:r>
      <w:r w:rsidR="00570BC9">
        <w:t xml:space="preserve">Section </w:t>
      </w:r>
      <w:r w:rsidR="00327FE9">
        <w:t xml:space="preserve">B </w:t>
      </w:r>
      <w:r>
        <w:t>above.</w:t>
      </w:r>
    </w:p>
    <w:p w:rsidR="00FF7F35" w:rsidRDefault="009E455D" w:rsidP="009B0CCB">
      <w:pPr>
        <w:spacing w:line="480" w:lineRule="auto"/>
        <w:ind w:left="720" w:hanging="720"/>
      </w:pPr>
      <w:r>
        <w:tab/>
      </w:r>
      <w:r w:rsidR="00FF7F35">
        <w:tab/>
      </w:r>
      <w:r>
        <w:t>The so-called “hybrid” test year is a</w:t>
      </w:r>
      <w:r w:rsidR="008B0C55">
        <w:t xml:space="preserve"> curious</w:t>
      </w:r>
      <w:r>
        <w:t xml:space="preserve"> argument.</w:t>
      </w:r>
      <w:r w:rsidR="005C1715">
        <w:t xml:space="preserve">  </w:t>
      </w:r>
      <w:r w:rsidR="009B0CCB">
        <w:t xml:space="preserve">The </w:t>
      </w:r>
      <w:r w:rsidR="005C1715">
        <w:t xml:space="preserve">gas and </w:t>
      </w:r>
      <w:r w:rsidR="009B0CCB">
        <w:t>electric ERF</w:t>
      </w:r>
      <w:r w:rsidR="005C1715">
        <w:t>s</w:t>
      </w:r>
      <w:r w:rsidR="009B0CCB">
        <w:t xml:space="preserve"> </w:t>
      </w:r>
      <w:r w:rsidR="005C1715">
        <w:t xml:space="preserve">are </w:t>
      </w:r>
      <w:r w:rsidR="009B0CCB">
        <w:t>based on a test period for the 12 months ending June 30, 2012.</w:t>
      </w:r>
      <w:r w:rsidR="005C1715">
        <w:t xml:space="preserve">  </w:t>
      </w:r>
      <w:r w:rsidR="008B0C55">
        <w:t>There is nothing whatsoever unusual about that</w:t>
      </w:r>
      <w:r w:rsidR="005C1715">
        <w:t xml:space="preserve">.  The use of test years ending at dates other than the calendar year end is </w:t>
      </w:r>
      <w:r w:rsidR="008B0C55">
        <w:t xml:space="preserve">a </w:t>
      </w:r>
      <w:r w:rsidR="005C1715">
        <w:t>common</w:t>
      </w:r>
      <w:r w:rsidR="008B0C55">
        <w:t xml:space="preserve"> practice</w:t>
      </w:r>
      <w:r w:rsidR="005C1715">
        <w:t xml:space="preserve">.  Note </w:t>
      </w:r>
      <w:r w:rsidR="005A4685">
        <w:t xml:space="preserve">that </w:t>
      </w:r>
      <w:r w:rsidR="005C1715">
        <w:t>the current PacifiCorp general rate case is based on the same</w:t>
      </w:r>
      <w:r w:rsidR="00FF7F35">
        <w:t xml:space="preserve"> test year ending June 30, 2012.</w:t>
      </w:r>
      <w:r w:rsidR="00FF7F35">
        <w:rPr>
          <w:rStyle w:val="FootnoteReference"/>
        </w:rPr>
        <w:footnoteReference w:id="10"/>
      </w:r>
      <w:r w:rsidR="006A6067">
        <w:t xml:space="preserve"> </w:t>
      </w:r>
      <w:r w:rsidR="005C1715">
        <w:t xml:space="preserve"> </w:t>
      </w:r>
      <w:r w:rsidR="00FF7F35">
        <w:t>This is a non-issue.</w:t>
      </w:r>
    </w:p>
    <w:p w:rsidR="009B0CCB" w:rsidRDefault="009B0CCB" w:rsidP="009B0CCB">
      <w:pPr>
        <w:spacing w:line="480" w:lineRule="auto"/>
        <w:rPr>
          <w:b/>
        </w:rPr>
      </w:pPr>
    </w:p>
    <w:p w:rsidR="009B0CCB" w:rsidRDefault="009B0CCB" w:rsidP="009B0CCB">
      <w:pPr>
        <w:spacing w:line="480" w:lineRule="auto"/>
        <w:ind w:left="720" w:hanging="720"/>
        <w:rPr>
          <w:b/>
        </w:rPr>
      </w:pPr>
      <w:r w:rsidRPr="009B4629">
        <w:rPr>
          <w:b/>
        </w:rPr>
        <w:t xml:space="preserve">Q. </w:t>
      </w:r>
      <w:r w:rsidRPr="009B4629">
        <w:rPr>
          <w:b/>
        </w:rPr>
        <w:tab/>
      </w:r>
      <w:r w:rsidR="00FF7F35">
        <w:rPr>
          <w:b/>
        </w:rPr>
        <w:t xml:space="preserve">Please discuss rate base at the </w:t>
      </w:r>
      <w:r w:rsidR="008B0C55">
        <w:rPr>
          <w:b/>
        </w:rPr>
        <w:t>end-of-</w:t>
      </w:r>
      <w:r w:rsidR="00FF7F35">
        <w:rPr>
          <w:b/>
        </w:rPr>
        <w:t>period values.</w:t>
      </w:r>
    </w:p>
    <w:p w:rsidR="009B0CCB" w:rsidRDefault="009B0CCB" w:rsidP="009B0CCB">
      <w:pPr>
        <w:pStyle w:val="BodyTextIndent"/>
      </w:pPr>
      <w:r>
        <w:t>A.</w:t>
      </w:r>
      <w:r>
        <w:tab/>
        <w:t>PSE used rate base values as of the end of th</w:t>
      </w:r>
      <w:r w:rsidR="00B26E2D">
        <w:t xml:space="preserve">e test period, June 30, 2012.  </w:t>
      </w:r>
      <w:r w:rsidR="008B0C55">
        <w:t xml:space="preserve">The </w:t>
      </w:r>
      <w:r>
        <w:t xml:space="preserve">Commission </w:t>
      </w:r>
      <w:r w:rsidR="008B0C55">
        <w:t>squarely addressed</w:t>
      </w:r>
      <w:r>
        <w:t xml:space="preserve"> </w:t>
      </w:r>
      <w:r w:rsidR="00FF7F35">
        <w:t xml:space="preserve">the </w:t>
      </w:r>
      <w:r>
        <w:t xml:space="preserve">possibility </w:t>
      </w:r>
      <w:r w:rsidR="00FF7F35">
        <w:t xml:space="preserve">of using EOP rate base </w:t>
      </w:r>
      <w:r>
        <w:t>in Order 08.</w:t>
      </w:r>
      <w:r>
        <w:rPr>
          <w:rStyle w:val="FootnoteReference"/>
        </w:rPr>
        <w:footnoteReference w:id="11"/>
      </w:r>
      <w:r w:rsidR="002C7497">
        <w:t xml:space="preserve">  </w:t>
      </w:r>
      <w:r w:rsidR="002C7497">
        <w:lastRenderedPageBreak/>
        <w:t>This approach is hardly “novel.”  End-of-period rate base was accepted by the Commission in a 200</w:t>
      </w:r>
      <w:r w:rsidR="005A4685">
        <w:t>1-0</w:t>
      </w:r>
      <w:r w:rsidR="002C7497">
        <w:t>2 Olympic Pipeline</w:t>
      </w:r>
      <w:r w:rsidR="002C7497">
        <w:rPr>
          <w:rStyle w:val="FootnoteReference"/>
        </w:rPr>
        <w:footnoteReference w:id="12"/>
      </w:r>
      <w:r w:rsidR="002C7497">
        <w:t xml:space="preserve"> case and in a 1980</w:t>
      </w:r>
      <w:r w:rsidR="005A4685">
        <w:t>-81</w:t>
      </w:r>
      <w:r w:rsidR="002C7497">
        <w:t xml:space="preserve"> Washington Natural Gas case</w:t>
      </w:r>
      <w:r w:rsidR="008B58F4">
        <w:t xml:space="preserve"> which references cases in 1972</w:t>
      </w:r>
      <w:r w:rsidR="005A4685">
        <w:t>-73</w:t>
      </w:r>
      <w:r w:rsidR="008B58F4">
        <w:t xml:space="preserve"> and 1973</w:t>
      </w:r>
      <w:r w:rsidR="005A4685">
        <w:t>-74</w:t>
      </w:r>
      <w:r w:rsidR="002C7497">
        <w:t>.</w:t>
      </w:r>
      <w:r w:rsidR="008B58F4">
        <w:rPr>
          <w:rStyle w:val="FootnoteReference"/>
        </w:rPr>
        <w:footnoteReference w:id="13"/>
      </w:r>
      <w:r w:rsidR="002C7497">
        <w:t xml:space="preserve"> </w:t>
      </w:r>
      <w:r w:rsidR="00754EB8">
        <w:t xml:space="preserve"> In short</w:t>
      </w:r>
      <w:r w:rsidR="00561D34">
        <w:t xml:space="preserve">, the issue of valuing rate base at the end of a period is </w:t>
      </w:r>
      <w:r w:rsidR="008B0C55">
        <w:t xml:space="preserve">neither </w:t>
      </w:r>
      <w:r w:rsidR="00561D34">
        <w:t xml:space="preserve">new </w:t>
      </w:r>
      <w:r w:rsidR="008B0C55">
        <w:t>n</w:t>
      </w:r>
      <w:r w:rsidR="00561D34">
        <w:t>or novel.</w:t>
      </w:r>
    </w:p>
    <w:p w:rsidR="009B0CCB" w:rsidRDefault="009B0CCB" w:rsidP="009B0CCB">
      <w:pPr>
        <w:pStyle w:val="BodyTextIndent"/>
      </w:pPr>
    </w:p>
    <w:p w:rsidR="009B0CCB" w:rsidRPr="00970328" w:rsidRDefault="009B0CCB" w:rsidP="009B0CCB">
      <w:pPr>
        <w:pStyle w:val="BodyTextIndent"/>
        <w:rPr>
          <w:b/>
        </w:rPr>
      </w:pPr>
      <w:r w:rsidRPr="00970328">
        <w:rPr>
          <w:b/>
        </w:rPr>
        <w:t>Q.</w:t>
      </w:r>
      <w:r w:rsidRPr="00970328">
        <w:rPr>
          <w:b/>
        </w:rPr>
        <w:tab/>
      </w:r>
      <w:r w:rsidR="00561D34">
        <w:rPr>
          <w:b/>
        </w:rPr>
        <w:t>Is the use of EOP rate base necessary and useful today</w:t>
      </w:r>
      <w:r w:rsidRPr="00970328">
        <w:rPr>
          <w:b/>
        </w:rPr>
        <w:t>?</w:t>
      </w:r>
    </w:p>
    <w:p w:rsidR="00712388" w:rsidRDefault="009B0CCB" w:rsidP="009B0CCB">
      <w:pPr>
        <w:pStyle w:val="BodyTextIndent"/>
      </w:pPr>
      <w:r>
        <w:t>A.</w:t>
      </w:r>
      <w:r>
        <w:tab/>
      </w:r>
      <w:r w:rsidR="00561D34">
        <w:t>Yes</w:t>
      </w:r>
      <w:r>
        <w:t>.</w:t>
      </w:r>
      <w:r w:rsidR="00561D34">
        <w:t xml:space="preserve">  </w:t>
      </w:r>
      <w:r w:rsidR="00712388">
        <w:t>I</w:t>
      </w:r>
      <w:r w:rsidR="00561D34">
        <w:t>n</w:t>
      </w:r>
      <w:r w:rsidR="00561D34" w:rsidRPr="00561D34">
        <w:t xml:space="preserve"> </w:t>
      </w:r>
      <w:r w:rsidR="00561D34">
        <w:t>Cause No. U-80-111</w:t>
      </w:r>
      <w:r w:rsidR="00712388">
        <w:t xml:space="preserve"> the Commission identified a number of circumstances where the use of EOP is prescribed.  We have at least two of those circumstances here: regulatory lag and persistent under earnings.  With respect to the issue of regulatory lag, the Commission stated;</w:t>
      </w:r>
      <w:r w:rsidR="00561D34">
        <w:t xml:space="preserve"> </w:t>
      </w:r>
    </w:p>
    <w:p w:rsidR="00712388" w:rsidRDefault="00712388" w:rsidP="008C33A0">
      <w:pPr>
        <w:pStyle w:val="BodyTextIndent"/>
        <w:spacing w:line="276" w:lineRule="auto"/>
        <w:ind w:left="1440" w:right="648"/>
      </w:pPr>
      <w:r>
        <w:tab/>
      </w:r>
      <w:r w:rsidR="00561D34">
        <w:t xml:space="preserve">“We must also recognize that regulatory lag (the interim period elapsing </w:t>
      </w:r>
      <w:r w:rsidR="00A04200">
        <w:t>between</w:t>
      </w:r>
      <w:r w:rsidR="00561D34">
        <w:t xml:space="preserve"> the filing of a rate case and its </w:t>
      </w:r>
      <w:r w:rsidR="00A04200">
        <w:t>ultimate</w:t>
      </w:r>
      <w:r w:rsidR="00561D34">
        <w:t xml:space="preserve"> disposition) has long been a concern of both the utilities and their regulators, and regulatory lag may tend to erode the earnings of a utility.  If regulatory lag has a deleterious effect, it is difficult to compensate for its overall adverse effect.  However, as regulators we have the responsibility to mitigate that effect to the extent possible.”</w:t>
      </w:r>
      <w:r w:rsidR="00561D34">
        <w:rPr>
          <w:rStyle w:val="FootnoteReference"/>
        </w:rPr>
        <w:footnoteReference w:id="14"/>
      </w:r>
      <w:r w:rsidR="00A04200">
        <w:t xml:space="preserve">  </w:t>
      </w:r>
    </w:p>
    <w:p w:rsidR="00712388" w:rsidRDefault="00712388" w:rsidP="009B0CCB">
      <w:pPr>
        <w:pStyle w:val="BodyTextIndent"/>
      </w:pPr>
    </w:p>
    <w:p w:rsidR="009B0CCB" w:rsidRDefault="00712388" w:rsidP="009B0CCB">
      <w:pPr>
        <w:pStyle w:val="BodyTextIndent"/>
      </w:pPr>
      <w:r>
        <w:tab/>
      </w:r>
      <w:r w:rsidR="00A04200">
        <w:t>In the early 1980s inflation was a serious economic concern.  Today we are faced with replacing old infrastructure with new.</w:t>
      </w:r>
      <w:r w:rsidR="008810E8">
        <w:t xml:space="preserve">  The cost impacts are quite similar with regulatory lag causing the same “deleterious effect” on earnings.</w:t>
      </w:r>
      <w:r w:rsidR="00754EB8">
        <w:t xml:space="preserve"> </w:t>
      </w:r>
      <w:r w:rsidR="008810E8">
        <w:t xml:space="preserve"> Therefore, </w:t>
      </w:r>
      <w:r w:rsidR="00657ABC">
        <w:lastRenderedPageBreak/>
        <w:t xml:space="preserve">measuring </w:t>
      </w:r>
      <w:r w:rsidR="008810E8">
        <w:t xml:space="preserve">rate base </w:t>
      </w:r>
      <w:r w:rsidR="00657ABC">
        <w:t xml:space="preserve">at EOP values </w:t>
      </w:r>
      <w:r w:rsidR="008810E8">
        <w:t xml:space="preserve">is a viable, </w:t>
      </w:r>
      <w:r w:rsidR="00657ABC">
        <w:t>simple way to mitigate regulatory lag in today’s filings.</w:t>
      </w:r>
    </w:p>
    <w:p w:rsidR="005A4685" w:rsidRDefault="005A4685" w:rsidP="009B0CCB">
      <w:pPr>
        <w:pStyle w:val="BodyTextIndent"/>
      </w:pPr>
      <w:r>
        <w:tab/>
      </w:r>
      <w:r>
        <w:tab/>
        <w:t>In addition, the Commission stated in Cause No. U-80-111 that the use of EOP rate base is “an appropriate regulatory tool” where the</w:t>
      </w:r>
      <w:r w:rsidR="00497920">
        <w:t>re is a “failure of [the]</w:t>
      </w:r>
      <w:r>
        <w:t xml:space="preserve"> utility to earn its authorized rate of return over a historical period.</w:t>
      </w:r>
      <w:r w:rsidR="00497920">
        <w:t>”</w:t>
      </w:r>
      <w:r w:rsidR="00497920">
        <w:rPr>
          <w:rStyle w:val="FootnoteReference"/>
        </w:rPr>
        <w:footnoteReference w:id="15"/>
      </w:r>
      <w:r>
        <w:t xml:space="preserve">  That is precisely the situation faced by PSE today, as </w:t>
      </w:r>
      <w:r w:rsidR="001F312A">
        <w:t>shown in Exhibit No. ___ (TES-3 revised)</w:t>
      </w:r>
      <w:r>
        <w:t>.</w:t>
      </w:r>
    </w:p>
    <w:p w:rsidR="00657ABC" w:rsidRDefault="00657ABC" w:rsidP="009B0CCB">
      <w:pPr>
        <w:pStyle w:val="BodyTextIndent"/>
      </w:pPr>
    </w:p>
    <w:p w:rsidR="00657ABC" w:rsidRPr="00DB0903" w:rsidRDefault="00657ABC" w:rsidP="009B0CCB">
      <w:pPr>
        <w:pStyle w:val="BodyTextIndent"/>
        <w:rPr>
          <w:b/>
        </w:rPr>
      </w:pPr>
      <w:r w:rsidRPr="00DB0903">
        <w:rPr>
          <w:b/>
        </w:rPr>
        <w:t>Q.</w:t>
      </w:r>
      <w:r w:rsidRPr="00DB0903">
        <w:rPr>
          <w:b/>
        </w:rPr>
        <w:tab/>
        <w:t>Does EOP rate base violate the matching principle</w:t>
      </w:r>
      <w:r>
        <w:rPr>
          <w:b/>
        </w:rPr>
        <w:t xml:space="preserve"> as </w:t>
      </w:r>
      <w:r w:rsidR="00754EB8">
        <w:rPr>
          <w:b/>
        </w:rPr>
        <w:t xml:space="preserve">argued </w:t>
      </w:r>
      <w:r>
        <w:rPr>
          <w:b/>
        </w:rPr>
        <w:t>by Mr. Dittmer</w:t>
      </w:r>
      <w:r>
        <w:rPr>
          <w:rStyle w:val="FootnoteReference"/>
          <w:b/>
        </w:rPr>
        <w:footnoteReference w:id="16"/>
      </w:r>
      <w:r w:rsidRPr="00DB0903">
        <w:rPr>
          <w:b/>
        </w:rPr>
        <w:t>?</w:t>
      </w:r>
    </w:p>
    <w:p w:rsidR="00657ABC" w:rsidRDefault="00657ABC" w:rsidP="009B0CCB">
      <w:pPr>
        <w:pStyle w:val="BodyTextIndent"/>
      </w:pPr>
      <w:r>
        <w:t>A.</w:t>
      </w:r>
      <w:r>
        <w:tab/>
      </w:r>
      <w:r w:rsidR="0058029C">
        <w:t xml:space="preserve">No. </w:t>
      </w:r>
      <w:r w:rsidR="00754EB8">
        <w:t>While it is true that</w:t>
      </w:r>
      <w:r w:rsidR="00E66854">
        <w:t xml:space="preserve"> </w:t>
      </w:r>
      <w:r w:rsidR="00754EB8">
        <w:t>t</w:t>
      </w:r>
      <w:r w:rsidR="00E66854">
        <w:t>he Commission has stated that average rate base is a preferred option</w:t>
      </w:r>
      <w:r w:rsidR="00754EB8">
        <w:t>,</w:t>
      </w:r>
      <w:r w:rsidR="00E66854">
        <w:rPr>
          <w:rStyle w:val="FootnoteReference"/>
        </w:rPr>
        <w:footnoteReference w:id="17"/>
      </w:r>
      <w:r w:rsidR="00E66854">
        <w:t xml:space="preserve"> </w:t>
      </w:r>
      <w:r w:rsidR="00754EB8">
        <w:t xml:space="preserve">it also </w:t>
      </w:r>
      <w:r w:rsidR="00E66854">
        <w:t xml:space="preserve">has regularly opined on the validity of </w:t>
      </w:r>
      <w:r w:rsidR="00754EB8">
        <w:t>end-of-</w:t>
      </w:r>
      <w:r w:rsidR="00E66854">
        <w:t xml:space="preserve">period valuations.  </w:t>
      </w:r>
      <w:r w:rsidR="00754EB8">
        <w:t>Moreover,</w:t>
      </w:r>
      <w:r w:rsidR="00E66854">
        <w:t xml:space="preserve"> in financial reporting the balance sheet is a report of assets and liabilities valued at the end of the fiscal year while the accompanying income statement represents transactions over the course of the year.  These account balances are used in developing various financial metrics without regard to averaging the year-end balance sheet.  The </w:t>
      </w:r>
      <w:r w:rsidR="0058029C">
        <w:t xml:space="preserve">regulatory </w:t>
      </w:r>
      <w:r w:rsidR="00E66854">
        <w:t xml:space="preserve">goal is to reach a representation of the ratios of the rate base, revenues and expenses to establish rates for a future period.  If the end of period rate base fairly presents the going forward values </w:t>
      </w:r>
      <w:r w:rsidR="001F312A">
        <w:t xml:space="preserve">that </w:t>
      </w:r>
      <w:r w:rsidR="008969DF">
        <w:t xml:space="preserve">rates are intended </w:t>
      </w:r>
      <w:r w:rsidR="00E66854">
        <w:t>to capture,</w:t>
      </w:r>
      <w:r w:rsidR="008969DF">
        <w:t xml:space="preserve"> then progress on reducing regulatory lag is achieved.</w:t>
      </w:r>
      <w:r w:rsidR="00E66854">
        <w:t xml:space="preserve"> </w:t>
      </w:r>
    </w:p>
    <w:p w:rsidR="00327FE9" w:rsidRDefault="00327FE9" w:rsidP="00EC5F25">
      <w:pPr>
        <w:spacing w:line="480" w:lineRule="auto"/>
        <w:rPr>
          <w:b/>
        </w:rPr>
      </w:pPr>
    </w:p>
    <w:p w:rsidR="00215EF0" w:rsidRDefault="00F71B03" w:rsidP="00903698">
      <w:pPr>
        <w:keepNext/>
        <w:spacing w:line="480" w:lineRule="auto"/>
        <w:rPr>
          <w:b/>
        </w:rPr>
      </w:pPr>
      <w:r>
        <w:rPr>
          <w:b/>
        </w:rPr>
        <w:lastRenderedPageBreak/>
        <w:t>D</w:t>
      </w:r>
      <w:r w:rsidR="00215EF0">
        <w:rPr>
          <w:b/>
        </w:rPr>
        <w:t>.</w:t>
      </w:r>
      <w:r w:rsidR="00215EF0">
        <w:rPr>
          <w:b/>
        </w:rPr>
        <w:tab/>
        <w:t xml:space="preserve">Claims That </w:t>
      </w:r>
      <w:r w:rsidR="006A6067">
        <w:rPr>
          <w:b/>
        </w:rPr>
        <w:t>the</w:t>
      </w:r>
      <w:r w:rsidR="00215EF0" w:rsidRPr="00560336">
        <w:rPr>
          <w:b/>
        </w:rPr>
        <w:t xml:space="preserve"> </w:t>
      </w:r>
      <w:r w:rsidR="00215EF0">
        <w:rPr>
          <w:b/>
        </w:rPr>
        <w:t>ERF and R</w:t>
      </w:r>
      <w:r w:rsidR="00215EF0" w:rsidRPr="00560336">
        <w:rPr>
          <w:b/>
        </w:rPr>
        <w:t xml:space="preserve">ate </w:t>
      </w:r>
      <w:r w:rsidR="00215EF0">
        <w:rPr>
          <w:b/>
        </w:rPr>
        <w:t>P</w:t>
      </w:r>
      <w:r w:rsidR="00215EF0" w:rsidRPr="00560336">
        <w:rPr>
          <w:b/>
        </w:rPr>
        <w:t xml:space="preserve">lan </w:t>
      </w:r>
      <w:r w:rsidR="00215EF0">
        <w:rPr>
          <w:b/>
        </w:rPr>
        <w:t>are</w:t>
      </w:r>
      <w:r w:rsidR="00215EF0" w:rsidRPr="00560336">
        <w:rPr>
          <w:b/>
        </w:rPr>
        <w:t xml:space="preserve"> </w:t>
      </w:r>
      <w:r w:rsidR="00754EB8">
        <w:rPr>
          <w:b/>
        </w:rPr>
        <w:t>Overly</w:t>
      </w:r>
      <w:r w:rsidR="00754EB8" w:rsidRPr="00560336">
        <w:rPr>
          <w:b/>
        </w:rPr>
        <w:t xml:space="preserve"> </w:t>
      </w:r>
      <w:r w:rsidR="00215EF0">
        <w:rPr>
          <w:b/>
        </w:rPr>
        <w:t>G</w:t>
      </w:r>
      <w:r w:rsidR="00215EF0" w:rsidRPr="00560336">
        <w:rPr>
          <w:b/>
        </w:rPr>
        <w:t>enerous</w:t>
      </w:r>
    </w:p>
    <w:p w:rsidR="009B0CCB" w:rsidRDefault="009B0CCB" w:rsidP="00B26E2D">
      <w:pPr>
        <w:keepNext/>
        <w:spacing w:line="480" w:lineRule="auto"/>
        <w:ind w:left="720" w:hanging="720"/>
      </w:pPr>
    </w:p>
    <w:p w:rsidR="009B0CCB" w:rsidRPr="00B82CE2" w:rsidRDefault="009B0CCB" w:rsidP="009B0CCB">
      <w:pPr>
        <w:keepNext/>
        <w:widowControl w:val="0"/>
        <w:spacing w:line="480" w:lineRule="auto"/>
        <w:ind w:left="720" w:hanging="720"/>
        <w:rPr>
          <w:b/>
        </w:rPr>
      </w:pPr>
      <w:r w:rsidRPr="00B82CE2">
        <w:rPr>
          <w:b/>
        </w:rPr>
        <w:t>Q.</w:t>
      </w:r>
      <w:r w:rsidRPr="00B82CE2">
        <w:rPr>
          <w:b/>
        </w:rPr>
        <w:tab/>
      </w:r>
      <w:r w:rsidR="00440016">
        <w:rPr>
          <w:b/>
        </w:rPr>
        <w:t xml:space="preserve">Intervenor witnesses </w:t>
      </w:r>
      <w:r w:rsidR="00754EB8">
        <w:rPr>
          <w:b/>
        </w:rPr>
        <w:t xml:space="preserve">estimate varying </w:t>
      </w:r>
      <w:r w:rsidR="00440016">
        <w:rPr>
          <w:b/>
        </w:rPr>
        <w:t>degrees of revenue increases</w:t>
      </w:r>
      <w:r w:rsidR="00754EB8">
        <w:rPr>
          <w:b/>
        </w:rPr>
        <w:t>,</w:t>
      </w:r>
      <w:r w:rsidR="00440016">
        <w:rPr>
          <w:b/>
        </w:rPr>
        <w:t xml:space="preserve"> with Mr. Dittmer’s as the highest.  It is difficult to </w:t>
      </w:r>
      <w:r w:rsidR="00754EB8">
        <w:rPr>
          <w:b/>
        </w:rPr>
        <w:t xml:space="preserve">understand </w:t>
      </w:r>
      <w:r w:rsidR="00440016">
        <w:rPr>
          <w:b/>
        </w:rPr>
        <w:t xml:space="preserve">what each professes to calculate </w:t>
      </w:r>
      <w:r w:rsidR="00754EB8">
        <w:rPr>
          <w:b/>
        </w:rPr>
        <w:t>over</w:t>
      </w:r>
      <w:r w:rsidR="00440016">
        <w:rPr>
          <w:b/>
        </w:rPr>
        <w:t xml:space="preserve"> what time period.  </w:t>
      </w:r>
      <w:r w:rsidR="001D7972">
        <w:rPr>
          <w:b/>
        </w:rPr>
        <w:t xml:space="preserve">Mr. Dittmer </w:t>
      </w:r>
      <w:r w:rsidR="00754EB8">
        <w:rPr>
          <w:b/>
        </w:rPr>
        <w:t xml:space="preserve">testifies that </w:t>
      </w:r>
      <w:r w:rsidR="001D7972">
        <w:rPr>
          <w:b/>
        </w:rPr>
        <w:t xml:space="preserve">the cumulative revenue impact from the ERF and K-Factor increases will amount to about $465 million through February 2017 and calls this a </w:t>
      </w:r>
      <w:r w:rsidR="00754EB8">
        <w:rPr>
          <w:b/>
        </w:rPr>
        <w:t>“</w:t>
      </w:r>
      <w:r w:rsidR="001D7972">
        <w:rPr>
          <w:b/>
        </w:rPr>
        <w:t>very significant</w:t>
      </w:r>
      <w:r w:rsidR="00754EB8">
        <w:rPr>
          <w:b/>
        </w:rPr>
        <w:t>”</w:t>
      </w:r>
      <w:r w:rsidR="001D7972">
        <w:rPr>
          <w:b/>
        </w:rPr>
        <w:t xml:space="preserve"> impact.</w:t>
      </w:r>
      <w:r w:rsidR="001D7972">
        <w:rPr>
          <w:rStyle w:val="FootnoteReference"/>
          <w:b/>
        </w:rPr>
        <w:footnoteReference w:id="18"/>
      </w:r>
      <w:r w:rsidR="001D7972">
        <w:rPr>
          <w:b/>
        </w:rPr>
        <w:t xml:space="preserve">  What is your response</w:t>
      </w:r>
      <w:r w:rsidRPr="00B82CE2">
        <w:rPr>
          <w:b/>
        </w:rPr>
        <w:t>?</w:t>
      </w:r>
    </w:p>
    <w:p w:rsidR="009B0CCB" w:rsidRDefault="009B0CCB" w:rsidP="009B0CCB">
      <w:pPr>
        <w:spacing w:line="480" w:lineRule="auto"/>
        <w:ind w:left="720" w:hanging="720"/>
      </w:pPr>
      <w:r>
        <w:t>A.</w:t>
      </w:r>
      <w:r>
        <w:tab/>
      </w:r>
      <w:r w:rsidR="00440016">
        <w:t xml:space="preserve">No </w:t>
      </w:r>
      <w:r w:rsidR="00866C5F">
        <w:t xml:space="preserve">responsive </w:t>
      </w:r>
      <w:r w:rsidR="00440016">
        <w:t xml:space="preserve">witness </w:t>
      </w:r>
      <w:r w:rsidR="001D7972">
        <w:t>put</w:t>
      </w:r>
      <w:r w:rsidR="00440016">
        <w:t>s</w:t>
      </w:r>
      <w:r w:rsidR="001D7972">
        <w:t xml:space="preserve"> </w:t>
      </w:r>
      <w:r w:rsidR="00440016">
        <w:t xml:space="preserve">the </w:t>
      </w:r>
      <w:r w:rsidR="001D7972">
        <w:t xml:space="preserve">revenue increase in perspective.  The gross figure </w:t>
      </w:r>
      <w:r w:rsidR="00440016">
        <w:t xml:space="preserve">Mr. Dittmer </w:t>
      </w:r>
      <w:r w:rsidR="001D7972">
        <w:t xml:space="preserve">presents is the cumulative increase over </w:t>
      </w:r>
      <w:r w:rsidR="00440016">
        <w:t xml:space="preserve">today’s </w:t>
      </w:r>
      <w:r w:rsidR="001D7972">
        <w:t xml:space="preserve">base </w:t>
      </w:r>
      <w:r w:rsidR="00440016">
        <w:t xml:space="preserve">revenues </w:t>
      </w:r>
      <w:r w:rsidR="001D7972">
        <w:t xml:space="preserve">for both gas and electric and for both the ERF and the rate plan.  He covers a total of 46 months, from May 2013 through February 2017.  </w:t>
      </w:r>
      <w:r w:rsidR="00866C5F">
        <w:t xml:space="preserve">I can accept his figure at face value for illustrative purposes.  </w:t>
      </w:r>
      <w:r w:rsidR="001D7972">
        <w:t>However, Mr. Dittmer does not calculate the total revenues over that same period.  From May 2013 through February 2017, PSE</w:t>
      </w:r>
      <w:r w:rsidR="007B3CE4">
        <w:t>’s total revenues from today’s rates</w:t>
      </w:r>
      <w:r w:rsidR="001D7972">
        <w:t xml:space="preserve"> will </w:t>
      </w:r>
      <w:r w:rsidR="007B3CE4">
        <w:t>exceed</w:t>
      </w:r>
      <w:r w:rsidR="001D7972">
        <w:t xml:space="preserve"> $11.6 </w:t>
      </w:r>
      <w:r w:rsidR="00866C5F">
        <w:t>billion</w:t>
      </w:r>
      <w:r w:rsidR="001D7972">
        <w:t xml:space="preserve">.  </w:t>
      </w:r>
      <w:r w:rsidR="007B3CE4">
        <w:t xml:space="preserve">Mr. Dittmer’s </w:t>
      </w:r>
      <w:r w:rsidR="001D7972">
        <w:t xml:space="preserve">$465 million is all of four percent collectively for almost four years.  This is a nominal increase of </w:t>
      </w:r>
      <w:r w:rsidR="00866C5F">
        <w:t xml:space="preserve">but one </w:t>
      </w:r>
      <w:r w:rsidR="001D7972">
        <w:t>percent per year.</w:t>
      </w:r>
      <w:r w:rsidR="007B3CE4">
        <w:t xml:space="preserve">  This does not represent a significant impact</w:t>
      </w:r>
      <w:r w:rsidR="00866C5F">
        <w:t>, in my view</w:t>
      </w:r>
      <w:r w:rsidR="007B3CE4">
        <w:t>.</w:t>
      </w:r>
    </w:p>
    <w:p w:rsidR="00903698" w:rsidRDefault="00903698" w:rsidP="009B0CCB">
      <w:pPr>
        <w:spacing w:line="480" w:lineRule="auto"/>
        <w:ind w:left="720" w:hanging="720"/>
      </w:pPr>
    </w:p>
    <w:p w:rsidR="000D3B02" w:rsidRDefault="00F71B03" w:rsidP="009253CF">
      <w:pPr>
        <w:keepNext/>
        <w:spacing w:line="480" w:lineRule="auto"/>
        <w:ind w:left="720" w:hanging="720"/>
        <w:rPr>
          <w:b/>
        </w:rPr>
      </w:pPr>
      <w:r>
        <w:rPr>
          <w:b/>
        </w:rPr>
        <w:t>E</w:t>
      </w:r>
      <w:r w:rsidR="007B2204">
        <w:rPr>
          <w:b/>
        </w:rPr>
        <w:t xml:space="preserve">. </w:t>
      </w:r>
      <w:r w:rsidR="00250757">
        <w:rPr>
          <w:b/>
        </w:rPr>
        <w:tab/>
      </w:r>
      <w:r w:rsidR="000D3B02" w:rsidRPr="000D3B02">
        <w:rPr>
          <w:b/>
        </w:rPr>
        <w:t>Decoupling</w:t>
      </w:r>
      <w:r w:rsidR="00CC00BC">
        <w:rPr>
          <w:rStyle w:val="FootnoteReference"/>
          <w:b/>
        </w:rPr>
        <w:footnoteReference w:id="19"/>
      </w:r>
    </w:p>
    <w:p w:rsidR="00250757" w:rsidRPr="000D3B02" w:rsidRDefault="00250757" w:rsidP="009253CF">
      <w:pPr>
        <w:keepNext/>
        <w:spacing w:line="480" w:lineRule="auto"/>
        <w:ind w:left="720" w:hanging="720"/>
        <w:rPr>
          <w:b/>
        </w:rPr>
      </w:pPr>
    </w:p>
    <w:p w:rsidR="009B0CCB" w:rsidRPr="002457A8" w:rsidRDefault="000D3B02" w:rsidP="00AD2375">
      <w:pPr>
        <w:spacing w:line="480" w:lineRule="auto"/>
        <w:ind w:left="720" w:hanging="720"/>
        <w:rPr>
          <w:b/>
        </w:rPr>
      </w:pPr>
      <w:r w:rsidRPr="002457A8">
        <w:rPr>
          <w:b/>
        </w:rPr>
        <w:t>Q.</w:t>
      </w:r>
      <w:r w:rsidRPr="002457A8">
        <w:rPr>
          <w:b/>
        </w:rPr>
        <w:tab/>
      </w:r>
      <w:r w:rsidR="002457A8" w:rsidRPr="002457A8">
        <w:rPr>
          <w:b/>
        </w:rPr>
        <w:t xml:space="preserve">Please </w:t>
      </w:r>
      <w:r w:rsidR="00215EF0">
        <w:rPr>
          <w:b/>
        </w:rPr>
        <w:t>summarize the intervenor and Public Counsel opinions</w:t>
      </w:r>
      <w:r w:rsidR="002457A8" w:rsidRPr="002457A8">
        <w:rPr>
          <w:b/>
        </w:rPr>
        <w:t xml:space="preserve"> of the </w:t>
      </w:r>
      <w:r w:rsidR="006971E3">
        <w:rPr>
          <w:b/>
        </w:rPr>
        <w:t xml:space="preserve">amended </w:t>
      </w:r>
      <w:r w:rsidR="002457A8" w:rsidRPr="002457A8">
        <w:rPr>
          <w:b/>
        </w:rPr>
        <w:t>decoupling proposal.</w:t>
      </w:r>
    </w:p>
    <w:p w:rsidR="00E81A3B" w:rsidDel="00215EF0" w:rsidRDefault="002457A8" w:rsidP="00E81A3B">
      <w:pPr>
        <w:spacing w:line="480" w:lineRule="auto"/>
        <w:ind w:left="720" w:hanging="720"/>
      </w:pPr>
      <w:r>
        <w:lastRenderedPageBreak/>
        <w:t>A.</w:t>
      </w:r>
      <w:r>
        <w:tab/>
      </w:r>
      <w:r w:rsidR="00CE39A9">
        <w:t xml:space="preserve">A common thread in opposition to the decoupling proposal is how the proposal departs from the policy statement.  A main argument is the lack of an adjustment to the rate of return.  Other complaints </w:t>
      </w:r>
      <w:r w:rsidR="009B7F1D">
        <w:t xml:space="preserve">include:  </w:t>
      </w:r>
      <w:r w:rsidR="00866C5F">
        <w:t xml:space="preserve">(1) </w:t>
      </w:r>
      <w:r w:rsidR="00CE39A9">
        <w:t>the K-factor</w:t>
      </w:r>
      <w:r w:rsidR="009B7F1D">
        <w:t xml:space="preserve"> is</w:t>
      </w:r>
      <w:r w:rsidR="00CE39A9">
        <w:t xml:space="preserve"> not based on conservation achievement</w:t>
      </w:r>
      <w:r w:rsidR="009B7F1D">
        <w:t xml:space="preserve"> and allows revenues to grow with additional customers</w:t>
      </w:r>
      <w:r w:rsidR="00E81A3B">
        <w:t xml:space="preserve">; </w:t>
      </w:r>
      <w:r w:rsidR="00866C5F">
        <w:t xml:space="preserve">(2) </w:t>
      </w:r>
      <w:r w:rsidR="009B7F1D">
        <w:t xml:space="preserve">decoupling </w:t>
      </w:r>
      <w:r w:rsidR="00E81A3B">
        <w:t xml:space="preserve">is not filed in a general rate case; </w:t>
      </w:r>
      <w:r w:rsidR="00866C5F">
        <w:t xml:space="preserve">(3) </w:t>
      </w:r>
      <w:r w:rsidR="009B7F1D">
        <w:t xml:space="preserve">this decoupling plan </w:t>
      </w:r>
      <w:r w:rsidR="00E81A3B">
        <w:t xml:space="preserve">will not remove barriers to acquire all cost-effective conservation; and </w:t>
      </w:r>
      <w:r w:rsidR="00866C5F">
        <w:t xml:space="preserve">(4) </w:t>
      </w:r>
      <w:r w:rsidR="009B7F1D">
        <w:t xml:space="preserve">there is </w:t>
      </w:r>
      <w:r w:rsidR="00E81A3B">
        <w:t>no consideration for off-system sales from power freed up due to increased conservation.</w:t>
      </w:r>
      <w:r w:rsidR="00E81A3B">
        <w:rPr>
          <w:rStyle w:val="FootnoteReference"/>
        </w:rPr>
        <w:footnoteReference w:id="20"/>
      </w:r>
    </w:p>
    <w:p w:rsidR="00CE39A9" w:rsidRDefault="00CE39A9" w:rsidP="00215EF0">
      <w:pPr>
        <w:spacing w:line="480" w:lineRule="auto"/>
        <w:ind w:left="720" w:hanging="720"/>
      </w:pPr>
      <w:r>
        <w:t xml:space="preserve"> </w:t>
      </w:r>
    </w:p>
    <w:p w:rsidR="00DA6401" w:rsidRPr="00531722" w:rsidRDefault="00DA6401" w:rsidP="00560336">
      <w:pPr>
        <w:spacing w:line="480" w:lineRule="auto"/>
        <w:ind w:left="720" w:hanging="720"/>
        <w:rPr>
          <w:b/>
        </w:rPr>
      </w:pPr>
      <w:r w:rsidRPr="00531722">
        <w:rPr>
          <w:b/>
        </w:rPr>
        <w:t xml:space="preserve">Q. </w:t>
      </w:r>
      <w:r w:rsidRPr="00531722">
        <w:rPr>
          <w:b/>
        </w:rPr>
        <w:tab/>
      </w:r>
      <w:r w:rsidR="00866C5F">
        <w:rPr>
          <w:b/>
        </w:rPr>
        <w:t>Does Staff offer a witness on decoupling in these matters</w:t>
      </w:r>
      <w:r w:rsidRPr="00531722">
        <w:rPr>
          <w:b/>
        </w:rPr>
        <w:t>?</w:t>
      </w:r>
    </w:p>
    <w:p w:rsidR="00DA6401" w:rsidRDefault="00DA6401" w:rsidP="00560336">
      <w:pPr>
        <w:spacing w:line="480" w:lineRule="auto"/>
        <w:ind w:left="720" w:hanging="720"/>
      </w:pPr>
      <w:r>
        <w:t>A.</w:t>
      </w:r>
      <w:r>
        <w:tab/>
        <w:t>Yes.  Staff witness Deborah Reynolds fully explains Staff’s opinions in her</w:t>
      </w:r>
      <w:r w:rsidR="00866C5F" w:rsidRPr="00866C5F">
        <w:t xml:space="preserve"> </w:t>
      </w:r>
      <w:r w:rsidR="00866C5F">
        <w:t>March 4, 2013,</w:t>
      </w:r>
      <w:r>
        <w:t xml:space="preserve"> testimony addressing the amended decoupling proposal.  Ms. Reynolds fully discusses how the amended decoupling proposal deviates from the decoupling policy statement and why </w:t>
      </w:r>
      <w:r w:rsidR="00866C5F">
        <w:t xml:space="preserve">such deviation </w:t>
      </w:r>
      <w:r>
        <w:t xml:space="preserve">is </w:t>
      </w:r>
      <w:r w:rsidR="00FB1A44">
        <w:t xml:space="preserve">both </w:t>
      </w:r>
      <w:r>
        <w:t>reasonable</w:t>
      </w:r>
      <w:r w:rsidR="00FB1A44">
        <w:t xml:space="preserve"> and consistent with the Commission’s most recent orders</w:t>
      </w:r>
      <w:r>
        <w:t>.  The intervenors</w:t>
      </w:r>
      <w:r w:rsidR="00866C5F">
        <w:t>’</w:t>
      </w:r>
      <w:r>
        <w:t xml:space="preserve"> arguments concerning rates-of-return </w:t>
      </w:r>
      <w:r w:rsidR="00866C5F">
        <w:t>are unhelpful and unproductive</w:t>
      </w:r>
      <w:r>
        <w:t>.</w:t>
      </w:r>
    </w:p>
    <w:p w:rsidR="00F0309B" w:rsidRDefault="00F0309B" w:rsidP="00AD2375">
      <w:pPr>
        <w:spacing w:line="480" w:lineRule="auto"/>
        <w:ind w:left="720" w:hanging="720"/>
      </w:pPr>
    </w:p>
    <w:p w:rsidR="00531722" w:rsidRPr="008E4512" w:rsidRDefault="00531722" w:rsidP="009253CF">
      <w:pPr>
        <w:keepNext/>
        <w:spacing w:line="480" w:lineRule="auto"/>
        <w:ind w:left="720" w:hanging="720"/>
        <w:rPr>
          <w:b/>
        </w:rPr>
      </w:pPr>
      <w:r w:rsidRPr="008E4512">
        <w:rPr>
          <w:b/>
        </w:rPr>
        <w:t>Q.</w:t>
      </w:r>
      <w:r w:rsidRPr="008E4512">
        <w:rPr>
          <w:b/>
        </w:rPr>
        <w:tab/>
        <w:t>How do you respond to the other issues above?</w:t>
      </w:r>
    </w:p>
    <w:p w:rsidR="009B7F1D" w:rsidRDefault="00531722" w:rsidP="00AD2375">
      <w:pPr>
        <w:spacing w:line="480" w:lineRule="auto"/>
        <w:ind w:left="720" w:hanging="720"/>
      </w:pPr>
      <w:r>
        <w:t>A.</w:t>
      </w:r>
      <w:r>
        <w:tab/>
        <w:t>First</w:t>
      </w:r>
      <w:r w:rsidR="000B177C">
        <w:t>,</w:t>
      </w:r>
      <w:r>
        <w:t xml:space="preserve"> the K-factor is not intended to be a measure of conservation success or impact.  It is intended to give PSE minor revenue increases </w:t>
      </w:r>
      <w:r w:rsidR="000B177C">
        <w:t>f</w:t>
      </w:r>
      <w:r>
        <w:t>or a limited period of time</w:t>
      </w:r>
      <w:r w:rsidR="001F312A">
        <w:t xml:space="preserve"> and is applied only to the revenues that support the non-generation portion of the business</w:t>
      </w:r>
      <w:r>
        <w:t xml:space="preserve">. </w:t>
      </w:r>
    </w:p>
    <w:p w:rsidR="00531722" w:rsidRDefault="009B7F1D" w:rsidP="00AD2375">
      <w:pPr>
        <w:spacing w:line="480" w:lineRule="auto"/>
        <w:ind w:left="720" w:hanging="720"/>
      </w:pPr>
      <w:r>
        <w:tab/>
      </w:r>
      <w:r w:rsidR="00ED061F">
        <w:tab/>
      </w:r>
      <w:r w:rsidR="001F312A">
        <w:t>Additionally</w:t>
      </w:r>
      <w:r>
        <w:t>, the</w:t>
      </w:r>
      <w:r w:rsidR="00531722">
        <w:t xml:space="preserve"> application of the K-factor to </w:t>
      </w:r>
      <w:r w:rsidR="00866C5F">
        <w:t xml:space="preserve">the number of </w:t>
      </w:r>
      <w:r w:rsidR="00531722">
        <w:t>actual customers each month is fair and reasonable.  This is no</w:t>
      </w:r>
      <w:r w:rsidR="007A3573">
        <w:t>t</w:t>
      </w:r>
      <w:r w:rsidR="00531722">
        <w:t xml:space="preserve"> “found margin” due to </w:t>
      </w:r>
      <w:r w:rsidR="00531722">
        <w:lastRenderedPageBreak/>
        <w:t xml:space="preserve">customer growth.  I define margin as the </w:t>
      </w:r>
      <w:r w:rsidR="00A07F5A">
        <w:t xml:space="preserve">difference between the incremental revenue and the incremental cost from the addition of a new unit, here a customer.  Mr. Deen acknowledges this by quoting a </w:t>
      </w:r>
      <w:r>
        <w:t xml:space="preserve">similar </w:t>
      </w:r>
      <w:r w:rsidR="00A07F5A">
        <w:t xml:space="preserve">phrase in the </w:t>
      </w:r>
      <w:r w:rsidR="00866C5F">
        <w:t xml:space="preserve">Commission’s </w:t>
      </w:r>
      <w:r w:rsidR="00A52C18">
        <w:t xml:space="preserve">Decoupling </w:t>
      </w:r>
      <w:r w:rsidR="00A07F5A">
        <w:t>Policy Statement.</w:t>
      </w:r>
      <w:r w:rsidR="002D3FC6">
        <w:rPr>
          <w:rStyle w:val="FootnoteReference"/>
        </w:rPr>
        <w:footnoteReference w:id="21"/>
      </w:r>
      <w:r w:rsidR="00A07F5A">
        <w:t xml:space="preserve">  For </w:t>
      </w:r>
      <w:r w:rsidR="001F312A">
        <w:t>“</w:t>
      </w:r>
      <w:r w:rsidR="00A07F5A">
        <w:t>found margin</w:t>
      </w:r>
      <w:r w:rsidR="001F312A">
        <w:t>”</w:t>
      </w:r>
      <w:r w:rsidR="00A07F5A">
        <w:t xml:space="preserve"> to exist either each new customer </w:t>
      </w:r>
      <w:r w:rsidR="002D3FC6">
        <w:t>must be</w:t>
      </w:r>
      <w:r w:rsidR="00A07F5A">
        <w:t xml:space="preserve"> cheaper to serve </w:t>
      </w:r>
      <w:r w:rsidR="002D3FC6">
        <w:t xml:space="preserve">than </w:t>
      </w:r>
      <w:r w:rsidR="00A07F5A">
        <w:t xml:space="preserve">the average, or each new customer </w:t>
      </w:r>
      <w:r w:rsidR="002D3FC6">
        <w:t xml:space="preserve">must </w:t>
      </w:r>
      <w:r w:rsidR="00A07F5A">
        <w:t xml:space="preserve">consume more gas or electricity </w:t>
      </w:r>
      <w:r w:rsidR="002D3FC6">
        <w:t xml:space="preserve">than </w:t>
      </w:r>
      <w:r w:rsidR="00A07F5A">
        <w:t xml:space="preserve">the average.  Neither </w:t>
      </w:r>
      <w:r w:rsidR="002D3FC6">
        <w:t xml:space="preserve">situation </w:t>
      </w:r>
      <w:r w:rsidR="00A07F5A">
        <w:t>is likely, nor does the data support this.</w:t>
      </w:r>
      <w:r w:rsidR="00A07F5A">
        <w:rPr>
          <w:rStyle w:val="FootnoteReference"/>
        </w:rPr>
        <w:footnoteReference w:id="22"/>
      </w:r>
      <w:r w:rsidR="00A07F5A">
        <w:t xml:space="preserve"> </w:t>
      </w:r>
    </w:p>
    <w:p w:rsidR="009B7F1D" w:rsidRDefault="009B7F1D" w:rsidP="00AD2375">
      <w:pPr>
        <w:spacing w:line="480" w:lineRule="auto"/>
        <w:ind w:left="720" w:hanging="720"/>
      </w:pPr>
      <w:r>
        <w:tab/>
      </w:r>
      <w:r w:rsidR="00ED061F">
        <w:tab/>
      </w:r>
      <w:r w:rsidR="001F312A">
        <w:t>Second</w:t>
      </w:r>
      <w:r>
        <w:t>, it is true</w:t>
      </w:r>
      <w:r w:rsidR="001F312A">
        <w:t xml:space="preserve"> that</w:t>
      </w:r>
      <w:r>
        <w:t xml:space="preserve"> the decoupling proposal was not filed in a general rate case.  The decoupling dockets, UE-121697/U</w:t>
      </w:r>
      <w:r w:rsidR="00ED061F">
        <w:t>G</w:t>
      </w:r>
      <w:r>
        <w:t>-121705, were filed as accounting petitions</w:t>
      </w:r>
      <w:r w:rsidR="003A4BD9">
        <w:t>, not within a general rate case,</w:t>
      </w:r>
      <w:r>
        <w:t xml:space="preserve"> and still maintain that procedural status.</w:t>
      </w:r>
      <w:r w:rsidR="00ED061F">
        <w:t xml:space="preserve">  This </w:t>
      </w:r>
      <w:r w:rsidR="003A4BD9">
        <w:t xml:space="preserve">fact </w:t>
      </w:r>
      <w:r w:rsidR="00ED061F">
        <w:t xml:space="preserve">does not detract from the merits of the proposals.  Those merits are enumerated in the testimonies of PSE witnesses </w:t>
      </w:r>
      <w:r w:rsidR="002D3FC6">
        <w:t xml:space="preserve">Katherine </w:t>
      </w:r>
      <w:r w:rsidR="00ED061F">
        <w:t xml:space="preserve">Barnard, </w:t>
      </w:r>
      <w:r w:rsidR="002D3FC6">
        <w:t>Jon</w:t>
      </w:r>
      <w:r w:rsidR="00ED061F">
        <w:t xml:space="preserve"> </w:t>
      </w:r>
      <w:proofErr w:type="spellStart"/>
      <w:r w:rsidR="00ED061F">
        <w:t>Piliaris</w:t>
      </w:r>
      <w:proofErr w:type="spellEnd"/>
      <w:r w:rsidR="00ED061F">
        <w:t xml:space="preserve">, </w:t>
      </w:r>
      <w:r w:rsidR="00874F8F">
        <w:t xml:space="preserve">NWEC witness Ralph Cavanagh, </w:t>
      </w:r>
      <w:r w:rsidR="00ED061F">
        <w:t>and Staff witness Ms. Reynolds.</w:t>
      </w:r>
    </w:p>
    <w:p w:rsidR="00ED061F" w:rsidRDefault="008C33A0" w:rsidP="00AD2375">
      <w:pPr>
        <w:spacing w:line="480" w:lineRule="auto"/>
        <w:ind w:left="720" w:hanging="720"/>
      </w:pPr>
      <w:r>
        <w:tab/>
      </w:r>
      <w:r w:rsidR="00ED061F">
        <w:tab/>
      </w:r>
      <w:r w:rsidR="003A4BD9">
        <w:t>Third</w:t>
      </w:r>
      <w:r w:rsidR="00ED061F">
        <w:t xml:space="preserve">, it is unclear why Mr. Deen states that the decoupling proposal will not remove barriers to </w:t>
      </w:r>
      <w:r w:rsidR="002D3FC6">
        <w:t xml:space="preserve">acquiring </w:t>
      </w:r>
      <w:r w:rsidR="00ED061F">
        <w:t xml:space="preserve">all cost-effective conservation.  </w:t>
      </w:r>
      <w:r w:rsidR="00CF5048">
        <w:t>He seems to confuse himself by considering the rate plan</w:t>
      </w:r>
      <w:r w:rsidR="003A4BD9">
        <w:t>’s</w:t>
      </w:r>
      <w:r w:rsidR="00CF5048">
        <w:t xml:space="preserve"> K-factor as a decoupling feature.  </w:t>
      </w:r>
      <w:r w:rsidR="00ED061F">
        <w:t xml:space="preserve">It is clear that the decoupling proposal will remove PSE’s incentive to sell more kWh and therms.  That is the </w:t>
      </w:r>
      <w:r w:rsidR="00CF5048">
        <w:t xml:space="preserve">proposal’s </w:t>
      </w:r>
      <w:r w:rsidR="00ED061F">
        <w:t>true intent.</w:t>
      </w:r>
    </w:p>
    <w:p w:rsidR="00CF5048" w:rsidRDefault="008C33A0" w:rsidP="00AD2375">
      <w:pPr>
        <w:spacing w:line="480" w:lineRule="auto"/>
        <w:ind w:left="720" w:hanging="720"/>
      </w:pPr>
      <w:r>
        <w:tab/>
      </w:r>
      <w:r w:rsidR="00CF5048">
        <w:tab/>
      </w:r>
      <w:r w:rsidR="003A4BD9">
        <w:t>Finally</w:t>
      </w:r>
      <w:r w:rsidR="00CF5048">
        <w:t>, the proposal for full decoupling does not directly consider capturing additional off-system sales to be returned to customers.  Conservation savings is not separately measured in order to determine incremental off-system sales</w:t>
      </w:r>
      <w:r w:rsidR="008E4512">
        <w:t>.  Any so-</w:t>
      </w:r>
      <w:r w:rsidR="008E4512">
        <w:lastRenderedPageBreak/>
        <w:t>called “savings” will be reflected in power cost only rate cases and the power cost adjustment filings.  This sufficiently addresses the “off-system sales” concerns.</w:t>
      </w:r>
      <w:r w:rsidR="008E4512">
        <w:rPr>
          <w:rStyle w:val="FootnoteReference"/>
        </w:rPr>
        <w:footnoteReference w:id="23"/>
      </w:r>
    </w:p>
    <w:p w:rsidR="000B177C" w:rsidRDefault="000B177C" w:rsidP="00AD2375">
      <w:pPr>
        <w:spacing w:line="480" w:lineRule="auto"/>
        <w:ind w:left="720" w:hanging="720"/>
        <w:rPr>
          <w:b/>
        </w:rPr>
      </w:pPr>
    </w:p>
    <w:p w:rsidR="000B177C" w:rsidRPr="00A33A55" w:rsidRDefault="000B177C" w:rsidP="000B177C">
      <w:pPr>
        <w:spacing w:line="480" w:lineRule="auto"/>
        <w:ind w:left="720" w:hanging="720"/>
        <w:rPr>
          <w:b/>
        </w:rPr>
      </w:pPr>
      <w:r w:rsidRPr="00A33A55">
        <w:rPr>
          <w:b/>
        </w:rPr>
        <w:t>Q.</w:t>
      </w:r>
      <w:r w:rsidRPr="00A33A55">
        <w:rPr>
          <w:b/>
        </w:rPr>
        <w:tab/>
        <w:t xml:space="preserve">Does Public Counsel offer any conditions upon which </w:t>
      </w:r>
      <w:r w:rsidR="00A2370C">
        <w:rPr>
          <w:b/>
        </w:rPr>
        <w:t>it</w:t>
      </w:r>
      <w:r w:rsidR="00A2370C" w:rsidRPr="00A33A55">
        <w:rPr>
          <w:b/>
        </w:rPr>
        <w:t xml:space="preserve"> </w:t>
      </w:r>
      <w:r w:rsidRPr="00A33A55">
        <w:rPr>
          <w:b/>
        </w:rPr>
        <w:t>might accept a decoupling plan?</w:t>
      </w:r>
    </w:p>
    <w:p w:rsidR="000B177C" w:rsidRDefault="000B177C" w:rsidP="000B177C">
      <w:pPr>
        <w:spacing w:line="480" w:lineRule="auto"/>
        <w:ind w:left="720" w:hanging="720"/>
      </w:pPr>
      <w:r>
        <w:t>A.</w:t>
      </w:r>
      <w:r>
        <w:tab/>
        <w:t>Yes.</w:t>
      </w:r>
      <w:r w:rsidR="00A2370C">
        <w:t xml:space="preserve"> </w:t>
      </w:r>
      <w:r>
        <w:t xml:space="preserve"> Mr. Dittmer for Public Counsel states that a full decoupling proposal would be reasonable with a reduced cost of capital, an earnings test, and certain reporting requirements.</w:t>
      </w:r>
      <w:r>
        <w:rPr>
          <w:rStyle w:val="FootnoteReference"/>
        </w:rPr>
        <w:footnoteReference w:id="24"/>
      </w:r>
      <w:r>
        <w:t xml:space="preserve"> </w:t>
      </w:r>
    </w:p>
    <w:p w:rsidR="000B177C" w:rsidRDefault="000B177C" w:rsidP="000B177C">
      <w:pPr>
        <w:spacing w:line="480" w:lineRule="auto"/>
        <w:ind w:left="720" w:hanging="720"/>
        <w:rPr>
          <w:b/>
        </w:rPr>
      </w:pPr>
    </w:p>
    <w:p w:rsidR="000B177C" w:rsidRPr="00531722" w:rsidRDefault="000B177C" w:rsidP="000B177C">
      <w:pPr>
        <w:spacing w:line="480" w:lineRule="auto"/>
        <w:ind w:left="720" w:hanging="720"/>
        <w:rPr>
          <w:b/>
        </w:rPr>
      </w:pPr>
      <w:r w:rsidRPr="00531722">
        <w:rPr>
          <w:b/>
        </w:rPr>
        <w:t>Q.</w:t>
      </w:r>
      <w:r w:rsidRPr="00531722">
        <w:rPr>
          <w:b/>
        </w:rPr>
        <w:tab/>
        <w:t>Please comment on Mr. Dittmer’s position.</w:t>
      </w:r>
    </w:p>
    <w:p w:rsidR="000B177C" w:rsidRDefault="000B177C" w:rsidP="000B177C">
      <w:pPr>
        <w:spacing w:line="480" w:lineRule="auto"/>
        <w:ind w:left="720" w:hanging="720"/>
      </w:pPr>
      <w:r>
        <w:t>A.</w:t>
      </w:r>
      <w:r>
        <w:tab/>
        <w:t xml:space="preserve">I addressed the rate of return issue above.  To reiterate, the theoretical potential that decoupling may stabilize revenue needs empirical evidence.  Staff supports leaving the rate of return as is in order to gather that evidence.  </w:t>
      </w:r>
    </w:p>
    <w:p w:rsidR="000B177C" w:rsidRDefault="000B177C" w:rsidP="000B177C">
      <w:pPr>
        <w:spacing w:line="480" w:lineRule="auto"/>
        <w:ind w:left="720" w:hanging="720"/>
      </w:pPr>
      <w:r>
        <w:tab/>
      </w:r>
      <w:r w:rsidR="008C33A0">
        <w:tab/>
      </w:r>
      <w:r>
        <w:t>The amended decoupling proposal does contain an earnings test along the lines that Mr. Dittmer proposes.  He simply selects a lower baseline.</w:t>
      </w:r>
    </w:p>
    <w:p w:rsidR="000B177C" w:rsidRDefault="000B177C" w:rsidP="000B177C">
      <w:pPr>
        <w:spacing w:line="480" w:lineRule="auto"/>
        <w:ind w:left="720" w:hanging="720"/>
      </w:pPr>
      <w:r>
        <w:tab/>
      </w:r>
      <w:r w:rsidR="008C33A0">
        <w:tab/>
      </w:r>
      <w:r>
        <w:t>Staff can support reporting requirements in the Global Settlement and will work with PSE and settling parties to add such language.</w:t>
      </w:r>
    </w:p>
    <w:p w:rsidR="000B177C" w:rsidRDefault="000B177C" w:rsidP="00AD2375">
      <w:pPr>
        <w:spacing w:line="480" w:lineRule="auto"/>
        <w:ind w:left="720" w:hanging="720"/>
        <w:rPr>
          <w:b/>
        </w:rPr>
      </w:pPr>
    </w:p>
    <w:p w:rsidR="009B0CCB" w:rsidRDefault="00F71B03" w:rsidP="00ED7ACB">
      <w:pPr>
        <w:keepNext/>
        <w:spacing w:line="480" w:lineRule="auto"/>
        <w:ind w:left="720" w:hanging="720"/>
        <w:rPr>
          <w:b/>
        </w:rPr>
      </w:pPr>
      <w:r>
        <w:rPr>
          <w:b/>
        </w:rPr>
        <w:t>F</w:t>
      </w:r>
      <w:r w:rsidR="007B2204" w:rsidRPr="007B2204">
        <w:rPr>
          <w:b/>
        </w:rPr>
        <w:t xml:space="preserve">. </w:t>
      </w:r>
      <w:r w:rsidR="00250757">
        <w:rPr>
          <w:b/>
        </w:rPr>
        <w:tab/>
      </w:r>
      <w:r w:rsidR="00CE39A9">
        <w:rPr>
          <w:b/>
        </w:rPr>
        <w:t xml:space="preserve">Merits of </w:t>
      </w:r>
      <w:r w:rsidR="00497920">
        <w:rPr>
          <w:b/>
        </w:rPr>
        <w:t xml:space="preserve">the </w:t>
      </w:r>
      <w:r w:rsidR="00CE39A9">
        <w:rPr>
          <w:b/>
        </w:rPr>
        <w:t>TransAlta Power Purchase Agreement</w:t>
      </w:r>
      <w:r w:rsidR="00A2370C">
        <w:rPr>
          <w:b/>
        </w:rPr>
        <w:t xml:space="preserve"> and Global Settlement</w:t>
      </w:r>
    </w:p>
    <w:p w:rsidR="00250757" w:rsidRPr="007B2204" w:rsidRDefault="00250757" w:rsidP="00250757">
      <w:pPr>
        <w:spacing w:line="480" w:lineRule="auto"/>
        <w:ind w:left="720" w:hanging="720"/>
        <w:rPr>
          <w:b/>
        </w:rPr>
      </w:pPr>
    </w:p>
    <w:p w:rsidR="00497920" w:rsidRPr="008C33A0" w:rsidRDefault="00497920" w:rsidP="008C33A0">
      <w:pPr>
        <w:spacing w:line="480" w:lineRule="auto"/>
        <w:ind w:left="720" w:hanging="720"/>
        <w:rPr>
          <w:b/>
        </w:rPr>
      </w:pPr>
      <w:r w:rsidRPr="008C33A0">
        <w:rPr>
          <w:b/>
        </w:rPr>
        <w:t>Q.</w:t>
      </w:r>
      <w:r w:rsidRPr="008C33A0">
        <w:rPr>
          <w:b/>
        </w:rPr>
        <w:tab/>
        <w:t>Why do you think it important that the Commission approve the Global Settlement in its entirety?</w:t>
      </w:r>
    </w:p>
    <w:p w:rsidR="00497920" w:rsidRDefault="00497920" w:rsidP="008C33A0">
      <w:pPr>
        <w:spacing w:line="480" w:lineRule="auto"/>
        <w:ind w:left="720" w:hanging="720"/>
      </w:pPr>
      <w:r>
        <w:lastRenderedPageBreak/>
        <w:t>A.</w:t>
      </w:r>
      <w:r>
        <w:tab/>
        <w:t xml:space="preserve">The TransAlta Power Purchase Agreement and its proposed amendment are an integral part of the parties’ Global Settlement.  Staff believes it is in the public interest for that contract to go forward as part of the overall resolution of the many dockets at issue.  The contract has many positive attributes that will benefit both ratepayers and Washington residents.  Chief among them is the benefit that will inure to the Lewis County economy, in accordance with the TransAlta </w:t>
      </w:r>
      <w:r w:rsidR="00E33C22">
        <w:t>statute</w:t>
      </w:r>
      <w:r>
        <w:t xml:space="preserve">’s legislative policy.  </w:t>
      </w:r>
      <w:r w:rsidR="00E33C22">
        <w:t>Second, t</w:t>
      </w:r>
      <w:r>
        <w:t xml:space="preserve">he power generated under the contract will be relatively inexpensive, as compared to alternatives, benefiting ratepayers.  Moreover and significantly, the contract will further the Legislature’s environmental goal of transitioning away from coal generation to cleaner fuel sources.  Absent approval of the settlement, including the TransAlta PPA, PSE has stated in its pending Motion for Reconsideration that it will not go forward with the contract, under the conditions set forth in the Commission’s Order 03 in Docket UE-121373. </w:t>
      </w:r>
    </w:p>
    <w:p w:rsidR="00282A73" w:rsidRDefault="00282A73" w:rsidP="008C33A0">
      <w:pPr>
        <w:spacing w:line="480" w:lineRule="auto"/>
        <w:rPr>
          <w:b/>
        </w:rPr>
      </w:pPr>
    </w:p>
    <w:p w:rsidR="00E33C22" w:rsidRDefault="00166F9F" w:rsidP="009253CF">
      <w:pPr>
        <w:keepNext/>
        <w:spacing w:line="480" w:lineRule="auto"/>
        <w:rPr>
          <w:b/>
        </w:rPr>
      </w:pPr>
      <w:r>
        <w:rPr>
          <w:b/>
        </w:rPr>
        <w:t>G</w:t>
      </w:r>
      <w:r w:rsidR="00E33C22" w:rsidRPr="002F6CFD">
        <w:rPr>
          <w:b/>
        </w:rPr>
        <w:t>.</w:t>
      </w:r>
      <w:r w:rsidR="00E33C22" w:rsidRPr="002F6CFD">
        <w:rPr>
          <w:b/>
        </w:rPr>
        <w:tab/>
        <w:t xml:space="preserve">Adequacy of </w:t>
      </w:r>
      <w:r w:rsidR="00E33C22">
        <w:rPr>
          <w:b/>
        </w:rPr>
        <w:t xml:space="preserve">the </w:t>
      </w:r>
      <w:r w:rsidR="00E33C22" w:rsidRPr="002F6CFD">
        <w:rPr>
          <w:b/>
        </w:rPr>
        <w:t>Procedural Schedule</w:t>
      </w:r>
    </w:p>
    <w:p w:rsidR="003A4BD9" w:rsidRPr="002F6CFD" w:rsidRDefault="003A4BD9" w:rsidP="009253CF">
      <w:pPr>
        <w:keepNext/>
        <w:spacing w:line="480" w:lineRule="auto"/>
        <w:rPr>
          <w:b/>
        </w:rPr>
      </w:pPr>
    </w:p>
    <w:p w:rsidR="00E33C22" w:rsidRPr="008C33A0" w:rsidRDefault="00E33C22" w:rsidP="008C33A0">
      <w:pPr>
        <w:spacing w:line="480" w:lineRule="auto"/>
        <w:ind w:left="720" w:hanging="720"/>
        <w:rPr>
          <w:b/>
        </w:rPr>
      </w:pPr>
      <w:r w:rsidRPr="008C33A0">
        <w:rPr>
          <w:b/>
        </w:rPr>
        <w:t>Q.</w:t>
      </w:r>
      <w:r w:rsidRPr="008C33A0">
        <w:rPr>
          <w:b/>
        </w:rPr>
        <w:tab/>
        <w:t>Both Public Counsel and ICNU witnesses Dittmer and Deen, respectively, complain about the procedural schedule that governs these proceedings.  Do you agree that their complaints are valid?  Why not?</w:t>
      </w:r>
    </w:p>
    <w:p w:rsidR="00E33C22" w:rsidRDefault="00E33C22" w:rsidP="008C33A0">
      <w:pPr>
        <w:spacing w:line="480" w:lineRule="auto"/>
        <w:ind w:left="720" w:hanging="720"/>
      </w:pPr>
      <w:r>
        <w:t>A.</w:t>
      </w:r>
      <w:r>
        <w:tab/>
        <w:t>No.  The procedural schedule established by the Commission is adequate to the task at hand.  As the Commission noted in its Order denying Public Counsel’s motion to modify the procedural schedule:  (1) decoupling has been around and discussed for many years, (2) the ERF is intended to be an expedited filing in the nature of a true-</w:t>
      </w:r>
      <w:r>
        <w:lastRenderedPageBreak/>
        <w:t xml:space="preserve">up, and (3) the Commission has entered its TransAlta Order.  Additional time to analyze PSE’s proposals would serve only to cause unnecessary delay in the processing of PSE’s filings.  </w:t>
      </w:r>
    </w:p>
    <w:p w:rsidR="00E33C22" w:rsidRDefault="00E33C22" w:rsidP="008C33A0">
      <w:pPr>
        <w:spacing w:line="480" w:lineRule="auto"/>
        <w:rPr>
          <w:b/>
        </w:rPr>
      </w:pPr>
    </w:p>
    <w:p w:rsidR="00AD2375" w:rsidRPr="007B2204" w:rsidRDefault="007B2204" w:rsidP="008C33A0">
      <w:pPr>
        <w:spacing w:line="480" w:lineRule="auto"/>
        <w:jc w:val="center"/>
        <w:rPr>
          <w:b/>
        </w:rPr>
      </w:pPr>
      <w:r w:rsidRPr="007B2204">
        <w:rPr>
          <w:b/>
        </w:rPr>
        <w:t xml:space="preserve">IV. </w:t>
      </w:r>
      <w:r w:rsidR="00166F9F">
        <w:rPr>
          <w:b/>
        </w:rPr>
        <w:tab/>
      </w:r>
      <w:r w:rsidRPr="007B2204">
        <w:rPr>
          <w:b/>
        </w:rPr>
        <w:t>CONCLUSION</w:t>
      </w:r>
    </w:p>
    <w:p w:rsidR="00250757" w:rsidRDefault="00250757" w:rsidP="008C33A0">
      <w:pPr>
        <w:spacing w:line="480" w:lineRule="auto"/>
        <w:rPr>
          <w:b/>
        </w:rPr>
      </w:pPr>
    </w:p>
    <w:p w:rsidR="007B2204" w:rsidRDefault="007B2204" w:rsidP="00D96440">
      <w:pPr>
        <w:spacing w:line="480" w:lineRule="auto"/>
        <w:rPr>
          <w:b/>
        </w:rPr>
      </w:pPr>
      <w:r>
        <w:rPr>
          <w:b/>
        </w:rPr>
        <w:t>Q.</w:t>
      </w:r>
      <w:r>
        <w:rPr>
          <w:b/>
        </w:rPr>
        <w:tab/>
      </w:r>
      <w:r w:rsidR="005F2018">
        <w:rPr>
          <w:b/>
        </w:rPr>
        <w:t xml:space="preserve">What is </w:t>
      </w:r>
      <w:r w:rsidR="00CC00BC">
        <w:rPr>
          <w:b/>
        </w:rPr>
        <w:t>Staff’s</w:t>
      </w:r>
      <w:r w:rsidR="005F2018">
        <w:rPr>
          <w:b/>
        </w:rPr>
        <w:t xml:space="preserve"> </w:t>
      </w:r>
      <w:r w:rsidR="00A2370C">
        <w:rPr>
          <w:b/>
        </w:rPr>
        <w:t xml:space="preserve">final </w:t>
      </w:r>
      <w:r w:rsidR="005F2018">
        <w:rPr>
          <w:b/>
        </w:rPr>
        <w:t>recommendation?</w:t>
      </w:r>
    </w:p>
    <w:p w:rsidR="00DF5858" w:rsidRDefault="007B2204" w:rsidP="00DF5858">
      <w:pPr>
        <w:spacing w:line="480" w:lineRule="auto"/>
        <w:ind w:left="720" w:hanging="720"/>
      </w:pPr>
      <w:r w:rsidRPr="005F2018">
        <w:t>A.</w:t>
      </w:r>
      <w:r w:rsidRPr="005F2018">
        <w:tab/>
      </w:r>
      <w:r w:rsidR="005F2018" w:rsidRPr="005F2018">
        <w:t xml:space="preserve">Staff </w:t>
      </w:r>
      <w:r w:rsidR="00101419">
        <w:t xml:space="preserve">is pleased that NWIGU and The Energy Project have joined the Settling Parties.  This strengthens the position that the Global Settlement is a fair, just and reasonable solution to the various issues presented in the combined dockets.  Staff supports the Global Settlement with the conditions added by NWIGU and the Energy Project.  The positions of the opposition are fully refuted and no </w:t>
      </w:r>
      <w:r w:rsidR="00A6613F">
        <w:t xml:space="preserve">further amendments to the Global Settlement are necessary.  </w:t>
      </w:r>
      <w:r w:rsidR="00101419">
        <w:t xml:space="preserve">We </w:t>
      </w:r>
      <w:r w:rsidR="00077AFF" w:rsidRPr="005F2018">
        <w:t>recommend the</w:t>
      </w:r>
      <w:r w:rsidR="005F2018" w:rsidRPr="005F2018">
        <w:t xml:space="preserve"> Commission accept the </w:t>
      </w:r>
      <w:r w:rsidRPr="005F2018">
        <w:t>Global Settlement</w:t>
      </w:r>
      <w:r w:rsidR="00101419">
        <w:t xml:space="preserve"> as revised</w:t>
      </w:r>
      <w:r w:rsidR="005F2018" w:rsidRPr="005F2018">
        <w:t xml:space="preserve"> and approve the tariffs and accounting deferrals necessary to accomplish the mechanism</w:t>
      </w:r>
      <w:r w:rsidR="00CC00BC">
        <w:t xml:space="preserve">s </w:t>
      </w:r>
      <w:r w:rsidR="00117EA2">
        <w:t xml:space="preserve">outlined </w:t>
      </w:r>
      <w:r w:rsidR="00CC00BC">
        <w:t>in the Global Settlement</w:t>
      </w:r>
      <w:r w:rsidR="005F2018" w:rsidRPr="005F2018">
        <w:t>.</w:t>
      </w:r>
      <w:r w:rsidR="00CC00BC">
        <w:t xml:space="preserve">  Staff also recommends the Commission reopen the record in Docket UE-121373 to </w:t>
      </w:r>
      <w:r w:rsidR="00DF5858">
        <w:t xml:space="preserve">enter the amendment to the Coal Transition PPA and to clarify Order 03, </w:t>
      </w:r>
      <w:r w:rsidR="00117EA2">
        <w:t>consistent with</w:t>
      </w:r>
      <w:r w:rsidR="00DF5858">
        <w:t xml:space="preserve"> the terms in paragraphs 16 and 17 of the Global Settlement.</w:t>
      </w:r>
    </w:p>
    <w:p w:rsidR="007B2204" w:rsidRPr="007B2204" w:rsidRDefault="007B2204" w:rsidP="00D96440">
      <w:pPr>
        <w:spacing w:line="480" w:lineRule="auto"/>
      </w:pPr>
    </w:p>
    <w:p w:rsidR="003A2606" w:rsidRPr="00FF7F6A" w:rsidRDefault="00FF7F6A" w:rsidP="00D96440">
      <w:pPr>
        <w:spacing w:line="480" w:lineRule="auto"/>
        <w:rPr>
          <w:b/>
        </w:rPr>
      </w:pPr>
      <w:r w:rsidRPr="00FF7F6A">
        <w:rPr>
          <w:b/>
        </w:rPr>
        <w:t>Q.</w:t>
      </w:r>
      <w:r w:rsidRPr="00FF7F6A">
        <w:rPr>
          <w:b/>
        </w:rPr>
        <w:tab/>
        <w:t>Does this conclude your testimony?</w:t>
      </w:r>
    </w:p>
    <w:p w:rsidR="00FF7F6A" w:rsidRDefault="00FF7F6A" w:rsidP="00D96440">
      <w:pPr>
        <w:spacing w:line="480" w:lineRule="auto"/>
      </w:pPr>
      <w:r>
        <w:t>A.</w:t>
      </w:r>
      <w:r>
        <w:tab/>
        <w:t>Yes.</w:t>
      </w:r>
    </w:p>
    <w:p w:rsidR="00D43960" w:rsidRDefault="00D43960" w:rsidP="00D96440">
      <w:pPr>
        <w:spacing w:line="480" w:lineRule="auto"/>
      </w:pPr>
    </w:p>
    <w:p w:rsidR="00D43960" w:rsidRDefault="00D43960" w:rsidP="00015873">
      <w:pPr>
        <w:spacing w:line="480" w:lineRule="auto"/>
      </w:pPr>
    </w:p>
    <w:sectPr w:rsidR="00D43960"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E4" w:rsidRDefault="002E26E4">
      <w:r>
        <w:separator/>
      </w:r>
    </w:p>
  </w:endnote>
  <w:endnote w:type="continuationSeparator" w:id="0">
    <w:p w:rsidR="002E26E4" w:rsidRDefault="002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497920" w:rsidRPr="00DC40BC" w:rsidRDefault="00497920"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5</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E4" w:rsidRDefault="002E26E4">
      <w:r>
        <w:separator/>
      </w:r>
    </w:p>
  </w:footnote>
  <w:footnote w:type="continuationSeparator" w:id="0">
    <w:p w:rsidR="002E26E4" w:rsidRDefault="002E26E4">
      <w:r>
        <w:continuationSeparator/>
      </w:r>
    </w:p>
  </w:footnote>
  <w:footnote w:id="1">
    <w:p w:rsidR="00497920" w:rsidRDefault="00497920">
      <w:pPr>
        <w:pStyle w:val="FootnoteText"/>
      </w:pPr>
      <w:r>
        <w:rPr>
          <w:rStyle w:val="FootnoteReference"/>
        </w:rPr>
        <w:footnoteRef/>
      </w:r>
      <w:r>
        <w:t xml:space="preserve"> Those five dockets are:  Docket UE-121373, Coal Transition Power Purchase Agreement; Dockets UE-121697/UG-121705 (</w:t>
      </w:r>
      <w:r w:rsidRPr="007B2204">
        <w:rPr>
          <w:i/>
        </w:rPr>
        <w:t>consolidated</w:t>
      </w:r>
      <w:r>
        <w:t>), Decoupling Plan; and Dockets UE-130137/UG-130138 (</w:t>
      </w:r>
      <w:r w:rsidRPr="007B2204">
        <w:rPr>
          <w:i/>
        </w:rPr>
        <w:t>consolidated</w:t>
      </w:r>
      <w:r>
        <w:t>), Expedited Rate Filing (collective dockets, or Global Settlement).</w:t>
      </w:r>
    </w:p>
  </w:footnote>
  <w:footnote w:id="2">
    <w:p w:rsidR="00497920" w:rsidRDefault="00497920">
      <w:pPr>
        <w:pStyle w:val="FootnoteText"/>
      </w:pPr>
      <w:r>
        <w:rPr>
          <w:rStyle w:val="FootnoteReference"/>
        </w:rPr>
        <w:footnoteRef/>
      </w:r>
      <w:r>
        <w:t xml:space="preserve"> The intervenors filing testimony include the Industrial Customers of Northwest Utilities (ICNU), Northwest Industrial Gas Users (NWIGU), Nucor Steel, Kroger, and The Energy Project.</w:t>
      </w:r>
    </w:p>
  </w:footnote>
  <w:footnote w:id="3">
    <w:p w:rsidR="00497920" w:rsidRDefault="00497920" w:rsidP="00560A91">
      <w:pPr>
        <w:pStyle w:val="FootnoteText"/>
      </w:pPr>
      <w:r>
        <w:rPr>
          <w:rStyle w:val="FootnoteReference"/>
        </w:rPr>
        <w:footnoteRef/>
      </w:r>
      <w:r>
        <w:t xml:space="preserve"> </w:t>
      </w:r>
      <w:r w:rsidRPr="00B66E02">
        <w:rPr>
          <w:i/>
        </w:rPr>
        <w:t>WUTC v. Avista</w:t>
      </w:r>
      <w:r w:rsidRPr="00806F83">
        <w:t>, Dockets UE-120436/UG-120437</w:t>
      </w:r>
      <w:r>
        <w:t>.</w:t>
      </w:r>
    </w:p>
  </w:footnote>
  <w:footnote w:id="4">
    <w:p w:rsidR="00497920" w:rsidRDefault="00497920">
      <w:pPr>
        <w:pStyle w:val="FootnoteText"/>
      </w:pPr>
      <w:r>
        <w:rPr>
          <w:rStyle w:val="FootnoteReference"/>
        </w:rPr>
        <w:footnoteRef/>
      </w:r>
      <w:r>
        <w:t xml:space="preserve"> Dockets UE-130652 and UG-130653. </w:t>
      </w:r>
    </w:p>
  </w:footnote>
  <w:footnote w:id="5">
    <w:p w:rsidR="00497920" w:rsidRDefault="00497920">
      <w:pPr>
        <w:pStyle w:val="FootnoteText"/>
      </w:pPr>
      <w:r>
        <w:rPr>
          <w:rStyle w:val="FootnoteReference"/>
        </w:rPr>
        <w:footnoteRef/>
      </w:r>
      <w:r>
        <w:t xml:space="preserve"> </w:t>
      </w:r>
      <w:r w:rsidRPr="00B66E02">
        <w:rPr>
          <w:i/>
        </w:rPr>
        <w:t>WUTC v. Puget Sound Energy, Inc</w:t>
      </w:r>
      <w:r>
        <w:t>., Dockets UE-111048 and UG-111049, consolidated, Order 08 (May 7, 2012) (“Order 08”), page 167, fn 617.</w:t>
      </w:r>
    </w:p>
  </w:footnote>
  <w:footnote w:id="6">
    <w:p w:rsidR="00497920" w:rsidRDefault="00497920">
      <w:pPr>
        <w:pStyle w:val="FootnoteText"/>
      </w:pPr>
      <w:r>
        <w:rPr>
          <w:rStyle w:val="FootnoteReference"/>
        </w:rPr>
        <w:footnoteRef/>
      </w:r>
      <w:r>
        <w:t xml:space="preserve"> Exhibit No. ___ (MCD-1T) at 10:23.</w:t>
      </w:r>
    </w:p>
  </w:footnote>
  <w:footnote w:id="7">
    <w:p w:rsidR="00497920" w:rsidRDefault="00497920">
      <w:pPr>
        <w:pStyle w:val="FootnoteText"/>
      </w:pPr>
      <w:r>
        <w:rPr>
          <w:rStyle w:val="FootnoteReference"/>
        </w:rPr>
        <w:footnoteRef/>
      </w:r>
      <w:r>
        <w:t xml:space="preserve"> Id., at 11:16. </w:t>
      </w:r>
    </w:p>
  </w:footnote>
  <w:footnote w:id="8">
    <w:p w:rsidR="00497920" w:rsidRDefault="00497920">
      <w:pPr>
        <w:pStyle w:val="FootnoteText"/>
      </w:pPr>
      <w:r>
        <w:rPr>
          <w:rStyle w:val="FootnoteReference"/>
        </w:rPr>
        <w:footnoteRef/>
      </w:r>
      <w:r>
        <w:t xml:space="preserve"> Exhibit No. ___ (JRD-1T) at 4:12-16.</w:t>
      </w:r>
    </w:p>
  </w:footnote>
  <w:footnote w:id="9">
    <w:p w:rsidR="00497920" w:rsidRDefault="00497920">
      <w:pPr>
        <w:pStyle w:val="FootnoteText"/>
      </w:pPr>
      <w:r>
        <w:rPr>
          <w:rStyle w:val="FootnoteReference"/>
        </w:rPr>
        <w:footnoteRef/>
      </w:r>
      <w:r>
        <w:t xml:space="preserve"> Mr. Higgins for Kroger and Nucor states “Kroger (and Nucor) neither supports nor opposes the revenue requirement provisions proposed by PSE in the ERF.” Exhibit No. ___ (KCH-1T) at 3:19-20 and Exhibit No. ___ (KCH-5T) at 3:18-19</w:t>
      </w:r>
    </w:p>
  </w:footnote>
  <w:footnote w:id="10">
    <w:p w:rsidR="00497920" w:rsidRDefault="00497920">
      <w:pPr>
        <w:pStyle w:val="FootnoteText"/>
      </w:pPr>
      <w:r>
        <w:rPr>
          <w:rStyle w:val="FootnoteReference"/>
        </w:rPr>
        <w:footnoteRef/>
      </w:r>
      <w:r>
        <w:t xml:space="preserve"> </w:t>
      </w:r>
      <w:r w:rsidRPr="00B66E02">
        <w:rPr>
          <w:i/>
        </w:rPr>
        <w:t>WUTC v. PacifiCorp</w:t>
      </w:r>
      <w:r>
        <w:t>, Docket UE-130043.</w:t>
      </w:r>
    </w:p>
  </w:footnote>
  <w:footnote w:id="11">
    <w:p w:rsidR="00497920" w:rsidRDefault="00497920" w:rsidP="009B0CCB">
      <w:pPr>
        <w:pStyle w:val="FootnoteText"/>
      </w:pPr>
      <w:r>
        <w:rPr>
          <w:rStyle w:val="FootnoteReference"/>
        </w:rPr>
        <w:footnoteRef/>
      </w:r>
      <w:r>
        <w:t xml:space="preserve"> Order 08, pages 180-181 ¶ 491. The Commission in addressing periods of time when “new plant is more costly than plant being replaced, or more costly than the average cost of plant included in rates” states, it is open to remedies which include “use of plant accounts (rate base) measured at the end, or subsequent to the end of the test-year rather than the test-year average.”</w:t>
      </w:r>
    </w:p>
  </w:footnote>
  <w:footnote w:id="12">
    <w:p w:rsidR="00497920" w:rsidRDefault="00497920">
      <w:pPr>
        <w:pStyle w:val="FootnoteText"/>
      </w:pPr>
      <w:r>
        <w:rPr>
          <w:rStyle w:val="FootnoteReference"/>
        </w:rPr>
        <w:footnoteRef/>
      </w:r>
      <w:r>
        <w:t xml:space="preserve"> </w:t>
      </w:r>
      <w:r w:rsidRPr="00B66E02">
        <w:rPr>
          <w:i/>
        </w:rPr>
        <w:t>WUTC v. Olympic Pipe Line Company</w:t>
      </w:r>
      <w:r>
        <w:t xml:space="preserve">, Docket TO-011472, Twentieth Sup. Order, at page 44 ¶ 160. Stating, “This (EOP) adjustment to the traditional rate base calculation is warranted and appropriate.  It contributes to the Company’s ability to serve its customers and contributes to rates that are fair, just, reasonable, and sufficient.” </w:t>
      </w:r>
    </w:p>
  </w:footnote>
  <w:footnote w:id="13">
    <w:p w:rsidR="00497920" w:rsidRDefault="00497920" w:rsidP="008B58F4">
      <w:pPr>
        <w:pStyle w:val="FootnoteText"/>
      </w:pPr>
      <w:r>
        <w:rPr>
          <w:rStyle w:val="FootnoteReference"/>
        </w:rPr>
        <w:footnoteRef/>
      </w:r>
      <w:r>
        <w:t xml:space="preserve"> </w:t>
      </w:r>
      <w:r w:rsidRPr="00B66E02">
        <w:rPr>
          <w:i/>
        </w:rPr>
        <w:t>WUTC v. Washington Natural Gas</w:t>
      </w:r>
      <w:r>
        <w:t>, Cause No. U-80-111, Third Supp. Order at pages 5-7.   Here the Commission addresses the phenomenon that new plant and new customers are occurring, but new revenues produced by those additions are not parallel with the costs. The Commission notes that delivered new therms from the new customers were less that the therms delivered during previous years. A cause of this decline is cited as “serious and conscientious efforts of the public to conserve energy.” The Commission concludes that “year-end rate base will be adopted for ratemaking purposes in this proceeding.”</w:t>
      </w:r>
    </w:p>
  </w:footnote>
  <w:footnote w:id="14">
    <w:p w:rsidR="00497920" w:rsidRDefault="00497920">
      <w:pPr>
        <w:pStyle w:val="FootnoteText"/>
      </w:pPr>
      <w:r>
        <w:rPr>
          <w:rStyle w:val="FootnoteReference"/>
        </w:rPr>
        <w:footnoteRef/>
      </w:r>
      <w:r>
        <w:t xml:space="preserve"> Id., at page 6.</w:t>
      </w:r>
    </w:p>
  </w:footnote>
  <w:footnote w:id="15">
    <w:p w:rsidR="00497920" w:rsidRDefault="00497920">
      <w:pPr>
        <w:pStyle w:val="FootnoteText"/>
      </w:pPr>
      <w:r>
        <w:rPr>
          <w:rStyle w:val="FootnoteReference"/>
        </w:rPr>
        <w:footnoteRef/>
      </w:r>
      <w:r>
        <w:t xml:space="preserve"> Id.</w:t>
      </w:r>
    </w:p>
  </w:footnote>
  <w:footnote w:id="16">
    <w:p w:rsidR="00497920" w:rsidRDefault="00497920">
      <w:pPr>
        <w:pStyle w:val="FootnoteText"/>
      </w:pPr>
      <w:r>
        <w:rPr>
          <w:rStyle w:val="FootnoteReference"/>
        </w:rPr>
        <w:footnoteRef/>
      </w:r>
      <w:r>
        <w:t xml:space="preserve"> Exhibit No. ___ (JRD-1T) at 3:9</w:t>
      </w:r>
    </w:p>
  </w:footnote>
  <w:footnote w:id="17">
    <w:p w:rsidR="00497920" w:rsidRDefault="00497920">
      <w:pPr>
        <w:pStyle w:val="FootnoteText"/>
      </w:pPr>
      <w:r>
        <w:rPr>
          <w:rStyle w:val="FootnoteReference"/>
        </w:rPr>
        <w:footnoteRef/>
      </w:r>
      <w:r>
        <w:t xml:space="preserve"> </w:t>
      </w:r>
      <w:r w:rsidRPr="00B66E02">
        <w:rPr>
          <w:i/>
        </w:rPr>
        <w:t>WUTC v. Washington Natural Gas</w:t>
      </w:r>
      <w:r>
        <w:t>, Cause No. U-80-111, Third Supp. Order, at page 6</w:t>
      </w:r>
    </w:p>
  </w:footnote>
  <w:footnote w:id="18">
    <w:p w:rsidR="00497920" w:rsidRDefault="00497920">
      <w:pPr>
        <w:pStyle w:val="FootnoteText"/>
      </w:pPr>
      <w:r>
        <w:rPr>
          <w:rStyle w:val="FootnoteReference"/>
        </w:rPr>
        <w:footnoteRef/>
      </w:r>
      <w:r>
        <w:t xml:space="preserve"> Exhibit No. ___ (JRD-1T) at 3:23-24.</w:t>
      </w:r>
    </w:p>
  </w:footnote>
  <w:footnote w:id="19">
    <w:p w:rsidR="00497920" w:rsidRDefault="00497920">
      <w:pPr>
        <w:pStyle w:val="FootnoteText"/>
      </w:pPr>
      <w:r>
        <w:rPr>
          <w:rStyle w:val="FootnoteReference"/>
        </w:rPr>
        <w:footnoteRef/>
      </w:r>
      <w:r>
        <w:t xml:space="preserve"> Dockets UE-121697/UG-121705 (</w:t>
      </w:r>
      <w:r w:rsidRPr="006620AC">
        <w:rPr>
          <w:i/>
        </w:rPr>
        <w:t>consolidated</w:t>
      </w:r>
      <w:r>
        <w:t>), Exhibit No. ___ (</w:t>
      </w:r>
      <w:r w:rsidRPr="001267A9">
        <w:t>DJR-1T</w:t>
      </w:r>
      <w:r>
        <w:t>) presents Staff’s review of the decoupling mechanism in the context of the Commission’s decoupling policy.</w:t>
      </w:r>
    </w:p>
  </w:footnote>
  <w:footnote w:id="20">
    <w:p w:rsidR="00497920" w:rsidRDefault="00497920" w:rsidP="00E81A3B">
      <w:pPr>
        <w:pStyle w:val="FootnoteText"/>
      </w:pPr>
      <w:r>
        <w:rPr>
          <w:rStyle w:val="FootnoteReference"/>
        </w:rPr>
        <w:footnoteRef/>
      </w:r>
      <w:r>
        <w:t xml:space="preserve"> Most of these are listed in Exhibit No. ___ (MCD-1T), at 22-25.</w:t>
      </w:r>
    </w:p>
  </w:footnote>
  <w:footnote w:id="21">
    <w:p w:rsidR="00497920" w:rsidRDefault="00497920">
      <w:pPr>
        <w:pStyle w:val="FootnoteText"/>
      </w:pPr>
      <w:r>
        <w:rPr>
          <w:rStyle w:val="FootnoteReference"/>
        </w:rPr>
        <w:footnoteRef/>
      </w:r>
      <w:r>
        <w:t xml:space="preserve"> Exhibit No. ___ (MCD-1T), at 27:10-11, citing the Decoupling Policy Statement at page 17, n. 44.</w:t>
      </w:r>
    </w:p>
  </w:footnote>
  <w:footnote w:id="22">
    <w:p w:rsidR="00497920" w:rsidRDefault="00497920" w:rsidP="008C33A0">
      <w:pPr>
        <w:pStyle w:val="FootnoteText"/>
      </w:pPr>
      <w:r>
        <w:rPr>
          <w:rStyle w:val="FootnoteReference"/>
        </w:rPr>
        <w:footnoteRef/>
      </w:r>
      <w:r>
        <w:t xml:space="preserve"> See Mr. Higgins Exhibit No. ___ (KCH-3), page 5.  The 12-year trend (2000 to 2011) for residential customers declines from 11.752 MWh per customer to 11.510.</w:t>
      </w:r>
      <w:r w:rsidRPr="000B177C">
        <w:t xml:space="preserve"> </w:t>
      </w:r>
      <w:r>
        <w:t xml:space="preserve"> The 10-year trend (2002 to 2011) for non- residential customers declines from 87.324 MWh per customer to 85.890.  Natural gas declines are even greater.</w:t>
      </w:r>
    </w:p>
  </w:footnote>
  <w:footnote w:id="23">
    <w:p w:rsidR="00497920" w:rsidRDefault="00497920">
      <w:pPr>
        <w:pStyle w:val="FootnoteText"/>
      </w:pPr>
      <w:r>
        <w:rPr>
          <w:rStyle w:val="FootnoteReference"/>
        </w:rPr>
        <w:footnoteRef/>
      </w:r>
      <w:r>
        <w:t xml:space="preserve"> Dockets UE-121697/UG-121705, Exhibit No. ___ (DJR-1T) at 14-17.</w:t>
      </w:r>
    </w:p>
  </w:footnote>
  <w:footnote w:id="24">
    <w:p w:rsidR="00497920" w:rsidRDefault="00497920" w:rsidP="000B177C">
      <w:pPr>
        <w:pStyle w:val="FootnoteText"/>
      </w:pPr>
      <w:r>
        <w:rPr>
          <w:rStyle w:val="FootnoteReference"/>
        </w:rPr>
        <w:footnoteRef/>
      </w:r>
      <w:r>
        <w:t xml:space="preserve"> Exhibit No. ___ (JRD-1T) at 22:9-23:3.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707245E"/>
    <w:multiLevelType w:val="hybridMultilevel"/>
    <w:tmpl w:val="B5983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00C42"/>
    <w:multiLevelType w:val="hybridMultilevel"/>
    <w:tmpl w:val="307E9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4C5987"/>
    <w:multiLevelType w:val="hybridMultilevel"/>
    <w:tmpl w:val="D6AAD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C135A"/>
    <w:multiLevelType w:val="hybridMultilevel"/>
    <w:tmpl w:val="002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0"/>
  </w:num>
  <w:num w:numId="6">
    <w:abstractNumId w:val="8"/>
  </w:num>
  <w:num w:numId="7">
    <w:abstractNumId w:val="5"/>
  </w:num>
  <w:num w:numId="8">
    <w:abstractNumId w:val="1"/>
  </w:num>
  <w:num w:numId="9">
    <w:abstractNumId w:val="1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021DB"/>
    <w:rsid w:val="0000583C"/>
    <w:rsid w:val="00011120"/>
    <w:rsid w:val="00015873"/>
    <w:rsid w:val="00016C74"/>
    <w:rsid w:val="00020587"/>
    <w:rsid w:val="0002343F"/>
    <w:rsid w:val="00033D68"/>
    <w:rsid w:val="0003409F"/>
    <w:rsid w:val="00042D0C"/>
    <w:rsid w:val="000465E8"/>
    <w:rsid w:val="000610FA"/>
    <w:rsid w:val="0006202B"/>
    <w:rsid w:val="00064907"/>
    <w:rsid w:val="00065C8C"/>
    <w:rsid w:val="00072716"/>
    <w:rsid w:val="00076EFE"/>
    <w:rsid w:val="00077AFF"/>
    <w:rsid w:val="00077E79"/>
    <w:rsid w:val="000854FD"/>
    <w:rsid w:val="00086FD2"/>
    <w:rsid w:val="000967FD"/>
    <w:rsid w:val="000A26B4"/>
    <w:rsid w:val="000A6024"/>
    <w:rsid w:val="000A715E"/>
    <w:rsid w:val="000B177C"/>
    <w:rsid w:val="000D3242"/>
    <w:rsid w:val="000D3B02"/>
    <w:rsid w:val="000D7109"/>
    <w:rsid w:val="000E640C"/>
    <w:rsid w:val="00100329"/>
    <w:rsid w:val="00101419"/>
    <w:rsid w:val="00117EA2"/>
    <w:rsid w:val="00123FDC"/>
    <w:rsid w:val="001267A9"/>
    <w:rsid w:val="00133B9A"/>
    <w:rsid w:val="00133DF5"/>
    <w:rsid w:val="0014075F"/>
    <w:rsid w:val="00143A2E"/>
    <w:rsid w:val="0014615F"/>
    <w:rsid w:val="00146553"/>
    <w:rsid w:val="00147353"/>
    <w:rsid w:val="00152E71"/>
    <w:rsid w:val="0015743D"/>
    <w:rsid w:val="00166F9F"/>
    <w:rsid w:val="0019158E"/>
    <w:rsid w:val="001971DD"/>
    <w:rsid w:val="001978F3"/>
    <w:rsid w:val="001A1C3B"/>
    <w:rsid w:val="001A27C9"/>
    <w:rsid w:val="001B1A18"/>
    <w:rsid w:val="001B1E30"/>
    <w:rsid w:val="001B34BC"/>
    <w:rsid w:val="001B5CD1"/>
    <w:rsid w:val="001C5AB1"/>
    <w:rsid w:val="001D0F6C"/>
    <w:rsid w:val="001D7972"/>
    <w:rsid w:val="001E19F2"/>
    <w:rsid w:val="001E1D7A"/>
    <w:rsid w:val="001E63A6"/>
    <w:rsid w:val="001F1419"/>
    <w:rsid w:val="001F312A"/>
    <w:rsid w:val="001F42A5"/>
    <w:rsid w:val="001F4F61"/>
    <w:rsid w:val="001F64C3"/>
    <w:rsid w:val="002020E3"/>
    <w:rsid w:val="002057D2"/>
    <w:rsid w:val="00206512"/>
    <w:rsid w:val="00215EF0"/>
    <w:rsid w:val="00222F38"/>
    <w:rsid w:val="002264E8"/>
    <w:rsid w:val="0022779B"/>
    <w:rsid w:val="00231D2A"/>
    <w:rsid w:val="00232A3B"/>
    <w:rsid w:val="0024321F"/>
    <w:rsid w:val="002457A8"/>
    <w:rsid w:val="00250757"/>
    <w:rsid w:val="0026408B"/>
    <w:rsid w:val="00264913"/>
    <w:rsid w:val="00267114"/>
    <w:rsid w:val="0027070C"/>
    <w:rsid w:val="00282A73"/>
    <w:rsid w:val="00293D4E"/>
    <w:rsid w:val="0029505E"/>
    <w:rsid w:val="002A22F6"/>
    <w:rsid w:val="002A3BCB"/>
    <w:rsid w:val="002A3BD8"/>
    <w:rsid w:val="002B1A48"/>
    <w:rsid w:val="002B1E7E"/>
    <w:rsid w:val="002B2F2E"/>
    <w:rsid w:val="002B335E"/>
    <w:rsid w:val="002B3B00"/>
    <w:rsid w:val="002C039A"/>
    <w:rsid w:val="002C1070"/>
    <w:rsid w:val="002C4B6E"/>
    <w:rsid w:val="002C7497"/>
    <w:rsid w:val="002D3FC6"/>
    <w:rsid w:val="002D6809"/>
    <w:rsid w:val="002E26E4"/>
    <w:rsid w:val="002E7E30"/>
    <w:rsid w:val="002F0348"/>
    <w:rsid w:val="002F647C"/>
    <w:rsid w:val="00303006"/>
    <w:rsid w:val="00311368"/>
    <w:rsid w:val="003119E1"/>
    <w:rsid w:val="003128E6"/>
    <w:rsid w:val="00315BA3"/>
    <w:rsid w:val="00316BD3"/>
    <w:rsid w:val="00320064"/>
    <w:rsid w:val="00327FE9"/>
    <w:rsid w:val="00342400"/>
    <w:rsid w:val="0034319E"/>
    <w:rsid w:val="003474F8"/>
    <w:rsid w:val="003538FD"/>
    <w:rsid w:val="00356641"/>
    <w:rsid w:val="00357157"/>
    <w:rsid w:val="0035780D"/>
    <w:rsid w:val="00374FD2"/>
    <w:rsid w:val="0037620B"/>
    <w:rsid w:val="00382A07"/>
    <w:rsid w:val="00382AFC"/>
    <w:rsid w:val="00386380"/>
    <w:rsid w:val="0039422F"/>
    <w:rsid w:val="00396872"/>
    <w:rsid w:val="00396CA1"/>
    <w:rsid w:val="003976AD"/>
    <w:rsid w:val="003A0B77"/>
    <w:rsid w:val="003A2606"/>
    <w:rsid w:val="003A4BD9"/>
    <w:rsid w:val="003A65F1"/>
    <w:rsid w:val="003A6D93"/>
    <w:rsid w:val="003B082B"/>
    <w:rsid w:val="003B7B73"/>
    <w:rsid w:val="003C5310"/>
    <w:rsid w:val="003C5CC2"/>
    <w:rsid w:val="003D1AD2"/>
    <w:rsid w:val="003E0A58"/>
    <w:rsid w:val="003E1AA4"/>
    <w:rsid w:val="003E4D83"/>
    <w:rsid w:val="003F02E1"/>
    <w:rsid w:val="003F0DF0"/>
    <w:rsid w:val="003F38F1"/>
    <w:rsid w:val="003F3E1E"/>
    <w:rsid w:val="00402B0A"/>
    <w:rsid w:val="00410954"/>
    <w:rsid w:val="00411F22"/>
    <w:rsid w:val="00427F2F"/>
    <w:rsid w:val="004307EC"/>
    <w:rsid w:val="00440016"/>
    <w:rsid w:val="004428D4"/>
    <w:rsid w:val="00444266"/>
    <w:rsid w:val="00454943"/>
    <w:rsid w:val="00460B61"/>
    <w:rsid w:val="00462D7B"/>
    <w:rsid w:val="00473F4C"/>
    <w:rsid w:val="00474F6A"/>
    <w:rsid w:val="004762BA"/>
    <w:rsid w:val="00486249"/>
    <w:rsid w:val="004906BA"/>
    <w:rsid w:val="00490950"/>
    <w:rsid w:val="00497920"/>
    <w:rsid w:val="004A223D"/>
    <w:rsid w:val="004A77ED"/>
    <w:rsid w:val="004B214E"/>
    <w:rsid w:val="004C6666"/>
    <w:rsid w:val="004D01DA"/>
    <w:rsid w:val="004D211C"/>
    <w:rsid w:val="004D39EA"/>
    <w:rsid w:val="004E580D"/>
    <w:rsid w:val="004F0323"/>
    <w:rsid w:val="00501970"/>
    <w:rsid w:val="005040DB"/>
    <w:rsid w:val="0050491E"/>
    <w:rsid w:val="00510267"/>
    <w:rsid w:val="00510CA6"/>
    <w:rsid w:val="00513624"/>
    <w:rsid w:val="00516F6B"/>
    <w:rsid w:val="00531722"/>
    <w:rsid w:val="005369B3"/>
    <w:rsid w:val="00547A83"/>
    <w:rsid w:val="00552600"/>
    <w:rsid w:val="00557660"/>
    <w:rsid w:val="00560336"/>
    <w:rsid w:val="00560A91"/>
    <w:rsid w:val="00561D34"/>
    <w:rsid w:val="00570BC9"/>
    <w:rsid w:val="00571398"/>
    <w:rsid w:val="0058029C"/>
    <w:rsid w:val="00582F33"/>
    <w:rsid w:val="00583F86"/>
    <w:rsid w:val="00585F6D"/>
    <w:rsid w:val="005969D5"/>
    <w:rsid w:val="005A4685"/>
    <w:rsid w:val="005A6C74"/>
    <w:rsid w:val="005B548F"/>
    <w:rsid w:val="005C131C"/>
    <w:rsid w:val="005C1715"/>
    <w:rsid w:val="005C724A"/>
    <w:rsid w:val="005E0BBF"/>
    <w:rsid w:val="005E25A5"/>
    <w:rsid w:val="005E283F"/>
    <w:rsid w:val="005E7105"/>
    <w:rsid w:val="005F1DC6"/>
    <w:rsid w:val="005F2018"/>
    <w:rsid w:val="005F6727"/>
    <w:rsid w:val="0060403E"/>
    <w:rsid w:val="00615740"/>
    <w:rsid w:val="00617D63"/>
    <w:rsid w:val="00622224"/>
    <w:rsid w:val="00625035"/>
    <w:rsid w:val="00630024"/>
    <w:rsid w:val="0063746C"/>
    <w:rsid w:val="00643597"/>
    <w:rsid w:val="0064724A"/>
    <w:rsid w:val="00651C13"/>
    <w:rsid w:val="00653433"/>
    <w:rsid w:val="006541A3"/>
    <w:rsid w:val="00657ABC"/>
    <w:rsid w:val="00660C27"/>
    <w:rsid w:val="006620AC"/>
    <w:rsid w:val="006666BF"/>
    <w:rsid w:val="00666CBE"/>
    <w:rsid w:val="00672F7B"/>
    <w:rsid w:val="006756E0"/>
    <w:rsid w:val="00684000"/>
    <w:rsid w:val="00691992"/>
    <w:rsid w:val="00692D73"/>
    <w:rsid w:val="006971E3"/>
    <w:rsid w:val="006A41EE"/>
    <w:rsid w:val="006A4562"/>
    <w:rsid w:val="006A6067"/>
    <w:rsid w:val="006B6F44"/>
    <w:rsid w:val="006C0038"/>
    <w:rsid w:val="006C3ECD"/>
    <w:rsid w:val="006C43EF"/>
    <w:rsid w:val="006D3C21"/>
    <w:rsid w:val="006D7D17"/>
    <w:rsid w:val="006E1FF8"/>
    <w:rsid w:val="006F0755"/>
    <w:rsid w:val="006F0760"/>
    <w:rsid w:val="006F1232"/>
    <w:rsid w:val="006F3A11"/>
    <w:rsid w:val="006F40DE"/>
    <w:rsid w:val="0070138A"/>
    <w:rsid w:val="00712388"/>
    <w:rsid w:val="00713E27"/>
    <w:rsid w:val="007173C8"/>
    <w:rsid w:val="00724D55"/>
    <w:rsid w:val="0074166F"/>
    <w:rsid w:val="00746F62"/>
    <w:rsid w:val="00754EB8"/>
    <w:rsid w:val="00757773"/>
    <w:rsid w:val="00760711"/>
    <w:rsid w:val="00761B7C"/>
    <w:rsid w:val="007710CB"/>
    <w:rsid w:val="007867B2"/>
    <w:rsid w:val="00791DA8"/>
    <w:rsid w:val="007A3573"/>
    <w:rsid w:val="007B2204"/>
    <w:rsid w:val="007B3CE4"/>
    <w:rsid w:val="007B54BC"/>
    <w:rsid w:val="007C09AD"/>
    <w:rsid w:val="007C6AB4"/>
    <w:rsid w:val="007E3DCA"/>
    <w:rsid w:val="007E6B38"/>
    <w:rsid w:val="007F4980"/>
    <w:rsid w:val="007F5895"/>
    <w:rsid w:val="00801AB8"/>
    <w:rsid w:val="00806F83"/>
    <w:rsid w:val="00842496"/>
    <w:rsid w:val="00851492"/>
    <w:rsid w:val="00853632"/>
    <w:rsid w:val="00865BA2"/>
    <w:rsid w:val="00866C5F"/>
    <w:rsid w:val="00874F8F"/>
    <w:rsid w:val="008769E7"/>
    <w:rsid w:val="00880E73"/>
    <w:rsid w:val="008810E8"/>
    <w:rsid w:val="00883A2E"/>
    <w:rsid w:val="0089099D"/>
    <w:rsid w:val="00890B40"/>
    <w:rsid w:val="008969DF"/>
    <w:rsid w:val="008A3A5A"/>
    <w:rsid w:val="008A648E"/>
    <w:rsid w:val="008B0C55"/>
    <w:rsid w:val="008B58F4"/>
    <w:rsid w:val="008B61D1"/>
    <w:rsid w:val="008C33A0"/>
    <w:rsid w:val="008C51EB"/>
    <w:rsid w:val="008C61B5"/>
    <w:rsid w:val="008D30D4"/>
    <w:rsid w:val="008D5966"/>
    <w:rsid w:val="008E4512"/>
    <w:rsid w:val="008E6382"/>
    <w:rsid w:val="008F4FFF"/>
    <w:rsid w:val="008F5642"/>
    <w:rsid w:val="008F6FC9"/>
    <w:rsid w:val="008F7033"/>
    <w:rsid w:val="008F7DDF"/>
    <w:rsid w:val="00902113"/>
    <w:rsid w:val="00902324"/>
    <w:rsid w:val="00903698"/>
    <w:rsid w:val="009113DB"/>
    <w:rsid w:val="00912A43"/>
    <w:rsid w:val="00914B41"/>
    <w:rsid w:val="00920EB2"/>
    <w:rsid w:val="009253CF"/>
    <w:rsid w:val="0094156D"/>
    <w:rsid w:val="00952B76"/>
    <w:rsid w:val="00953656"/>
    <w:rsid w:val="0095678F"/>
    <w:rsid w:val="00970328"/>
    <w:rsid w:val="00972F34"/>
    <w:rsid w:val="009928A9"/>
    <w:rsid w:val="00996A3E"/>
    <w:rsid w:val="00997CB1"/>
    <w:rsid w:val="009A1118"/>
    <w:rsid w:val="009B0CCB"/>
    <w:rsid w:val="009B4629"/>
    <w:rsid w:val="009B7F1D"/>
    <w:rsid w:val="009D1865"/>
    <w:rsid w:val="009E455D"/>
    <w:rsid w:val="00A03670"/>
    <w:rsid w:val="00A04200"/>
    <w:rsid w:val="00A07F5A"/>
    <w:rsid w:val="00A11043"/>
    <w:rsid w:val="00A2370C"/>
    <w:rsid w:val="00A5262F"/>
    <w:rsid w:val="00A52C18"/>
    <w:rsid w:val="00A57C7D"/>
    <w:rsid w:val="00A6290B"/>
    <w:rsid w:val="00A644CB"/>
    <w:rsid w:val="00A6613F"/>
    <w:rsid w:val="00A70671"/>
    <w:rsid w:val="00A70BAE"/>
    <w:rsid w:val="00A74ABD"/>
    <w:rsid w:val="00A84A4D"/>
    <w:rsid w:val="00A84C2A"/>
    <w:rsid w:val="00A87FED"/>
    <w:rsid w:val="00A92547"/>
    <w:rsid w:val="00AA099E"/>
    <w:rsid w:val="00AA2CD1"/>
    <w:rsid w:val="00AA63CC"/>
    <w:rsid w:val="00AB2946"/>
    <w:rsid w:val="00AB2FD2"/>
    <w:rsid w:val="00AD2213"/>
    <w:rsid w:val="00AD2375"/>
    <w:rsid w:val="00AD3312"/>
    <w:rsid w:val="00AE0A24"/>
    <w:rsid w:val="00AE273E"/>
    <w:rsid w:val="00AF05CB"/>
    <w:rsid w:val="00AF4501"/>
    <w:rsid w:val="00B00699"/>
    <w:rsid w:val="00B03844"/>
    <w:rsid w:val="00B13041"/>
    <w:rsid w:val="00B16BBD"/>
    <w:rsid w:val="00B17393"/>
    <w:rsid w:val="00B17A7A"/>
    <w:rsid w:val="00B17F11"/>
    <w:rsid w:val="00B21A7E"/>
    <w:rsid w:val="00B26E2D"/>
    <w:rsid w:val="00B30658"/>
    <w:rsid w:val="00B31DB6"/>
    <w:rsid w:val="00B34850"/>
    <w:rsid w:val="00B3640F"/>
    <w:rsid w:val="00B50FBC"/>
    <w:rsid w:val="00B534EA"/>
    <w:rsid w:val="00B63CCF"/>
    <w:rsid w:val="00B6544D"/>
    <w:rsid w:val="00B65594"/>
    <w:rsid w:val="00B664E8"/>
    <w:rsid w:val="00B66E02"/>
    <w:rsid w:val="00B70AE0"/>
    <w:rsid w:val="00B7223A"/>
    <w:rsid w:val="00B7329A"/>
    <w:rsid w:val="00B75F28"/>
    <w:rsid w:val="00B82CE2"/>
    <w:rsid w:val="00B850D6"/>
    <w:rsid w:val="00B928D6"/>
    <w:rsid w:val="00BB2779"/>
    <w:rsid w:val="00BC2646"/>
    <w:rsid w:val="00BF3AAF"/>
    <w:rsid w:val="00BF6980"/>
    <w:rsid w:val="00BF71BC"/>
    <w:rsid w:val="00C078D0"/>
    <w:rsid w:val="00C12FF9"/>
    <w:rsid w:val="00C1586E"/>
    <w:rsid w:val="00C26CDE"/>
    <w:rsid w:val="00C26E46"/>
    <w:rsid w:val="00C30A4A"/>
    <w:rsid w:val="00C37082"/>
    <w:rsid w:val="00C41AE0"/>
    <w:rsid w:val="00C667ED"/>
    <w:rsid w:val="00C6724B"/>
    <w:rsid w:val="00C675C8"/>
    <w:rsid w:val="00C74AD6"/>
    <w:rsid w:val="00CC00BC"/>
    <w:rsid w:val="00CC5EEF"/>
    <w:rsid w:val="00CC6D3D"/>
    <w:rsid w:val="00CC7C19"/>
    <w:rsid w:val="00CD28DE"/>
    <w:rsid w:val="00CE39A9"/>
    <w:rsid w:val="00CE4474"/>
    <w:rsid w:val="00CF182B"/>
    <w:rsid w:val="00CF5048"/>
    <w:rsid w:val="00D05478"/>
    <w:rsid w:val="00D06D31"/>
    <w:rsid w:val="00D10531"/>
    <w:rsid w:val="00D17479"/>
    <w:rsid w:val="00D17DAC"/>
    <w:rsid w:val="00D22FEE"/>
    <w:rsid w:val="00D32BFA"/>
    <w:rsid w:val="00D36C9D"/>
    <w:rsid w:val="00D377E1"/>
    <w:rsid w:val="00D42DF3"/>
    <w:rsid w:val="00D43960"/>
    <w:rsid w:val="00D46A3E"/>
    <w:rsid w:val="00D50DB9"/>
    <w:rsid w:val="00D53CB8"/>
    <w:rsid w:val="00D55A54"/>
    <w:rsid w:val="00D56087"/>
    <w:rsid w:val="00D61769"/>
    <w:rsid w:val="00D62DB7"/>
    <w:rsid w:val="00D64635"/>
    <w:rsid w:val="00D7302B"/>
    <w:rsid w:val="00D90143"/>
    <w:rsid w:val="00D92054"/>
    <w:rsid w:val="00D94A66"/>
    <w:rsid w:val="00D94CD5"/>
    <w:rsid w:val="00D9572B"/>
    <w:rsid w:val="00D957F9"/>
    <w:rsid w:val="00D96440"/>
    <w:rsid w:val="00DA1B86"/>
    <w:rsid w:val="00DA6401"/>
    <w:rsid w:val="00DB0903"/>
    <w:rsid w:val="00DB2320"/>
    <w:rsid w:val="00DB35FA"/>
    <w:rsid w:val="00DB54A4"/>
    <w:rsid w:val="00DD0C90"/>
    <w:rsid w:val="00DD1B50"/>
    <w:rsid w:val="00DD2A47"/>
    <w:rsid w:val="00DD2E57"/>
    <w:rsid w:val="00DD4401"/>
    <w:rsid w:val="00DD6209"/>
    <w:rsid w:val="00DE1CC3"/>
    <w:rsid w:val="00DE6B91"/>
    <w:rsid w:val="00DF07C7"/>
    <w:rsid w:val="00DF5858"/>
    <w:rsid w:val="00E00F9C"/>
    <w:rsid w:val="00E1635C"/>
    <w:rsid w:val="00E27152"/>
    <w:rsid w:val="00E27C9A"/>
    <w:rsid w:val="00E27CBD"/>
    <w:rsid w:val="00E31C9B"/>
    <w:rsid w:val="00E33C22"/>
    <w:rsid w:val="00E3486E"/>
    <w:rsid w:val="00E35AF7"/>
    <w:rsid w:val="00E436A7"/>
    <w:rsid w:val="00E449F9"/>
    <w:rsid w:val="00E44B28"/>
    <w:rsid w:val="00E5203D"/>
    <w:rsid w:val="00E64611"/>
    <w:rsid w:val="00E66854"/>
    <w:rsid w:val="00E71C5D"/>
    <w:rsid w:val="00E81A3B"/>
    <w:rsid w:val="00E83BC2"/>
    <w:rsid w:val="00EA3F73"/>
    <w:rsid w:val="00EA713B"/>
    <w:rsid w:val="00EB5364"/>
    <w:rsid w:val="00EC2939"/>
    <w:rsid w:val="00EC5F25"/>
    <w:rsid w:val="00ED061F"/>
    <w:rsid w:val="00ED3C0B"/>
    <w:rsid w:val="00ED64BD"/>
    <w:rsid w:val="00ED7348"/>
    <w:rsid w:val="00ED7ACB"/>
    <w:rsid w:val="00F0309B"/>
    <w:rsid w:val="00F15B40"/>
    <w:rsid w:val="00F168B3"/>
    <w:rsid w:val="00F17BC5"/>
    <w:rsid w:val="00F17DBC"/>
    <w:rsid w:val="00F21B68"/>
    <w:rsid w:val="00F306E0"/>
    <w:rsid w:val="00F32EB1"/>
    <w:rsid w:val="00F3656B"/>
    <w:rsid w:val="00F44574"/>
    <w:rsid w:val="00F4517E"/>
    <w:rsid w:val="00F46C6B"/>
    <w:rsid w:val="00F71B03"/>
    <w:rsid w:val="00F84364"/>
    <w:rsid w:val="00F90078"/>
    <w:rsid w:val="00F90377"/>
    <w:rsid w:val="00FA418E"/>
    <w:rsid w:val="00FA4C44"/>
    <w:rsid w:val="00FB1A44"/>
    <w:rsid w:val="00FB2099"/>
    <w:rsid w:val="00FB5B8C"/>
    <w:rsid w:val="00FE7B3D"/>
    <w:rsid w:val="00FF306B"/>
    <w:rsid w:val="00FF3760"/>
    <w:rsid w:val="00FF7F3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A4960E-21EC-4931-BBED-3B76E85C4F1F}"/>
</file>

<file path=customXml/itemProps2.xml><?xml version="1.0" encoding="utf-8"?>
<ds:datastoreItem xmlns:ds="http://schemas.openxmlformats.org/officeDocument/2006/customXml" ds:itemID="{020A0C73-AF32-4350-A21C-295DB71AD254}"/>
</file>

<file path=customXml/itemProps3.xml><?xml version="1.0" encoding="utf-8"?>
<ds:datastoreItem xmlns:ds="http://schemas.openxmlformats.org/officeDocument/2006/customXml" ds:itemID="{84F8CF37-0489-4D1C-828A-A14B33FB73B9}"/>
</file>

<file path=customXml/itemProps4.xml><?xml version="1.0" encoding="utf-8"?>
<ds:datastoreItem xmlns:ds="http://schemas.openxmlformats.org/officeDocument/2006/customXml" ds:itemID="{A4FC73B1-AA99-4E0A-85AC-73964F45CEE4}"/>
</file>

<file path=customXml/itemProps5.xml><?xml version="1.0" encoding="utf-8"?>
<ds:datastoreItem xmlns:ds="http://schemas.openxmlformats.org/officeDocument/2006/customXml" ds:itemID="{2532FA20-6E6D-47F7-9EA9-A9D59ECC8751}"/>
</file>

<file path=docProps/app.xml><?xml version="1.0" encoding="utf-8"?>
<Properties xmlns="http://schemas.openxmlformats.org/officeDocument/2006/extended-properties" xmlns:vt="http://schemas.openxmlformats.org/officeDocument/2006/docPropsVTypes">
  <Template>Normal.dotm</Template>
  <TotalTime>25</TotalTime>
  <Pages>16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16</cp:revision>
  <cp:lastPrinted>2013-05-08T20:19:00Z</cp:lastPrinted>
  <dcterms:created xsi:type="dcterms:W3CDTF">2013-05-08T15:27:00Z</dcterms:created>
  <dcterms:modified xsi:type="dcterms:W3CDTF">2013-05-08T20:20:00Z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