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280" w:rsidRPr="00A17F12" w:rsidRDefault="009E0280" w:rsidP="00377690">
      <w:pPr>
        <w:pStyle w:val="NoSpacing"/>
      </w:pPr>
    </w:p>
    <w:p w:rsidR="009E0280" w:rsidRDefault="009E0280" w:rsidP="00340690">
      <w:pPr>
        <w:spacing w:line="480" w:lineRule="exact"/>
      </w:pPr>
    </w:p>
    <w:p w:rsidR="009E0280" w:rsidRDefault="009E0280" w:rsidP="00340690">
      <w:pPr>
        <w:spacing w:line="480" w:lineRule="exact"/>
      </w:pPr>
    </w:p>
    <w:p w:rsidR="009E0280" w:rsidRDefault="009E0280" w:rsidP="00340690">
      <w:pPr>
        <w:spacing w:line="480" w:lineRule="exact"/>
      </w:pPr>
    </w:p>
    <w:p w:rsidR="009E0280" w:rsidRDefault="009E0280" w:rsidP="00340690">
      <w:pPr>
        <w:pStyle w:val="FirmName"/>
        <w:spacing w:line="480" w:lineRule="exact"/>
        <w:jc w:val="left"/>
      </w:pPr>
    </w:p>
    <w:p w:rsidR="003D5CF6" w:rsidRDefault="003D5CF6" w:rsidP="00340690">
      <w:pPr>
        <w:pStyle w:val="FirmName"/>
        <w:spacing w:line="480" w:lineRule="exact"/>
        <w:jc w:val="left"/>
      </w:pPr>
    </w:p>
    <w:p w:rsidR="00090CA3" w:rsidRDefault="00090CA3" w:rsidP="00340690">
      <w:pPr>
        <w:pStyle w:val="FirmName"/>
        <w:spacing w:line="480" w:lineRule="exact"/>
        <w:jc w:val="left"/>
      </w:pPr>
    </w:p>
    <w:p w:rsidR="009E0280" w:rsidRDefault="009E0280" w:rsidP="00090CA3">
      <w:pPr>
        <w:pStyle w:val="SingleSpacing"/>
        <w:spacing w:after="120" w:line="480" w:lineRule="exact"/>
        <w:jc w:val="center"/>
      </w:pPr>
      <w:r>
        <w:t>BEFORE THE WASHINGTON UTILITIES AND TRANSPORTATION COMMISSION</w:t>
      </w:r>
    </w:p>
    <w:tbl>
      <w:tblPr>
        <w:tblW w:w="9540" w:type="dxa"/>
        <w:tblInd w:w="72" w:type="dxa"/>
        <w:tblLayout w:type="fixed"/>
        <w:tblCellMar>
          <w:left w:w="72" w:type="dxa"/>
          <w:right w:w="72" w:type="dxa"/>
        </w:tblCellMar>
        <w:tblLook w:val="0000"/>
      </w:tblPr>
      <w:tblGrid>
        <w:gridCol w:w="4902"/>
        <w:gridCol w:w="164"/>
        <w:gridCol w:w="4474"/>
      </w:tblGrid>
      <w:tr w:rsidR="009E0280" w:rsidTr="00CC3C85">
        <w:tc>
          <w:tcPr>
            <w:tcW w:w="4902" w:type="dxa"/>
            <w:tcBorders>
              <w:bottom w:val="single" w:sz="4" w:space="0" w:color="auto"/>
              <w:right w:val="single" w:sz="4" w:space="0" w:color="auto"/>
            </w:tcBorders>
          </w:tcPr>
          <w:p w:rsidR="009E0280" w:rsidRDefault="009E0280" w:rsidP="006D62D0">
            <w:pPr>
              <w:spacing w:line="240" w:lineRule="auto"/>
            </w:pPr>
            <w:bookmarkStart w:id="0" w:name="Parties"/>
            <w:bookmarkEnd w:id="0"/>
            <w:r>
              <w:t xml:space="preserve">In </w:t>
            </w:r>
            <w:r w:rsidR="00482E3F">
              <w:t>the Matter of the Application of</w:t>
            </w:r>
            <w:r>
              <w:t>:</w:t>
            </w:r>
          </w:p>
          <w:p w:rsidR="009E0280" w:rsidRDefault="009E0280" w:rsidP="006D62D0">
            <w:pPr>
              <w:spacing w:line="240" w:lineRule="auto"/>
            </w:pPr>
          </w:p>
          <w:p w:rsidR="00D82D05" w:rsidRDefault="00482E3F" w:rsidP="006D62D0">
            <w:pPr>
              <w:pStyle w:val="SingleSpacing"/>
              <w:spacing w:after="160" w:line="240" w:lineRule="auto"/>
            </w:pPr>
            <w:r>
              <w:t>WASTE MANAGEMENT OF WASHINGTON, INC. D/B/A WM HEALTHCARE SOLUTIONS OF WASHINGTON</w:t>
            </w:r>
          </w:p>
          <w:p w:rsidR="006D62D0" w:rsidRDefault="00482E3F" w:rsidP="00482E3F">
            <w:pPr>
              <w:pStyle w:val="SingleSpacing"/>
              <w:spacing w:after="120" w:line="240" w:lineRule="auto"/>
            </w:pPr>
            <w:r>
              <w:t xml:space="preserve">For an Extension of Certificate G-237 for a Certificate of Public Convenience and Necessity to Operate Motor Vehicles in Furnishing Solid Waste Collection </w:t>
            </w:r>
            <w:r w:rsidR="006D62D0">
              <w:t>Service</w:t>
            </w:r>
          </w:p>
        </w:tc>
        <w:tc>
          <w:tcPr>
            <w:tcW w:w="164" w:type="dxa"/>
            <w:tcBorders>
              <w:left w:val="single" w:sz="4" w:space="0" w:color="auto"/>
            </w:tcBorders>
          </w:tcPr>
          <w:p w:rsidR="009E0280" w:rsidRDefault="009E0280">
            <w:pPr>
              <w:pStyle w:val="SingleSpacing"/>
              <w:spacing w:line="240" w:lineRule="auto"/>
            </w:pPr>
          </w:p>
        </w:tc>
        <w:tc>
          <w:tcPr>
            <w:tcW w:w="4474" w:type="dxa"/>
          </w:tcPr>
          <w:p w:rsidR="00962566" w:rsidRDefault="00D82D05" w:rsidP="00CC3C85">
            <w:pPr>
              <w:pStyle w:val="SingleSpacing"/>
              <w:tabs>
                <w:tab w:val="left" w:pos="2257"/>
              </w:tabs>
              <w:spacing w:line="240" w:lineRule="auto"/>
            </w:pPr>
            <w:bookmarkStart w:id="1" w:name="CaseNumber"/>
            <w:bookmarkEnd w:id="1"/>
            <w:r>
              <w:t>Docket No</w:t>
            </w:r>
            <w:r w:rsidR="00962566">
              <w:t>.</w:t>
            </w:r>
            <w:r>
              <w:t xml:space="preserve"> TG-1</w:t>
            </w:r>
            <w:r w:rsidR="00482E3F">
              <w:t>2</w:t>
            </w:r>
            <w:r w:rsidR="00141C87">
              <w:t>0033</w:t>
            </w:r>
          </w:p>
          <w:p w:rsidR="009E0280" w:rsidRDefault="009E0280" w:rsidP="00CC3C85">
            <w:pPr>
              <w:pStyle w:val="SingleSpacing"/>
              <w:tabs>
                <w:tab w:val="left" w:pos="2257"/>
              </w:tabs>
              <w:spacing w:line="240" w:lineRule="auto"/>
            </w:pPr>
          </w:p>
          <w:p w:rsidR="009E0280" w:rsidRPr="009E0822" w:rsidRDefault="009E0822" w:rsidP="00CC3C85">
            <w:pPr>
              <w:pStyle w:val="SingleSpacing"/>
              <w:spacing w:after="120" w:line="240" w:lineRule="auto"/>
              <w:ind w:right="-72"/>
              <w:rPr>
                <w:b/>
              </w:rPr>
            </w:pPr>
            <w:r w:rsidRPr="009E0822">
              <w:rPr>
                <w:b/>
              </w:rPr>
              <w:t>WASTE MANAGEMENT</w:t>
            </w:r>
            <w:r w:rsidR="00C94706">
              <w:rPr>
                <w:b/>
              </w:rPr>
              <w:t>’</w:t>
            </w:r>
            <w:r w:rsidRPr="009E0822">
              <w:rPr>
                <w:b/>
              </w:rPr>
              <w:t xml:space="preserve">S </w:t>
            </w:r>
            <w:r w:rsidR="009F5504">
              <w:rPr>
                <w:b/>
              </w:rPr>
              <w:t>ANSWER</w:t>
            </w:r>
            <w:r w:rsidR="00252AD5">
              <w:rPr>
                <w:b/>
              </w:rPr>
              <w:t xml:space="preserve"> </w:t>
            </w:r>
            <w:r w:rsidR="00186046">
              <w:rPr>
                <w:b/>
              </w:rPr>
              <w:t>TO PETITION</w:t>
            </w:r>
            <w:r w:rsidR="008D10EE">
              <w:rPr>
                <w:b/>
              </w:rPr>
              <w:t xml:space="preserve"> FOR ADMINISTRATIVE REVIEW</w:t>
            </w:r>
            <w:r w:rsidR="00186046">
              <w:rPr>
                <w:b/>
              </w:rPr>
              <w:t xml:space="preserve"> OF INITIAL ORDER NO. 7 ON BEHALF OF “THE WRRA COMPANIES” AND THE WRRA</w:t>
            </w:r>
          </w:p>
        </w:tc>
      </w:tr>
    </w:tbl>
    <w:p w:rsidR="00CC3C85" w:rsidRDefault="00CC3C85" w:rsidP="009E0822">
      <w:pPr>
        <w:spacing w:line="360" w:lineRule="exact"/>
        <w:sectPr w:rsidR="00CC3C85" w:rsidSect="009D4F7E">
          <w:headerReference w:type="default" r:id="rId8"/>
          <w:footerReference w:type="default" r:id="rId9"/>
          <w:pgSz w:w="12240" w:h="15840" w:code="1"/>
          <w:pgMar w:top="-1269" w:right="1260" w:bottom="720" w:left="1440" w:header="720" w:footer="203" w:gutter="0"/>
          <w:cols w:space="720"/>
        </w:sectPr>
      </w:pPr>
    </w:p>
    <w:p w:rsidR="00CC3C85" w:rsidRDefault="00CC3C85">
      <w:pPr>
        <w:spacing w:line="240" w:lineRule="auto"/>
      </w:pPr>
    </w:p>
    <w:p w:rsidR="00CC3C85" w:rsidRPr="00CC3C85" w:rsidRDefault="00CC3C85" w:rsidP="00CC3C85">
      <w:pPr>
        <w:spacing w:line="240" w:lineRule="auto"/>
        <w:jc w:val="center"/>
        <w:rPr>
          <w:b/>
        </w:rPr>
      </w:pPr>
      <w:r>
        <w:rPr>
          <w:b/>
        </w:rPr>
        <w:t>TABLE OF CONTENTS</w:t>
      </w:r>
    </w:p>
    <w:p w:rsidR="00CC3C85" w:rsidRPr="00C60B29" w:rsidRDefault="00CC3C85" w:rsidP="00C60B29">
      <w:pPr>
        <w:spacing w:after="240" w:line="240" w:lineRule="auto"/>
        <w:rPr>
          <w:b/>
        </w:rPr>
      </w:pPr>
    </w:p>
    <w:p w:rsidR="00C60B29" w:rsidRPr="00C60B29" w:rsidRDefault="00C60B29" w:rsidP="00C60B29">
      <w:pPr>
        <w:pStyle w:val="TOC1"/>
        <w:rPr>
          <w:rFonts w:asciiTheme="minorHAnsi" w:eastAsiaTheme="minorEastAsia" w:hAnsiTheme="minorHAnsi" w:cstheme="minorBidi"/>
          <w:b/>
          <w:noProof/>
          <w:sz w:val="22"/>
          <w:szCs w:val="22"/>
        </w:rPr>
      </w:pPr>
      <w:r w:rsidRPr="00C60B29">
        <w:fldChar w:fldCharType="begin"/>
      </w:r>
      <w:r w:rsidRPr="00C60B29">
        <w:instrText xml:space="preserve"> TOC \o "1-4" \h \z \u </w:instrText>
      </w:r>
      <w:r w:rsidRPr="00C60B29">
        <w:fldChar w:fldCharType="separate"/>
      </w:r>
      <w:hyperlink w:anchor="_Toc353198526" w:history="1">
        <w:r w:rsidRPr="00C60B29">
          <w:rPr>
            <w:rStyle w:val="Hyperlink"/>
            <w:rFonts w:ascii="Times New Roman Bold" w:hAnsi="Times New Roman Bold"/>
            <w:b/>
            <w:noProof/>
          </w:rPr>
          <w:t>I.</w:t>
        </w:r>
        <w:r w:rsidRPr="00C60B29">
          <w:rPr>
            <w:rFonts w:asciiTheme="minorHAnsi" w:eastAsiaTheme="minorEastAsia" w:hAnsiTheme="minorHAnsi" w:cstheme="minorBidi"/>
            <w:b/>
            <w:noProof/>
            <w:sz w:val="22"/>
            <w:szCs w:val="22"/>
          </w:rPr>
          <w:tab/>
        </w:r>
        <w:r w:rsidRPr="00C60B29">
          <w:rPr>
            <w:rStyle w:val="Hyperlink"/>
            <w:b/>
            <w:noProof/>
          </w:rPr>
          <w:t>INTRODUCTION</w:t>
        </w:r>
        <w:r w:rsidRPr="00C60B29">
          <w:rPr>
            <w:b/>
            <w:noProof/>
            <w:webHidden/>
          </w:rPr>
          <w:tab/>
        </w:r>
        <w:r w:rsidRPr="00C60B29">
          <w:rPr>
            <w:b/>
            <w:noProof/>
            <w:webHidden/>
          </w:rPr>
          <w:fldChar w:fldCharType="begin"/>
        </w:r>
        <w:r w:rsidRPr="00C60B29">
          <w:rPr>
            <w:b/>
            <w:noProof/>
            <w:webHidden/>
          </w:rPr>
          <w:instrText xml:space="preserve"> PAGEREF _Toc353198526 \h </w:instrText>
        </w:r>
        <w:r w:rsidRPr="00C60B29">
          <w:rPr>
            <w:b/>
            <w:noProof/>
            <w:webHidden/>
          </w:rPr>
        </w:r>
        <w:r w:rsidRPr="00C60B29">
          <w:rPr>
            <w:b/>
            <w:noProof/>
            <w:webHidden/>
          </w:rPr>
          <w:fldChar w:fldCharType="separate"/>
        </w:r>
        <w:r w:rsidRPr="00C60B29">
          <w:rPr>
            <w:b/>
            <w:noProof/>
            <w:webHidden/>
          </w:rPr>
          <w:t>1</w:t>
        </w:r>
        <w:r w:rsidRPr="00C60B29">
          <w:rPr>
            <w:b/>
            <w:noProof/>
            <w:webHidden/>
          </w:rPr>
          <w:fldChar w:fldCharType="end"/>
        </w:r>
      </w:hyperlink>
    </w:p>
    <w:p w:rsidR="00C60B29" w:rsidRPr="00C60B29" w:rsidRDefault="00C60B29" w:rsidP="00C60B29">
      <w:pPr>
        <w:pStyle w:val="TOC1"/>
        <w:rPr>
          <w:rFonts w:asciiTheme="minorHAnsi" w:eastAsiaTheme="minorEastAsia" w:hAnsiTheme="minorHAnsi" w:cstheme="minorBidi"/>
          <w:b/>
          <w:noProof/>
          <w:sz w:val="22"/>
          <w:szCs w:val="22"/>
        </w:rPr>
      </w:pPr>
      <w:hyperlink w:anchor="_Toc353198527" w:history="1">
        <w:r w:rsidRPr="00C60B29">
          <w:rPr>
            <w:rStyle w:val="Hyperlink"/>
            <w:rFonts w:ascii="Times New Roman Bold" w:hAnsi="Times New Roman Bold"/>
            <w:b/>
            <w:noProof/>
          </w:rPr>
          <w:t>II.</w:t>
        </w:r>
        <w:r w:rsidRPr="00C60B29">
          <w:rPr>
            <w:rFonts w:asciiTheme="minorHAnsi" w:eastAsiaTheme="minorEastAsia" w:hAnsiTheme="minorHAnsi" w:cstheme="minorBidi"/>
            <w:b/>
            <w:noProof/>
            <w:sz w:val="22"/>
            <w:szCs w:val="22"/>
          </w:rPr>
          <w:tab/>
        </w:r>
        <w:r w:rsidRPr="00C60B29">
          <w:rPr>
            <w:rStyle w:val="Hyperlink"/>
            <w:b/>
            <w:noProof/>
          </w:rPr>
          <w:t>ARGUMENT</w:t>
        </w:r>
        <w:r w:rsidRPr="00C60B29">
          <w:rPr>
            <w:b/>
            <w:noProof/>
            <w:webHidden/>
          </w:rPr>
          <w:tab/>
        </w:r>
        <w:r w:rsidRPr="00C60B29">
          <w:rPr>
            <w:b/>
            <w:noProof/>
            <w:webHidden/>
          </w:rPr>
          <w:fldChar w:fldCharType="begin"/>
        </w:r>
        <w:r w:rsidRPr="00C60B29">
          <w:rPr>
            <w:b/>
            <w:noProof/>
            <w:webHidden/>
          </w:rPr>
          <w:instrText xml:space="preserve"> PAGEREF _Toc353198527 \h </w:instrText>
        </w:r>
        <w:r w:rsidRPr="00C60B29">
          <w:rPr>
            <w:b/>
            <w:noProof/>
            <w:webHidden/>
          </w:rPr>
        </w:r>
        <w:r w:rsidRPr="00C60B29">
          <w:rPr>
            <w:b/>
            <w:noProof/>
            <w:webHidden/>
          </w:rPr>
          <w:fldChar w:fldCharType="separate"/>
        </w:r>
        <w:r w:rsidRPr="00C60B29">
          <w:rPr>
            <w:b/>
            <w:noProof/>
            <w:webHidden/>
          </w:rPr>
          <w:t>1</w:t>
        </w:r>
        <w:r w:rsidRPr="00C60B29">
          <w:rPr>
            <w:b/>
            <w:noProof/>
            <w:webHidden/>
          </w:rPr>
          <w:fldChar w:fldCharType="end"/>
        </w:r>
      </w:hyperlink>
    </w:p>
    <w:p w:rsidR="00C60B29" w:rsidRPr="00C60B29" w:rsidRDefault="00C60B29" w:rsidP="00C60B29">
      <w:pPr>
        <w:pStyle w:val="TOC2"/>
        <w:rPr>
          <w:rFonts w:asciiTheme="minorHAnsi" w:eastAsiaTheme="minorEastAsia" w:hAnsiTheme="minorHAnsi" w:cstheme="minorBidi"/>
          <w:b/>
          <w:noProof/>
          <w:sz w:val="22"/>
          <w:szCs w:val="22"/>
        </w:rPr>
      </w:pPr>
      <w:hyperlink w:anchor="_Toc353198528" w:history="1">
        <w:r w:rsidRPr="00C60B29">
          <w:rPr>
            <w:rStyle w:val="Hyperlink"/>
            <w:rFonts w:ascii="Times New Roman Bold" w:hAnsi="Times New Roman Bold"/>
            <w:b/>
            <w:noProof/>
          </w:rPr>
          <w:t>A.</w:t>
        </w:r>
        <w:r w:rsidRPr="00C60B29">
          <w:rPr>
            <w:rFonts w:asciiTheme="minorHAnsi" w:eastAsiaTheme="minorEastAsia" w:hAnsiTheme="minorHAnsi" w:cstheme="minorBidi"/>
            <w:b/>
            <w:noProof/>
            <w:sz w:val="22"/>
            <w:szCs w:val="22"/>
          </w:rPr>
          <w:tab/>
        </w:r>
        <w:r w:rsidRPr="00C60B29">
          <w:rPr>
            <w:rStyle w:val="Hyperlink"/>
            <w:b/>
            <w:noProof/>
          </w:rPr>
          <w:t>Affirming the Initial Order Will Maintain the Statutory Purpose of RCW 81.77.040.</w:t>
        </w:r>
        <w:r w:rsidRPr="00C60B29">
          <w:rPr>
            <w:b/>
            <w:noProof/>
            <w:webHidden/>
          </w:rPr>
          <w:tab/>
        </w:r>
        <w:r w:rsidRPr="00C60B29">
          <w:rPr>
            <w:b/>
            <w:noProof/>
            <w:webHidden/>
          </w:rPr>
          <w:fldChar w:fldCharType="begin"/>
        </w:r>
        <w:r w:rsidRPr="00C60B29">
          <w:rPr>
            <w:b/>
            <w:noProof/>
            <w:webHidden/>
          </w:rPr>
          <w:instrText xml:space="preserve"> PAGEREF _Toc353198528 \h </w:instrText>
        </w:r>
        <w:r w:rsidRPr="00C60B29">
          <w:rPr>
            <w:b/>
            <w:noProof/>
            <w:webHidden/>
          </w:rPr>
        </w:r>
        <w:r w:rsidRPr="00C60B29">
          <w:rPr>
            <w:b/>
            <w:noProof/>
            <w:webHidden/>
          </w:rPr>
          <w:fldChar w:fldCharType="separate"/>
        </w:r>
        <w:r w:rsidRPr="00C60B29">
          <w:rPr>
            <w:b/>
            <w:noProof/>
            <w:webHidden/>
          </w:rPr>
          <w:t>1</w:t>
        </w:r>
        <w:r w:rsidRPr="00C60B29">
          <w:rPr>
            <w:b/>
            <w:noProof/>
            <w:webHidden/>
          </w:rPr>
          <w:fldChar w:fldCharType="end"/>
        </w:r>
      </w:hyperlink>
    </w:p>
    <w:p w:rsidR="00C60B29" w:rsidRPr="00C60B29" w:rsidRDefault="00C60B29" w:rsidP="00C60B29">
      <w:pPr>
        <w:pStyle w:val="TOC3"/>
        <w:rPr>
          <w:rFonts w:asciiTheme="minorHAnsi" w:eastAsiaTheme="minorEastAsia" w:hAnsiTheme="minorHAnsi" w:cstheme="minorBidi"/>
          <w:sz w:val="22"/>
          <w:szCs w:val="22"/>
        </w:rPr>
      </w:pPr>
      <w:hyperlink w:anchor="_Toc353198529" w:history="1">
        <w:r w:rsidRPr="00C60B29">
          <w:rPr>
            <w:rStyle w:val="Hyperlink"/>
            <w:rFonts w:ascii="Times New Roman Bold" w:hAnsi="Times New Roman Bold"/>
          </w:rPr>
          <w:t>1.</w:t>
        </w:r>
        <w:r w:rsidRPr="00C60B29">
          <w:rPr>
            <w:rFonts w:asciiTheme="minorHAnsi" w:eastAsiaTheme="minorEastAsia" w:hAnsiTheme="minorHAnsi" w:cstheme="minorBidi"/>
            <w:sz w:val="22"/>
            <w:szCs w:val="22"/>
          </w:rPr>
          <w:tab/>
        </w:r>
        <w:r w:rsidRPr="00C60B29">
          <w:rPr>
            <w:rStyle w:val="Hyperlink"/>
          </w:rPr>
          <w:t>The Existing Certificate Holders Are Not Serving to the Satisfaction of the Commission.</w:t>
        </w:r>
        <w:r w:rsidRPr="00C60B29">
          <w:rPr>
            <w:webHidden/>
          </w:rPr>
          <w:tab/>
        </w:r>
        <w:r w:rsidRPr="00C60B29">
          <w:rPr>
            <w:webHidden/>
          </w:rPr>
          <w:fldChar w:fldCharType="begin"/>
        </w:r>
        <w:r w:rsidRPr="00C60B29">
          <w:rPr>
            <w:webHidden/>
          </w:rPr>
          <w:instrText xml:space="preserve"> PAGEREF _Toc353198529 \h </w:instrText>
        </w:r>
        <w:r w:rsidRPr="00C60B29">
          <w:rPr>
            <w:webHidden/>
          </w:rPr>
        </w:r>
        <w:r w:rsidRPr="00C60B29">
          <w:rPr>
            <w:webHidden/>
          </w:rPr>
          <w:fldChar w:fldCharType="separate"/>
        </w:r>
        <w:r w:rsidRPr="00C60B29">
          <w:rPr>
            <w:webHidden/>
          </w:rPr>
          <w:t>2</w:t>
        </w:r>
        <w:r w:rsidRPr="00C60B29">
          <w:rPr>
            <w:webHidden/>
          </w:rPr>
          <w:fldChar w:fldCharType="end"/>
        </w:r>
      </w:hyperlink>
    </w:p>
    <w:p w:rsidR="00C60B29" w:rsidRPr="00C60B29" w:rsidRDefault="00C60B29" w:rsidP="00C60B29">
      <w:pPr>
        <w:pStyle w:val="TOC4"/>
        <w:rPr>
          <w:rFonts w:asciiTheme="minorHAnsi" w:eastAsiaTheme="minorEastAsia" w:hAnsiTheme="minorHAnsi" w:cstheme="minorBidi"/>
          <w:b/>
          <w:noProof/>
          <w:sz w:val="22"/>
          <w:szCs w:val="22"/>
        </w:rPr>
      </w:pPr>
      <w:hyperlink w:anchor="_Toc353198530" w:history="1">
        <w:r w:rsidRPr="00C60B29">
          <w:rPr>
            <w:rStyle w:val="Hyperlink"/>
            <w:rFonts w:ascii="Times New Roman Bold" w:hAnsi="Times New Roman Bold"/>
            <w:b/>
            <w:noProof/>
          </w:rPr>
          <w:t>a.</w:t>
        </w:r>
        <w:r w:rsidRPr="00C60B29">
          <w:rPr>
            <w:rFonts w:asciiTheme="minorHAnsi" w:eastAsiaTheme="minorEastAsia" w:hAnsiTheme="minorHAnsi" w:cstheme="minorBidi"/>
            <w:b/>
            <w:noProof/>
            <w:sz w:val="22"/>
            <w:szCs w:val="22"/>
          </w:rPr>
          <w:tab/>
        </w:r>
        <w:r w:rsidRPr="00C60B29">
          <w:rPr>
            <w:rStyle w:val="Hyperlink"/>
            <w:b/>
            <w:noProof/>
          </w:rPr>
          <w:t>The Initial Order Properly Addresses First Whether the Commission Is Satisfied with Existing Services.</w:t>
        </w:r>
        <w:r w:rsidRPr="00C60B29">
          <w:rPr>
            <w:b/>
            <w:noProof/>
            <w:webHidden/>
          </w:rPr>
          <w:tab/>
        </w:r>
        <w:r w:rsidRPr="00C60B29">
          <w:rPr>
            <w:b/>
            <w:noProof/>
            <w:webHidden/>
          </w:rPr>
          <w:fldChar w:fldCharType="begin"/>
        </w:r>
        <w:r w:rsidRPr="00C60B29">
          <w:rPr>
            <w:b/>
            <w:noProof/>
            <w:webHidden/>
          </w:rPr>
          <w:instrText xml:space="preserve"> PAGEREF _Toc353198530 \h </w:instrText>
        </w:r>
        <w:r w:rsidRPr="00C60B29">
          <w:rPr>
            <w:b/>
            <w:noProof/>
            <w:webHidden/>
          </w:rPr>
        </w:r>
        <w:r w:rsidRPr="00C60B29">
          <w:rPr>
            <w:b/>
            <w:noProof/>
            <w:webHidden/>
          </w:rPr>
          <w:fldChar w:fldCharType="separate"/>
        </w:r>
        <w:r w:rsidRPr="00C60B29">
          <w:rPr>
            <w:b/>
            <w:noProof/>
            <w:webHidden/>
          </w:rPr>
          <w:t>2</w:t>
        </w:r>
        <w:r w:rsidRPr="00C60B29">
          <w:rPr>
            <w:b/>
            <w:noProof/>
            <w:webHidden/>
          </w:rPr>
          <w:fldChar w:fldCharType="end"/>
        </w:r>
      </w:hyperlink>
    </w:p>
    <w:p w:rsidR="00C60B29" w:rsidRPr="00C60B29" w:rsidRDefault="00C60B29" w:rsidP="00C60B29">
      <w:pPr>
        <w:pStyle w:val="TOC4"/>
        <w:rPr>
          <w:rFonts w:asciiTheme="minorHAnsi" w:eastAsiaTheme="minorEastAsia" w:hAnsiTheme="minorHAnsi" w:cstheme="minorBidi"/>
          <w:b/>
          <w:noProof/>
          <w:sz w:val="22"/>
          <w:szCs w:val="22"/>
        </w:rPr>
      </w:pPr>
      <w:hyperlink w:anchor="_Toc353198531" w:history="1">
        <w:r w:rsidRPr="00C60B29">
          <w:rPr>
            <w:rStyle w:val="Hyperlink"/>
            <w:rFonts w:ascii="Times New Roman Bold" w:hAnsi="Times New Roman Bold"/>
            <w:b/>
            <w:noProof/>
          </w:rPr>
          <w:t>b.</w:t>
        </w:r>
        <w:r w:rsidRPr="00C60B29">
          <w:rPr>
            <w:rFonts w:asciiTheme="minorHAnsi" w:eastAsiaTheme="minorEastAsia" w:hAnsiTheme="minorHAnsi" w:cstheme="minorBidi"/>
            <w:b/>
            <w:noProof/>
            <w:sz w:val="22"/>
            <w:szCs w:val="22"/>
          </w:rPr>
          <w:tab/>
        </w:r>
        <w:r w:rsidRPr="00C60B29">
          <w:rPr>
            <w:rStyle w:val="Hyperlink"/>
            <w:b/>
            <w:noProof/>
          </w:rPr>
          <w:t>The Initial Order’s Dissatisfaction with Incumbent Service Is Based on Factual Evidence.</w:t>
        </w:r>
        <w:r w:rsidRPr="00C60B29">
          <w:rPr>
            <w:b/>
            <w:noProof/>
            <w:webHidden/>
          </w:rPr>
          <w:tab/>
        </w:r>
        <w:r w:rsidRPr="00C60B29">
          <w:rPr>
            <w:b/>
            <w:noProof/>
            <w:webHidden/>
          </w:rPr>
          <w:fldChar w:fldCharType="begin"/>
        </w:r>
        <w:r w:rsidRPr="00C60B29">
          <w:rPr>
            <w:b/>
            <w:noProof/>
            <w:webHidden/>
          </w:rPr>
          <w:instrText xml:space="preserve"> PAGEREF _Toc353198531 \h </w:instrText>
        </w:r>
        <w:r w:rsidRPr="00C60B29">
          <w:rPr>
            <w:b/>
            <w:noProof/>
            <w:webHidden/>
          </w:rPr>
        </w:r>
        <w:r w:rsidRPr="00C60B29">
          <w:rPr>
            <w:b/>
            <w:noProof/>
            <w:webHidden/>
          </w:rPr>
          <w:fldChar w:fldCharType="separate"/>
        </w:r>
        <w:r w:rsidRPr="00C60B29">
          <w:rPr>
            <w:b/>
            <w:noProof/>
            <w:webHidden/>
          </w:rPr>
          <w:t>4</w:t>
        </w:r>
        <w:r w:rsidRPr="00C60B29">
          <w:rPr>
            <w:b/>
            <w:noProof/>
            <w:webHidden/>
          </w:rPr>
          <w:fldChar w:fldCharType="end"/>
        </w:r>
      </w:hyperlink>
    </w:p>
    <w:p w:rsidR="00C60B29" w:rsidRPr="00C60B29" w:rsidRDefault="00C60B29" w:rsidP="00C60B29">
      <w:pPr>
        <w:pStyle w:val="TOC3"/>
        <w:rPr>
          <w:rFonts w:asciiTheme="minorHAnsi" w:eastAsiaTheme="minorEastAsia" w:hAnsiTheme="minorHAnsi" w:cstheme="minorBidi"/>
          <w:sz w:val="22"/>
          <w:szCs w:val="22"/>
        </w:rPr>
      </w:pPr>
      <w:hyperlink w:anchor="_Toc353198532" w:history="1">
        <w:r w:rsidRPr="00C60B29">
          <w:rPr>
            <w:rStyle w:val="Hyperlink"/>
            <w:rFonts w:ascii="Times New Roman Bold" w:hAnsi="Times New Roman Bold"/>
          </w:rPr>
          <w:t>2.</w:t>
        </w:r>
        <w:r w:rsidRPr="00C60B29">
          <w:rPr>
            <w:rFonts w:asciiTheme="minorHAnsi" w:eastAsiaTheme="minorEastAsia" w:hAnsiTheme="minorHAnsi" w:cstheme="minorBidi"/>
            <w:sz w:val="22"/>
            <w:szCs w:val="22"/>
          </w:rPr>
          <w:tab/>
        </w:r>
        <w:r w:rsidRPr="00C60B29">
          <w:rPr>
            <w:rStyle w:val="Hyperlink"/>
          </w:rPr>
          <w:t>The Commission Should Reaffirm that Entry Standards for Biomedical Waste Transportation Are Different Than the Ones for Traditional Solid Waste Collection.</w:t>
        </w:r>
        <w:r w:rsidRPr="00C60B29">
          <w:rPr>
            <w:webHidden/>
          </w:rPr>
          <w:tab/>
        </w:r>
        <w:r w:rsidRPr="00C60B29">
          <w:rPr>
            <w:webHidden/>
          </w:rPr>
          <w:fldChar w:fldCharType="begin"/>
        </w:r>
        <w:r w:rsidRPr="00C60B29">
          <w:rPr>
            <w:webHidden/>
          </w:rPr>
          <w:instrText xml:space="preserve"> PAGEREF _Toc353198532 \h </w:instrText>
        </w:r>
        <w:r w:rsidRPr="00C60B29">
          <w:rPr>
            <w:webHidden/>
          </w:rPr>
        </w:r>
        <w:r w:rsidRPr="00C60B29">
          <w:rPr>
            <w:webHidden/>
          </w:rPr>
          <w:fldChar w:fldCharType="separate"/>
        </w:r>
        <w:r w:rsidRPr="00C60B29">
          <w:rPr>
            <w:webHidden/>
          </w:rPr>
          <w:t>5</w:t>
        </w:r>
        <w:r w:rsidRPr="00C60B29">
          <w:rPr>
            <w:webHidden/>
          </w:rPr>
          <w:fldChar w:fldCharType="end"/>
        </w:r>
      </w:hyperlink>
    </w:p>
    <w:p w:rsidR="00C60B29" w:rsidRPr="00C60B29" w:rsidRDefault="00C60B29" w:rsidP="00C60B29">
      <w:pPr>
        <w:pStyle w:val="TOC2"/>
        <w:rPr>
          <w:rFonts w:asciiTheme="minorHAnsi" w:eastAsiaTheme="minorEastAsia" w:hAnsiTheme="minorHAnsi" w:cstheme="minorBidi"/>
          <w:b/>
          <w:noProof/>
          <w:sz w:val="22"/>
          <w:szCs w:val="22"/>
        </w:rPr>
      </w:pPr>
      <w:hyperlink w:anchor="_Toc353198533" w:history="1">
        <w:r w:rsidRPr="00C60B29">
          <w:rPr>
            <w:rStyle w:val="Hyperlink"/>
            <w:rFonts w:ascii="Times New Roman Bold" w:hAnsi="Times New Roman Bold"/>
            <w:b/>
            <w:noProof/>
          </w:rPr>
          <w:t>B.</w:t>
        </w:r>
        <w:r w:rsidRPr="00C60B29">
          <w:rPr>
            <w:rFonts w:asciiTheme="minorHAnsi" w:eastAsiaTheme="minorEastAsia" w:hAnsiTheme="minorHAnsi" w:cstheme="minorBidi"/>
            <w:b/>
            <w:noProof/>
            <w:sz w:val="22"/>
            <w:szCs w:val="22"/>
          </w:rPr>
          <w:tab/>
        </w:r>
        <w:r w:rsidRPr="00C60B29">
          <w:rPr>
            <w:rStyle w:val="Hyperlink"/>
            <w:b/>
            <w:noProof/>
          </w:rPr>
          <w:t>The Commission Properly Exercised Its Discretion to Utilize Controlled Competition as a Regulatory Tool.</w:t>
        </w:r>
        <w:r w:rsidRPr="00C60B29">
          <w:rPr>
            <w:b/>
            <w:noProof/>
            <w:webHidden/>
          </w:rPr>
          <w:tab/>
        </w:r>
        <w:r w:rsidRPr="00C60B29">
          <w:rPr>
            <w:b/>
            <w:noProof/>
            <w:webHidden/>
          </w:rPr>
          <w:fldChar w:fldCharType="begin"/>
        </w:r>
        <w:r w:rsidRPr="00C60B29">
          <w:rPr>
            <w:b/>
            <w:noProof/>
            <w:webHidden/>
          </w:rPr>
          <w:instrText xml:space="preserve"> PAGEREF _Toc353198533 \h </w:instrText>
        </w:r>
        <w:r w:rsidRPr="00C60B29">
          <w:rPr>
            <w:b/>
            <w:noProof/>
            <w:webHidden/>
          </w:rPr>
        </w:r>
        <w:r w:rsidRPr="00C60B29">
          <w:rPr>
            <w:b/>
            <w:noProof/>
            <w:webHidden/>
          </w:rPr>
          <w:fldChar w:fldCharType="separate"/>
        </w:r>
        <w:r w:rsidRPr="00C60B29">
          <w:rPr>
            <w:b/>
            <w:noProof/>
            <w:webHidden/>
          </w:rPr>
          <w:t>6</w:t>
        </w:r>
        <w:r w:rsidRPr="00C60B29">
          <w:rPr>
            <w:b/>
            <w:noProof/>
            <w:webHidden/>
          </w:rPr>
          <w:fldChar w:fldCharType="end"/>
        </w:r>
      </w:hyperlink>
    </w:p>
    <w:p w:rsidR="00C60B29" w:rsidRPr="00C60B29" w:rsidRDefault="00C60B29" w:rsidP="00C60B29">
      <w:pPr>
        <w:pStyle w:val="TOC2"/>
        <w:rPr>
          <w:rFonts w:asciiTheme="minorHAnsi" w:eastAsiaTheme="minorEastAsia" w:hAnsiTheme="minorHAnsi" w:cstheme="minorBidi"/>
          <w:b/>
          <w:noProof/>
          <w:sz w:val="22"/>
          <w:szCs w:val="22"/>
        </w:rPr>
      </w:pPr>
      <w:hyperlink w:anchor="_Toc353198534" w:history="1">
        <w:r w:rsidRPr="00C60B29">
          <w:rPr>
            <w:rStyle w:val="Hyperlink"/>
            <w:rFonts w:ascii="Times New Roman Bold" w:hAnsi="Times New Roman Bold"/>
            <w:b/>
            <w:noProof/>
          </w:rPr>
          <w:t>C.</w:t>
        </w:r>
        <w:r w:rsidRPr="00C60B29">
          <w:rPr>
            <w:rFonts w:asciiTheme="minorHAnsi" w:eastAsiaTheme="minorEastAsia" w:hAnsiTheme="minorHAnsi" w:cstheme="minorBidi"/>
            <w:b/>
            <w:noProof/>
            <w:sz w:val="22"/>
            <w:szCs w:val="22"/>
          </w:rPr>
          <w:tab/>
        </w:r>
        <w:r w:rsidRPr="00C60B29">
          <w:rPr>
            <w:rStyle w:val="Hyperlink"/>
            <w:b/>
            <w:noProof/>
          </w:rPr>
          <w:t>The Public Need for Responsive Service Outweighs Any Negative Impacts of Waste Management’s Expansion Given the Absence of Persuasive Evidence of Negative Impact on the WRRA Protestants’ Economic Viability.</w:t>
        </w:r>
        <w:r w:rsidRPr="00C60B29">
          <w:rPr>
            <w:b/>
            <w:noProof/>
            <w:webHidden/>
          </w:rPr>
          <w:tab/>
        </w:r>
        <w:r w:rsidRPr="00C60B29">
          <w:rPr>
            <w:b/>
            <w:noProof/>
            <w:webHidden/>
          </w:rPr>
          <w:fldChar w:fldCharType="begin"/>
        </w:r>
        <w:r w:rsidRPr="00C60B29">
          <w:rPr>
            <w:b/>
            <w:noProof/>
            <w:webHidden/>
          </w:rPr>
          <w:instrText xml:space="preserve"> PAGEREF _Toc353198534 \h </w:instrText>
        </w:r>
        <w:r w:rsidRPr="00C60B29">
          <w:rPr>
            <w:b/>
            <w:noProof/>
            <w:webHidden/>
          </w:rPr>
        </w:r>
        <w:r w:rsidRPr="00C60B29">
          <w:rPr>
            <w:b/>
            <w:noProof/>
            <w:webHidden/>
          </w:rPr>
          <w:fldChar w:fldCharType="separate"/>
        </w:r>
        <w:r w:rsidRPr="00C60B29">
          <w:rPr>
            <w:b/>
            <w:noProof/>
            <w:webHidden/>
          </w:rPr>
          <w:t>11</w:t>
        </w:r>
        <w:r w:rsidRPr="00C60B29">
          <w:rPr>
            <w:b/>
            <w:noProof/>
            <w:webHidden/>
          </w:rPr>
          <w:fldChar w:fldCharType="end"/>
        </w:r>
      </w:hyperlink>
    </w:p>
    <w:p w:rsidR="00C60B29" w:rsidRPr="00C60B29" w:rsidRDefault="00C60B29" w:rsidP="00C60B29">
      <w:pPr>
        <w:pStyle w:val="TOC1"/>
        <w:rPr>
          <w:rFonts w:asciiTheme="minorHAnsi" w:eastAsiaTheme="minorEastAsia" w:hAnsiTheme="minorHAnsi" w:cstheme="minorBidi"/>
          <w:b/>
          <w:noProof/>
          <w:sz w:val="22"/>
          <w:szCs w:val="22"/>
        </w:rPr>
      </w:pPr>
      <w:hyperlink w:anchor="_Toc353198535" w:history="1">
        <w:r w:rsidRPr="00C60B29">
          <w:rPr>
            <w:rStyle w:val="Hyperlink"/>
            <w:rFonts w:ascii="Times New Roman Bold" w:hAnsi="Times New Roman Bold"/>
            <w:b/>
            <w:noProof/>
          </w:rPr>
          <w:t>III.</w:t>
        </w:r>
        <w:r w:rsidRPr="00C60B29">
          <w:rPr>
            <w:rFonts w:asciiTheme="minorHAnsi" w:eastAsiaTheme="minorEastAsia" w:hAnsiTheme="minorHAnsi" w:cstheme="minorBidi"/>
            <w:b/>
            <w:noProof/>
            <w:sz w:val="22"/>
            <w:szCs w:val="22"/>
          </w:rPr>
          <w:tab/>
        </w:r>
        <w:r w:rsidRPr="00C60B29">
          <w:rPr>
            <w:rStyle w:val="Hyperlink"/>
            <w:b/>
            <w:noProof/>
          </w:rPr>
          <w:t>CONCLUSION</w:t>
        </w:r>
        <w:r w:rsidRPr="00C60B29">
          <w:rPr>
            <w:b/>
            <w:noProof/>
            <w:webHidden/>
          </w:rPr>
          <w:tab/>
        </w:r>
        <w:r w:rsidRPr="00C60B29">
          <w:rPr>
            <w:b/>
            <w:noProof/>
            <w:webHidden/>
          </w:rPr>
          <w:fldChar w:fldCharType="begin"/>
        </w:r>
        <w:r w:rsidRPr="00C60B29">
          <w:rPr>
            <w:b/>
            <w:noProof/>
            <w:webHidden/>
          </w:rPr>
          <w:instrText xml:space="preserve"> PAGEREF _Toc353198535 \h </w:instrText>
        </w:r>
        <w:r w:rsidRPr="00C60B29">
          <w:rPr>
            <w:b/>
            <w:noProof/>
            <w:webHidden/>
          </w:rPr>
        </w:r>
        <w:r w:rsidRPr="00C60B29">
          <w:rPr>
            <w:b/>
            <w:noProof/>
            <w:webHidden/>
          </w:rPr>
          <w:fldChar w:fldCharType="separate"/>
        </w:r>
        <w:r w:rsidRPr="00C60B29">
          <w:rPr>
            <w:b/>
            <w:noProof/>
            <w:webHidden/>
          </w:rPr>
          <w:t>15</w:t>
        </w:r>
        <w:r w:rsidRPr="00C60B29">
          <w:rPr>
            <w:b/>
            <w:noProof/>
            <w:webHidden/>
          </w:rPr>
          <w:fldChar w:fldCharType="end"/>
        </w:r>
      </w:hyperlink>
    </w:p>
    <w:p w:rsidR="00C60B29" w:rsidRPr="00C60B29" w:rsidRDefault="00C60B29" w:rsidP="00C60B29">
      <w:pPr>
        <w:pStyle w:val="TOC1"/>
        <w:rPr>
          <w:rFonts w:asciiTheme="minorHAnsi" w:eastAsiaTheme="minorEastAsia" w:hAnsiTheme="minorHAnsi" w:cstheme="minorBidi"/>
          <w:noProof/>
          <w:sz w:val="22"/>
          <w:szCs w:val="22"/>
        </w:rPr>
      </w:pPr>
    </w:p>
    <w:p w:rsidR="00CC3C85" w:rsidRDefault="00C60B29" w:rsidP="00C60B29">
      <w:pPr>
        <w:spacing w:after="240" w:line="240" w:lineRule="auto"/>
      </w:pPr>
      <w:r w:rsidRPr="00C60B29">
        <w:rPr>
          <w:b/>
        </w:rPr>
        <w:fldChar w:fldCharType="end"/>
      </w:r>
    </w:p>
    <w:p w:rsidR="00CC3C85" w:rsidRDefault="00CC3C85">
      <w:pPr>
        <w:spacing w:line="240" w:lineRule="auto"/>
      </w:pPr>
      <w:r>
        <w:br w:type="page"/>
      </w:r>
    </w:p>
    <w:p w:rsidR="00CC3C85" w:rsidRDefault="00CC3C85">
      <w:pPr>
        <w:spacing w:line="240" w:lineRule="auto"/>
      </w:pPr>
    </w:p>
    <w:p w:rsidR="00CC3C85" w:rsidRPr="00CC3C85" w:rsidRDefault="00CC3C85" w:rsidP="00CC3C85">
      <w:pPr>
        <w:spacing w:line="240" w:lineRule="auto"/>
        <w:ind w:right="-90"/>
        <w:jc w:val="center"/>
        <w:rPr>
          <w:b/>
        </w:rPr>
      </w:pPr>
      <w:r>
        <w:rPr>
          <w:b/>
        </w:rPr>
        <w:t>TABLE OF AUTHORITIES</w:t>
      </w:r>
    </w:p>
    <w:p w:rsidR="0040382C" w:rsidRPr="0040382C" w:rsidRDefault="0040382C" w:rsidP="0040382C">
      <w:pPr>
        <w:pStyle w:val="TOAHeading"/>
        <w:tabs>
          <w:tab w:val="right" w:leader="dot" w:pos="9530"/>
        </w:tabs>
        <w:spacing w:before="0" w:after="240" w:line="240" w:lineRule="auto"/>
        <w:rPr>
          <w:rFonts w:ascii="Times New Roman" w:eastAsiaTheme="minorEastAsia" w:hAnsi="Times New Roman"/>
          <w:b w:val="0"/>
          <w:bCs w:val="0"/>
          <w:noProof/>
          <w:sz w:val="22"/>
          <w:szCs w:val="22"/>
        </w:rPr>
      </w:pPr>
      <w:r w:rsidRPr="0040382C">
        <w:rPr>
          <w:rFonts w:ascii="Times New Roman" w:hAnsi="Times New Roman"/>
        </w:rPr>
        <w:fldChar w:fldCharType="begin"/>
      </w:r>
      <w:r w:rsidRPr="0040382C">
        <w:rPr>
          <w:rFonts w:ascii="Times New Roman" w:hAnsi="Times New Roman"/>
        </w:rPr>
        <w:instrText xml:space="preserve"> TOA \h \c "1" \p </w:instrText>
      </w:r>
      <w:r w:rsidRPr="0040382C">
        <w:rPr>
          <w:rFonts w:ascii="Times New Roman" w:hAnsi="Times New Roman"/>
        </w:rPr>
        <w:fldChar w:fldCharType="separate"/>
      </w:r>
      <w:r w:rsidRPr="0040382C">
        <w:rPr>
          <w:rFonts w:ascii="Times New Roman" w:hAnsi="Times New Roman"/>
          <w:noProof/>
        </w:rPr>
        <w:t>Cases</w:t>
      </w:r>
    </w:p>
    <w:p w:rsidR="0040382C" w:rsidRPr="0040382C" w:rsidRDefault="0040382C" w:rsidP="0040382C">
      <w:pPr>
        <w:pStyle w:val="TableofAuthorities"/>
        <w:tabs>
          <w:tab w:val="right" w:leader="dot" w:pos="9530"/>
        </w:tabs>
        <w:spacing w:after="240" w:line="240" w:lineRule="auto"/>
        <w:rPr>
          <w:noProof/>
        </w:rPr>
      </w:pPr>
      <w:r w:rsidRPr="0040382C">
        <w:rPr>
          <w:i/>
          <w:noProof/>
        </w:rPr>
        <w:t>In re Am. Envt. Mgmt. Corp.</w:t>
      </w:r>
      <w:r w:rsidRPr="0040382C">
        <w:rPr>
          <w:noProof/>
        </w:rPr>
        <w:t>,</w:t>
      </w:r>
      <w:r w:rsidR="009E3F98">
        <w:rPr>
          <w:noProof/>
        </w:rPr>
        <w:br/>
      </w:r>
      <w:r w:rsidRPr="0040382C">
        <w:rPr>
          <w:noProof/>
        </w:rPr>
        <w:t>App No. GA-874, Order M.V.G. No. 1452 (Nov. 30, 1990)</w:t>
      </w:r>
      <w:r w:rsidRPr="0040382C">
        <w:rPr>
          <w:noProof/>
        </w:rPr>
        <w:tab/>
        <w:t>3</w:t>
      </w:r>
    </w:p>
    <w:p w:rsidR="0040382C" w:rsidRPr="0040382C" w:rsidRDefault="0040382C" w:rsidP="0040382C">
      <w:pPr>
        <w:pStyle w:val="TableofAuthorities"/>
        <w:tabs>
          <w:tab w:val="right" w:leader="dot" w:pos="9530"/>
        </w:tabs>
        <w:spacing w:after="240" w:line="240" w:lineRule="auto"/>
        <w:rPr>
          <w:noProof/>
        </w:rPr>
      </w:pPr>
      <w:r w:rsidRPr="0040382C">
        <w:rPr>
          <w:i/>
          <w:noProof/>
        </w:rPr>
        <w:t>In re Dutchman Marine , LLC and Seattle Harbor Tours Ltd, P</w:t>
      </w:r>
      <w:r w:rsidR="009E3F98">
        <w:rPr>
          <w:i/>
          <w:noProof/>
        </w:rPr>
        <w:t>'</w:t>
      </w:r>
      <w:r w:rsidRPr="0040382C">
        <w:rPr>
          <w:i/>
          <w:noProof/>
        </w:rPr>
        <w:t>ship</w:t>
      </w:r>
      <w:r w:rsidRPr="0040382C">
        <w:rPr>
          <w:noProof/>
        </w:rPr>
        <w:t>,</w:t>
      </w:r>
      <w:r w:rsidR="009E3F98">
        <w:rPr>
          <w:noProof/>
        </w:rPr>
        <w:br/>
      </w:r>
      <w:r w:rsidRPr="0040382C">
        <w:rPr>
          <w:noProof/>
        </w:rPr>
        <w:t>Docket No. TS-001774 &amp; TS-002055, Second Supplemental Order –</w:t>
      </w:r>
      <w:r w:rsidR="009E3F98">
        <w:rPr>
          <w:noProof/>
        </w:rPr>
        <w:br/>
      </w:r>
      <w:r w:rsidRPr="0040382C">
        <w:rPr>
          <w:noProof/>
        </w:rPr>
        <w:t>Commission Decision and Order Affirming Initial Order Granting</w:t>
      </w:r>
      <w:r w:rsidR="009E3F98">
        <w:rPr>
          <w:noProof/>
        </w:rPr>
        <w:br/>
      </w:r>
      <w:r w:rsidRPr="0040382C">
        <w:rPr>
          <w:noProof/>
        </w:rPr>
        <w:t>Applications with Conditions (Oct. 19, 2011)</w:t>
      </w:r>
      <w:r w:rsidRPr="0040382C">
        <w:rPr>
          <w:noProof/>
        </w:rPr>
        <w:tab/>
        <w:t>8</w:t>
      </w:r>
    </w:p>
    <w:p w:rsidR="0040382C" w:rsidRPr="0040382C" w:rsidRDefault="0040382C" w:rsidP="0040382C">
      <w:pPr>
        <w:pStyle w:val="TableofAuthorities"/>
        <w:tabs>
          <w:tab w:val="right" w:leader="dot" w:pos="9530"/>
        </w:tabs>
        <w:spacing w:after="240" w:line="240" w:lineRule="auto"/>
        <w:rPr>
          <w:noProof/>
        </w:rPr>
      </w:pPr>
      <w:r w:rsidRPr="0040382C">
        <w:rPr>
          <w:i/>
          <w:noProof/>
        </w:rPr>
        <w:t>In re Dutchman Marine, LLC and Seattle Harbor Tours, Ltd. P’ship</w:t>
      </w:r>
      <w:r w:rsidRPr="0040382C">
        <w:rPr>
          <w:noProof/>
        </w:rPr>
        <w:t xml:space="preserve">, </w:t>
      </w:r>
      <w:r w:rsidR="009E3F98">
        <w:rPr>
          <w:noProof/>
        </w:rPr>
        <w:br/>
      </w:r>
      <w:r w:rsidRPr="0040382C">
        <w:rPr>
          <w:noProof/>
        </w:rPr>
        <w:t xml:space="preserve">Docket Nos. TS-001774 &amp; TS-002055, First Supplemental Order – </w:t>
      </w:r>
      <w:r w:rsidR="009E3F98">
        <w:rPr>
          <w:noProof/>
        </w:rPr>
        <w:br/>
      </w:r>
      <w:r w:rsidRPr="0040382C">
        <w:rPr>
          <w:noProof/>
        </w:rPr>
        <w:t>Initial Order Granting Applications with Conditions (Sep. 19, 2001)</w:t>
      </w:r>
      <w:r w:rsidR="009E3F98">
        <w:rPr>
          <w:noProof/>
        </w:rPr>
        <w:br/>
      </w:r>
      <w:r w:rsidRPr="0040382C">
        <w:rPr>
          <w:noProof/>
        </w:rPr>
        <w:t>and Second Supplemental Order – Commission Decision and Order</w:t>
      </w:r>
      <w:r w:rsidR="009E3F98">
        <w:rPr>
          <w:noProof/>
        </w:rPr>
        <w:br/>
      </w:r>
      <w:r w:rsidRPr="0040382C">
        <w:rPr>
          <w:noProof/>
        </w:rPr>
        <w:t>Affirming Initial Order Granting Applications with Conditions</w:t>
      </w:r>
      <w:r w:rsidR="009E3F98">
        <w:rPr>
          <w:noProof/>
        </w:rPr>
        <w:br/>
      </w:r>
      <w:r w:rsidRPr="0040382C">
        <w:rPr>
          <w:noProof/>
        </w:rPr>
        <w:t>(Oct. 19, 2011)</w:t>
      </w:r>
      <w:r w:rsidRPr="0040382C">
        <w:rPr>
          <w:noProof/>
        </w:rPr>
        <w:tab/>
        <w:t>7</w:t>
      </w:r>
    </w:p>
    <w:p w:rsidR="0040382C" w:rsidRPr="0040382C" w:rsidRDefault="0040382C" w:rsidP="0040382C">
      <w:pPr>
        <w:pStyle w:val="TableofAuthorities"/>
        <w:tabs>
          <w:tab w:val="right" w:leader="dot" w:pos="9530"/>
        </w:tabs>
        <w:spacing w:after="240" w:line="240" w:lineRule="auto"/>
        <w:rPr>
          <w:noProof/>
        </w:rPr>
      </w:pPr>
      <w:r w:rsidRPr="0040382C">
        <w:rPr>
          <w:i/>
          <w:noProof/>
        </w:rPr>
        <w:t>In re Ryder Distribution Res., Inc.</w:t>
      </w:r>
      <w:r w:rsidRPr="0040382C">
        <w:rPr>
          <w:noProof/>
        </w:rPr>
        <w:t>,</w:t>
      </w:r>
      <w:r w:rsidR="009E3F98">
        <w:rPr>
          <w:noProof/>
        </w:rPr>
        <w:br/>
      </w:r>
      <w:r w:rsidRPr="0040382C">
        <w:rPr>
          <w:noProof/>
        </w:rPr>
        <w:t xml:space="preserve">App. No. GA-75154, Order M.V.G. No. 1596 </w:t>
      </w:r>
      <w:r w:rsidR="009E3F98">
        <w:rPr>
          <w:noProof/>
        </w:rPr>
        <w:t>(</w:t>
      </w:r>
      <w:r w:rsidRPr="0040382C">
        <w:rPr>
          <w:noProof/>
        </w:rPr>
        <w:t>Jan. 25, 1993)</w:t>
      </w:r>
      <w:r w:rsidRPr="0040382C">
        <w:rPr>
          <w:noProof/>
        </w:rPr>
        <w:tab/>
        <w:t>3, 12</w:t>
      </w:r>
    </w:p>
    <w:p w:rsidR="0040382C" w:rsidRPr="0040382C" w:rsidRDefault="0040382C" w:rsidP="0040382C">
      <w:pPr>
        <w:pStyle w:val="TableofAuthorities"/>
        <w:tabs>
          <w:tab w:val="right" w:leader="dot" w:pos="9530"/>
        </w:tabs>
        <w:spacing w:after="240" w:line="240" w:lineRule="auto"/>
        <w:rPr>
          <w:noProof/>
        </w:rPr>
      </w:pPr>
      <w:r w:rsidRPr="0040382C">
        <w:rPr>
          <w:i/>
          <w:noProof/>
        </w:rPr>
        <w:t>In re Ryder Distribution Res</w:t>
      </w:r>
      <w:r w:rsidR="009E3F98">
        <w:rPr>
          <w:i/>
          <w:noProof/>
        </w:rPr>
        <w:t xml:space="preserve">., </w:t>
      </w:r>
      <w:r w:rsidRPr="0040382C">
        <w:rPr>
          <w:i/>
          <w:noProof/>
        </w:rPr>
        <w:t>Inc.</w:t>
      </w:r>
      <w:r w:rsidRPr="0040382C">
        <w:rPr>
          <w:noProof/>
        </w:rPr>
        <w:t>,</w:t>
      </w:r>
      <w:r w:rsidR="009E3F98">
        <w:rPr>
          <w:noProof/>
        </w:rPr>
        <w:br/>
      </w:r>
      <w:r w:rsidRPr="0040382C">
        <w:rPr>
          <w:noProof/>
        </w:rPr>
        <w:t>App. No. GA-75154, Order M.V.G. No. 1761</w:t>
      </w:r>
      <w:r w:rsidR="009E3F98">
        <w:rPr>
          <w:noProof/>
        </w:rPr>
        <w:t xml:space="preserve"> </w:t>
      </w:r>
      <w:r w:rsidRPr="0040382C">
        <w:rPr>
          <w:noProof/>
        </w:rPr>
        <w:t>(Aug. 11, 1995)</w:t>
      </w:r>
      <w:r w:rsidRPr="0040382C">
        <w:rPr>
          <w:noProof/>
        </w:rPr>
        <w:tab/>
        <w:t>13</w:t>
      </w:r>
    </w:p>
    <w:p w:rsidR="0040382C" w:rsidRPr="0040382C" w:rsidRDefault="0040382C" w:rsidP="0040382C">
      <w:pPr>
        <w:pStyle w:val="TableofAuthorities"/>
        <w:tabs>
          <w:tab w:val="right" w:leader="dot" w:pos="9530"/>
        </w:tabs>
        <w:spacing w:after="240" w:line="240" w:lineRule="auto"/>
        <w:rPr>
          <w:noProof/>
        </w:rPr>
      </w:pPr>
      <w:r w:rsidRPr="0040382C">
        <w:rPr>
          <w:i/>
          <w:noProof/>
        </w:rPr>
        <w:t>In re Sureway Med. Servs., Inc</w:t>
      </w:r>
      <w:r w:rsidRPr="0040382C">
        <w:rPr>
          <w:noProof/>
        </w:rPr>
        <w:t>.,</w:t>
      </w:r>
      <w:r w:rsidR="009E3F98">
        <w:rPr>
          <w:noProof/>
        </w:rPr>
        <w:br/>
      </w:r>
      <w:r w:rsidRPr="0040382C">
        <w:rPr>
          <w:noProof/>
        </w:rPr>
        <w:t>App. No. GA-75968, Order M.V.G. No. 1663 (Nov. 19, 1993)</w:t>
      </w:r>
      <w:r w:rsidRPr="0040382C">
        <w:rPr>
          <w:noProof/>
        </w:rPr>
        <w:tab/>
        <w:t>3, 13</w:t>
      </w:r>
    </w:p>
    <w:p w:rsidR="0040382C" w:rsidRPr="0040382C" w:rsidRDefault="0040382C" w:rsidP="0040382C">
      <w:pPr>
        <w:pStyle w:val="TableofAuthorities"/>
        <w:tabs>
          <w:tab w:val="right" w:leader="dot" w:pos="9530"/>
        </w:tabs>
        <w:spacing w:after="240" w:line="240" w:lineRule="auto"/>
        <w:rPr>
          <w:noProof/>
        </w:rPr>
      </w:pPr>
      <w:r w:rsidRPr="0040382C">
        <w:rPr>
          <w:i/>
          <w:noProof/>
        </w:rPr>
        <w:t>Stericycle of Wash., Inc. v. Waste Mgmt. of Wash., Inc.</w:t>
      </w:r>
      <w:r w:rsidRPr="0040382C">
        <w:rPr>
          <w:noProof/>
        </w:rPr>
        <w:t>,</w:t>
      </w:r>
      <w:r w:rsidR="009E3F98">
        <w:rPr>
          <w:noProof/>
        </w:rPr>
        <w:br/>
      </w:r>
      <w:r w:rsidRPr="0040382C">
        <w:rPr>
          <w:noProof/>
        </w:rPr>
        <w:t>Docket TG-110553, Final Order on Cross-Mot. for Dismissal &amp; Summ.</w:t>
      </w:r>
      <w:r w:rsidR="009E3F98">
        <w:rPr>
          <w:noProof/>
        </w:rPr>
        <w:br/>
      </w:r>
      <w:r w:rsidRPr="0040382C">
        <w:rPr>
          <w:noProof/>
        </w:rPr>
        <w:t>Determination (July 13, 2011)</w:t>
      </w:r>
      <w:r w:rsidRPr="0040382C">
        <w:rPr>
          <w:noProof/>
        </w:rPr>
        <w:tab/>
        <w:t>9, 10</w:t>
      </w:r>
    </w:p>
    <w:p w:rsidR="0040382C" w:rsidRPr="0040382C" w:rsidRDefault="0040382C" w:rsidP="009E3F98">
      <w:pPr>
        <w:pStyle w:val="TOAHeading"/>
        <w:tabs>
          <w:tab w:val="right" w:leader="dot" w:pos="9530"/>
        </w:tabs>
        <w:spacing w:before="360" w:after="240" w:line="240" w:lineRule="auto"/>
        <w:rPr>
          <w:rFonts w:ascii="Times New Roman" w:eastAsiaTheme="minorEastAsia" w:hAnsi="Times New Roman"/>
          <w:b w:val="0"/>
          <w:bCs w:val="0"/>
          <w:noProof/>
          <w:sz w:val="22"/>
          <w:szCs w:val="22"/>
        </w:rPr>
      </w:pPr>
      <w:r w:rsidRPr="0040382C">
        <w:rPr>
          <w:rFonts w:ascii="Times New Roman" w:hAnsi="Times New Roman"/>
        </w:rPr>
        <w:fldChar w:fldCharType="end"/>
      </w:r>
      <w:r w:rsidRPr="0040382C">
        <w:rPr>
          <w:rFonts w:ascii="Times New Roman" w:hAnsi="Times New Roman"/>
        </w:rPr>
        <w:fldChar w:fldCharType="begin"/>
      </w:r>
      <w:r w:rsidRPr="0040382C">
        <w:rPr>
          <w:rFonts w:ascii="Times New Roman" w:hAnsi="Times New Roman"/>
        </w:rPr>
        <w:instrText xml:space="preserve"> TOA \h \c "2" \p </w:instrText>
      </w:r>
      <w:r w:rsidRPr="0040382C">
        <w:rPr>
          <w:rFonts w:ascii="Times New Roman" w:hAnsi="Times New Roman"/>
        </w:rPr>
        <w:fldChar w:fldCharType="separate"/>
      </w:r>
      <w:r w:rsidRPr="0040382C">
        <w:rPr>
          <w:rFonts w:ascii="Times New Roman" w:hAnsi="Times New Roman"/>
          <w:noProof/>
        </w:rPr>
        <w:t>Statutes</w:t>
      </w:r>
    </w:p>
    <w:p w:rsidR="0040382C" w:rsidRPr="0040382C" w:rsidRDefault="0040382C" w:rsidP="0040382C">
      <w:pPr>
        <w:pStyle w:val="TableofAuthorities"/>
        <w:tabs>
          <w:tab w:val="right" w:leader="dot" w:pos="9530"/>
        </w:tabs>
        <w:spacing w:after="240" w:line="240" w:lineRule="auto"/>
        <w:rPr>
          <w:noProof/>
        </w:rPr>
      </w:pPr>
      <w:r w:rsidRPr="0040382C">
        <w:rPr>
          <w:noProof/>
        </w:rPr>
        <w:t>RCW 81.77.040</w:t>
      </w:r>
      <w:r w:rsidRPr="0040382C">
        <w:rPr>
          <w:noProof/>
        </w:rPr>
        <w:tab/>
        <w:t>1</w:t>
      </w:r>
    </w:p>
    <w:p w:rsidR="009E3F98" w:rsidRPr="0040382C" w:rsidRDefault="0040382C" w:rsidP="009E3F98">
      <w:pPr>
        <w:pStyle w:val="TOAHeading"/>
        <w:tabs>
          <w:tab w:val="right" w:leader="dot" w:pos="9530"/>
        </w:tabs>
        <w:spacing w:before="360" w:after="240" w:line="240" w:lineRule="auto"/>
        <w:rPr>
          <w:rFonts w:ascii="Times New Roman" w:eastAsiaTheme="minorEastAsia" w:hAnsi="Times New Roman"/>
          <w:b w:val="0"/>
          <w:bCs w:val="0"/>
          <w:noProof/>
          <w:sz w:val="22"/>
          <w:szCs w:val="22"/>
        </w:rPr>
      </w:pPr>
      <w:r w:rsidRPr="0040382C">
        <w:rPr>
          <w:rFonts w:ascii="Times New Roman" w:hAnsi="Times New Roman"/>
        </w:rPr>
        <w:fldChar w:fldCharType="end"/>
      </w:r>
      <w:r w:rsidR="009E3F98" w:rsidRPr="0040382C">
        <w:rPr>
          <w:rFonts w:ascii="Times New Roman" w:hAnsi="Times New Roman"/>
        </w:rPr>
        <w:fldChar w:fldCharType="begin"/>
      </w:r>
      <w:r w:rsidR="009E3F98" w:rsidRPr="0040382C">
        <w:rPr>
          <w:rFonts w:ascii="Times New Roman" w:hAnsi="Times New Roman"/>
        </w:rPr>
        <w:instrText xml:space="preserve"> TOA \h \c "6" \p </w:instrText>
      </w:r>
      <w:r w:rsidR="009E3F98" w:rsidRPr="0040382C">
        <w:rPr>
          <w:rFonts w:ascii="Times New Roman" w:hAnsi="Times New Roman"/>
        </w:rPr>
        <w:fldChar w:fldCharType="separate"/>
      </w:r>
      <w:r w:rsidR="009E3F98" w:rsidRPr="0040382C">
        <w:rPr>
          <w:rFonts w:ascii="Times New Roman" w:hAnsi="Times New Roman"/>
          <w:noProof/>
        </w:rPr>
        <w:t>Regulations</w:t>
      </w:r>
    </w:p>
    <w:p w:rsidR="009E3F98" w:rsidRPr="0040382C" w:rsidRDefault="009E3F98" w:rsidP="009E3F98">
      <w:pPr>
        <w:pStyle w:val="TableofAuthorities"/>
        <w:tabs>
          <w:tab w:val="right" w:leader="dot" w:pos="9530"/>
        </w:tabs>
        <w:spacing w:after="240" w:line="240" w:lineRule="auto"/>
        <w:rPr>
          <w:noProof/>
        </w:rPr>
      </w:pPr>
      <w:r w:rsidRPr="0040382C">
        <w:rPr>
          <w:noProof/>
        </w:rPr>
        <w:t>WAC 480-07-820(b)(iii)</w:t>
      </w:r>
      <w:r w:rsidRPr="0040382C">
        <w:rPr>
          <w:noProof/>
        </w:rPr>
        <w:tab/>
        <w:t>8</w:t>
      </w:r>
    </w:p>
    <w:p w:rsidR="009E3F98" w:rsidRPr="0040382C" w:rsidRDefault="009E3F98" w:rsidP="009E3F98">
      <w:pPr>
        <w:pStyle w:val="TableofAuthorities"/>
        <w:tabs>
          <w:tab w:val="right" w:leader="dot" w:pos="9530"/>
        </w:tabs>
        <w:spacing w:after="240" w:line="240" w:lineRule="auto"/>
        <w:rPr>
          <w:noProof/>
        </w:rPr>
      </w:pPr>
      <w:r w:rsidRPr="0040382C">
        <w:rPr>
          <w:noProof/>
        </w:rPr>
        <w:t>WAC 480-07-825(7)</w:t>
      </w:r>
      <w:r w:rsidRPr="0040382C">
        <w:rPr>
          <w:noProof/>
        </w:rPr>
        <w:tab/>
        <w:t>8</w:t>
      </w:r>
    </w:p>
    <w:p w:rsidR="009E3F98" w:rsidRPr="0040382C" w:rsidRDefault="009E3F98" w:rsidP="009E3F98">
      <w:pPr>
        <w:pStyle w:val="TableofAuthorities"/>
        <w:tabs>
          <w:tab w:val="right" w:leader="dot" w:pos="9530"/>
        </w:tabs>
        <w:spacing w:after="240" w:line="240" w:lineRule="auto"/>
        <w:rPr>
          <w:noProof/>
        </w:rPr>
      </w:pPr>
      <w:r w:rsidRPr="0040382C">
        <w:rPr>
          <w:noProof/>
        </w:rPr>
        <w:t>WAC 480-07-825(9)</w:t>
      </w:r>
      <w:r w:rsidRPr="0040382C">
        <w:rPr>
          <w:noProof/>
        </w:rPr>
        <w:tab/>
        <w:t>8</w:t>
      </w:r>
    </w:p>
    <w:p w:rsidR="009E3F98" w:rsidRPr="0040382C" w:rsidRDefault="009E3F98" w:rsidP="009E3F98">
      <w:pPr>
        <w:pStyle w:val="TableofAuthorities"/>
        <w:tabs>
          <w:tab w:val="right" w:leader="dot" w:pos="9530"/>
        </w:tabs>
        <w:spacing w:after="240" w:line="240" w:lineRule="auto"/>
        <w:rPr>
          <w:noProof/>
        </w:rPr>
      </w:pPr>
      <w:r w:rsidRPr="0040382C">
        <w:rPr>
          <w:noProof/>
        </w:rPr>
        <w:t>WAC 480</w:t>
      </w:r>
      <w:r w:rsidRPr="0040382C">
        <w:rPr>
          <w:noProof/>
        </w:rPr>
        <w:noBreakHyphen/>
        <w:t>70</w:t>
      </w:r>
      <w:r w:rsidRPr="0040382C">
        <w:rPr>
          <w:noProof/>
        </w:rPr>
        <w:noBreakHyphen/>
        <w:t>361(7)</w:t>
      </w:r>
      <w:r w:rsidRPr="0040382C">
        <w:rPr>
          <w:noProof/>
        </w:rPr>
        <w:tab/>
        <w:t>11</w:t>
      </w:r>
    </w:p>
    <w:p w:rsidR="009E3F98" w:rsidRPr="0040382C" w:rsidRDefault="009E3F98" w:rsidP="009E3F98">
      <w:pPr>
        <w:pStyle w:val="TableofAuthorities"/>
        <w:tabs>
          <w:tab w:val="right" w:leader="dot" w:pos="9530"/>
        </w:tabs>
        <w:spacing w:after="240" w:line="240" w:lineRule="auto"/>
        <w:rPr>
          <w:noProof/>
        </w:rPr>
      </w:pPr>
      <w:r w:rsidRPr="0040382C">
        <w:rPr>
          <w:noProof/>
        </w:rPr>
        <w:t>WAC 480</w:t>
      </w:r>
      <w:r w:rsidRPr="0040382C">
        <w:rPr>
          <w:noProof/>
        </w:rPr>
        <w:noBreakHyphen/>
        <w:t>70</w:t>
      </w:r>
      <w:r w:rsidRPr="0040382C">
        <w:rPr>
          <w:noProof/>
        </w:rPr>
        <w:noBreakHyphen/>
        <w:t>386(a)</w:t>
      </w:r>
      <w:r w:rsidRPr="0040382C">
        <w:rPr>
          <w:noProof/>
        </w:rPr>
        <w:tab/>
        <w:t>11</w:t>
      </w:r>
    </w:p>
    <w:p w:rsidR="009E3F98" w:rsidRDefault="009E3F98" w:rsidP="009E3F98">
      <w:pPr>
        <w:spacing w:after="240" w:line="240" w:lineRule="auto"/>
      </w:pPr>
      <w:r w:rsidRPr="0040382C">
        <w:fldChar w:fldCharType="end"/>
      </w:r>
    </w:p>
    <w:p w:rsidR="009E3F98" w:rsidRDefault="009E3F98" w:rsidP="009E3F98">
      <w:pPr>
        <w:pStyle w:val="TOAHeading"/>
        <w:tabs>
          <w:tab w:val="right" w:leader="dot" w:pos="9530"/>
        </w:tabs>
        <w:spacing w:before="240" w:after="240" w:line="240" w:lineRule="auto"/>
        <w:rPr>
          <w:rFonts w:ascii="Times New Roman" w:hAnsi="Times New Roman"/>
        </w:rPr>
      </w:pPr>
    </w:p>
    <w:p w:rsidR="0040382C" w:rsidRPr="0040382C" w:rsidRDefault="0040382C" w:rsidP="009E3F98">
      <w:pPr>
        <w:pStyle w:val="TOAHeading"/>
        <w:tabs>
          <w:tab w:val="right" w:leader="dot" w:pos="9530"/>
        </w:tabs>
        <w:spacing w:before="240" w:after="240" w:line="240" w:lineRule="auto"/>
        <w:rPr>
          <w:rFonts w:ascii="Times New Roman" w:eastAsiaTheme="minorEastAsia" w:hAnsi="Times New Roman"/>
          <w:b w:val="0"/>
          <w:bCs w:val="0"/>
          <w:noProof/>
          <w:sz w:val="22"/>
          <w:szCs w:val="22"/>
        </w:rPr>
      </w:pPr>
      <w:r w:rsidRPr="0040382C">
        <w:rPr>
          <w:rFonts w:ascii="Times New Roman" w:hAnsi="Times New Roman"/>
        </w:rPr>
        <w:fldChar w:fldCharType="begin"/>
      </w:r>
      <w:r w:rsidRPr="0040382C">
        <w:rPr>
          <w:rFonts w:ascii="Times New Roman" w:hAnsi="Times New Roman"/>
        </w:rPr>
        <w:instrText xml:space="preserve"> TOA \h \c "3" \p </w:instrText>
      </w:r>
      <w:r w:rsidRPr="0040382C">
        <w:rPr>
          <w:rFonts w:ascii="Times New Roman" w:hAnsi="Times New Roman"/>
        </w:rPr>
        <w:fldChar w:fldCharType="separate"/>
      </w:r>
      <w:r w:rsidRPr="0040382C">
        <w:rPr>
          <w:rFonts w:ascii="Times New Roman" w:hAnsi="Times New Roman"/>
          <w:noProof/>
        </w:rPr>
        <w:t>Other Authorities</w:t>
      </w:r>
    </w:p>
    <w:p w:rsidR="0040382C" w:rsidRPr="0040382C" w:rsidRDefault="0040382C" w:rsidP="0040382C">
      <w:pPr>
        <w:pStyle w:val="TableofAuthorities"/>
        <w:tabs>
          <w:tab w:val="right" w:leader="dot" w:pos="9530"/>
        </w:tabs>
        <w:spacing w:after="240" w:line="240" w:lineRule="auto"/>
        <w:rPr>
          <w:noProof/>
        </w:rPr>
      </w:pPr>
      <w:r w:rsidRPr="0040382C">
        <w:rPr>
          <w:noProof/>
        </w:rPr>
        <w:t xml:space="preserve">Charles S. Phillips, Jr. </w:t>
      </w:r>
      <w:r w:rsidRPr="0040382C">
        <w:rPr>
          <w:noProof/>
          <w:u w:val="single"/>
        </w:rPr>
        <w:t>The Regulation of Public Utilities</w:t>
      </w:r>
      <w:r w:rsidRPr="0040382C">
        <w:rPr>
          <w:noProof/>
        </w:rPr>
        <w:t>, Ch. 12</w:t>
      </w:r>
      <w:r w:rsidRPr="0040382C">
        <w:rPr>
          <w:noProof/>
        </w:rPr>
        <w:tab/>
        <w:t>11</w:t>
      </w:r>
    </w:p>
    <w:p w:rsidR="0040382C" w:rsidRPr="0040382C" w:rsidRDefault="0040382C" w:rsidP="0040382C">
      <w:pPr>
        <w:pStyle w:val="TableofAuthorities"/>
        <w:tabs>
          <w:tab w:val="right" w:leader="dot" w:pos="9530"/>
        </w:tabs>
        <w:spacing w:after="240" w:line="240" w:lineRule="auto"/>
        <w:rPr>
          <w:noProof/>
        </w:rPr>
      </w:pPr>
      <w:r w:rsidRPr="0040382C">
        <w:rPr>
          <w:noProof/>
        </w:rPr>
        <w:t xml:space="preserve">Nelson Lee Smith, </w:t>
      </w:r>
      <w:r w:rsidRPr="0040382C">
        <w:rPr>
          <w:noProof/>
          <w:u w:val="single"/>
        </w:rPr>
        <w:t>The Federal Power Commission and Pipeline Markets:</w:t>
      </w:r>
      <w:r w:rsidR="009E3F98">
        <w:rPr>
          <w:noProof/>
          <w:u w:val="single"/>
        </w:rPr>
        <w:br/>
      </w:r>
      <w:r w:rsidRPr="0040382C">
        <w:rPr>
          <w:noProof/>
          <w:u w:val="single"/>
        </w:rPr>
        <w:t>How Much Competition?</w:t>
      </w:r>
      <w:r w:rsidRPr="0040382C">
        <w:rPr>
          <w:noProof/>
        </w:rPr>
        <w:t>, 68 Columbia Law Review 664 (1968)</w:t>
      </w:r>
      <w:r w:rsidRPr="0040382C">
        <w:rPr>
          <w:noProof/>
        </w:rPr>
        <w:tab/>
        <w:t>11</w:t>
      </w:r>
    </w:p>
    <w:p w:rsidR="00CC3C85" w:rsidRDefault="0040382C" w:rsidP="009E3F98">
      <w:pPr>
        <w:pStyle w:val="TOAHeading"/>
        <w:tabs>
          <w:tab w:val="right" w:leader="dot" w:pos="9530"/>
        </w:tabs>
        <w:spacing w:before="0" w:after="240" w:line="240" w:lineRule="auto"/>
      </w:pPr>
      <w:r w:rsidRPr="0040382C">
        <w:rPr>
          <w:rFonts w:ascii="Times New Roman" w:hAnsi="Times New Roman"/>
        </w:rPr>
        <w:fldChar w:fldCharType="end"/>
      </w:r>
      <w:r w:rsidR="009E3F98">
        <w:t xml:space="preserve"> </w:t>
      </w:r>
    </w:p>
    <w:p w:rsidR="00CC3C85" w:rsidRDefault="00CC3C85">
      <w:pPr>
        <w:spacing w:line="240" w:lineRule="auto"/>
      </w:pPr>
    </w:p>
    <w:p w:rsidR="00CC3C85" w:rsidRDefault="00CC3C85" w:rsidP="009E0822">
      <w:pPr>
        <w:spacing w:line="360" w:lineRule="exact"/>
        <w:sectPr w:rsidR="00CC3C85" w:rsidSect="00CC3C85">
          <w:footerReference w:type="default" r:id="rId10"/>
          <w:pgSz w:w="12240" w:h="15840" w:code="1"/>
          <w:pgMar w:top="-1269" w:right="1260" w:bottom="720" w:left="1440" w:header="720" w:footer="203" w:gutter="0"/>
          <w:pgNumType w:fmt="lowerRoman" w:start="1"/>
          <w:cols w:space="720"/>
        </w:sectPr>
      </w:pPr>
    </w:p>
    <w:p w:rsidR="00B04472" w:rsidRDefault="00B04472" w:rsidP="00B04472">
      <w:pPr>
        <w:pStyle w:val="Heading1"/>
        <w:spacing w:before="0" w:after="0" w:line="474" w:lineRule="exact"/>
      </w:pPr>
      <w:bookmarkStart w:id="2" w:name="_Toc353198526"/>
      <w:r>
        <w:lastRenderedPageBreak/>
        <w:t>INTRODUCTION</w:t>
      </w:r>
      <w:bookmarkEnd w:id="2"/>
    </w:p>
    <w:p w:rsidR="009D4F7E" w:rsidRDefault="004D686D" w:rsidP="00CC3C85">
      <w:pPr>
        <w:numPr>
          <w:ilvl w:val="0"/>
          <w:numId w:val="27"/>
        </w:numPr>
        <w:spacing w:line="474" w:lineRule="exact"/>
        <w:ind w:left="0" w:firstLine="720"/>
        <w:jc w:val="both"/>
      </w:pPr>
      <w:r>
        <w:t xml:space="preserve">Applicant Waste Management of Washington, Inc. d/b/a WM Healthcare Solutions of Washington (“Waste Management”) requests that the Commission affirm the Initial Order Granting Application of Waste Management for extension of Waste Management’s authority to offer regulated biomedical waste services statewide and that the Commission deny the </w:t>
      </w:r>
      <w:r w:rsidR="007A1056">
        <w:t>Petition for Administrative Review of Initial Order No. 7 on Behalf of “The WRRA Companies” and the WRRA (“WRRA Petition”)</w:t>
      </w:r>
      <w:r w:rsidR="00A7403B">
        <w:t>.</w:t>
      </w:r>
      <w:r w:rsidR="000B55CA">
        <w:rPr>
          <w:rStyle w:val="FootnoteReference"/>
        </w:rPr>
        <w:footnoteReference w:id="1"/>
      </w:r>
      <w:r w:rsidR="00A7403B">
        <w:t xml:space="preserve">  The concerns raised by the Washington Refuse and Recycling Association (“WRRA”) and the individual WRRA members (“WRRA Companies”) (collectively, the “WRRA Protestants”)</w:t>
      </w:r>
      <w:r w:rsidR="007A1056">
        <w:t xml:space="preserve"> </w:t>
      </w:r>
      <w:r w:rsidR="00A7403B">
        <w:t xml:space="preserve">regarding </w:t>
      </w:r>
      <w:r>
        <w:t>implications</w:t>
      </w:r>
      <w:r w:rsidR="00A7403B">
        <w:t xml:space="preserve"> of the </w:t>
      </w:r>
      <w:r>
        <w:t>Initial Order on</w:t>
      </w:r>
      <w:r w:rsidR="00A73069">
        <w:t xml:space="preserve"> entry standards for</w:t>
      </w:r>
      <w:r w:rsidR="00A2513A">
        <w:t xml:space="preserve"> traditional solid waste certificate rights are misplaced</w:t>
      </w:r>
      <w:r>
        <w:t xml:space="preserve"> because it is a narrow decision granting an extension of authority for specialized biomedical waste collection services</w:t>
      </w:r>
      <w:r w:rsidR="00A7403B">
        <w:t>.  A</w:t>
      </w:r>
      <w:r w:rsidR="0055730C">
        <w:t xml:space="preserve">nd the objections </w:t>
      </w:r>
      <w:r>
        <w:t xml:space="preserve">in the WRRA Petition </w:t>
      </w:r>
      <w:r w:rsidR="0055730C">
        <w:t xml:space="preserve">regarding overlap with the individual WRRA </w:t>
      </w:r>
      <w:r w:rsidR="00A7403B">
        <w:t>Companies’</w:t>
      </w:r>
      <w:r w:rsidR="0055730C">
        <w:t xml:space="preserve"> certificate rights are </w:t>
      </w:r>
      <w:r>
        <w:t xml:space="preserve">unfounded because they </w:t>
      </w:r>
      <w:r w:rsidR="001A6E74">
        <w:t xml:space="preserve">are </w:t>
      </w:r>
      <w:r w:rsidR="0055730C">
        <w:t xml:space="preserve">not supported </w:t>
      </w:r>
      <w:r w:rsidR="00F9552E">
        <w:t xml:space="preserve">by the </w:t>
      </w:r>
      <w:r w:rsidR="0055730C">
        <w:t xml:space="preserve">evidence </w:t>
      </w:r>
      <w:r>
        <w:t>and are outweighed by the public’s need for responsive service</w:t>
      </w:r>
      <w:r w:rsidR="00A2513A">
        <w:t>.</w:t>
      </w:r>
    </w:p>
    <w:p w:rsidR="00F64C48" w:rsidRDefault="001A6E74" w:rsidP="00CC3C85">
      <w:pPr>
        <w:pStyle w:val="Heading1"/>
        <w:spacing w:before="0" w:after="0" w:line="474" w:lineRule="exact"/>
      </w:pPr>
      <w:bookmarkStart w:id="3" w:name="_Toc353198527"/>
      <w:r>
        <w:t>ARGUMENT</w:t>
      </w:r>
      <w:bookmarkEnd w:id="3"/>
    </w:p>
    <w:p w:rsidR="00764F48" w:rsidRDefault="00F9552E" w:rsidP="00CC3C85">
      <w:pPr>
        <w:pStyle w:val="Heading2"/>
        <w:spacing w:before="0" w:line="474" w:lineRule="exact"/>
      </w:pPr>
      <w:bookmarkStart w:id="4" w:name="_Toc353198528"/>
      <w:r>
        <w:t xml:space="preserve">Affirming the Initial Order Will </w:t>
      </w:r>
      <w:r w:rsidR="00BB71D5">
        <w:t xml:space="preserve">Maintain </w:t>
      </w:r>
      <w:r>
        <w:t>t</w:t>
      </w:r>
      <w:r w:rsidR="00BB71D5">
        <w:t xml:space="preserve">he Statutory </w:t>
      </w:r>
      <w:r w:rsidR="00377690">
        <w:t xml:space="preserve">Purpose </w:t>
      </w:r>
      <w:r w:rsidR="00E8042D">
        <w:t>of RCW 81.77.040</w:t>
      </w:r>
      <w:r w:rsidR="00BB71D5">
        <w:t>.</w:t>
      </w:r>
      <w:bookmarkEnd w:id="4"/>
    </w:p>
    <w:p w:rsidR="0077498E" w:rsidRDefault="00F9552E" w:rsidP="00CC3C85">
      <w:pPr>
        <w:numPr>
          <w:ilvl w:val="0"/>
          <w:numId w:val="27"/>
        </w:numPr>
        <w:spacing w:line="474" w:lineRule="exact"/>
        <w:ind w:left="0" w:firstLine="720"/>
        <w:jc w:val="both"/>
      </w:pPr>
      <w:r>
        <w:t>A</w:t>
      </w:r>
      <w:r w:rsidR="0077498E">
        <w:t xml:space="preserve">n extension of biomedical waste collection authority </w:t>
      </w:r>
      <w:r>
        <w:t>is warranted</w:t>
      </w:r>
      <w:r w:rsidR="0077498E">
        <w:t xml:space="preserve"> if the applicant demonstrates that (1) biomedical waste collection service currently provided in the territory sought does not satisfy the specialized needs of customers in that area as the customers determine those needs and (2) public convenience and necessity requires an additional carrier.</w:t>
      </w:r>
      <w:r w:rsidR="00A7403B">
        <w:rPr>
          <w:rStyle w:val="FootnoteReference"/>
        </w:rPr>
        <w:footnoteReference w:id="2"/>
      </w:r>
      <w:r w:rsidR="00A7403B">
        <w:t xml:space="preserve">  </w:t>
      </w:r>
      <w:r w:rsidR="0077498E">
        <w:t xml:space="preserve">The evidence presented </w:t>
      </w:r>
      <w:r w:rsidR="00E8042D">
        <w:t xml:space="preserve">in this case </w:t>
      </w:r>
      <w:r w:rsidR="0077498E">
        <w:t xml:space="preserve">provides </w:t>
      </w:r>
      <w:r w:rsidR="00E8042D">
        <w:t xml:space="preserve">ample </w:t>
      </w:r>
      <w:r w:rsidR="0077498E">
        <w:t xml:space="preserve">grounds for the Commission to grant </w:t>
      </w:r>
      <w:r w:rsidR="009E4B5B">
        <w:t>Waste Management</w:t>
      </w:r>
      <w:r w:rsidR="0077498E">
        <w:t xml:space="preserve">’s application for extension under both prongs of the </w:t>
      </w:r>
      <w:r w:rsidR="00E8042D">
        <w:t xml:space="preserve">statutory </w:t>
      </w:r>
      <w:r>
        <w:t>test</w:t>
      </w:r>
      <w:r w:rsidR="0077498E">
        <w:t>.</w:t>
      </w:r>
      <w:r w:rsidR="004D686D">
        <w:rPr>
          <w:rStyle w:val="FootnoteReference"/>
        </w:rPr>
        <w:footnoteReference w:id="3"/>
      </w:r>
    </w:p>
    <w:p w:rsidR="0077498E" w:rsidRDefault="00E8042D" w:rsidP="00B04472">
      <w:pPr>
        <w:pStyle w:val="Heading3"/>
        <w:spacing w:before="160" w:line="240" w:lineRule="auto"/>
      </w:pPr>
      <w:bookmarkStart w:id="5" w:name="_Toc353198529"/>
      <w:r>
        <w:lastRenderedPageBreak/>
        <w:t xml:space="preserve">The Existing Certificate Holders Are </w:t>
      </w:r>
      <w:r w:rsidR="00377690">
        <w:t xml:space="preserve">Not </w:t>
      </w:r>
      <w:r>
        <w:t xml:space="preserve">Serving </w:t>
      </w:r>
      <w:r w:rsidR="00377690">
        <w:t>t</w:t>
      </w:r>
      <w:r>
        <w:t xml:space="preserve">o </w:t>
      </w:r>
      <w:r w:rsidR="00377690">
        <w:t>t</w:t>
      </w:r>
      <w:r>
        <w:t xml:space="preserve">he Satisfaction </w:t>
      </w:r>
      <w:r w:rsidR="00377690">
        <w:t>o</w:t>
      </w:r>
      <w:r>
        <w:t xml:space="preserve">f </w:t>
      </w:r>
      <w:r w:rsidR="00377690">
        <w:t>t</w:t>
      </w:r>
      <w:r>
        <w:t>he Commission.</w:t>
      </w:r>
      <w:bookmarkEnd w:id="5"/>
    </w:p>
    <w:p w:rsidR="00416983" w:rsidRDefault="00764F48" w:rsidP="00CC3C85">
      <w:pPr>
        <w:numPr>
          <w:ilvl w:val="0"/>
          <w:numId w:val="27"/>
        </w:numPr>
        <w:spacing w:line="474" w:lineRule="exact"/>
        <w:ind w:left="0" w:firstLine="720"/>
        <w:jc w:val="both"/>
      </w:pPr>
      <w:r>
        <w:t xml:space="preserve">The WRRA Petition is fraught with histrionics about how the Initial Order “seems to ignore” the statutory requirement for a threshold determination of whether the existing </w:t>
      </w:r>
      <w:r w:rsidR="00E76B24">
        <w:t xml:space="preserve">WRRA </w:t>
      </w:r>
      <w:r>
        <w:t>certificate holders are serving to the satisfaction of the Commission.</w:t>
      </w:r>
      <w:r w:rsidR="00A7403B">
        <w:rPr>
          <w:rStyle w:val="FootnoteReference"/>
        </w:rPr>
        <w:footnoteReference w:id="4"/>
      </w:r>
      <w:r>
        <w:t xml:space="preserve">  </w:t>
      </w:r>
      <w:r w:rsidR="00416983">
        <w:t xml:space="preserve">But the Initial Order does not change the essential elements of </w:t>
      </w:r>
      <w:r w:rsidR="00702A9A">
        <w:t>the statutory</w:t>
      </w:r>
      <w:r w:rsidR="00416983">
        <w:t xml:space="preserve"> test.  </w:t>
      </w:r>
      <w:r w:rsidR="00276B6F">
        <w:t xml:space="preserve">It allows the Commission to base its satisfaction on standards appropriate to Waste Management’s incremental extension into the statewide biomedical waste collection as the service sector currently exists, and it does so in accordance with the statutory framework.  </w:t>
      </w:r>
      <w:r w:rsidR="00702A9A">
        <w:t>Determining whether the Commission is satisfied with existing service</w:t>
      </w:r>
      <w:r w:rsidR="00416983">
        <w:t xml:space="preserve"> is </w:t>
      </w:r>
      <w:r w:rsidR="00416983" w:rsidRPr="00A7403B">
        <w:rPr>
          <w:b/>
          <w:u w:val="single"/>
        </w:rPr>
        <w:t>still</w:t>
      </w:r>
      <w:r w:rsidR="00416983">
        <w:t xml:space="preserve"> a threshold determination</w:t>
      </w:r>
      <w:r w:rsidR="00377690">
        <w:t>,</w:t>
      </w:r>
      <w:r w:rsidR="00416983">
        <w:t xml:space="preserve"> it is </w:t>
      </w:r>
      <w:r w:rsidR="00416983" w:rsidRPr="00A7403B">
        <w:rPr>
          <w:b/>
          <w:u w:val="single"/>
        </w:rPr>
        <w:t>still</w:t>
      </w:r>
      <w:r w:rsidR="00416983">
        <w:t xml:space="preserve"> an evidentiary element of proof</w:t>
      </w:r>
      <w:r w:rsidR="00377690">
        <w:t>,</w:t>
      </w:r>
      <w:r w:rsidR="00416983">
        <w:t xml:space="preserve"> and it is </w:t>
      </w:r>
      <w:r w:rsidR="00416983" w:rsidRPr="00A7403B">
        <w:rPr>
          <w:b/>
          <w:u w:val="single"/>
        </w:rPr>
        <w:t>still</w:t>
      </w:r>
      <w:r w:rsidR="00416983">
        <w:t xml:space="preserve"> subject to the Commission’s discretion.</w:t>
      </w:r>
      <w:r w:rsidR="0055730C">
        <w:t xml:space="preserve">  </w:t>
      </w:r>
      <w:r w:rsidR="00E33C69">
        <w:t xml:space="preserve">Different policy considerations, however, justify </w:t>
      </w:r>
      <w:r w:rsidR="00276B6F">
        <w:t>exercising discretion to interpret</w:t>
      </w:r>
      <w:r w:rsidR="0055730C">
        <w:t xml:space="preserve"> </w:t>
      </w:r>
      <w:r w:rsidR="00E33C69">
        <w:t xml:space="preserve">the </w:t>
      </w:r>
      <w:r w:rsidR="00276B6F">
        <w:t>legal</w:t>
      </w:r>
      <w:r w:rsidR="00E33C69">
        <w:t xml:space="preserve"> </w:t>
      </w:r>
      <w:r w:rsidR="00276B6F">
        <w:t xml:space="preserve">standards in the specific context of </w:t>
      </w:r>
      <w:r w:rsidR="009E4B5B">
        <w:t>Waste Management</w:t>
      </w:r>
      <w:r w:rsidR="00A7403B">
        <w:t>’s</w:t>
      </w:r>
      <w:r w:rsidR="0077498E">
        <w:t xml:space="preserve"> application to extend</w:t>
      </w:r>
      <w:r w:rsidR="0055730C">
        <w:t xml:space="preserve"> authority for providing biomedical waste collection statewide</w:t>
      </w:r>
      <w:r w:rsidR="00276B6F">
        <w:t>.</w:t>
      </w:r>
    </w:p>
    <w:p w:rsidR="00E8042D" w:rsidRDefault="00E8042D" w:rsidP="006405CA">
      <w:pPr>
        <w:pStyle w:val="Heading4"/>
        <w:spacing w:line="240" w:lineRule="auto"/>
      </w:pPr>
      <w:bookmarkStart w:id="6" w:name="_Toc353198530"/>
      <w:r>
        <w:t xml:space="preserve">The Initial Order </w:t>
      </w:r>
      <w:r w:rsidR="00A7403B">
        <w:t xml:space="preserve">Properly </w:t>
      </w:r>
      <w:r>
        <w:t xml:space="preserve">Addresses First Whether </w:t>
      </w:r>
      <w:r w:rsidR="00377690">
        <w:t>t</w:t>
      </w:r>
      <w:r>
        <w:t xml:space="preserve">he Commission Is Satisfied </w:t>
      </w:r>
      <w:r w:rsidR="00377690">
        <w:t>w</w:t>
      </w:r>
      <w:r>
        <w:t>ith Existing Services.</w:t>
      </w:r>
      <w:bookmarkEnd w:id="6"/>
    </w:p>
    <w:p w:rsidR="00702A9A" w:rsidRDefault="00764F48" w:rsidP="00CC3C85">
      <w:pPr>
        <w:numPr>
          <w:ilvl w:val="0"/>
          <w:numId w:val="27"/>
        </w:numPr>
        <w:spacing w:line="474" w:lineRule="exact"/>
        <w:ind w:left="0" w:firstLine="720"/>
        <w:jc w:val="both"/>
      </w:pPr>
      <w:r>
        <w:t xml:space="preserve">Oblivious to the actual sequence of analysis presented in the Initial Order, the WRRA </w:t>
      </w:r>
      <w:r w:rsidR="009F5504">
        <w:t>Protestants</w:t>
      </w:r>
      <w:r w:rsidR="00702A9A">
        <w:t xml:space="preserve"> allege error for failing to address the Commission’s satisfaction </w:t>
      </w:r>
      <w:r w:rsidR="00A7403B">
        <w:t>as a preliminary inquiry</w:t>
      </w:r>
      <w:r w:rsidR="00702A9A">
        <w:t xml:space="preserve">.  Nobody disagrees that this determination must be made before considering public convenience and necessity and before evaluating the applicant’s fitness.  </w:t>
      </w:r>
      <w:r w:rsidR="00A7403B">
        <w:t>In fact,</w:t>
      </w:r>
      <w:r w:rsidR="00702A9A">
        <w:t xml:space="preserve"> the Initial Order tackles this element before considering other factors.  What the WRRA </w:t>
      </w:r>
      <w:r w:rsidR="009F5504">
        <w:t>Protestants</w:t>
      </w:r>
      <w:r w:rsidR="00702A9A">
        <w:t xml:space="preserve"> really disagree with, of course, rests on the conclusion drawn from the evidence pre</w:t>
      </w:r>
      <w:r w:rsidR="00422794">
        <w:t>sented, not from the analytic sequence</w:t>
      </w:r>
      <w:r w:rsidR="00CC3C85">
        <w:t xml:space="preserve"> taken.</w:t>
      </w:r>
    </w:p>
    <w:p w:rsidR="00764F48" w:rsidRDefault="00702A9A" w:rsidP="00CC3C85">
      <w:pPr>
        <w:numPr>
          <w:ilvl w:val="0"/>
          <w:numId w:val="27"/>
        </w:numPr>
        <w:spacing w:line="474" w:lineRule="exact"/>
        <w:ind w:left="0" w:firstLine="720"/>
        <w:jc w:val="both"/>
      </w:pPr>
      <w:r>
        <w:t xml:space="preserve">The WRRA </w:t>
      </w:r>
      <w:r w:rsidR="009F5504">
        <w:t>Protestants</w:t>
      </w:r>
      <w:r>
        <w:t xml:space="preserve"> conclude that the Initial Order must have bypassed </w:t>
      </w:r>
      <w:r w:rsidR="00422794">
        <w:t>the necessary</w:t>
      </w:r>
      <w:r>
        <w:t xml:space="preserve"> threshold inquiry because, in their view, </w:t>
      </w:r>
      <w:r w:rsidR="00764F48">
        <w:t xml:space="preserve">the Commission may not exercise its discretion without “any specific findings and/or reference to record evidence outlining service failures, inadequate adherence to law and rule (fitness), or even isolated communicated critiques of service </w:t>
      </w:r>
      <w:r w:rsidR="00764F48">
        <w:lastRenderedPageBreak/>
        <w:t>by existing customers….”</w:t>
      </w:r>
      <w:r w:rsidR="00A7403B">
        <w:rPr>
          <w:rStyle w:val="FootnoteReference"/>
        </w:rPr>
        <w:footnoteReference w:id="5"/>
      </w:r>
      <w:r w:rsidR="00422794">
        <w:t xml:space="preserve">  This argument ignores the </w:t>
      </w:r>
      <w:r w:rsidR="00377690">
        <w:t xml:space="preserve">fact </w:t>
      </w:r>
      <w:r w:rsidR="00422794">
        <w:t xml:space="preserve">that the Commission’s </w:t>
      </w:r>
      <w:r w:rsidR="00377690">
        <w:t>inquiry</w:t>
      </w:r>
      <w:r w:rsidR="00422794">
        <w:t xml:space="preserve"> can be based on factors other than obvious operational or regulatory infirmities.</w:t>
      </w:r>
    </w:p>
    <w:p w:rsidR="00E33C69" w:rsidRDefault="00702A9A" w:rsidP="00CC3C85">
      <w:pPr>
        <w:numPr>
          <w:ilvl w:val="0"/>
          <w:numId w:val="27"/>
        </w:numPr>
        <w:spacing w:line="474" w:lineRule="exact"/>
        <w:ind w:left="0" w:firstLine="720"/>
        <w:jc w:val="both"/>
      </w:pPr>
      <w:r>
        <w:t>The threshold test is obviously and easily satisfied if there are actual refusals of service, if there are regulatory violations, or if the service proposed is “not available in any way shape or form.”</w:t>
      </w:r>
      <w:r w:rsidR="00A7403B">
        <w:rPr>
          <w:rStyle w:val="FootnoteReference"/>
        </w:rPr>
        <w:footnoteReference w:id="6"/>
      </w:r>
      <w:r w:rsidR="00A7403B">
        <w:t xml:space="preserve"> </w:t>
      </w:r>
      <w:r>
        <w:t xml:space="preserve"> An applicant </w:t>
      </w:r>
      <w:r w:rsidR="00E33C69">
        <w:t>can</w:t>
      </w:r>
      <w:r>
        <w:t xml:space="preserve"> easily meet the statutory requirement with proof of blatant deficiencies.  In those instances, there is little call for the Commission to exercis</w:t>
      </w:r>
      <w:r w:rsidR="006E6B99">
        <w:t>e very much discretion at all.</w:t>
      </w:r>
    </w:p>
    <w:p w:rsidR="008F769B" w:rsidRDefault="00702A9A" w:rsidP="00CC3C85">
      <w:pPr>
        <w:numPr>
          <w:ilvl w:val="0"/>
          <w:numId w:val="27"/>
        </w:numPr>
        <w:spacing w:line="474" w:lineRule="exact"/>
        <w:ind w:left="0" w:firstLine="720"/>
        <w:jc w:val="both"/>
      </w:pPr>
      <w:r>
        <w:t xml:space="preserve">There </w:t>
      </w:r>
      <w:r w:rsidR="00377690">
        <w:t>are</w:t>
      </w:r>
      <w:r>
        <w:t xml:space="preserve">, however, </w:t>
      </w:r>
      <w:r w:rsidR="00377690">
        <w:t>more nuanced</w:t>
      </w:r>
      <w:r>
        <w:t xml:space="preserve"> grounds for </w:t>
      </w:r>
      <w:r w:rsidR="007747A7">
        <w:t>the Commission to find</w:t>
      </w:r>
      <w:r>
        <w:t xml:space="preserve"> that existing </w:t>
      </w:r>
      <w:r w:rsidR="00377690">
        <w:t xml:space="preserve">medical waste </w:t>
      </w:r>
      <w:r>
        <w:t xml:space="preserve">certificate holders are not </w:t>
      </w:r>
      <w:r w:rsidR="00377690">
        <w:t xml:space="preserve">operating to its </w:t>
      </w:r>
      <w:r>
        <w:t>satisf</w:t>
      </w:r>
      <w:r w:rsidR="00377690">
        <w:t>action</w:t>
      </w:r>
      <w:r>
        <w:t xml:space="preserve">.  </w:t>
      </w:r>
      <w:r w:rsidR="008F769B">
        <w:t xml:space="preserve">Contrary to </w:t>
      </w:r>
      <w:r w:rsidR="009F5504">
        <w:t xml:space="preserve">the </w:t>
      </w:r>
      <w:r w:rsidR="008F769B">
        <w:t xml:space="preserve">WRRA </w:t>
      </w:r>
      <w:r w:rsidR="009F5504">
        <w:t>Protestants’</w:t>
      </w:r>
      <w:r w:rsidR="008F769B">
        <w:t xml:space="preserve"> suggestion, the determination does not require a pejorative opinion.</w:t>
      </w:r>
      <w:r w:rsidR="008F769B">
        <w:rPr>
          <w:rStyle w:val="FootnoteReference"/>
        </w:rPr>
        <w:footnoteReference w:id="7"/>
      </w:r>
      <w:r w:rsidR="008F769B">
        <w:t xml:space="preserve">  It does not have to be based on criticisms of the existing certificate holders</w:t>
      </w:r>
      <w:r w:rsidR="00377690">
        <w:t>’</w:t>
      </w:r>
      <w:r w:rsidR="008F769B">
        <w:t xml:space="preserve"> operations.  It can be based instead on changing and enhanced e</w:t>
      </w:r>
      <w:r w:rsidR="000B55CA">
        <w:t xml:space="preserve">xpectations of </w:t>
      </w:r>
      <w:r w:rsidR="001A6E74">
        <w:t xml:space="preserve">generators and </w:t>
      </w:r>
      <w:r w:rsidR="006E6B99">
        <w:t>the Commission.</w:t>
      </w:r>
    </w:p>
    <w:p w:rsidR="00C2512E" w:rsidRDefault="00702A9A" w:rsidP="00CC3C85">
      <w:pPr>
        <w:numPr>
          <w:ilvl w:val="0"/>
          <w:numId w:val="27"/>
        </w:numPr>
        <w:spacing w:line="474" w:lineRule="exact"/>
        <w:ind w:left="0" w:firstLine="720"/>
        <w:jc w:val="both"/>
      </w:pPr>
      <w:r>
        <w:t>In this case, th</w:t>
      </w:r>
      <w:r w:rsidR="00E76B24">
        <w:t xml:space="preserve">e Commission has </w:t>
      </w:r>
      <w:r>
        <w:t xml:space="preserve">exercised its </w:t>
      </w:r>
      <w:r w:rsidR="00E76B24">
        <w:t xml:space="preserve">broad discretion to determine whether it is satisfied with the </w:t>
      </w:r>
      <w:r>
        <w:t xml:space="preserve">current level of biomedical waste collection </w:t>
      </w:r>
      <w:r w:rsidR="00E76B24">
        <w:t>service being provided by existing certificate holders</w:t>
      </w:r>
      <w:r>
        <w:t xml:space="preserve"> by reference to more subtle shipper needs that are not being met.</w:t>
      </w:r>
      <w:r w:rsidR="00AB58DA">
        <w:rPr>
          <w:rStyle w:val="FootnoteReference"/>
        </w:rPr>
        <w:footnoteReference w:id="8"/>
      </w:r>
      <w:r>
        <w:t xml:space="preserve">  It has made the threshold determination not based on evidence of refusal to serve or regulatory violations or even consistent customer complaints.  In </w:t>
      </w:r>
      <w:r w:rsidR="0055730C">
        <w:t xml:space="preserve">consideration of the specific facts before it, the Commission has determined that </w:t>
      </w:r>
      <w:r w:rsidR="008F769B">
        <w:t>without some modicum of controlled compe</w:t>
      </w:r>
      <w:r w:rsidR="00377690">
        <w:t>ti</w:t>
      </w:r>
      <w:r w:rsidR="008F769B">
        <w:t xml:space="preserve">tion, </w:t>
      </w:r>
      <w:r w:rsidR="0055730C">
        <w:t>existing conditions are not furthering the ultimate goal of ensuring that consumers have access to the biomedical waste collection services they require.</w:t>
      </w:r>
    </w:p>
    <w:p w:rsidR="00C2512E" w:rsidRDefault="00C2512E" w:rsidP="006E6B99">
      <w:pPr>
        <w:numPr>
          <w:ilvl w:val="0"/>
          <w:numId w:val="27"/>
        </w:numPr>
        <w:spacing w:line="474" w:lineRule="exact"/>
        <w:ind w:left="0" w:firstLine="720"/>
        <w:jc w:val="both"/>
      </w:pPr>
      <w:r>
        <w:lastRenderedPageBreak/>
        <w:t xml:space="preserve">The WRRA </w:t>
      </w:r>
      <w:r w:rsidR="009F5504">
        <w:t>Protestants</w:t>
      </w:r>
      <w:r>
        <w:t xml:space="preserve"> </w:t>
      </w:r>
      <w:r w:rsidR="000C5F29">
        <w:t>disregard the nuances of analysis in the Initial Order</w:t>
      </w:r>
      <w:r>
        <w:t xml:space="preserve"> because they disagree with the outcome.  Instead they argue that the threshold question was ignored.  However, the Initial Order correctly puts </w:t>
      </w:r>
      <w:r w:rsidR="000C5F29">
        <w:t xml:space="preserve">the Commission’s satisfaction with existing services </w:t>
      </w:r>
      <w:r>
        <w:t xml:space="preserve">first.  The </w:t>
      </w:r>
      <w:r w:rsidR="00377690">
        <w:t xml:space="preserve">Initial Order properly measured </w:t>
      </w:r>
      <w:r>
        <w:t xml:space="preserve">existing services </w:t>
      </w:r>
      <w:r w:rsidR="00A7403B">
        <w:t>prior to considering public convenience and necessity, and before evaluating the applicant’s fitness</w:t>
      </w:r>
      <w:r>
        <w:t>.</w:t>
      </w:r>
    </w:p>
    <w:p w:rsidR="00E8042D" w:rsidRDefault="00E8042D" w:rsidP="006E6B99">
      <w:pPr>
        <w:pStyle w:val="Heading4"/>
        <w:spacing w:after="120" w:line="240" w:lineRule="auto"/>
      </w:pPr>
      <w:bookmarkStart w:id="7" w:name="_Toc353198531"/>
      <w:r>
        <w:t>The Initial Order</w:t>
      </w:r>
      <w:r w:rsidR="00377690">
        <w:t>’s Dissatisfaction with Incumbent Service Is</w:t>
      </w:r>
      <w:r>
        <w:t xml:space="preserve"> Base</w:t>
      </w:r>
      <w:r w:rsidR="00377690">
        <w:t>d</w:t>
      </w:r>
      <w:r>
        <w:t xml:space="preserve"> </w:t>
      </w:r>
      <w:r w:rsidR="00377690">
        <w:t>o</w:t>
      </w:r>
      <w:r>
        <w:t>n Factual Evidence.</w:t>
      </w:r>
      <w:bookmarkEnd w:id="7"/>
    </w:p>
    <w:p w:rsidR="00E8042D" w:rsidRDefault="00416983" w:rsidP="006E6B99">
      <w:pPr>
        <w:numPr>
          <w:ilvl w:val="0"/>
          <w:numId w:val="27"/>
        </w:numPr>
        <w:spacing w:line="474" w:lineRule="exact"/>
        <w:ind w:left="0" w:firstLine="720"/>
        <w:jc w:val="both"/>
      </w:pPr>
      <w:r>
        <w:t xml:space="preserve">Nor, contrary to </w:t>
      </w:r>
      <w:r w:rsidR="009F5504">
        <w:t xml:space="preserve">the </w:t>
      </w:r>
      <w:r>
        <w:t xml:space="preserve">WRRA </w:t>
      </w:r>
      <w:r w:rsidR="009F5504">
        <w:t>Protestants</w:t>
      </w:r>
      <w:r w:rsidR="001A6E74">
        <w:t>’ argument</w:t>
      </w:r>
      <w:r>
        <w:t xml:space="preserve">, does the Initial Order ignore the need for factual evidence demonstrating </w:t>
      </w:r>
      <w:r w:rsidR="001A6E74">
        <w:t>that</w:t>
      </w:r>
      <w:r>
        <w:t xml:space="preserve"> the existing service providers are not capable of satisfying the </w:t>
      </w:r>
      <w:r w:rsidR="001A6E74">
        <w:t xml:space="preserve">generators’ and the </w:t>
      </w:r>
      <w:r>
        <w:t xml:space="preserve">Commission’s expectations.  </w:t>
      </w:r>
      <w:r w:rsidR="00E33C69">
        <w:t xml:space="preserve">All parties agree that </w:t>
      </w:r>
      <w:r w:rsidR="0098649D">
        <w:t>the Commission has acknowledged a need for competition in the biomedical waste collection</w:t>
      </w:r>
      <w:r w:rsidR="00377690">
        <w:t xml:space="preserve"> market</w:t>
      </w:r>
      <w:r w:rsidR="00E33C69">
        <w:t>.</w:t>
      </w:r>
      <w:r w:rsidR="00A7403B">
        <w:rPr>
          <w:rStyle w:val="FootnoteReference"/>
        </w:rPr>
        <w:footnoteReference w:id="9"/>
      </w:r>
      <w:r w:rsidR="00E33C69">
        <w:t xml:space="preserve">  In isolation, that </w:t>
      </w:r>
      <w:r w:rsidR="00E8042D">
        <w:t xml:space="preserve">precedent </w:t>
      </w:r>
      <w:r w:rsidR="00BB71D5">
        <w:t xml:space="preserve">does not </w:t>
      </w:r>
      <w:r w:rsidR="00E8042D">
        <w:t xml:space="preserve">support a presumption or predisposition that would </w:t>
      </w:r>
      <w:r w:rsidR="0098649D">
        <w:t xml:space="preserve">justify granting an application as a matter of </w:t>
      </w:r>
      <w:r w:rsidR="00377690">
        <w:t>l</w:t>
      </w:r>
      <w:r w:rsidR="0098649D">
        <w:t xml:space="preserve">aw.  Instead, </w:t>
      </w:r>
      <w:r w:rsidR="00E33C69">
        <w:t xml:space="preserve">an </w:t>
      </w:r>
      <w:r w:rsidR="0098649D">
        <w:t xml:space="preserve">evidentiary hearing </w:t>
      </w:r>
      <w:r w:rsidR="000C5F29">
        <w:t>must be</w:t>
      </w:r>
      <w:r w:rsidR="00E33C69">
        <w:t xml:space="preserve"> conducted to determine whether the </w:t>
      </w:r>
      <w:r w:rsidR="001A6E74">
        <w:t xml:space="preserve">generators’ and the </w:t>
      </w:r>
      <w:r w:rsidR="00E33C69">
        <w:t xml:space="preserve">Commission’s </w:t>
      </w:r>
      <w:r w:rsidR="00DC2BF1">
        <w:t>needs</w:t>
      </w:r>
      <w:r w:rsidR="00E33C69">
        <w:t xml:space="preserve"> are being met</w:t>
      </w:r>
      <w:r w:rsidR="00E8042D">
        <w:t>, by weighing evidence of whether entry of an additional provider in a particular service territory would serve unmet customer needs consistent with the public interest</w:t>
      </w:r>
      <w:r w:rsidR="0098649D">
        <w:t>.</w:t>
      </w:r>
      <w:r w:rsidR="00A7403B">
        <w:rPr>
          <w:rStyle w:val="FootnoteReference"/>
        </w:rPr>
        <w:footnoteReference w:id="10"/>
      </w:r>
    </w:p>
    <w:p w:rsidR="00416983" w:rsidRDefault="0098649D" w:rsidP="006E6B99">
      <w:pPr>
        <w:numPr>
          <w:ilvl w:val="0"/>
          <w:numId w:val="27"/>
        </w:numPr>
        <w:spacing w:line="474" w:lineRule="exact"/>
        <w:ind w:left="0" w:firstLine="720"/>
        <w:jc w:val="both"/>
      </w:pPr>
      <w:r>
        <w:t xml:space="preserve">Again, the WRRA </w:t>
      </w:r>
      <w:r w:rsidR="009F5504">
        <w:t>Protestants</w:t>
      </w:r>
      <w:r>
        <w:t xml:space="preserve"> are correct in asserting that </w:t>
      </w:r>
      <w:r w:rsidR="00E8042D">
        <w:t xml:space="preserve">RCW 81.77.050 requires an evidentiary hearing and that </w:t>
      </w:r>
      <w:r>
        <w:t xml:space="preserve">facts must support the Commission’s finding.  And again, it is the outcome and not the </w:t>
      </w:r>
      <w:r w:rsidR="00E33C69">
        <w:t xml:space="preserve">logic </w:t>
      </w:r>
      <w:r w:rsidR="00BB71D5">
        <w:t xml:space="preserve">that is the </w:t>
      </w:r>
      <w:r w:rsidR="00E8042D">
        <w:t>actual</w:t>
      </w:r>
      <w:r w:rsidR="00BB71D5">
        <w:t xml:space="preserve"> </w:t>
      </w:r>
      <w:r w:rsidR="00E8042D">
        <w:t>object</w:t>
      </w:r>
      <w:r w:rsidR="00BB71D5">
        <w:t xml:space="preserve"> of the WRRA </w:t>
      </w:r>
      <w:r w:rsidR="009F5504">
        <w:t>Protestants</w:t>
      </w:r>
      <w:r w:rsidR="00E33C69">
        <w:t xml:space="preserve">’ </w:t>
      </w:r>
      <w:r w:rsidR="003B0496">
        <w:t>consternation</w:t>
      </w:r>
      <w:r w:rsidR="00BB71D5">
        <w:t xml:space="preserve">.  </w:t>
      </w:r>
      <w:r w:rsidR="003B0496">
        <w:t xml:space="preserve">The WRRA </w:t>
      </w:r>
      <w:r w:rsidR="009F5504">
        <w:t>Protestants</w:t>
      </w:r>
      <w:r w:rsidR="003B0496">
        <w:t xml:space="preserve"> complain that not “a single witness” nor “a single piece of evidence” nor </w:t>
      </w:r>
      <w:r w:rsidR="009E33FD">
        <w:t>“</w:t>
      </w:r>
      <w:r w:rsidR="003B0496">
        <w:t>any cross-examination</w:t>
      </w:r>
      <w:r w:rsidR="009E33FD">
        <w:t>”</w:t>
      </w:r>
      <w:r w:rsidR="003B0496">
        <w:t xml:space="preserve"> was offered to criticize the services being offered by the WRRA Companies.  </w:t>
      </w:r>
      <w:r w:rsidR="00ED180E">
        <w:t xml:space="preserve">There was, however, ample evidence to support the Commission’s discretionary determination of the necessary preliminary finding on satisfactory service.  It was </w:t>
      </w:r>
      <w:r w:rsidR="009E4B5B">
        <w:t xml:space="preserve">based </w:t>
      </w:r>
      <w:r w:rsidR="009E33FD">
        <w:t xml:space="preserve">on </w:t>
      </w:r>
      <w:r w:rsidR="00ED180E">
        <w:t>th</w:t>
      </w:r>
      <w:r w:rsidR="003B0496">
        <w:t xml:space="preserve">e testimony of shippers </w:t>
      </w:r>
      <w:r w:rsidR="00ED180E">
        <w:t xml:space="preserve">who </w:t>
      </w:r>
      <w:r w:rsidR="003B0496">
        <w:t xml:space="preserve">showed a very real and legitimate demand for </w:t>
      </w:r>
      <w:r w:rsidR="009F5504">
        <w:t>an alternative</w:t>
      </w:r>
      <w:r w:rsidR="003B0496">
        <w:t xml:space="preserve"> </w:t>
      </w:r>
      <w:r w:rsidR="00604671" w:rsidRPr="00604671">
        <w:rPr>
          <w:u w:val="single"/>
        </w:rPr>
        <w:t>statewide</w:t>
      </w:r>
      <w:r w:rsidR="003B0496">
        <w:t xml:space="preserve"> service provider</w:t>
      </w:r>
      <w:r w:rsidR="00ED180E">
        <w:t xml:space="preserve">.  </w:t>
      </w:r>
      <w:r w:rsidR="00DC2BF1">
        <w:t xml:space="preserve">For example, Ray Moore, the Lead Contract Manager of Supply Chain for the </w:t>
      </w:r>
      <w:r w:rsidR="00DC2BF1">
        <w:lastRenderedPageBreak/>
        <w:t>PeaceHealth hospitals.  Like other testifying generators, PeaceHealth desires to contract with “one statewide service provider for the sake of efficiency and cost.”</w:t>
      </w:r>
      <w:r w:rsidR="00DC2BF1">
        <w:rPr>
          <w:rStyle w:val="FootnoteReference"/>
        </w:rPr>
        <w:footnoteReference w:id="11"/>
      </w:r>
      <w:r w:rsidR="00DC2BF1">
        <w:t xml:space="preserve">  Thus, despite the fact that three PeaceHealth hospitals are located in the WRRA Protestants’ territories,</w:t>
      </w:r>
      <w:r w:rsidR="00DC2BF1">
        <w:rPr>
          <w:rStyle w:val="FootnoteReference"/>
        </w:rPr>
        <w:footnoteReference w:id="12"/>
      </w:r>
      <w:r w:rsidR="00DC2BF1">
        <w:t xml:space="preserve"> the WRRA Protestants cannot provide a viable alternative to Stericycle’s statewide monopoly.   </w:t>
      </w:r>
      <w:r w:rsidR="00ED180E">
        <w:t>W</w:t>
      </w:r>
      <w:r w:rsidR="003B0496">
        <w:t xml:space="preserve">ithout that need being met, </w:t>
      </w:r>
      <w:r w:rsidR="006A6701" w:rsidRPr="006A6701">
        <w:rPr>
          <w:u w:val="single"/>
        </w:rPr>
        <w:t>none</w:t>
      </w:r>
      <w:r w:rsidR="006A6701">
        <w:t xml:space="preserve"> of </w:t>
      </w:r>
      <w:r w:rsidR="003B0496" w:rsidRPr="006A6701">
        <w:t>the</w:t>
      </w:r>
      <w:r w:rsidR="003B0496">
        <w:t xml:space="preserve"> certificate holders </w:t>
      </w:r>
      <w:r w:rsidR="006A6701">
        <w:t>can</w:t>
      </w:r>
      <w:r w:rsidR="003B0496">
        <w:t xml:space="preserve"> serve to the satisfaction of the Commission.  </w:t>
      </w:r>
      <w:r w:rsidR="009E4B5B">
        <w:t>Waste Management</w:t>
      </w:r>
      <w:r w:rsidR="00E8042D">
        <w:t>’s burden of proof was met not by</w:t>
      </w:r>
      <w:r w:rsidR="00ED180E">
        <w:t xml:space="preserve"> operation of law, </w:t>
      </w:r>
      <w:r w:rsidR="00E8042D">
        <w:t xml:space="preserve">but by factual evidence.  </w:t>
      </w:r>
    </w:p>
    <w:p w:rsidR="00E8042D" w:rsidRDefault="00E8042D" w:rsidP="006E6B99">
      <w:pPr>
        <w:numPr>
          <w:ilvl w:val="0"/>
          <w:numId w:val="27"/>
        </w:numPr>
        <w:spacing w:line="474" w:lineRule="exact"/>
        <w:ind w:left="0" w:firstLine="720"/>
        <w:jc w:val="both"/>
      </w:pPr>
      <w:r>
        <w:t xml:space="preserve">Thus, the Initial Order </w:t>
      </w:r>
      <w:r w:rsidR="007853FF">
        <w:t>adheres to</w:t>
      </w:r>
      <w:r>
        <w:t xml:space="preserve"> the analytic required under RCW 81.77.040.  The determination of whether existing service providers are meeting customer needs in satisfaction of the Commission’s expectations was firstly considered, and the conclusion that </w:t>
      </w:r>
      <w:r w:rsidR="006A6701">
        <w:rPr>
          <w:u w:val="single"/>
        </w:rPr>
        <w:t>all</w:t>
      </w:r>
      <w:r w:rsidR="006A6701">
        <w:t xml:space="preserve"> of the</w:t>
      </w:r>
      <w:r w:rsidR="006A6701">
        <w:rPr>
          <w:u w:val="single"/>
        </w:rPr>
        <w:t xml:space="preserve"> </w:t>
      </w:r>
      <w:r w:rsidR="007853FF">
        <w:t xml:space="preserve">existing services were unsatisfactory in furthering the Commission’s </w:t>
      </w:r>
      <w:r w:rsidR="00ED180E">
        <w:t xml:space="preserve">regulatory objectives </w:t>
      </w:r>
      <w:r w:rsidR="006E6B99">
        <w:t>was based on factual evidence.</w:t>
      </w:r>
    </w:p>
    <w:p w:rsidR="0077498E" w:rsidRDefault="0077498E" w:rsidP="006E6B99">
      <w:pPr>
        <w:pStyle w:val="Heading3"/>
        <w:spacing w:before="360" w:after="120" w:line="240" w:lineRule="auto"/>
      </w:pPr>
      <w:bookmarkStart w:id="8" w:name="_Toc353198532"/>
      <w:r>
        <w:t>The Commis</w:t>
      </w:r>
      <w:r w:rsidR="007853FF">
        <w:t xml:space="preserve">sion </w:t>
      </w:r>
      <w:r w:rsidR="00925F93">
        <w:t>Should</w:t>
      </w:r>
      <w:r w:rsidR="007853FF">
        <w:t xml:space="preserve"> </w:t>
      </w:r>
      <w:r w:rsidR="006A6701">
        <w:t>Rea</w:t>
      </w:r>
      <w:r w:rsidR="009F5504">
        <w:t>ffirm</w:t>
      </w:r>
      <w:r w:rsidR="007853FF">
        <w:t xml:space="preserve"> </w:t>
      </w:r>
      <w:r w:rsidR="00925F93">
        <w:t>t</w:t>
      </w:r>
      <w:r w:rsidR="007853FF">
        <w:t xml:space="preserve">hat Entry Standards for </w:t>
      </w:r>
      <w:r>
        <w:t xml:space="preserve">Biomedical Waste Transportation Are </w:t>
      </w:r>
      <w:r w:rsidR="007853FF">
        <w:t xml:space="preserve">Different Than </w:t>
      </w:r>
      <w:r w:rsidR="00925F93">
        <w:t>t</w:t>
      </w:r>
      <w:r w:rsidR="007853FF">
        <w:t>he Ones for Traditional Solid Waste Collection</w:t>
      </w:r>
      <w:r>
        <w:t>.</w:t>
      </w:r>
      <w:bookmarkEnd w:id="8"/>
    </w:p>
    <w:p w:rsidR="00792F61" w:rsidRDefault="007853FF" w:rsidP="006E6B99">
      <w:pPr>
        <w:numPr>
          <w:ilvl w:val="0"/>
          <w:numId w:val="27"/>
        </w:numPr>
        <w:spacing w:line="474" w:lineRule="exact"/>
        <w:ind w:left="0" w:firstLine="720"/>
        <w:jc w:val="both"/>
      </w:pPr>
      <w:r>
        <w:t xml:space="preserve">The WRRA </w:t>
      </w:r>
      <w:r w:rsidR="009F5504">
        <w:t>Protestants</w:t>
      </w:r>
      <w:r>
        <w:t xml:space="preserve"> express concern that </w:t>
      </w:r>
      <w:r w:rsidR="00220506">
        <w:t>certain statements</w:t>
      </w:r>
      <w:r>
        <w:t xml:space="preserve"> in the section of this narrowly-tailored </w:t>
      </w:r>
      <w:r w:rsidR="00220506">
        <w:t>order</w:t>
      </w:r>
      <w:r w:rsidRPr="00220506">
        <w:rPr>
          <w:i/>
        </w:rPr>
        <w:t xml:space="preserve"> </w:t>
      </w:r>
      <w:r w:rsidR="00220506">
        <w:t>discussing</w:t>
      </w:r>
      <w:r>
        <w:t xml:space="preserve"> whether existing </w:t>
      </w:r>
      <w:r w:rsidR="00220506">
        <w:t xml:space="preserve">biomedical waste </w:t>
      </w:r>
      <w:r>
        <w:t xml:space="preserve">service is being provided to the satisfaction of the Commission </w:t>
      </w:r>
      <w:r w:rsidR="00925F93">
        <w:t>c</w:t>
      </w:r>
      <w:r>
        <w:t>ould be broadly applied to applications for traditional solid waste collection authority.</w:t>
      </w:r>
      <w:r w:rsidR="009E33FD">
        <w:rPr>
          <w:rStyle w:val="FootnoteReference"/>
        </w:rPr>
        <w:footnoteReference w:id="13"/>
      </w:r>
      <w:r>
        <w:t xml:space="preserve">  </w:t>
      </w:r>
      <w:r w:rsidR="009E4B5B">
        <w:t>Waste Management</w:t>
      </w:r>
      <w:r>
        <w:t xml:space="preserve"> does not interpret the Initial Order as swallowing the general rule and believes the decision </w:t>
      </w:r>
      <w:r w:rsidR="004512F4">
        <w:t xml:space="preserve">by its own terms </w:t>
      </w:r>
      <w:r>
        <w:t xml:space="preserve">applies only </w:t>
      </w:r>
      <w:r w:rsidR="006A6701">
        <w:t xml:space="preserve">to </w:t>
      </w:r>
      <w:r w:rsidR="00220506">
        <w:t>the</w:t>
      </w:r>
      <w:r>
        <w:t xml:space="preserve"> very limited </w:t>
      </w:r>
      <w:r w:rsidR="00220506">
        <w:t xml:space="preserve">factual </w:t>
      </w:r>
      <w:r>
        <w:t>situation</w:t>
      </w:r>
      <w:r w:rsidR="00220506">
        <w:t xml:space="preserve"> presented</w:t>
      </w:r>
      <w:r w:rsidR="004512F4">
        <w:t xml:space="preserve">, that is, to </w:t>
      </w:r>
      <w:r w:rsidR="009E4B5B">
        <w:t>Waste Management</w:t>
      </w:r>
      <w:r w:rsidR="004D31F3">
        <w:t>’s</w:t>
      </w:r>
      <w:r w:rsidR="004512F4">
        <w:t xml:space="preserve"> extension of biomedical waste authority</w:t>
      </w:r>
      <w:r>
        <w:t>.</w:t>
      </w:r>
      <w:r w:rsidR="00792F61">
        <w:t xml:space="preserve">  The introductory paragraph </w:t>
      </w:r>
      <w:r w:rsidR="00220506">
        <w:t xml:space="preserve">of this section of the Initial Order </w:t>
      </w:r>
      <w:r w:rsidR="00792F61">
        <w:t xml:space="preserve">specifically measures satisfactory service “by providers of </w:t>
      </w:r>
      <w:r w:rsidR="00792F61" w:rsidRPr="00792F61">
        <w:rPr>
          <w:u w:val="single"/>
        </w:rPr>
        <w:t>specialized</w:t>
      </w:r>
      <w:r w:rsidR="00792F61">
        <w:t xml:space="preserve"> solid waste collection…</w:t>
      </w:r>
      <w:r w:rsidR="00925F93">
        <w:t>,</w:t>
      </w:r>
      <w:r w:rsidR="00792F61">
        <w:t>”</w:t>
      </w:r>
      <w:r w:rsidR="009E33FD">
        <w:rPr>
          <w:rStyle w:val="FootnoteReference"/>
        </w:rPr>
        <w:footnoteReference w:id="14"/>
      </w:r>
      <w:r w:rsidR="00792F61">
        <w:t xml:space="preserve"> and refers several times to “bio-</w:t>
      </w:r>
      <w:r w:rsidR="00792F61">
        <w:lastRenderedPageBreak/>
        <w:t>hazardous” and “biomedical” waste collection</w:t>
      </w:r>
      <w:r w:rsidR="00220506">
        <w:t>.</w:t>
      </w:r>
      <w:r w:rsidR="009E33FD">
        <w:rPr>
          <w:rStyle w:val="FootnoteReference"/>
        </w:rPr>
        <w:footnoteReference w:id="15"/>
      </w:r>
      <w:r w:rsidR="00220506">
        <w:t xml:space="preserve">  </w:t>
      </w:r>
      <w:r w:rsidR="003D26E1">
        <w:t>The holding is based “on this record and under the circumstances presented in this docket….”</w:t>
      </w:r>
      <w:r w:rsidR="009E33FD">
        <w:rPr>
          <w:rStyle w:val="FootnoteReference"/>
        </w:rPr>
        <w:footnoteReference w:id="16"/>
      </w:r>
      <w:r w:rsidR="003D26E1">
        <w:t xml:space="preserve">  The WRRA </w:t>
      </w:r>
      <w:r w:rsidR="009F5504">
        <w:t>Protestants</w:t>
      </w:r>
      <w:r w:rsidR="003D26E1">
        <w:t xml:space="preserve"> are </w:t>
      </w:r>
      <w:r w:rsidR="006A6701">
        <w:t>unduly</w:t>
      </w:r>
      <w:r w:rsidR="003D26E1">
        <w:t xml:space="preserve"> fearful.</w:t>
      </w:r>
    </w:p>
    <w:p w:rsidR="003D26E1" w:rsidRDefault="003D26E1" w:rsidP="006E6B99">
      <w:pPr>
        <w:numPr>
          <w:ilvl w:val="0"/>
          <w:numId w:val="27"/>
        </w:numPr>
        <w:spacing w:line="474" w:lineRule="exact"/>
        <w:ind w:left="0" w:firstLine="720"/>
        <w:jc w:val="both"/>
      </w:pPr>
      <w:r>
        <w:t xml:space="preserve">The only precedent interpreting RCW 81.77.040 that is cited in </w:t>
      </w:r>
      <w:r w:rsidR="004D31F3">
        <w:t xml:space="preserve">the section of </w:t>
      </w:r>
      <w:r>
        <w:t xml:space="preserve">the Initial Order </w:t>
      </w:r>
      <w:r w:rsidR="004D31F3">
        <w:t>c</w:t>
      </w:r>
      <w:r w:rsidR="00857747">
        <w:t>onsidering satisfactory service</w:t>
      </w:r>
      <w:r w:rsidR="004D31F3">
        <w:t xml:space="preserve"> </w:t>
      </w:r>
      <w:r>
        <w:t xml:space="preserve">consists of prior decisions </w:t>
      </w:r>
      <w:r w:rsidR="00857747">
        <w:t>in</w:t>
      </w:r>
      <w:r>
        <w:t xml:space="preserve"> biomedical waste applications.  Thus, when the Initial Order says, “</w:t>
      </w:r>
      <w:r w:rsidR="006E6B99">
        <w:t>[a]</w:t>
      </w:r>
      <w:r>
        <w:t xml:space="preserve">ccordingly, the Commission will not rely on those prior decisions to make the requisite demonstration in this case,” it is plainly referring to </w:t>
      </w:r>
      <w:r w:rsidR="00925F93">
        <w:t xml:space="preserve">the </w:t>
      </w:r>
      <w:r w:rsidR="00925F93">
        <w:rPr>
          <w:i/>
        </w:rPr>
        <w:t xml:space="preserve">Sureway </w:t>
      </w:r>
      <w:r w:rsidR="00925F93">
        <w:t>case from 1993</w:t>
      </w:r>
      <w:r>
        <w:t>.</w:t>
      </w:r>
      <w:r w:rsidR="009E33FD">
        <w:rPr>
          <w:rStyle w:val="FootnoteReference"/>
        </w:rPr>
        <w:footnoteReference w:id="17"/>
      </w:r>
      <w:r>
        <w:t xml:space="preserve">  </w:t>
      </w:r>
      <w:r w:rsidR="004D31F3">
        <w:t>The “benefits of competition” analysis that weigh</w:t>
      </w:r>
      <w:r w:rsidR="00857747">
        <w:t>ed</w:t>
      </w:r>
      <w:r w:rsidR="004D31F3">
        <w:t xml:space="preserve"> into the outcome of the Initial Order </w:t>
      </w:r>
      <w:r w:rsidR="00857747">
        <w:t>is</w:t>
      </w:r>
      <w:r w:rsidR="004D31F3">
        <w:t xml:space="preserve"> specifically focused on only biomedical waste collection and although some statements taken in isolation might suggest a broad application, the Initial Order</w:t>
      </w:r>
      <w:r w:rsidR="009F5504">
        <w:t xml:space="preserve"> can</w:t>
      </w:r>
      <w:r w:rsidR="00925F93">
        <w:t>not</w:t>
      </w:r>
      <w:r w:rsidR="009F5504">
        <w:t xml:space="preserve"> fairly </w:t>
      </w:r>
      <w:r w:rsidR="00925F93">
        <w:t xml:space="preserve">be </w:t>
      </w:r>
      <w:r w:rsidR="009F5504">
        <w:t>read in this manner</w:t>
      </w:r>
      <w:r w:rsidR="004D31F3">
        <w:t>.</w:t>
      </w:r>
    </w:p>
    <w:p w:rsidR="0077498E" w:rsidRDefault="00792F61" w:rsidP="006E6B99">
      <w:pPr>
        <w:numPr>
          <w:ilvl w:val="0"/>
          <w:numId w:val="27"/>
        </w:numPr>
        <w:spacing w:line="474" w:lineRule="exact"/>
        <w:ind w:left="0" w:firstLine="720"/>
        <w:jc w:val="both"/>
      </w:pPr>
      <w:r>
        <w:t>However, t</w:t>
      </w:r>
      <w:r w:rsidR="0077498E">
        <w:t xml:space="preserve">o the extent there is any ambiguity about whether </w:t>
      </w:r>
      <w:r>
        <w:t>competition</w:t>
      </w:r>
      <w:r w:rsidR="0077498E">
        <w:t xml:space="preserve"> is grounds for meeting the threshold requirement </w:t>
      </w:r>
      <w:r w:rsidR="00220506">
        <w:t xml:space="preserve">under RCW 81.77.040 </w:t>
      </w:r>
      <w:r>
        <w:t xml:space="preserve">for </w:t>
      </w:r>
      <w:r w:rsidR="004512F4">
        <w:t xml:space="preserve">entry into the </w:t>
      </w:r>
      <w:r w:rsidR="004D31F3">
        <w:t>conventional</w:t>
      </w:r>
      <w:r>
        <w:t xml:space="preserve"> solid waste collection </w:t>
      </w:r>
      <w:r w:rsidR="004512F4">
        <w:t>market</w:t>
      </w:r>
      <w:r>
        <w:t xml:space="preserve">, </w:t>
      </w:r>
      <w:r w:rsidR="009E4B5B">
        <w:t>Waste Management</w:t>
      </w:r>
      <w:r>
        <w:t xml:space="preserve"> supports the </w:t>
      </w:r>
      <w:r w:rsidR="00220506">
        <w:t xml:space="preserve">position of </w:t>
      </w:r>
      <w:r w:rsidR="009F5504">
        <w:t xml:space="preserve">the </w:t>
      </w:r>
      <w:r>
        <w:t xml:space="preserve">WRRA Protestants.  </w:t>
      </w:r>
      <w:r w:rsidR="009E4B5B">
        <w:t>Waste Management</w:t>
      </w:r>
      <w:r w:rsidR="004512F4">
        <w:t>, too,</w:t>
      </w:r>
      <w:r w:rsidR="00220506">
        <w:t xml:space="preserve"> does not believe the same standards would or should apply.  </w:t>
      </w:r>
      <w:r w:rsidR="004512F4">
        <w:t xml:space="preserve">As </w:t>
      </w:r>
      <w:r w:rsidR="009F5504">
        <w:t xml:space="preserve">the </w:t>
      </w:r>
      <w:r w:rsidR="004512F4">
        <w:t xml:space="preserve">WRRA </w:t>
      </w:r>
      <w:r w:rsidR="009F5504">
        <w:t>Protestants</w:t>
      </w:r>
      <w:r w:rsidR="004512F4">
        <w:t xml:space="preserve"> acknowledge, the Initial </w:t>
      </w:r>
      <w:r w:rsidR="006500D9">
        <w:t>Order</w:t>
      </w:r>
      <w:r w:rsidR="004512F4">
        <w:t xml:space="preserve"> perpetuates the Commission’s historic differentiation between biomedical waste collection entry standards and conventional solid waste service.</w:t>
      </w:r>
      <w:r w:rsidR="009E33FD">
        <w:rPr>
          <w:rStyle w:val="FootnoteReference"/>
        </w:rPr>
        <w:footnoteReference w:id="18"/>
      </w:r>
      <w:r w:rsidR="004512F4">
        <w:t xml:space="preserve">  </w:t>
      </w:r>
      <w:r>
        <w:t xml:space="preserve">If the Commission determines in the context of administrative review to clarify that point, </w:t>
      </w:r>
      <w:r w:rsidR="009E4B5B">
        <w:t>Waste Management</w:t>
      </w:r>
      <w:r>
        <w:t xml:space="preserve"> </w:t>
      </w:r>
      <w:r w:rsidR="004512F4">
        <w:t xml:space="preserve">certainly </w:t>
      </w:r>
      <w:r>
        <w:t>does not object to any such clarification.</w:t>
      </w:r>
    </w:p>
    <w:p w:rsidR="00A2513A" w:rsidRDefault="00BB71D5" w:rsidP="006E6B99">
      <w:pPr>
        <w:pStyle w:val="Heading2"/>
        <w:spacing w:after="80" w:line="240" w:lineRule="auto"/>
      </w:pPr>
      <w:bookmarkStart w:id="9" w:name="_Toc353198533"/>
      <w:r>
        <w:t xml:space="preserve">The Commission </w:t>
      </w:r>
      <w:r w:rsidR="009956BE">
        <w:t xml:space="preserve">Properly </w:t>
      </w:r>
      <w:r w:rsidR="00C00121">
        <w:t>Exercised</w:t>
      </w:r>
      <w:r w:rsidR="009956BE">
        <w:t xml:space="preserve"> </w:t>
      </w:r>
      <w:r w:rsidR="006E6B99">
        <w:t>I</w:t>
      </w:r>
      <w:r w:rsidR="009956BE">
        <w:t xml:space="preserve">ts </w:t>
      </w:r>
      <w:r w:rsidR="00376CAC">
        <w:t xml:space="preserve">Discretion </w:t>
      </w:r>
      <w:r w:rsidR="009956BE">
        <w:t>t</w:t>
      </w:r>
      <w:r w:rsidR="00376CAC">
        <w:t>o</w:t>
      </w:r>
      <w:r>
        <w:t xml:space="preserve"> Utilize Controlled Competition </w:t>
      </w:r>
      <w:r w:rsidR="006E6B99">
        <w:t>a</w:t>
      </w:r>
      <w:r w:rsidR="00AA248F">
        <w:t xml:space="preserve">s </w:t>
      </w:r>
      <w:r w:rsidR="009956BE">
        <w:t>a</w:t>
      </w:r>
      <w:r w:rsidR="00AA248F">
        <w:t xml:space="preserve"> </w:t>
      </w:r>
      <w:r>
        <w:t>Regulatory Tool</w:t>
      </w:r>
      <w:r w:rsidR="00AA248F">
        <w:t>.</w:t>
      </w:r>
      <w:bookmarkEnd w:id="9"/>
    </w:p>
    <w:p w:rsidR="00220506" w:rsidRDefault="006D531F" w:rsidP="006E6B99">
      <w:pPr>
        <w:numPr>
          <w:ilvl w:val="0"/>
          <w:numId w:val="27"/>
        </w:numPr>
        <w:spacing w:line="474" w:lineRule="exact"/>
        <w:ind w:left="0" w:firstLine="720"/>
        <w:jc w:val="both"/>
      </w:pPr>
      <w:r>
        <w:t xml:space="preserve">In the section discussing the relevance of competition to </w:t>
      </w:r>
      <w:r w:rsidR="009E4B5B">
        <w:t>Waste Management’s</w:t>
      </w:r>
      <w:r>
        <w:t xml:space="preserve"> extension of authority to perform biomedical waste collection services, the Initial Order alludes to other markets and sectors </w:t>
      </w:r>
      <w:r w:rsidR="00220506">
        <w:t>that illustrate</w:t>
      </w:r>
      <w:r w:rsidR="00052EE9">
        <w:t xml:space="preserve"> the evolution of the Commission’s perspective</w:t>
      </w:r>
      <w:r w:rsidR="00261042">
        <w:t xml:space="preserve"> </w:t>
      </w:r>
      <w:r w:rsidR="00052EE9">
        <w:t>allowing for</w:t>
      </w:r>
      <w:r>
        <w:t xml:space="preserve"> gr</w:t>
      </w:r>
      <w:r w:rsidR="00220506">
        <w:t>e</w:t>
      </w:r>
      <w:r>
        <w:t>ater consumer choice</w:t>
      </w:r>
      <w:r w:rsidR="00261042">
        <w:t xml:space="preserve"> without sacrificing </w:t>
      </w:r>
      <w:r w:rsidR="009956BE">
        <w:t xml:space="preserve">the </w:t>
      </w:r>
      <w:r w:rsidR="00261042">
        <w:t>protections of economic regulation</w:t>
      </w:r>
      <w:r w:rsidR="009E33FD">
        <w:t>.</w:t>
      </w:r>
      <w:r w:rsidR="009E33FD">
        <w:rPr>
          <w:rStyle w:val="FootnoteReference"/>
        </w:rPr>
        <w:footnoteReference w:id="19"/>
      </w:r>
      <w:r>
        <w:t xml:space="preserve">  </w:t>
      </w:r>
      <w:r w:rsidR="00FB7FBB">
        <w:t>T</w:t>
      </w:r>
      <w:r w:rsidR="00220506">
        <w:t xml:space="preserve">he </w:t>
      </w:r>
      <w:r w:rsidR="00220506">
        <w:lastRenderedPageBreak/>
        <w:t xml:space="preserve">Commission’s views about </w:t>
      </w:r>
      <w:r w:rsidR="00FB7FBB">
        <w:t>the ability of</w:t>
      </w:r>
      <w:r w:rsidR="00220506">
        <w:t xml:space="preserve"> controlled competition </w:t>
      </w:r>
      <w:r w:rsidR="00FB7FBB">
        <w:t>to</w:t>
      </w:r>
      <w:r w:rsidR="00220506">
        <w:t xml:space="preserve"> supplement</w:t>
      </w:r>
      <w:r w:rsidR="00FB7FBB">
        <w:t xml:space="preserve"> </w:t>
      </w:r>
      <w:r w:rsidR="00220506">
        <w:t>its regulatory oversight ha</w:t>
      </w:r>
      <w:r w:rsidR="00261042">
        <w:t>ve</w:t>
      </w:r>
      <w:r w:rsidR="00220506">
        <w:t xml:space="preserve"> </w:t>
      </w:r>
      <w:r w:rsidR="00F43678">
        <w:t>advanced</w:t>
      </w:r>
      <w:r w:rsidR="00FB7FBB">
        <w:t xml:space="preserve">.  On this point, the Initial Order is </w:t>
      </w:r>
      <w:r w:rsidR="009956BE">
        <w:t>correct</w:t>
      </w:r>
      <w:r w:rsidR="006E6B99">
        <w:t>.</w:t>
      </w:r>
    </w:p>
    <w:p w:rsidR="007A05F7" w:rsidRDefault="00FB7FBB" w:rsidP="006E6B99">
      <w:pPr>
        <w:numPr>
          <w:ilvl w:val="0"/>
          <w:numId w:val="27"/>
        </w:numPr>
        <w:spacing w:line="474" w:lineRule="exact"/>
        <w:ind w:left="0" w:firstLine="720"/>
        <w:jc w:val="both"/>
      </w:pPr>
      <w:r>
        <w:t>Although these references were illustrative</w:t>
      </w:r>
      <w:r w:rsidR="00F43678">
        <w:t xml:space="preserve"> only</w:t>
      </w:r>
      <w:r>
        <w:t xml:space="preserve">, </w:t>
      </w:r>
      <w:r w:rsidR="00B04088">
        <w:t xml:space="preserve">the </w:t>
      </w:r>
      <w:r w:rsidR="006D531F">
        <w:t xml:space="preserve">WRRA </w:t>
      </w:r>
      <w:r w:rsidR="009F5504">
        <w:t>Protestants</w:t>
      </w:r>
      <w:r w:rsidR="006D531F">
        <w:t xml:space="preserve"> spend </w:t>
      </w:r>
      <w:r w:rsidR="009E33FD">
        <w:t>a great deal of</w:t>
      </w:r>
      <w:r w:rsidR="006D531F">
        <w:t xml:space="preserve"> energy knocking down the relevance of </w:t>
      </w:r>
      <w:r w:rsidR="00F43678">
        <w:t>trends in other industry sectors</w:t>
      </w:r>
      <w:r>
        <w:t xml:space="preserve">.  The WRRA </w:t>
      </w:r>
      <w:r w:rsidR="009F5504">
        <w:t>Protestants</w:t>
      </w:r>
      <w:r>
        <w:t xml:space="preserve"> are particularly bothered by the </w:t>
      </w:r>
      <w:r w:rsidR="0040194C">
        <w:t xml:space="preserve">Initial Order’s </w:t>
      </w:r>
      <w:r>
        <w:t xml:space="preserve">citation to </w:t>
      </w:r>
      <w:r w:rsidR="00F43678">
        <w:t xml:space="preserve">the </w:t>
      </w:r>
      <w:r w:rsidR="00F43678" w:rsidRPr="00F43678">
        <w:rPr>
          <w:i/>
        </w:rPr>
        <w:t>Dutchman Marine</w:t>
      </w:r>
      <w:r w:rsidR="006D531F">
        <w:t xml:space="preserve"> decision involving commercial ferry certificates.</w:t>
      </w:r>
      <w:r w:rsidR="00F43678">
        <w:rPr>
          <w:rStyle w:val="FootnoteReference"/>
        </w:rPr>
        <w:footnoteReference w:id="20"/>
      </w:r>
      <w:r w:rsidR="006D531F">
        <w:t xml:space="preserve">  Stericycle, too, argues about the applicability of </w:t>
      </w:r>
      <w:r w:rsidR="0040194C">
        <w:t xml:space="preserve">the references, and in this section </w:t>
      </w:r>
      <w:r w:rsidR="00052EE9">
        <w:t xml:space="preserve">of </w:t>
      </w:r>
      <w:r w:rsidR="009E33FD">
        <w:t>its</w:t>
      </w:r>
      <w:r w:rsidR="00052EE9">
        <w:t xml:space="preserve"> </w:t>
      </w:r>
      <w:r w:rsidR="00F43678">
        <w:t>Answer</w:t>
      </w:r>
      <w:r w:rsidR="00052EE9">
        <w:t xml:space="preserve">, </w:t>
      </w:r>
      <w:r w:rsidR="009E4B5B">
        <w:t>Waste Management</w:t>
      </w:r>
      <w:r w:rsidR="0040194C">
        <w:t xml:space="preserve"> presents its </w:t>
      </w:r>
      <w:r w:rsidR="00F43678">
        <w:t>response</w:t>
      </w:r>
      <w:r w:rsidR="0040194C">
        <w:t xml:space="preserve"> to both </w:t>
      </w:r>
      <w:r w:rsidR="00685410">
        <w:t xml:space="preserve">sets of </w:t>
      </w:r>
      <w:r w:rsidR="009F5504">
        <w:t>Protestants</w:t>
      </w:r>
      <w:r w:rsidR="0040194C">
        <w:t xml:space="preserve"> on this particular point</w:t>
      </w:r>
      <w:r w:rsidR="00BD4D9F">
        <w:t>.</w:t>
      </w:r>
    </w:p>
    <w:p w:rsidR="00261042" w:rsidRDefault="00685410" w:rsidP="006E6B99">
      <w:pPr>
        <w:numPr>
          <w:ilvl w:val="0"/>
          <w:numId w:val="27"/>
        </w:numPr>
        <w:spacing w:line="474" w:lineRule="exact"/>
        <w:ind w:left="0" w:firstLine="720"/>
        <w:jc w:val="both"/>
      </w:pPr>
      <w:r>
        <w:t>The</w:t>
      </w:r>
      <w:r w:rsidR="00BD4D9F">
        <w:t xml:space="preserve"> </w:t>
      </w:r>
      <w:r w:rsidR="009F5504">
        <w:t>Protestants</w:t>
      </w:r>
      <w:r w:rsidR="00BD4D9F">
        <w:t xml:space="preserve"> misinterpret </w:t>
      </w:r>
      <w:r w:rsidR="00FB7FBB">
        <w:t xml:space="preserve">the Initial Order and exaggerate the import of the illustrative examples.  </w:t>
      </w:r>
      <w:r w:rsidR="0040194C">
        <w:t xml:space="preserve">First, and perhaps most importantly, the Initial Order did not </w:t>
      </w:r>
      <w:r w:rsidR="00857747">
        <w:t>rest</w:t>
      </w:r>
      <w:r w:rsidR="0040194C">
        <w:t xml:space="preserve"> on </w:t>
      </w:r>
      <w:r w:rsidR="003B0496">
        <w:t>precedent</w:t>
      </w:r>
      <w:r w:rsidR="0040194C">
        <w:t xml:space="preserve"> in the telecommunications or commercial ferry industries.  </w:t>
      </w:r>
      <w:r w:rsidR="00261042">
        <w:t>The</w:t>
      </w:r>
      <w:r w:rsidR="00052EE9">
        <w:t xml:space="preserve"> developments in those industries </w:t>
      </w:r>
      <w:r w:rsidR="00261042">
        <w:t>were refe</w:t>
      </w:r>
      <w:r w:rsidR="00052EE9">
        <w:t xml:space="preserve">renced in dicta only as examples </w:t>
      </w:r>
      <w:r w:rsidR="009956BE">
        <w:t>of controlled competition</w:t>
      </w:r>
      <w:r w:rsidR="00261042">
        <w:t>.</w:t>
      </w:r>
    </w:p>
    <w:p w:rsidR="0040194C" w:rsidRDefault="0040194C" w:rsidP="006E6B99">
      <w:pPr>
        <w:numPr>
          <w:ilvl w:val="0"/>
          <w:numId w:val="27"/>
        </w:numPr>
        <w:spacing w:line="474" w:lineRule="exact"/>
        <w:ind w:left="0" w:firstLine="720"/>
        <w:jc w:val="both"/>
      </w:pPr>
      <w:r>
        <w:t xml:space="preserve">Furthermore, the Initial Order did not erroneously characterize the Commission’s evolving view about the potential for controlled competition to supplement its </w:t>
      </w:r>
      <w:r w:rsidR="006C4707">
        <w:t>administrative</w:t>
      </w:r>
      <w:r>
        <w:t xml:space="preserve"> oversight in those other regulated industries.  </w:t>
      </w:r>
      <w:r w:rsidR="00261042">
        <w:t>The references were accurate and legitimate allusions to the Commission’s increasing willingness to supplement its authority with limited market forces.</w:t>
      </w:r>
    </w:p>
    <w:p w:rsidR="00BD4D9F" w:rsidRDefault="00261042" w:rsidP="006E6B99">
      <w:pPr>
        <w:numPr>
          <w:ilvl w:val="0"/>
          <w:numId w:val="27"/>
        </w:numPr>
        <w:spacing w:line="474" w:lineRule="exact"/>
        <w:ind w:left="0" w:firstLine="720"/>
        <w:jc w:val="both"/>
      </w:pPr>
      <w:r>
        <w:t>Clearly, t</w:t>
      </w:r>
      <w:r w:rsidR="0040194C">
        <w:t>h</w:t>
      </w:r>
      <w:r w:rsidR="00FB7FBB">
        <w:t xml:space="preserve">e Initial Order is not wrong when it notes that introduction </w:t>
      </w:r>
      <w:r w:rsidR="00685410">
        <w:t>of</w:t>
      </w:r>
      <w:r w:rsidR="00FB7FBB">
        <w:t xml:space="preserve"> competition into former regulated telecommunications monopoly markets has resulted in consumer benefits.  Without eliminating the need for </w:t>
      </w:r>
      <w:r w:rsidR="00370CFE">
        <w:t>agency</w:t>
      </w:r>
      <w:r w:rsidR="00FB7FBB">
        <w:t xml:space="preserve"> </w:t>
      </w:r>
      <w:r w:rsidR="00370CFE">
        <w:t>oversight</w:t>
      </w:r>
      <w:r w:rsidR="00FB7FBB">
        <w:t xml:space="preserve">, </w:t>
      </w:r>
      <w:r w:rsidR="00370CFE">
        <w:t>the Commission’s ability to rely on competition to supplement regulation</w:t>
      </w:r>
      <w:r w:rsidR="00FB7FBB">
        <w:t xml:space="preserve"> has nonetheless reduced the need for active oversight and proactive enforcement</w:t>
      </w:r>
      <w:r w:rsidR="00370CFE">
        <w:t xml:space="preserve"> in the telecommunications sector</w:t>
      </w:r>
      <w:r w:rsidR="00FB7FBB">
        <w:t xml:space="preserve">.  </w:t>
      </w:r>
      <w:r w:rsidR="00370CFE">
        <w:t>But the Initial Order</w:t>
      </w:r>
      <w:r w:rsidR="00FB7FBB">
        <w:t xml:space="preserve"> does not suggest that biomedical waste</w:t>
      </w:r>
      <w:r w:rsidR="00370CFE">
        <w:t xml:space="preserve"> should be treated the same and it certainly does not </w:t>
      </w:r>
      <w:r>
        <w:t>hold</w:t>
      </w:r>
      <w:r w:rsidR="00370CFE">
        <w:t xml:space="preserve"> that entry into the solid waste market </w:t>
      </w:r>
      <w:r>
        <w:t xml:space="preserve">– for </w:t>
      </w:r>
      <w:r w:rsidR="009E33FD">
        <w:t>traditional</w:t>
      </w:r>
      <w:r>
        <w:t xml:space="preserve"> </w:t>
      </w:r>
      <w:r w:rsidRPr="009E33FD">
        <w:rPr>
          <w:i/>
        </w:rPr>
        <w:t>or</w:t>
      </w:r>
      <w:r>
        <w:t xml:space="preserve"> specialized services – </w:t>
      </w:r>
      <w:r w:rsidR="00370CFE">
        <w:t xml:space="preserve">is or should be subject to the same standards as those applied to telecommunications.  The Initial Order is merely illustrating changes </w:t>
      </w:r>
      <w:r w:rsidR="00370CFE">
        <w:lastRenderedPageBreak/>
        <w:t>that have occurred in regulatory policy as it relates to using controlled competition in other industries.</w:t>
      </w:r>
    </w:p>
    <w:p w:rsidR="005F7B4C" w:rsidRDefault="00370CFE" w:rsidP="006E6B99">
      <w:pPr>
        <w:numPr>
          <w:ilvl w:val="0"/>
          <w:numId w:val="27"/>
        </w:numPr>
        <w:spacing w:line="474" w:lineRule="exact"/>
        <w:ind w:left="0" w:firstLine="720"/>
        <w:jc w:val="both"/>
      </w:pPr>
      <w:r>
        <w:t>Similarly, the Initial Order cites to a commercial ferry case for the proposition that con</w:t>
      </w:r>
      <w:r w:rsidR="0040194C">
        <w:t xml:space="preserve">trolled competition can be one of the Commission’s tools for ensuring </w:t>
      </w:r>
      <w:r>
        <w:t xml:space="preserve">that customer demands are met </w:t>
      </w:r>
      <w:r w:rsidR="00685410">
        <w:t>while</w:t>
      </w:r>
      <w:r>
        <w:t xml:space="preserve"> regulatory go</w:t>
      </w:r>
      <w:r w:rsidR="003B0496">
        <w:t xml:space="preserve">als are furthered. </w:t>
      </w:r>
      <w:r w:rsidR="00857747">
        <w:t xml:space="preserve"> It does not, c</w:t>
      </w:r>
      <w:r w:rsidR="003B0496">
        <w:t xml:space="preserve">ontrary to the alarmist interpretation taken by the WRRA </w:t>
      </w:r>
      <w:r w:rsidR="009F5504">
        <w:t>Protestants</w:t>
      </w:r>
      <w:r w:rsidR="003B0496">
        <w:t>, establish “ruinous competition” as a new standard for determining the point at which existing service becomes unsatisfactory to the Commission</w:t>
      </w:r>
      <w:r w:rsidR="005F7B4C">
        <w:t xml:space="preserve"> – not for traditional solid waste entry, not for specialized biomedical waste entry, and not even for commercial ferry entry</w:t>
      </w:r>
      <w:r w:rsidR="003B0496">
        <w:t xml:space="preserve">.  </w:t>
      </w:r>
      <w:r w:rsidR="00376CAC">
        <w:t xml:space="preserve">The Initial Order was merely describing the regulatory bounds imposed on controlled competition in the </w:t>
      </w:r>
      <w:r w:rsidR="005F7B4C">
        <w:t xml:space="preserve">cited </w:t>
      </w:r>
      <w:r w:rsidR="009E33FD" w:rsidRPr="00685410">
        <w:rPr>
          <w:i/>
        </w:rPr>
        <w:t>Dutchman Marine</w:t>
      </w:r>
      <w:r w:rsidR="009E33FD">
        <w:t xml:space="preserve"> </w:t>
      </w:r>
      <w:r w:rsidR="006E6B99">
        <w:t>commercial ferry case.</w:t>
      </w:r>
    </w:p>
    <w:p w:rsidR="008C107F" w:rsidRPr="009E3DA0" w:rsidRDefault="00376CAC" w:rsidP="002B3188">
      <w:pPr>
        <w:numPr>
          <w:ilvl w:val="0"/>
          <w:numId w:val="27"/>
        </w:numPr>
        <w:spacing w:line="474" w:lineRule="exact"/>
        <w:ind w:left="0" w:firstLine="720"/>
        <w:jc w:val="both"/>
      </w:pPr>
      <w:r>
        <w:t xml:space="preserve">In </w:t>
      </w:r>
      <w:r w:rsidR="009E33FD">
        <w:t xml:space="preserve">the </w:t>
      </w:r>
      <w:r w:rsidR="009E33FD" w:rsidRPr="002B3188">
        <w:rPr>
          <w:i/>
        </w:rPr>
        <w:t>Dutchman Marine</w:t>
      </w:r>
      <w:r w:rsidR="009E33FD">
        <w:t xml:space="preserve"> case, </w:t>
      </w:r>
      <w:r w:rsidR="00685410">
        <w:t>concurrent</w:t>
      </w:r>
      <w:r>
        <w:t xml:space="preserve"> applications for commercial ferry service on Lake Washington</w:t>
      </w:r>
      <w:r w:rsidR="009E33FD">
        <w:t xml:space="preserve"> were granted, but t</w:t>
      </w:r>
      <w:r>
        <w:t xml:space="preserve">he Commission conditioned the </w:t>
      </w:r>
      <w:r w:rsidR="009E33FD">
        <w:t xml:space="preserve">overlapping </w:t>
      </w:r>
      <w:r>
        <w:t>approvals on allowing the authority of each applicant to be perfected by the carrier</w:t>
      </w:r>
      <w:r w:rsidR="005F7B4C">
        <w:t xml:space="preserve"> that fi</w:t>
      </w:r>
      <w:r w:rsidR="006E6B99">
        <w:t>rst commenced service, saying:  “</w:t>
      </w:r>
      <w:r w:rsidR="005F7B4C">
        <w:t xml:space="preserve">The result </w:t>
      </w:r>
      <w:r w:rsidR="00052EE9">
        <w:t>was</w:t>
      </w:r>
      <w:r w:rsidR="005F7B4C">
        <w:t xml:space="preserve"> a grant of authority to both applicants.  This result enhances diversity of suppliers, affords incentives to begin service, and allows comprehensive service to the public.</w:t>
      </w:r>
      <w:r w:rsidR="006E6B99">
        <w:t>”</w:t>
      </w:r>
      <w:r w:rsidR="003C70B7">
        <w:rPr>
          <w:rStyle w:val="FootnoteReference"/>
        </w:rPr>
        <w:footnoteReference w:id="21"/>
      </w:r>
      <w:r w:rsidR="002B3188">
        <w:t xml:space="preserve">  </w:t>
      </w:r>
      <w:r w:rsidR="009E3DA0">
        <w:t xml:space="preserve">Thus, the Commission struck the balance between its </w:t>
      </w:r>
      <w:r w:rsidR="008C107F">
        <w:t xml:space="preserve">supervision of </w:t>
      </w:r>
      <w:r w:rsidR="009E3DA0">
        <w:t xml:space="preserve">regulated activities and the </w:t>
      </w:r>
      <w:r w:rsidR="00C2512E">
        <w:t>b</w:t>
      </w:r>
      <w:r w:rsidR="002B3188">
        <w:t>enefit of limited competition.</w:t>
      </w:r>
    </w:p>
    <w:p w:rsidR="008C107F" w:rsidRDefault="008C107F" w:rsidP="002B3188">
      <w:pPr>
        <w:numPr>
          <w:ilvl w:val="0"/>
          <w:numId w:val="27"/>
        </w:numPr>
        <w:spacing w:line="474" w:lineRule="exact"/>
        <w:ind w:left="0" w:firstLine="720"/>
        <w:jc w:val="both"/>
      </w:pPr>
      <w:r>
        <w:t xml:space="preserve">The fact that the conditions imposed by the Commission on the overlapping authorities granted were intended to ensure that only one of the commercial ferries would be </w:t>
      </w:r>
      <w:r>
        <w:lastRenderedPageBreak/>
        <w:t>entitled to servi</w:t>
      </w:r>
      <w:r w:rsidR="006C4707">
        <w:t>ce once it was perfected is beside the point</w:t>
      </w:r>
      <w:r>
        <w:t>.</w:t>
      </w:r>
      <w:r>
        <w:rPr>
          <w:rStyle w:val="FootnoteReference"/>
        </w:rPr>
        <w:footnoteReference w:id="22"/>
      </w:r>
      <w:r>
        <w:t xml:space="preserve">  </w:t>
      </w:r>
      <w:r w:rsidR="006C4707">
        <w:t xml:space="preserve">The </w:t>
      </w:r>
      <w:r>
        <w:t>I</w:t>
      </w:r>
      <w:r w:rsidR="005D6396">
        <w:t xml:space="preserve">nitial Order does not suggest that </w:t>
      </w:r>
      <w:r w:rsidR="00E41966" w:rsidRPr="00E41966">
        <w:rPr>
          <w:i/>
        </w:rPr>
        <w:t>Dutchman Marine</w:t>
      </w:r>
      <w:r w:rsidR="005D6396">
        <w:t xml:space="preserve"> controls the outcome of this proceeding; it is only cited as illustrating the potential for using controlled competition as a tool of regulation.  In </w:t>
      </w:r>
      <w:r w:rsidR="00E41966" w:rsidRPr="00E41966">
        <w:rPr>
          <w:i/>
        </w:rPr>
        <w:t>Dutchman Marine</w:t>
      </w:r>
      <w:r w:rsidR="005D6396">
        <w:t xml:space="preserve">, the Commission decided to grant both applications but let competition determine who got which route.  In this case, the Initial Order holds that competition is necessary to provide shippers with service that is responsive to their needs.  The Commission has discretion to use the “tool” of </w:t>
      </w:r>
      <w:r w:rsidR="00685410">
        <w:t xml:space="preserve">controlled </w:t>
      </w:r>
      <w:r w:rsidR="005D6396">
        <w:t xml:space="preserve">competition as it sees fit.  In </w:t>
      </w:r>
      <w:r w:rsidR="005D6396" w:rsidRPr="00685410">
        <w:rPr>
          <w:i/>
        </w:rPr>
        <w:t>Dutchman Marine</w:t>
      </w:r>
      <w:r w:rsidR="005D6396">
        <w:t xml:space="preserve">, it was used to incentivize efforts to commence service, and allow comprehensive service to the public.  In this case, </w:t>
      </w:r>
      <w:r w:rsidR="00685410">
        <w:t xml:space="preserve">controlled </w:t>
      </w:r>
      <w:r w:rsidR="005D6396">
        <w:t>competition is being used to ensure that statewide biomedical waste shippers have the ability to secure service that meets their specialized needs.</w:t>
      </w:r>
    </w:p>
    <w:p w:rsidR="00C22BDF" w:rsidRDefault="00C22BDF" w:rsidP="002B3188">
      <w:pPr>
        <w:numPr>
          <w:ilvl w:val="0"/>
          <w:numId w:val="27"/>
        </w:numPr>
        <w:spacing w:line="474" w:lineRule="exact"/>
        <w:ind w:left="0" w:firstLine="720"/>
        <w:jc w:val="both"/>
      </w:pPr>
      <w:r>
        <w:t xml:space="preserve">In the same paragraph that refers to the evolution of competition in the telecommunications industry and the </w:t>
      </w:r>
      <w:r w:rsidRPr="00685410">
        <w:rPr>
          <w:i/>
        </w:rPr>
        <w:t>Dutchman Marine</w:t>
      </w:r>
      <w:r>
        <w:t xml:space="preserve"> decision, the Initial Order concludes, “Even in the context of bio-hazardous waste collection, the Commission has observed that its </w:t>
      </w:r>
      <w:r w:rsidR="000447D5">
        <w:t>‘</w:t>
      </w:r>
      <w:r>
        <w:t>policy has historically encouraged competition.’”</w:t>
      </w:r>
      <w:r w:rsidR="008C107F">
        <w:rPr>
          <w:rStyle w:val="FootnoteReference"/>
        </w:rPr>
        <w:footnoteReference w:id="23"/>
      </w:r>
      <w:r>
        <w:t xml:space="preserve">  </w:t>
      </w:r>
      <w:r w:rsidR="0055730C">
        <w:t>The Commission has expressed its policy reasons for viewing a biomedical waste collection application through a different lens than traditional solid waste collection.</w:t>
      </w:r>
      <w:r w:rsidR="00AB58DA">
        <w:rPr>
          <w:rStyle w:val="FootnoteReference"/>
        </w:rPr>
        <w:footnoteReference w:id="24"/>
      </w:r>
      <w:r w:rsidR="0055730C">
        <w:t xml:space="preserve">  In the context of this specialized service, the Commission has </w:t>
      </w:r>
      <w:r w:rsidR="0055730C">
        <w:lastRenderedPageBreak/>
        <w:t>consistently maintained that different standards apply.</w:t>
      </w:r>
      <w:r w:rsidR="008C107F">
        <w:rPr>
          <w:rStyle w:val="FootnoteReference"/>
        </w:rPr>
        <w:footnoteReference w:id="25"/>
      </w:r>
      <w:r w:rsidR="0055730C" w:rsidRPr="003E52D2">
        <w:t xml:space="preserve"> </w:t>
      </w:r>
      <w:r w:rsidR="0055730C">
        <w:t xml:space="preserve"> </w:t>
      </w:r>
      <w:r>
        <w:t xml:space="preserve">There are good reasons for the Commission to consider using </w:t>
      </w:r>
      <w:r w:rsidR="00685410">
        <w:t xml:space="preserve">controlled </w:t>
      </w:r>
      <w:r>
        <w:t xml:space="preserve">competition to buttress its regulatory oversight </w:t>
      </w:r>
      <w:r w:rsidR="00685410">
        <w:t>of</w:t>
      </w:r>
      <w:r>
        <w:t xml:space="preserve"> biomedical waste collection.</w:t>
      </w:r>
    </w:p>
    <w:p w:rsidR="00B63210" w:rsidRDefault="00C22BDF" w:rsidP="002B3188">
      <w:pPr>
        <w:numPr>
          <w:ilvl w:val="0"/>
          <w:numId w:val="27"/>
        </w:numPr>
        <w:spacing w:line="474" w:lineRule="exact"/>
        <w:ind w:left="0" w:firstLine="720"/>
        <w:jc w:val="both"/>
      </w:pPr>
      <w:r>
        <w:t xml:space="preserve">Conventional solid waste collection companies actively solicit regulatory oversight.  </w:t>
      </w:r>
      <w:r w:rsidR="00C22876">
        <w:t xml:space="preserve">The public convenience and necessity does not require competition to </w:t>
      </w:r>
      <w:r w:rsidR="00B04088">
        <w:t>supplement the Commission’s</w:t>
      </w:r>
      <w:r w:rsidR="00C22876">
        <w:t xml:space="preserve"> regulatory policies </w:t>
      </w:r>
      <w:r w:rsidR="00685410">
        <w:t>for traditional haulers</w:t>
      </w:r>
      <w:r w:rsidR="00C22876">
        <w:t xml:space="preserve">.  </w:t>
      </w:r>
      <w:r w:rsidR="00685410">
        <w:t xml:space="preserve">Conventional companies like </w:t>
      </w:r>
      <w:r w:rsidR="00B04088">
        <w:t xml:space="preserve">the </w:t>
      </w:r>
      <w:r w:rsidR="00685410">
        <w:t>WRRA Companies and Waste Management</w:t>
      </w:r>
      <w:r w:rsidR="00C22876">
        <w:t xml:space="preserve"> file frequent general rate requests, </w:t>
      </w:r>
      <w:r>
        <w:t>participate in workshops</w:t>
      </w:r>
      <w:r w:rsidR="0071320E">
        <w:t xml:space="preserve">, provide comments on proposed rules, </w:t>
      </w:r>
      <w:r w:rsidR="00C2512E">
        <w:t xml:space="preserve">respond to formal and informal investigations, </w:t>
      </w:r>
      <w:r w:rsidR="00C22876">
        <w:t xml:space="preserve">adjudicate filings, </w:t>
      </w:r>
      <w:r w:rsidR="0071320E">
        <w:t xml:space="preserve">and </w:t>
      </w:r>
      <w:r w:rsidR="00C22876">
        <w:t>regularly appear before the Commission in</w:t>
      </w:r>
      <w:r w:rsidR="0071320E">
        <w:t xml:space="preserve"> Open Meetings</w:t>
      </w:r>
      <w:r>
        <w:t>.</w:t>
      </w:r>
      <w:r w:rsidR="00683D5B">
        <w:t xml:space="preserve">  Moreover, these conventional solid waste service providers file detailed Class A Annual Reports with the Commission.</w:t>
      </w:r>
      <w:r w:rsidR="00683D5B">
        <w:rPr>
          <w:rStyle w:val="FootnoteReference"/>
        </w:rPr>
        <w:footnoteReference w:id="26"/>
      </w:r>
      <w:r w:rsidR="0013098C">
        <w:t xml:space="preserve">  </w:t>
      </w:r>
    </w:p>
    <w:p w:rsidR="006E6B99" w:rsidRPr="004578C7" w:rsidRDefault="006E6B99" w:rsidP="002B3188">
      <w:pPr>
        <w:numPr>
          <w:ilvl w:val="0"/>
          <w:numId w:val="27"/>
        </w:numPr>
        <w:spacing w:line="474" w:lineRule="exact"/>
        <w:ind w:left="0" w:firstLine="720"/>
        <w:jc w:val="both"/>
      </w:pPr>
      <w:r w:rsidRPr="004578C7">
        <w:t>In contrast, the single statewide biomedical waste collection company that exists today operates under the regulatory radar.  Stericycle has never filed a general rate request.  It has operated under its initial tariff rates since 1993, which remain unchanged today.</w:t>
      </w:r>
      <w:r>
        <w:rPr>
          <w:rStyle w:val="FootnoteReference"/>
        </w:rPr>
        <w:footnoteReference w:id="27"/>
      </w:r>
      <w:r w:rsidRPr="004578C7">
        <w:t xml:space="preserve">  In 2011, it filed a tariff revision to match product options and rates offered by Waste Management, changing its base tariff rates for the first time in two decades.</w:t>
      </w:r>
      <w:r w:rsidRPr="004578C7">
        <w:rPr>
          <w:rStyle w:val="FootnoteReference"/>
        </w:rPr>
        <w:footnoteReference w:id="28"/>
      </w:r>
      <w:r w:rsidRPr="004578C7">
        <w:t xml:space="preserve">  Otherwise, it has appeared before the Commission only to defend its monopoly.</w:t>
      </w:r>
      <w:r w:rsidRPr="004578C7">
        <w:rPr>
          <w:rStyle w:val="FootnoteReference"/>
        </w:rPr>
        <w:footnoteReference w:id="29"/>
      </w:r>
      <w:r w:rsidRPr="004578C7">
        <w:t xml:space="preserve">  Its annual reports contain only limited financial information.</w:t>
      </w:r>
      <w:r w:rsidRPr="004578C7">
        <w:rPr>
          <w:rStyle w:val="FootnoteReference"/>
        </w:rPr>
        <w:footnoteReference w:id="30"/>
      </w:r>
      <w:r w:rsidRPr="004578C7">
        <w:t xml:space="preserve">  It ignores Commission rules requiring it to provide customers with a document </w:t>
      </w:r>
      <w:r w:rsidRPr="004578C7">
        <w:lastRenderedPageBreak/>
        <w:t>describing the company’s services.</w:t>
      </w:r>
      <w:r w:rsidRPr="004578C7">
        <w:rPr>
          <w:rStyle w:val="FootnoteReference"/>
        </w:rPr>
        <w:footnoteReference w:id="31"/>
      </w:r>
      <w:r w:rsidRPr="004578C7">
        <w:t xml:space="preserve">  It disregards the regulatory obligation of giving new customers a copy of the Commission’s consumer brochure or notifying customers annually of the Commission’s availability to address customer concerns.</w:t>
      </w:r>
      <w:r w:rsidRPr="004578C7">
        <w:rPr>
          <w:rStyle w:val="FootnoteReference"/>
        </w:rPr>
        <w:footnoteReference w:id="32"/>
      </w:r>
      <w:r w:rsidRPr="004578C7">
        <w:t xml:space="preserve">  Apparently, Stericycle does not even inform customers that its services are regulated by the WUTC.</w:t>
      </w:r>
      <w:r w:rsidRPr="004578C7">
        <w:rPr>
          <w:rStyle w:val="FootnoteReference"/>
        </w:rPr>
        <w:footnoteReference w:id="33"/>
      </w:r>
    </w:p>
    <w:p w:rsidR="00C22BDF" w:rsidRDefault="0013098C" w:rsidP="002B3188">
      <w:pPr>
        <w:numPr>
          <w:ilvl w:val="0"/>
          <w:numId w:val="27"/>
        </w:numPr>
        <w:spacing w:line="474" w:lineRule="exact"/>
        <w:ind w:left="0" w:firstLine="720"/>
        <w:jc w:val="both"/>
      </w:pPr>
      <w:r>
        <w:t>In regulating traditional solid waste collection companies, the Commission has no need for competition to supplement its oversight and further its goals of ensuring that consumers have access to collection services at fair, just and reasonable rates, terms and conditions.  In the context of biomedical waste collection, however, the benefit of adding a modicum of controlled competition is obvious and justified.</w:t>
      </w:r>
      <w:r w:rsidR="008C107F">
        <w:rPr>
          <w:rStyle w:val="FootnoteReference"/>
        </w:rPr>
        <w:footnoteReference w:id="34"/>
      </w:r>
      <w:r w:rsidR="008B3656">
        <w:t xml:space="preserve">  When the </w:t>
      </w:r>
      <w:r w:rsidR="00517E5F">
        <w:t>first</w:t>
      </w:r>
      <w:r w:rsidR="008B3656">
        <w:t xml:space="preserve"> applications for biomedical waste collection certificates were considered, and in the time following </w:t>
      </w:r>
      <w:r w:rsidR="00517E5F">
        <w:t xml:space="preserve">those initial </w:t>
      </w:r>
      <w:r w:rsidR="008B3656">
        <w:t>approvals, the ability of multiple service providers to answer the public’s need for responsive service was assured.</w:t>
      </w:r>
      <w:r w:rsidR="00517E5F">
        <w:t xml:space="preserve">  Since that time, however, Stericycle’s later-acquired iron-fisted monopoly on statewide services</w:t>
      </w:r>
      <w:r w:rsidR="00551604">
        <w:t xml:space="preserve"> and the limited, regional service of the WRRA Protestants</w:t>
      </w:r>
      <w:r w:rsidR="00517E5F">
        <w:t xml:space="preserve"> ha</w:t>
      </w:r>
      <w:r w:rsidR="00551604">
        <w:t>ve</w:t>
      </w:r>
      <w:r w:rsidR="00517E5F">
        <w:t xml:space="preserve"> not been responsive to the legitimate shipper needs.  In and of itself, </w:t>
      </w:r>
      <w:r w:rsidR="00551604">
        <w:t>these</w:t>
      </w:r>
      <w:r w:rsidR="00517E5F">
        <w:t xml:space="preserve"> service and regulatory deficiencies</w:t>
      </w:r>
      <w:r w:rsidR="00683D5B">
        <w:t xml:space="preserve"> </w:t>
      </w:r>
      <w:r w:rsidR="00517E5F">
        <w:t xml:space="preserve">may not rise to the level of </w:t>
      </w:r>
      <w:r w:rsidR="00E41966" w:rsidRPr="00E41966">
        <w:rPr>
          <w:i/>
        </w:rPr>
        <w:t>per se</w:t>
      </w:r>
      <w:r w:rsidR="00517E5F">
        <w:t xml:space="preserve"> unsatisfactory service, but </w:t>
      </w:r>
      <w:r w:rsidR="00551604">
        <w:t>they</w:t>
      </w:r>
      <w:r w:rsidR="00517E5F">
        <w:t xml:space="preserve"> evidence the need for controlled competition in the world of biomedical waste collection that is not warranted for traditional sol</w:t>
      </w:r>
      <w:r w:rsidR="002B3188">
        <w:t>id waste collection companies.</w:t>
      </w:r>
    </w:p>
    <w:p w:rsidR="00186046" w:rsidRDefault="00B44F4E" w:rsidP="002B3188">
      <w:pPr>
        <w:pStyle w:val="Heading2"/>
        <w:spacing w:before="120" w:line="240" w:lineRule="auto"/>
      </w:pPr>
      <w:bookmarkStart w:id="10" w:name="_Toc353198534"/>
      <w:r>
        <w:t xml:space="preserve">The Public Need </w:t>
      </w:r>
      <w:r w:rsidR="002B3188">
        <w:t>f</w:t>
      </w:r>
      <w:r>
        <w:t xml:space="preserve">or Responsive Service Outweighs Any Negative Impacts </w:t>
      </w:r>
      <w:r w:rsidR="00683D5B">
        <w:t>o</w:t>
      </w:r>
      <w:r>
        <w:t xml:space="preserve">f </w:t>
      </w:r>
      <w:r w:rsidR="009E4B5B">
        <w:t>Waste Management</w:t>
      </w:r>
      <w:r>
        <w:t xml:space="preserve">’s Expansion </w:t>
      </w:r>
      <w:r w:rsidR="00683D5B">
        <w:t>Given</w:t>
      </w:r>
      <w:r w:rsidR="00BE07E8">
        <w:t xml:space="preserve"> </w:t>
      </w:r>
      <w:r w:rsidR="00683D5B">
        <w:t>t</w:t>
      </w:r>
      <w:r w:rsidR="00EA1162">
        <w:t>he Absence of Persuasive</w:t>
      </w:r>
      <w:r>
        <w:t xml:space="preserve"> Evidence </w:t>
      </w:r>
      <w:r w:rsidR="00683D5B">
        <w:t>o</w:t>
      </w:r>
      <w:r w:rsidR="00685410">
        <w:t xml:space="preserve">f Negative Impact </w:t>
      </w:r>
      <w:r w:rsidR="00683D5B">
        <w:t>o</w:t>
      </w:r>
      <w:r>
        <w:t xml:space="preserve">n </w:t>
      </w:r>
      <w:r w:rsidR="00683D5B">
        <w:t>t</w:t>
      </w:r>
      <w:r>
        <w:t xml:space="preserve">he </w:t>
      </w:r>
      <w:r w:rsidR="00683D5B">
        <w:t xml:space="preserve">WRRA Protestants’ </w:t>
      </w:r>
      <w:r>
        <w:t>Economic Viability.</w:t>
      </w:r>
      <w:bookmarkEnd w:id="10"/>
    </w:p>
    <w:p w:rsidR="006C6F67" w:rsidRDefault="00C00121" w:rsidP="002B3188">
      <w:pPr>
        <w:numPr>
          <w:ilvl w:val="0"/>
          <w:numId w:val="27"/>
        </w:numPr>
        <w:spacing w:line="476" w:lineRule="exact"/>
        <w:ind w:left="0" w:right="86" w:firstLine="720"/>
        <w:jc w:val="both"/>
      </w:pPr>
      <w:r>
        <w:t xml:space="preserve">The WRRA Petition </w:t>
      </w:r>
      <w:r w:rsidR="00E20292">
        <w:t xml:space="preserve">alleges an objection to </w:t>
      </w:r>
      <w:r>
        <w:t xml:space="preserve">Finding of Fact No. 4, </w:t>
      </w:r>
      <w:r w:rsidR="00E20292">
        <w:t xml:space="preserve">in </w:t>
      </w:r>
      <w:r>
        <w:t xml:space="preserve">which the Initial Order stated that Waste Management successfully “demonstrated that the public’s need for a competitive alternative to the existing service providers outweighs those providers’ </w:t>
      </w:r>
      <w:r>
        <w:lastRenderedPageBreak/>
        <w:t>unsubstantiated claims of an adverse economic impact on their operations.”</w:t>
      </w:r>
      <w:r>
        <w:rPr>
          <w:rStyle w:val="FootnoteReference"/>
        </w:rPr>
        <w:footnoteReference w:id="35"/>
      </w:r>
      <w:r>
        <w:t xml:space="preserve">  There is, however, neither argument presented in the WRRA Petition on this objection, nor reference to record evidence relied on to support the WRRA Protestants’ objection.  </w:t>
      </w:r>
      <w:r w:rsidR="00BE07E8">
        <w:t>Nonetheless, to the extent the Commission deems the issue to have been presented by the mere assertion of the objection, the I</w:t>
      </w:r>
      <w:r w:rsidR="00F20F92">
        <w:t>nitial Order should be upheld.</w:t>
      </w:r>
    </w:p>
    <w:p w:rsidR="00157099" w:rsidRDefault="00157099" w:rsidP="002B3188">
      <w:pPr>
        <w:numPr>
          <w:ilvl w:val="0"/>
          <w:numId w:val="27"/>
        </w:numPr>
        <w:spacing w:line="476" w:lineRule="exact"/>
        <w:ind w:left="0" w:right="86" w:firstLine="720"/>
        <w:jc w:val="both"/>
      </w:pPr>
      <w:r>
        <w:t>In considering whether the public convenience and necessity requires the additional operations sought by Waste Management, the Initial Order properly considered whether the public’s needs for responsive service outweigh any negative impacts of the entry of an addition</w:t>
      </w:r>
      <w:r w:rsidR="001C43E2">
        <w:t>al provid</w:t>
      </w:r>
      <w:r>
        <w:t>er on the economic viability of existing carriers.</w:t>
      </w:r>
      <w:r>
        <w:rPr>
          <w:rStyle w:val="FootnoteReference"/>
        </w:rPr>
        <w:footnoteReference w:id="36"/>
      </w:r>
      <w:r>
        <w:t xml:space="preserve">  The public need for granting Waste Management’s application was amply demonstrated by the shipper witnesses.  Washington waste generators, including those with statewide facilities, currently have no meaningful competition available and it is therefore functionally impossible for the services of the incumbent certificate holders to satisfy the Commission.</w:t>
      </w:r>
      <w:r>
        <w:rPr>
          <w:rStyle w:val="FootnoteReference"/>
        </w:rPr>
        <w:footnoteReference w:id="37"/>
      </w:r>
    </w:p>
    <w:p w:rsidR="00586950" w:rsidRDefault="003C70B7" w:rsidP="00B04472">
      <w:pPr>
        <w:numPr>
          <w:ilvl w:val="0"/>
          <w:numId w:val="27"/>
        </w:numPr>
        <w:spacing w:line="476" w:lineRule="exact"/>
        <w:ind w:left="0" w:right="86" w:firstLine="720"/>
        <w:jc w:val="both"/>
      </w:pPr>
      <w:r>
        <w:t xml:space="preserve">In alluding to the </w:t>
      </w:r>
      <w:r w:rsidRPr="00685410">
        <w:rPr>
          <w:i/>
        </w:rPr>
        <w:t>Dutchman Marine</w:t>
      </w:r>
      <w:r>
        <w:t xml:space="preserve"> decision, the Initial Order does not create a new standard for determining the satisfaction of the Commission by reference to “ruinous competition.”  However, under analysis of the public convenience and necessity, the Initial Order proper</w:t>
      </w:r>
      <w:r w:rsidR="000447D5">
        <w:t>l</w:t>
      </w:r>
      <w:r>
        <w:t xml:space="preserve">y </w:t>
      </w:r>
      <w:r w:rsidR="00E97C05">
        <w:t>balances the negative impacts of the entry of an additional provider on the economic</w:t>
      </w:r>
      <w:r w:rsidR="000A6454">
        <w:t xml:space="preserve"> via</w:t>
      </w:r>
      <w:r w:rsidR="00E97C05">
        <w:t>bi</w:t>
      </w:r>
      <w:r w:rsidR="000A6454">
        <w:t>li</w:t>
      </w:r>
      <w:r w:rsidR="00E97C05">
        <w:t>ty of existing carriers</w:t>
      </w:r>
      <w:r w:rsidR="00157099" w:rsidRPr="00157099">
        <w:t xml:space="preserve"> </w:t>
      </w:r>
      <w:r w:rsidR="00157099">
        <w:t>with the public’s need for responsive service</w:t>
      </w:r>
      <w:r w:rsidR="00E97C05">
        <w:t>.</w:t>
      </w:r>
      <w:r w:rsidR="00E97C05">
        <w:rPr>
          <w:rStyle w:val="FootnoteReference"/>
        </w:rPr>
        <w:footnoteReference w:id="38"/>
      </w:r>
      <w:r w:rsidR="000A6454">
        <w:t xml:space="preserve">  The Initial Order does not require proof of “ruinous competition,” but it does demand </w:t>
      </w:r>
      <w:r w:rsidR="000A6454" w:rsidRPr="00157099">
        <w:rPr>
          <w:b/>
          <w:u w:val="single"/>
        </w:rPr>
        <w:t>some</w:t>
      </w:r>
      <w:r w:rsidR="000A6454">
        <w:t xml:space="preserve"> evidence that granting </w:t>
      </w:r>
      <w:r w:rsidR="00157099">
        <w:t>Waste Management’s</w:t>
      </w:r>
      <w:r w:rsidR="000A6454">
        <w:t xml:space="preserve"> expansion into the remaining territory will have a “significant impact on the economic viability of the existing companies.”</w:t>
      </w:r>
      <w:r w:rsidR="000A6454">
        <w:rPr>
          <w:rStyle w:val="FootnoteReference"/>
        </w:rPr>
        <w:footnoteReference w:id="39"/>
      </w:r>
      <w:r w:rsidR="000A6454">
        <w:t xml:space="preserve">  And, once again, the WRRA Protestants </w:t>
      </w:r>
      <w:r w:rsidR="00E20292">
        <w:t xml:space="preserve">obscure whatever arguments they have regarding the avowed </w:t>
      </w:r>
      <w:r w:rsidR="000A6454">
        <w:t xml:space="preserve">objection to the </w:t>
      </w:r>
      <w:r w:rsidR="00E20292">
        <w:t>finding made in the Initial Order</w:t>
      </w:r>
      <w:r w:rsidR="000A6454">
        <w:t xml:space="preserve"> with criticisms of the analytic approach.</w:t>
      </w:r>
      <w:r w:rsidR="00586950">
        <w:t xml:space="preserve">  </w:t>
      </w:r>
      <w:r w:rsidR="00EA1162">
        <w:t>In this case</w:t>
      </w:r>
      <w:r w:rsidR="00586950">
        <w:t xml:space="preserve">, </w:t>
      </w:r>
      <w:r w:rsidR="00E20292">
        <w:t xml:space="preserve">the Initial Order is proper, both in </w:t>
      </w:r>
      <w:r w:rsidR="00A13343">
        <w:t xml:space="preserve">the </w:t>
      </w:r>
      <w:r w:rsidR="00E20292">
        <w:lastRenderedPageBreak/>
        <w:t xml:space="preserve">analysis taken and in the conclusion made:  </w:t>
      </w:r>
      <w:r w:rsidR="00586950">
        <w:t>t</w:t>
      </w:r>
      <w:r w:rsidR="000A6454">
        <w:t xml:space="preserve">he WRRA Companies failed to provide </w:t>
      </w:r>
      <w:r w:rsidR="00157099">
        <w:t>persuasive</w:t>
      </w:r>
      <w:r w:rsidR="000A6454">
        <w:t xml:space="preserve"> evidence th</w:t>
      </w:r>
      <w:r w:rsidR="00157099">
        <w:t xml:space="preserve">at granting </w:t>
      </w:r>
      <w:r w:rsidR="009E4B5B">
        <w:t>Waste Management</w:t>
      </w:r>
      <w:r w:rsidR="00157099">
        <w:t>’s application would affect the economic</w:t>
      </w:r>
      <w:r w:rsidR="00A13343">
        <w:t xml:space="preserve"> viability</w:t>
      </w:r>
      <w:r w:rsidR="00157099">
        <w:t xml:space="preserve"> of their operations, negatively or positively.</w:t>
      </w:r>
    </w:p>
    <w:p w:rsidR="00EA1162" w:rsidRDefault="00EA1162" w:rsidP="00B04472">
      <w:pPr>
        <w:numPr>
          <w:ilvl w:val="0"/>
          <w:numId w:val="27"/>
        </w:numPr>
        <w:spacing w:line="476" w:lineRule="exact"/>
        <w:ind w:left="0" w:right="86" w:firstLine="720"/>
        <w:jc w:val="both"/>
      </w:pPr>
      <w:r w:rsidRPr="00A84F70">
        <w:t xml:space="preserve">The </w:t>
      </w:r>
      <w:r>
        <w:t>Commission considers the impact of competition on incumbent service providers purely a</w:t>
      </w:r>
      <w:r w:rsidR="00A13343">
        <w:t>s a</w:t>
      </w:r>
      <w:r>
        <w:t xml:space="preserve"> proxy for gauging effective service to the public.  Protecting the incumbents, in and of itself, is not a Commission goal.  “Consistent with the state’s strong health and safety interest in assuring universal collection and securing service at fair rates, the Commission will consider whether a grant of competing authority would be </w:t>
      </w:r>
      <w:r w:rsidRPr="00187566">
        <w:rPr>
          <w:u w:val="single"/>
        </w:rPr>
        <w:t>detrimental to the public</w:t>
      </w:r>
      <w:r>
        <w:t xml:space="preserve"> because it would jeopardize the viability of existing service.”</w:t>
      </w:r>
      <w:r>
        <w:rPr>
          <w:rStyle w:val="FootnoteReference"/>
        </w:rPr>
        <w:footnoteReference w:id="40"/>
      </w:r>
      <w:r>
        <w:t xml:space="preserve">  The Commission has rejected “a test for denial that is measured by adverse effect upon existing carriers’ financial returns.”  Rather, “the proper test for public interest [is] whether the entry of an additional carrier, who has demonstrated public need for its services, will result in damage to carriers </w:t>
      </w:r>
      <w:r>
        <w:rPr>
          <w:u w:val="single"/>
        </w:rPr>
        <w:t>that causes a reduction to unacceptable levels of available reasonably priced service to consumers</w:t>
      </w:r>
      <w:r w:rsidRPr="00D779CF">
        <w:rPr>
          <w:i/>
        </w:rPr>
        <w:t>.</w:t>
      </w:r>
      <w:r>
        <w:t>”</w:t>
      </w:r>
      <w:r>
        <w:rPr>
          <w:rStyle w:val="FootnoteReference"/>
        </w:rPr>
        <w:footnoteReference w:id="41"/>
      </w:r>
    </w:p>
    <w:p w:rsidR="00EA1162" w:rsidRDefault="00EA1162" w:rsidP="00B04472">
      <w:pPr>
        <w:numPr>
          <w:ilvl w:val="0"/>
          <w:numId w:val="27"/>
        </w:numPr>
        <w:spacing w:line="476" w:lineRule="exact"/>
        <w:ind w:left="0" w:right="86" w:firstLine="720"/>
        <w:jc w:val="both"/>
      </w:pPr>
      <w:r>
        <w:t xml:space="preserve">There is no material threat to the viability of any of the WRRA </w:t>
      </w:r>
      <w:r w:rsidR="00E20292">
        <w:t>Companies</w:t>
      </w:r>
      <w:r>
        <w:t xml:space="preserve"> nor is there any evidence that granting Waste Management’s application will cause a reduction of reasonably priced service to consumers – </w:t>
      </w:r>
      <w:r w:rsidR="00C00121">
        <w:t>and the WRRA Protestants do not now argue otherwise</w:t>
      </w:r>
      <w:r>
        <w:t>.  The balance must tip without contest in favor of the public’s need for competitive statewide service.</w:t>
      </w:r>
    </w:p>
    <w:p w:rsidR="00EA1162" w:rsidRDefault="00DB245D" w:rsidP="00B04472">
      <w:pPr>
        <w:numPr>
          <w:ilvl w:val="0"/>
          <w:numId w:val="27"/>
        </w:numPr>
        <w:spacing w:line="472" w:lineRule="exact"/>
        <w:ind w:left="0" w:right="86" w:firstLine="720"/>
        <w:jc w:val="both"/>
      </w:pPr>
      <w:r>
        <w:t>I</w:t>
      </w:r>
      <w:r w:rsidR="00EA1162">
        <w:t xml:space="preserve">t is undisputed that </w:t>
      </w:r>
      <w:r w:rsidR="00EA1162" w:rsidRPr="00E20292">
        <w:t>each</w:t>
      </w:r>
      <w:r w:rsidR="00EA1162">
        <w:t xml:space="preserve"> of the WRRA </w:t>
      </w:r>
      <w:r w:rsidR="00E20292">
        <w:t>Companies</w:t>
      </w:r>
      <w:r w:rsidR="00EA1162">
        <w:t xml:space="preserve"> successfully competed with two contemporaneous statewide RMW service providers, Stericycle and BFI, during the time of controlled competition in the 1990s.</w:t>
      </w:r>
      <w:r w:rsidR="00EA1162">
        <w:rPr>
          <w:rStyle w:val="FootnoteReference"/>
        </w:rPr>
        <w:footnoteReference w:id="42"/>
      </w:r>
    </w:p>
    <w:p w:rsidR="00DB245D" w:rsidRDefault="00EA1162" w:rsidP="00B04472">
      <w:pPr>
        <w:numPr>
          <w:ilvl w:val="0"/>
          <w:numId w:val="27"/>
        </w:numPr>
        <w:spacing w:line="472" w:lineRule="exact"/>
        <w:ind w:left="0" w:right="86" w:firstLine="720"/>
        <w:jc w:val="both"/>
      </w:pPr>
      <w:r>
        <w:t xml:space="preserve">Furthermore, the WRRA </w:t>
      </w:r>
      <w:r w:rsidR="00E20292">
        <w:t>Companies</w:t>
      </w:r>
      <w:r>
        <w:t xml:space="preserve"> did not provide persuasive evidence that having to compete with a second statewide provider </w:t>
      </w:r>
      <w:r w:rsidR="00A13343">
        <w:t xml:space="preserve">now </w:t>
      </w:r>
      <w:r>
        <w:t xml:space="preserve">will materially threaten their “economic viability” or that competition from Waste Management will </w:t>
      </w:r>
      <w:r w:rsidRPr="00DB245D">
        <w:t>cause</w:t>
      </w:r>
      <w:r>
        <w:t xml:space="preserve"> them to have a base of small, </w:t>
      </w:r>
      <w:r>
        <w:lastRenderedPageBreak/>
        <w:t>rural accounts.</w:t>
      </w:r>
      <w:r>
        <w:rPr>
          <w:rStyle w:val="FootnoteReference"/>
        </w:rPr>
        <w:footnoteReference w:id="43"/>
      </w:r>
      <w:r>
        <w:t xml:space="preserve">  </w:t>
      </w:r>
      <w:r w:rsidR="00DB245D">
        <w:t xml:space="preserve">No evidence was offered at the hearing nor is any argument presented in the WRRA Petition as to why this would change in the face of competition from Waste Management.  </w:t>
      </w:r>
    </w:p>
    <w:p w:rsidR="00EA1162" w:rsidRDefault="00EA1162" w:rsidP="00B04472">
      <w:pPr>
        <w:numPr>
          <w:ilvl w:val="0"/>
          <w:numId w:val="27"/>
        </w:numPr>
        <w:spacing w:line="472" w:lineRule="exact"/>
        <w:ind w:left="0" w:right="86" w:firstLine="720"/>
        <w:jc w:val="both"/>
      </w:pPr>
      <w:r>
        <w:t xml:space="preserve">For example, Rubatino Refuse Removal, Inc.’s president Edward Rubatino testified that he </w:t>
      </w:r>
      <w:r w:rsidRPr="00DB245D">
        <w:t>already</w:t>
      </w:r>
      <w:r>
        <w:t xml:space="preserve"> lost the one major RMW generator in his area to Stericycle, leaving a balance of approximately 200 small customers, and that his RMW business </w:t>
      </w:r>
      <w:r w:rsidRPr="00DB245D">
        <w:t>already</w:t>
      </w:r>
      <w:r>
        <w:t xml:space="preserve"> is unprofitable.</w:t>
      </w:r>
      <w:r>
        <w:rPr>
          <w:rStyle w:val="FootnoteReference"/>
        </w:rPr>
        <w:footnoteReference w:id="44"/>
      </w:r>
      <w:r>
        <w:t xml:space="preserve">  Murrey’s Disposal, in turn, has </w:t>
      </w:r>
      <w:r w:rsidRPr="00DB245D">
        <w:t>never</w:t>
      </w:r>
      <w:r>
        <w:t xml:space="preserve"> lost one of its large customers to Stericycle and, in fact, is not aware of having lost </w:t>
      </w:r>
      <w:r w:rsidRPr="00DB245D">
        <w:t>any</w:t>
      </w:r>
      <w:r>
        <w:t xml:space="preserve"> customers to Stericycle.</w:t>
      </w:r>
      <w:r>
        <w:rPr>
          <w:rStyle w:val="FootnoteReference"/>
        </w:rPr>
        <w:footnoteReference w:id="45"/>
      </w:r>
      <w:r>
        <w:t xml:space="preserve">  </w:t>
      </w:r>
      <w:r w:rsidR="00DB245D">
        <w:t>Yet</w:t>
      </w:r>
      <w:r>
        <w:t>, it is undisputed that Murrey’s Disposal is earning substantially more in net operating income than what it is entitled to earn under an acceptable operating ratio and could lose substantial business without creating any material risk to its economic viability.</w:t>
      </w:r>
      <w:r>
        <w:rPr>
          <w:rStyle w:val="FootnoteReference"/>
        </w:rPr>
        <w:footnoteReference w:id="46"/>
      </w:r>
      <w:r>
        <w:t xml:space="preserve">  Consolidated Disposal Services </w:t>
      </w:r>
      <w:r w:rsidRPr="00E651D6">
        <w:t>already</w:t>
      </w:r>
      <w:r>
        <w:t xml:space="preserve"> has lost to Stericycle its customers with multi-site locations,</w:t>
      </w:r>
      <w:r>
        <w:rPr>
          <w:rStyle w:val="FootnoteReference"/>
        </w:rPr>
        <w:footnoteReference w:id="47"/>
      </w:r>
      <w:r>
        <w:t xml:space="preserve"> and it could lose 35% of its revenue and still be profitable.</w:t>
      </w:r>
      <w:r>
        <w:rPr>
          <w:rStyle w:val="FootnoteReference"/>
        </w:rPr>
        <w:footnoteReference w:id="48"/>
      </w:r>
      <w:r>
        <w:t xml:space="preserve">  Pullman Disposal Service, Inc. </w:t>
      </w:r>
      <w:r w:rsidRPr="00E651D6">
        <w:t>already</w:t>
      </w:r>
      <w:r>
        <w:t xml:space="preserve"> has a “very consistent” customer base comprised of small RMW generators and no hospitals,</w:t>
      </w:r>
      <w:r>
        <w:rPr>
          <w:rStyle w:val="FootnoteReference"/>
        </w:rPr>
        <w:footnoteReference w:id="49"/>
      </w:r>
      <w:r>
        <w:t xml:space="preserve"> and has not lost </w:t>
      </w:r>
      <w:r w:rsidRPr="00E651D6">
        <w:t>any</w:t>
      </w:r>
      <w:r>
        <w:t xml:space="preserve"> customers to Stericycle.</w:t>
      </w:r>
      <w:r>
        <w:rPr>
          <w:rStyle w:val="FootnoteReference"/>
        </w:rPr>
        <w:footnoteReference w:id="50"/>
      </w:r>
      <w:r>
        <w:t xml:space="preserve">  No evidence is offered as to why this would change with competition from Waste Management.  </w:t>
      </w:r>
    </w:p>
    <w:p w:rsidR="00EA1162" w:rsidRDefault="00EA1162" w:rsidP="00B04472">
      <w:pPr>
        <w:numPr>
          <w:ilvl w:val="0"/>
          <w:numId w:val="27"/>
        </w:numPr>
        <w:spacing w:line="474" w:lineRule="exact"/>
        <w:ind w:left="0" w:right="86" w:firstLine="720"/>
        <w:jc w:val="both"/>
      </w:pPr>
      <w:r>
        <w:t xml:space="preserve">In short, the WRRA </w:t>
      </w:r>
      <w:r w:rsidR="00E20292">
        <w:t>Companies</w:t>
      </w:r>
      <w:r>
        <w:t xml:space="preserve"> cannot offer a statewide alternative to Stericycle to satisfy the generators’ need – hence they cannot provide service to the satisfaction of the Commission – and they have not established that competition from Waste Management will create a material risk to their economic viability.  </w:t>
      </w:r>
    </w:p>
    <w:p w:rsidR="00B04472" w:rsidRDefault="00B04472" w:rsidP="00B04472">
      <w:pPr>
        <w:pStyle w:val="Heading1"/>
        <w:spacing w:before="0" w:after="0" w:line="474" w:lineRule="exact"/>
      </w:pPr>
      <w:bookmarkStart w:id="11" w:name="_Toc353198535"/>
      <w:r>
        <w:lastRenderedPageBreak/>
        <w:t>CONCLUSION</w:t>
      </w:r>
      <w:bookmarkEnd w:id="11"/>
    </w:p>
    <w:p w:rsidR="00186046" w:rsidRDefault="00B05E6A" w:rsidP="00B04472">
      <w:pPr>
        <w:numPr>
          <w:ilvl w:val="0"/>
          <w:numId w:val="27"/>
        </w:numPr>
        <w:spacing w:line="474" w:lineRule="exact"/>
        <w:ind w:left="0" w:firstLine="720"/>
        <w:jc w:val="both"/>
      </w:pPr>
      <w:r>
        <w:t xml:space="preserve">The Commission should affirm the Initial Order Granting Application of Waste Management and deny the WRRA Petition.  The Initial Order correctly applied the statutory test set forth in RCW 81.77.040 in approving Waste Management’s </w:t>
      </w:r>
      <w:r w:rsidRPr="00B05E6A">
        <w:t>statewide extension</w:t>
      </w:r>
      <w:r w:rsidR="00A13343">
        <w:t>.  T</w:t>
      </w:r>
      <w:r>
        <w:t>he Commission</w:t>
      </w:r>
      <w:r w:rsidR="00A13343">
        <w:t xml:space="preserve"> properly exercised it</w:t>
      </w:r>
      <w:r>
        <w:t xml:space="preserve">s discretion to determine its satisfaction with currently-existing service offerings in responding to the legitimate needs of shippers for </w:t>
      </w:r>
      <w:r w:rsidRPr="00B05E6A">
        <w:t xml:space="preserve">specialized </w:t>
      </w:r>
      <w:r>
        <w:t xml:space="preserve">biomedical waste collection services.  </w:t>
      </w:r>
      <w:r w:rsidR="00A13343">
        <w:t>The Initial Order</w:t>
      </w:r>
      <w:r>
        <w:t xml:space="preserve"> does not establish a new or alarming standard for traditional solid waste</w:t>
      </w:r>
      <w:r w:rsidR="00D565E2">
        <w:t xml:space="preserve">.  </w:t>
      </w:r>
      <w:r w:rsidR="0010562F">
        <w:t>Although not necessary, t</w:t>
      </w:r>
      <w:r>
        <w:t xml:space="preserve">he Commission </w:t>
      </w:r>
      <w:r w:rsidR="0010562F">
        <w:t xml:space="preserve">nonetheless </w:t>
      </w:r>
      <w:r>
        <w:t xml:space="preserve">may choose to make the clarification </w:t>
      </w:r>
      <w:r w:rsidR="00D565E2">
        <w:t xml:space="preserve">sought by the WRRA Protestants in </w:t>
      </w:r>
      <w:r w:rsidR="00805F8B">
        <w:t>affirming</w:t>
      </w:r>
      <w:r w:rsidR="00D565E2">
        <w:t xml:space="preserve"> the Initial Order.  T</w:t>
      </w:r>
      <w:r w:rsidR="00E651D6">
        <w:t xml:space="preserve">o the extent the </w:t>
      </w:r>
      <w:r>
        <w:t xml:space="preserve">WRRA </w:t>
      </w:r>
      <w:r w:rsidR="00E651D6">
        <w:t xml:space="preserve">Protestants object to the Initial Order granting </w:t>
      </w:r>
      <w:r>
        <w:t>overlap with the individual WRRA Companies’ certificate rights</w:t>
      </w:r>
      <w:r w:rsidR="00E651D6">
        <w:t>, that objection</w:t>
      </w:r>
      <w:r>
        <w:t xml:space="preserve"> </w:t>
      </w:r>
      <w:r w:rsidR="00D565E2">
        <w:t>should be wholly denied</w:t>
      </w:r>
      <w:r>
        <w:t xml:space="preserve">, because </w:t>
      </w:r>
      <w:r w:rsidR="0010562F">
        <w:t>the WRRA Petition</w:t>
      </w:r>
      <w:r>
        <w:t xml:space="preserve"> </w:t>
      </w:r>
      <w:r w:rsidR="00D565E2">
        <w:t xml:space="preserve">failed to </w:t>
      </w:r>
      <w:r w:rsidR="00E651D6">
        <w:t xml:space="preserve">present any argument or </w:t>
      </w:r>
      <w:r w:rsidR="00D565E2">
        <w:t>provide</w:t>
      </w:r>
      <w:r>
        <w:t xml:space="preserve"> evidence </w:t>
      </w:r>
      <w:r w:rsidR="0010562F">
        <w:t xml:space="preserve">of negative impacts </w:t>
      </w:r>
      <w:r w:rsidR="00A13343">
        <w:t xml:space="preserve">to the WRRA Protestants’ </w:t>
      </w:r>
      <w:r w:rsidR="00D565E2">
        <w:t xml:space="preserve">economic viability that would in any way outweigh </w:t>
      </w:r>
      <w:r>
        <w:t>the public’s need for responsive service.</w:t>
      </w:r>
    </w:p>
    <w:p w:rsidR="009D4F7E" w:rsidRPr="00EA4CD6" w:rsidRDefault="009D4F7E" w:rsidP="009D4F7E">
      <w:pPr>
        <w:keepNext/>
        <w:suppressAutoHyphens/>
        <w:spacing w:line="480" w:lineRule="exact"/>
        <w:ind w:firstLine="720"/>
        <w:rPr>
          <w:spacing w:val="-3"/>
        </w:rPr>
      </w:pPr>
      <w:r w:rsidRPr="00EA4CD6">
        <w:rPr>
          <w:spacing w:val="-3"/>
        </w:rPr>
        <w:t xml:space="preserve">DATED this </w:t>
      </w:r>
      <w:r w:rsidR="00186046">
        <w:rPr>
          <w:spacing w:val="-3"/>
        </w:rPr>
        <w:t>8th</w:t>
      </w:r>
      <w:r w:rsidRPr="00EA4CD6">
        <w:rPr>
          <w:spacing w:val="-3"/>
        </w:rPr>
        <w:t xml:space="preserve"> day of </w:t>
      </w:r>
      <w:r w:rsidR="00F64C48" w:rsidRPr="00EA4CD6">
        <w:rPr>
          <w:spacing w:val="-3"/>
        </w:rPr>
        <w:fldChar w:fldCharType="begin"/>
      </w:r>
      <w:r w:rsidRPr="00EA4CD6">
        <w:rPr>
          <w:spacing w:val="-3"/>
        </w:rPr>
        <w:instrText xml:space="preserve"> DATE \@ "MMMM, yyyy" \* MERGEFORMAT </w:instrText>
      </w:r>
      <w:r w:rsidR="00F64C48" w:rsidRPr="00EA4CD6">
        <w:rPr>
          <w:spacing w:val="-3"/>
        </w:rPr>
        <w:fldChar w:fldCharType="separate"/>
      </w:r>
      <w:r w:rsidR="00486D38">
        <w:rPr>
          <w:noProof/>
          <w:spacing w:val="-3"/>
        </w:rPr>
        <w:t>April, 2013</w:t>
      </w:r>
      <w:r w:rsidR="00F64C48" w:rsidRPr="00EA4CD6">
        <w:rPr>
          <w:spacing w:val="-3"/>
        </w:rPr>
        <w:fldChar w:fldCharType="end"/>
      </w:r>
      <w:r w:rsidRPr="00EA4CD6">
        <w:rPr>
          <w:spacing w:val="-3"/>
        </w:rPr>
        <w:t>.</w:t>
      </w:r>
    </w:p>
    <w:p w:rsidR="009D4F7E" w:rsidRDefault="009D4F7E" w:rsidP="009D4F7E">
      <w:pPr>
        <w:keepNext/>
        <w:spacing w:line="240" w:lineRule="auto"/>
        <w:ind w:left="5040"/>
        <w:rPr>
          <w:spacing w:val="-3"/>
        </w:rPr>
      </w:pPr>
      <w:r>
        <w:rPr>
          <w:spacing w:val="-3"/>
        </w:rPr>
        <w:t>SUMMIT LAW GROUP PLLC</w:t>
      </w:r>
    </w:p>
    <w:p w:rsidR="009D4F7E" w:rsidRDefault="009D4F7E" w:rsidP="009D4F7E">
      <w:pPr>
        <w:keepNext/>
        <w:spacing w:line="240" w:lineRule="auto"/>
        <w:ind w:left="5040"/>
        <w:rPr>
          <w:spacing w:val="-3"/>
        </w:rPr>
      </w:pPr>
    </w:p>
    <w:p w:rsidR="009D4F7E" w:rsidRDefault="009D4F7E" w:rsidP="009D4F7E">
      <w:pPr>
        <w:keepNext/>
        <w:spacing w:line="240" w:lineRule="auto"/>
        <w:ind w:left="5040"/>
        <w:rPr>
          <w:spacing w:val="-3"/>
        </w:rPr>
      </w:pPr>
    </w:p>
    <w:p w:rsidR="009D4F7E" w:rsidRDefault="009D4F7E" w:rsidP="00B04472">
      <w:pPr>
        <w:keepNext/>
        <w:tabs>
          <w:tab w:val="right" w:pos="9720"/>
        </w:tabs>
        <w:spacing w:line="240" w:lineRule="auto"/>
        <w:ind w:left="5040"/>
        <w:rPr>
          <w:spacing w:val="-3"/>
        </w:rPr>
      </w:pPr>
      <w:r>
        <w:rPr>
          <w:spacing w:val="-3"/>
        </w:rPr>
        <w:t xml:space="preserve">By </w:t>
      </w:r>
      <w:r>
        <w:rPr>
          <w:spacing w:val="-3"/>
          <w:u w:val="single"/>
        </w:rPr>
        <w:tab/>
      </w:r>
    </w:p>
    <w:p w:rsidR="009D4F7E" w:rsidRDefault="009D4F7E" w:rsidP="009D4F7E">
      <w:pPr>
        <w:keepNext/>
        <w:spacing w:line="240" w:lineRule="auto"/>
        <w:ind w:left="5400"/>
        <w:rPr>
          <w:spacing w:val="-3"/>
        </w:rPr>
      </w:pPr>
      <w:r>
        <w:rPr>
          <w:spacing w:val="-3"/>
        </w:rPr>
        <w:t>Polly L. McNeill, WSBA #</w:t>
      </w:r>
      <w:r>
        <w:t>17437</w:t>
      </w:r>
    </w:p>
    <w:p w:rsidR="009D4F7E" w:rsidRDefault="009D4F7E" w:rsidP="009D4F7E">
      <w:pPr>
        <w:keepNext/>
        <w:spacing w:line="240" w:lineRule="auto"/>
        <w:ind w:left="5400"/>
        <w:rPr>
          <w:spacing w:val="-3"/>
        </w:rPr>
      </w:pPr>
      <w:r>
        <w:rPr>
          <w:spacing w:val="-3"/>
        </w:rPr>
        <w:t>Jessica L. Goldman, WSBA #21856</w:t>
      </w:r>
    </w:p>
    <w:p w:rsidR="009D4F7E" w:rsidRDefault="009D4F7E" w:rsidP="009D4F7E">
      <w:pPr>
        <w:keepNext/>
        <w:spacing w:line="240" w:lineRule="auto"/>
        <w:ind w:left="5400"/>
        <w:rPr>
          <w:szCs w:val="24"/>
        </w:rPr>
      </w:pPr>
      <w:r>
        <w:rPr>
          <w:szCs w:val="24"/>
        </w:rPr>
        <w:t>pollym@summitlaw.com</w:t>
      </w:r>
    </w:p>
    <w:p w:rsidR="009D4F7E" w:rsidRDefault="009D4F7E" w:rsidP="009D4F7E">
      <w:pPr>
        <w:keepNext/>
        <w:spacing w:after="120" w:line="240" w:lineRule="auto"/>
        <w:ind w:left="5400"/>
        <w:rPr>
          <w:szCs w:val="24"/>
        </w:rPr>
      </w:pPr>
      <w:r>
        <w:rPr>
          <w:szCs w:val="24"/>
        </w:rPr>
        <w:t>jessicag@summitlaw.com</w:t>
      </w:r>
    </w:p>
    <w:p w:rsidR="009D4F7E" w:rsidRPr="009E0822" w:rsidRDefault="009D4F7E" w:rsidP="009D4F7E">
      <w:pPr>
        <w:spacing w:line="240" w:lineRule="auto"/>
        <w:ind w:left="5400"/>
        <w:rPr>
          <w:i/>
          <w:szCs w:val="24"/>
        </w:rPr>
      </w:pPr>
      <w:r w:rsidRPr="009E0822">
        <w:rPr>
          <w:i/>
          <w:szCs w:val="24"/>
        </w:rPr>
        <w:t>Attorneys for Waste Management of Washington, Inc.</w:t>
      </w:r>
    </w:p>
    <w:p w:rsidR="009D4F7E" w:rsidRDefault="009D4F7E" w:rsidP="009E0822">
      <w:pPr>
        <w:spacing w:line="360" w:lineRule="exact"/>
      </w:pPr>
    </w:p>
    <w:p w:rsidR="009D4F7E" w:rsidRDefault="009D4F7E" w:rsidP="009E0822">
      <w:pPr>
        <w:spacing w:line="360" w:lineRule="exact"/>
      </w:pPr>
    </w:p>
    <w:p w:rsidR="009D4F7E" w:rsidRDefault="009D4F7E" w:rsidP="009E0822">
      <w:pPr>
        <w:spacing w:line="360" w:lineRule="exact"/>
      </w:pPr>
    </w:p>
    <w:p w:rsidR="009D4F7E" w:rsidRDefault="009D4F7E" w:rsidP="009E0822">
      <w:pPr>
        <w:spacing w:line="360" w:lineRule="exact"/>
      </w:pPr>
    </w:p>
    <w:p w:rsidR="002337DC" w:rsidRDefault="002337DC" w:rsidP="00555527">
      <w:pPr>
        <w:pStyle w:val="Heading1"/>
        <w:numPr>
          <w:ilvl w:val="0"/>
          <w:numId w:val="0"/>
        </w:numPr>
        <w:sectPr w:rsidR="002337DC" w:rsidSect="00CC3C85">
          <w:footerReference w:type="default" r:id="rId11"/>
          <w:pgSz w:w="12240" w:h="15840" w:code="1"/>
          <w:pgMar w:top="-1269" w:right="1260" w:bottom="720" w:left="1440" w:header="720" w:footer="203" w:gutter="0"/>
          <w:pgNumType w:start="1"/>
          <w:cols w:space="720"/>
        </w:sectPr>
      </w:pPr>
    </w:p>
    <w:p w:rsidR="00B04472" w:rsidRPr="00A6599A" w:rsidRDefault="00B04472" w:rsidP="00B04472">
      <w:pPr>
        <w:numPr>
          <w:ilvl w:val="1"/>
          <w:numId w:val="0"/>
        </w:numPr>
        <w:spacing w:after="120" w:line="240" w:lineRule="auto"/>
        <w:jc w:val="center"/>
        <w:outlineLvl w:val="0"/>
        <w:rPr>
          <w:b/>
          <w:iCs/>
          <w:szCs w:val="24"/>
        </w:rPr>
      </w:pPr>
      <w:bookmarkStart w:id="12" w:name="_Toc303756297"/>
      <w:bookmarkStart w:id="13" w:name="_Toc327428816"/>
      <w:bookmarkStart w:id="14" w:name="_Toc341699563"/>
      <w:bookmarkStart w:id="15" w:name="_Toc341699753"/>
      <w:bookmarkStart w:id="16" w:name="_Toc353188972"/>
      <w:bookmarkStart w:id="17" w:name="_Toc353198536"/>
      <w:r w:rsidRPr="00A6599A">
        <w:rPr>
          <w:b/>
          <w:iCs/>
          <w:szCs w:val="24"/>
        </w:rPr>
        <w:lastRenderedPageBreak/>
        <w:t>CERTIFICATE OF SERVICE</w:t>
      </w:r>
      <w:bookmarkEnd w:id="12"/>
      <w:bookmarkEnd w:id="13"/>
      <w:bookmarkEnd w:id="14"/>
      <w:bookmarkEnd w:id="15"/>
      <w:bookmarkEnd w:id="16"/>
      <w:bookmarkEnd w:id="17"/>
    </w:p>
    <w:p w:rsidR="00B04472" w:rsidRDefault="00B04472" w:rsidP="00B04472">
      <w:pPr>
        <w:spacing w:after="120" w:line="240" w:lineRule="auto"/>
        <w:ind w:firstLine="720"/>
        <w:rPr>
          <w:szCs w:val="24"/>
        </w:rPr>
      </w:pPr>
      <w:r w:rsidRPr="00A6599A">
        <w:t xml:space="preserve">I hereby certify that I have this day served this document upon all parties of record in this </w:t>
      </w:r>
      <w:r w:rsidRPr="00207FC2">
        <w:rPr>
          <w:szCs w:val="24"/>
        </w:rPr>
        <w:t>proceeding</w:t>
      </w:r>
      <w:r>
        <w:rPr>
          <w:szCs w:val="24"/>
        </w:rPr>
        <w:t xml:space="preserve">, by the method indicated below, </w:t>
      </w:r>
      <w:r w:rsidRPr="00207FC2">
        <w:rPr>
          <w:szCs w:val="24"/>
        </w:rPr>
        <w:t>pursuant to WAC 480-07-150.</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0"/>
        <w:gridCol w:w="3026"/>
      </w:tblGrid>
      <w:tr w:rsidR="00B04472" w:rsidRPr="00A6599A" w:rsidTr="00E93D1B">
        <w:tc>
          <w:tcPr>
            <w:tcW w:w="6230" w:type="dxa"/>
          </w:tcPr>
          <w:p w:rsidR="00B04472" w:rsidRPr="00F90CD0" w:rsidRDefault="00B04472" w:rsidP="00E93D1B">
            <w:pPr>
              <w:pStyle w:val="NormalWeb"/>
              <w:spacing w:line="240" w:lineRule="auto"/>
              <w:rPr>
                <w:color w:val="000000"/>
              </w:rPr>
            </w:pPr>
            <w:r w:rsidRPr="00F90CD0">
              <w:rPr>
                <w:color w:val="000000"/>
              </w:rPr>
              <w:t>Washington Utilities and Transportation Commission</w:t>
            </w:r>
          </w:p>
          <w:p w:rsidR="00B04472" w:rsidRPr="00F90CD0" w:rsidRDefault="00B04472" w:rsidP="00E93D1B">
            <w:pPr>
              <w:pStyle w:val="NormalWeb"/>
              <w:spacing w:line="240" w:lineRule="auto"/>
              <w:rPr>
                <w:color w:val="000000"/>
              </w:rPr>
            </w:pPr>
            <w:r w:rsidRPr="00F90CD0">
              <w:rPr>
                <w:color w:val="000000"/>
              </w:rPr>
              <w:t>1300 S. Evergreen Park Dr. SW</w:t>
            </w:r>
          </w:p>
          <w:p w:rsidR="00B04472" w:rsidRPr="00F90CD0" w:rsidRDefault="00B04472" w:rsidP="00E93D1B">
            <w:pPr>
              <w:pStyle w:val="NormalWeb"/>
              <w:spacing w:line="240" w:lineRule="auto"/>
              <w:rPr>
                <w:color w:val="000000"/>
              </w:rPr>
            </w:pPr>
            <w:r w:rsidRPr="00F90CD0">
              <w:rPr>
                <w:color w:val="000000"/>
              </w:rPr>
              <w:t>PO Box 47250</w:t>
            </w:r>
          </w:p>
          <w:p w:rsidR="00B04472" w:rsidRPr="00F90CD0" w:rsidRDefault="00B04472" w:rsidP="00E93D1B">
            <w:pPr>
              <w:pStyle w:val="NormalWeb"/>
              <w:spacing w:line="240" w:lineRule="auto"/>
              <w:rPr>
                <w:color w:val="000000"/>
              </w:rPr>
            </w:pPr>
            <w:r w:rsidRPr="00F90CD0">
              <w:rPr>
                <w:color w:val="000000"/>
              </w:rPr>
              <w:t>Olympia, WA  98504-7250</w:t>
            </w:r>
          </w:p>
          <w:p w:rsidR="00B04472" w:rsidRPr="00F90CD0" w:rsidRDefault="00B04472" w:rsidP="00E93D1B">
            <w:pPr>
              <w:pStyle w:val="NormalWeb"/>
              <w:spacing w:line="240" w:lineRule="auto"/>
              <w:rPr>
                <w:color w:val="000000"/>
              </w:rPr>
            </w:pPr>
            <w:r w:rsidRPr="00F90CD0">
              <w:rPr>
                <w:color w:val="000000"/>
              </w:rPr>
              <w:t>360-664-1160</w:t>
            </w:r>
          </w:p>
          <w:p w:rsidR="00B04472" w:rsidRPr="00F90CD0" w:rsidRDefault="00B04472" w:rsidP="00E93D1B">
            <w:pPr>
              <w:spacing w:line="240" w:lineRule="auto"/>
              <w:rPr>
                <w:color w:val="000000"/>
                <w:szCs w:val="24"/>
              </w:rPr>
            </w:pPr>
            <w:hyperlink r:id="rId12" w:history="1">
              <w:r w:rsidRPr="00F90CD0">
                <w:rPr>
                  <w:rStyle w:val="Hyperlink"/>
                  <w:color w:val="000000"/>
                  <w:u w:val="none"/>
                </w:rPr>
                <w:t>records@utc.wa.gov</w:t>
              </w:r>
            </w:hyperlink>
          </w:p>
        </w:tc>
        <w:tc>
          <w:tcPr>
            <w:tcW w:w="3026" w:type="dxa"/>
          </w:tcPr>
          <w:p w:rsidR="00B04472" w:rsidRPr="00A6599A" w:rsidRDefault="00B04472" w:rsidP="00E93D1B">
            <w:pPr>
              <w:spacing w:line="240" w:lineRule="auto"/>
            </w:pPr>
            <w:r w:rsidRPr="00A6599A">
              <w:sym w:font="Wingdings" w:char="F0A8"/>
            </w:r>
            <w:r w:rsidRPr="00A6599A">
              <w:t xml:space="preserve"> Via Legal Messenger</w:t>
            </w:r>
          </w:p>
          <w:p w:rsidR="00B04472" w:rsidRPr="00A6599A" w:rsidRDefault="00B04472" w:rsidP="00E93D1B">
            <w:pPr>
              <w:spacing w:line="240" w:lineRule="auto"/>
            </w:pPr>
            <w:r w:rsidRPr="00A6599A">
              <w:sym w:font="Wingdings" w:char="F0A8"/>
            </w:r>
            <w:r w:rsidRPr="00A6599A">
              <w:t xml:space="preserve"> Via Facsimile</w:t>
            </w:r>
          </w:p>
          <w:p w:rsidR="00B04472" w:rsidRPr="00A6599A" w:rsidRDefault="00B04472" w:rsidP="00E93D1B">
            <w:pPr>
              <w:spacing w:line="240" w:lineRule="auto"/>
            </w:pPr>
            <w:r w:rsidRPr="00A6599A">
              <w:sym w:font="Wingdings" w:char="F0FE"/>
            </w:r>
            <w:r w:rsidRPr="00A6599A">
              <w:t xml:space="preserve"> Via </w:t>
            </w:r>
            <w:r>
              <w:t>Federal Express</w:t>
            </w:r>
          </w:p>
          <w:p w:rsidR="00B04472" w:rsidRPr="00A6599A" w:rsidRDefault="00B04472" w:rsidP="00E93D1B">
            <w:pPr>
              <w:spacing w:line="240" w:lineRule="auto"/>
            </w:pPr>
            <w:r w:rsidRPr="00A6599A">
              <w:sym w:font="Wingdings" w:char="F0FE"/>
            </w:r>
            <w:r w:rsidRPr="00A6599A">
              <w:t xml:space="preserve"> Via Email</w:t>
            </w:r>
          </w:p>
        </w:tc>
      </w:tr>
      <w:tr w:rsidR="00B04472" w:rsidRPr="00A6599A" w:rsidTr="00E93D1B">
        <w:tc>
          <w:tcPr>
            <w:tcW w:w="6230" w:type="dxa"/>
          </w:tcPr>
          <w:p w:rsidR="00B04472" w:rsidRPr="00F90CD0" w:rsidRDefault="00B04472" w:rsidP="00E93D1B">
            <w:pPr>
              <w:spacing w:line="270" w:lineRule="exact"/>
              <w:rPr>
                <w:color w:val="000000"/>
                <w:spacing w:val="-3"/>
              </w:rPr>
            </w:pPr>
            <w:r w:rsidRPr="00F90CD0">
              <w:rPr>
                <w:color w:val="000000"/>
                <w:spacing w:val="-3"/>
              </w:rPr>
              <w:t>Gregory J. Kopta</w:t>
            </w:r>
          </w:p>
          <w:p w:rsidR="00B04472" w:rsidRPr="00F90CD0" w:rsidRDefault="00B04472" w:rsidP="00E93D1B">
            <w:pPr>
              <w:spacing w:line="270" w:lineRule="exact"/>
              <w:rPr>
                <w:color w:val="000000"/>
                <w:spacing w:val="-3"/>
              </w:rPr>
            </w:pPr>
            <w:r w:rsidRPr="00F90CD0">
              <w:rPr>
                <w:color w:val="000000"/>
                <w:spacing w:val="-3"/>
              </w:rPr>
              <w:t>Administrative Law Judge</w:t>
            </w:r>
          </w:p>
          <w:p w:rsidR="00B04472" w:rsidRPr="00F90CD0" w:rsidRDefault="00B04472" w:rsidP="00E93D1B">
            <w:pPr>
              <w:spacing w:line="270" w:lineRule="exact"/>
              <w:rPr>
                <w:color w:val="000000"/>
                <w:spacing w:val="-3"/>
              </w:rPr>
            </w:pPr>
            <w:r w:rsidRPr="00F90CD0">
              <w:rPr>
                <w:color w:val="000000"/>
              </w:rPr>
              <w:t>Washington Utilities and Transportation Commission</w:t>
            </w:r>
          </w:p>
          <w:p w:rsidR="00B04472" w:rsidRPr="00F90CD0" w:rsidRDefault="00B04472" w:rsidP="00E93D1B">
            <w:pPr>
              <w:spacing w:line="270" w:lineRule="exact"/>
              <w:rPr>
                <w:color w:val="000000"/>
                <w:spacing w:val="-3"/>
              </w:rPr>
            </w:pPr>
            <w:hyperlink r:id="rId13" w:history="1">
              <w:r w:rsidRPr="00F90CD0">
                <w:rPr>
                  <w:rStyle w:val="Hyperlink"/>
                  <w:color w:val="000000"/>
                  <w:spacing w:val="-3"/>
                  <w:u w:val="none"/>
                </w:rPr>
                <w:t>gkopta@utc.wa.gov</w:t>
              </w:r>
            </w:hyperlink>
          </w:p>
        </w:tc>
        <w:tc>
          <w:tcPr>
            <w:tcW w:w="3026" w:type="dxa"/>
          </w:tcPr>
          <w:p w:rsidR="00B04472" w:rsidRPr="00A6599A" w:rsidRDefault="00B04472" w:rsidP="00E93D1B">
            <w:pPr>
              <w:spacing w:line="240" w:lineRule="auto"/>
            </w:pPr>
            <w:r w:rsidRPr="00A6599A">
              <w:sym w:font="Wingdings" w:char="F0A8"/>
            </w:r>
            <w:r w:rsidRPr="00A6599A">
              <w:t xml:space="preserve"> Via Legal Messenger</w:t>
            </w:r>
          </w:p>
          <w:p w:rsidR="00B04472" w:rsidRPr="00A6599A" w:rsidRDefault="00B04472" w:rsidP="00E93D1B">
            <w:pPr>
              <w:spacing w:line="240" w:lineRule="auto"/>
            </w:pPr>
            <w:r w:rsidRPr="00A6599A">
              <w:sym w:font="Wingdings" w:char="F0A8"/>
            </w:r>
            <w:r w:rsidRPr="00A6599A">
              <w:t xml:space="preserve"> Via Facsimile</w:t>
            </w:r>
          </w:p>
          <w:p w:rsidR="00B04472" w:rsidRPr="00A6599A" w:rsidRDefault="00B04472" w:rsidP="00E93D1B">
            <w:pPr>
              <w:spacing w:line="240" w:lineRule="auto"/>
            </w:pPr>
            <w:r w:rsidRPr="00A6599A">
              <w:sym w:font="Wingdings" w:char="F0A8"/>
            </w:r>
            <w:r w:rsidRPr="00A6599A">
              <w:t xml:space="preserve"> Via U.S. Mail</w:t>
            </w:r>
          </w:p>
          <w:p w:rsidR="00B04472" w:rsidRPr="00A6599A" w:rsidRDefault="00B04472" w:rsidP="00E93D1B">
            <w:pPr>
              <w:spacing w:line="240" w:lineRule="auto"/>
            </w:pPr>
            <w:r w:rsidRPr="00A6599A">
              <w:sym w:font="Wingdings" w:char="F0FE"/>
            </w:r>
            <w:r w:rsidRPr="00A6599A">
              <w:t xml:space="preserve"> Via Email</w:t>
            </w:r>
          </w:p>
        </w:tc>
      </w:tr>
      <w:tr w:rsidR="00B04472" w:rsidRPr="00A6599A" w:rsidTr="00E93D1B">
        <w:tc>
          <w:tcPr>
            <w:tcW w:w="6230" w:type="dxa"/>
          </w:tcPr>
          <w:p w:rsidR="00B04472" w:rsidRDefault="00B04472" w:rsidP="00E93D1B">
            <w:pPr>
              <w:spacing w:line="270" w:lineRule="exact"/>
              <w:rPr>
                <w:spacing w:val="-3"/>
              </w:rPr>
            </w:pPr>
            <w:r>
              <w:rPr>
                <w:spacing w:val="-3"/>
              </w:rPr>
              <w:t>Steven W. Smith</w:t>
            </w:r>
          </w:p>
          <w:p w:rsidR="00B04472" w:rsidRDefault="00B04472" w:rsidP="00E93D1B">
            <w:pPr>
              <w:spacing w:line="270" w:lineRule="exact"/>
              <w:rPr>
                <w:spacing w:val="-3"/>
              </w:rPr>
            </w:pPr>
            <w:r>
              <w:rPr>
                <w:spacing w:val="-3"/>
              </w:rPr>
              <w:t>Assistant Attorney General</w:t>
            </w:r>
          </w:p>
          <w:p w:rsidR="00B04472" w:rsidRDefault="00B04472" w:rsidP="00E93D1B">
            <w:pPr>
              <w:spacing w:line="270" w:lineRule="exact"/>
              <w:rPr>
                <w:spacing w:val="-3"/>
              </w:rPr>
            </w:pPr>
            <w:r>
              <w:rPr>
                <w:spacing w:val="-3"/>
              </w:rPr>
              <w:t>PO Box 40128</w:t>
            </w:r>
          </w:p>
          <w:p w:rsidR="00B04472" w:rsidRDefault="00B04472" w:rsidP="00E93D1B">
            <w:pPr>
              <w:spacing w:line="270" w:lineRule="exact"/>
              <w:rPr>
                <w:spacing w:val="-3"/>
              </w:rPr>
            </w:pPr>
            <w:r>
              <w:rPr>
                <w:spacing w:val="-3"/>
              </w:rPr>
              <w:t>Olympia, WA  98504</w:t>
            </w:r>
          </w:p>
          <w:p w:rsidR="00B04472" w:rsidRDefault="00B04472" w:rsidP="00E93D1B">
            <w:pPr>
              <w:spacing w:line="270" w:lineRule="exact"/>
              <w:rPr>
                <w:spacing w:val="-3"/>
              </w:rPr>
            </w:pPr>
            <w:r>
              <w:rPr>
                <w:spacing w:val="-3"/>
              </w:rPr>
              <w:t>(360) 664-1225</w:t>
            </w:r>
          </w:p>
          <w:p w:rsidR="00B04472" w:rsidRDefault="00B04472" w:rsidP="00E93D1B">
            <w:pPr>
              <w:pStyle w:val="NormalWeb"/>
              <w:spacing w:line="240" w:lineRule="auto"/>
            </w:pPr>
            <w:r>
              <w:t>ssmith</w:t>
            </w:r>
            <w:r w:rsidRPr="00044321">
              <w:t>@utc.wa.gov</w:t>
            </w:r>
          </w:p>
          <w:p w:rsidR="00B04472" w:rsidRPr="00044321" w:rsidRDefault="00B04472" w:rsidP="00E93D1B">
            <w:pPr>
              <w:pStyle w:val="NormalWeb"/>
              <w:spacing w:line="240" w:lineRule="auto"/>
            </w:pPr>
            <w:r>
              <w:t>kgross</w:t>
            </w:r>
            <w:r w:rsidRPr="00CE7E40">
              <w:t>@utc.wa.gov</w:t>
            </w:r>
          </w:p>
        </w:tc>
        <w:tc>
          <w:tcPr>
            <w:tcW w:w="3026" w:type="dxa"/>
          </w:tcPr>
          <w:p w:rsidR="00B04472" w:rsidRPr="00A6599A" w:rsidRDefault="00B04472" w:rsidP="00E93D1B">
            <w:pPr>
              <w:spacing w:line="240" w:lineRule="auto"/>
            </w:pPr>
            <w:r w:rsidRPr="00A6599A">
              <w:sym w:font="Wingdings" w:char="F0A8"/>
            </w:r>
            <w:r w:rsidRPr="00A6599A">
              <w:t xml:space="preserve"> Via Legal Messenger</w:t>
            </w:r>
          </w:p>
          <w:p w:rsidR="00B04472" w:rsidRPr="00A6599A" w:rsidRDefault="00B04472" w:rsidP="00E93D1B">
            <w:pPr>
              <w:spacing w:line="240" w:lineRule="auto"/>
            </w:pPr>
            <w:r w:rsidRPr="00A6599A">
              <w:sym w:font="Wingdings" w:char="F0A8"/>
            </w:r>
            <w:r w:rsidRPr="00A6599A">
              <w:t xml:space="preserve"> Via Facsimile</w:t>
            </w:r>
          </w:p>
          <w:p w:rsidR="00B04472" w:rsidRPr="00A6599A" w:rsidRDefault="00B04472" w:rsidP="00E93D1B">
            <w:pPr>
              <w:spacing w:line="240" w:lineRule="auto"/>
            </w:pPr>
            <w:r w:rsidRPr="00A6599A">
              <w:sym w:font="Wingdings" w:char="F0A8"/>
            </w:r>
            <w:r w:rsidRPr="00A6599A">
              <w:t xml:space="preserve"> Via U.S. Mail</w:t>
            </w:r>
          </w:p>
          <w:p w:rsidR="00B04472" w:rsidRPr="00A6599A" w:rsidRDefault="00B04472" w:rsidP="00E93D1B">
            <w:pPr>
              <w:spacing w:line="240" w:lineRule="auto"/>
            </w:pPr>
            <w:r w:rsidRPr="00A6599A">
              <w:sym w:font="Wingdings" w:char="F0FE"/>
            </w:r>
            <w:r w:rsidRPr="00A6599A">
              <w:t xml:space="preserve"> Via Email</w:t>
            </w:r>
          </w:p>
        </w:tc>
      </w:tr>
      <w:tr w:rsidR="00B04472" w:rsidRPr="00A6599A" w:rsidTr="00E93D1B">
        <w:tc>
          <w:tcPr>
            <w:tcW w:w="6230" w:type="dxa"/>
          </w:tcPr>
          <w:p w:rsidR="00B04472" w:rsidRDefault="00B04472" w:rsidP="00E93D1B">
            <w:pPr>
              <w:spacing w:line="240" w:lineRule="auto"/>
              <w:rPr>
                <w:szCs w:val="24"/>
              </w:rPr>
            </w:pPr>
            <w:r>
              <w:rPr>
                <w:szCs w:val="24"/>
              </w:rPr>
              <w:t>Stephen B. Johnson</w:t>
            </w:r>
          </w:p>
          <w:p w:rsidR="00B04472" w:rsidRDefault="00B04472" w:rsidP="00E93D1B">
            <w:pPr>
              <w:spacing w:line="240" w:lineRule="auto"/>
              <w:rPr>
                <w:szCs w:val="24"/>
              </w:rPr>
            </w:pPr>
            <w:r>
              <w:rPr>
                <w:szCs w:val="24"/>
              </w:rPr>
              <w:t>Jared Van Kirk</w:t>
            </w:r>
          </w:p>
          <w:p w:rsidR="00B04472" w:rsidRDefault="00B04472" w:rsidP="00E93D1B">
            <w:pPr>
              <w:spacing w:line="240" w:lineRule="auto"/>
              <w:rPr>
                <w:szCs w:val="24"/>
              </w:rPr>
            </w:pPr>
            <w:r>
              <w:rPr>
                <w:szCs w:val="24"/>
              </w:rPr>
              <w:t>Garvey Schubert Barer</w:t>
            </w:r>
          </w:p>
          <w:p w:rsidR="00B04472" w:rsidRDefault="00B04472" w:rsidP="00E93D1B">
            <w:pPr>
              <w:spacing w:line="240" w:lineRule="auto"/>
              <w:rPr>
                <w:szCs w:val="24"/>
              </w:rPr>
            </w:pPr>
            <w:r>
              <w:rPr>
                <w:szCs w:val="24"/>
              </w:rPr>
              <w:t>1191 Second Avenue, Suite 1800</w:t>
            </w:r>
          </w:p>
          <w:p w:rsidR="00B04472" w:rsidRDefault="00B04472" w:rsidP="00E93D1B">
            <w:pPr>
              <w:spacing w:line="240" w:lineRule="auto"/>
              <w:rPr>
                <w:szCs w:val="24"/>
              </w:rPr>
            </w:pPr>
            <w:r>
              <w:rPr>
                <w:szCs w:val="24"/>
              </w:rPr>
              <w:t>Seattle, WA  98101</w:t>
            </w:r>
          </w:p>
          <w:p w:rsidR="00B04472" w:rsidRDefault="00B04472" w:rsidP="00E93D1B">
            <w:pPr>
              <w:spacing w:line="240" w:lineRule="auto"/>
              <w:rPr>
                <w:szCs w:val="24"/>
              </w:rPr>
            </w:pPr>
            <w:r>
              <w:rPr>
                <w:szCs w:val="24"/>
              </w:rPr>
              <w:t>(206) 464-3939</w:t>
            </w:r>
          </w:p>
          <w:p w:rsidR="00B04472" w:rsidRDefault="00B04472" w:rsidP="00E93D1B">
            <w:pPr>
              <w:spacing w:line="240" w:lineRule="auto"/>
              <w:rPr>
                <w:szCs w:val="24"/>
              </w:rPr>
            </w:pPr>
            <w:r>
              <w:rPr>
                <w:szCs w:val="24"/>
              </w:rPr>
              <w:t>sjohnson@gsblaw.com</w:t>
            </w:r>
          </w:p>
          <w:p w:rsidR="00B04472" w:rsidRDefault="00B04472" w:rsidP="00E93D1B">
            <w:pPr>
              <w:spacing w:line="240" w:lineRule="auto"/>
              <w:rPr>
                <w:szCs w:val="24"/>
              </w:rPr>
            </w:pPr>
            <w:r w:rsidRPr="00DE66CB">
              <w:rPr>
                <w:szCs w:val="24"/>
              </w:rPr>
              <w:t>jvankirk@gsblaw.com</w:t>
            </w:r>
          </w:p>
          <w:p w:rsidR="00B04472" w:rsidRDefault="00B04472" w:rsidP="00E93D1B">
            <w:pPr>
              <w:spacing w:line="270" w:lineRule="exact"/>
              <w:rPr>
                <w:szCs w:val="24"/>
              </w:rPr>
            </w:pPr>
            <w:r>
              <w:rPr>
                <w:szCs w:val="24"/>
              </w:rPr>
              <w:t>vowen@gsblaw.com</w:t>
            </w:r>
          </w:p>
          <w:p w:rsidR="00B04472" w:rsidRPr="00044321" w:rsidRDefault="00B04472" w:rsidP="00E93D1B">
            <w:pPr>
              <w:spacing w:line="270" w:lineRule="exact"/>
              <w:rPr>
                <w:szCs w:val="24"/>
              </w:rPr>
            </w:pPr>
            <w:r w:rsidRPr="00044321">
              <w:rPr>
                <w:szCs w:val="24"/>
              </w:rPr>
              <w:t>dbarrientes@gsblaw.com</w:t>
            </w:r>
          </w:p>
          <w:p w:rsidR="00B04472" w:rsidRPr="000C6053" w:rsidRDefault="00B04472" w:rsidP="00E93D1B">
            <w:pPr>
              <w:spacing w:line="240" w:lineRule="auto"/>
              <w:rPr>
                <w:i/>
                <w:szCs w:val="24"/>
              </w:rPr>
            </w:pPr>
            <w:r w:rsidRPr="000C6053">
              <w:rPr>
                <w:i/>
                <w:szCs w:val="24"/>
              </w:rPr>
              <w:t>Attorneys for Stericycle of Washington, Inc.</w:t>
            </w:r>
          </w:p>
        </w:tc>
        <w:tc>
          <w:tcPr>
            <w:tcW w:w="3026" w:type="dxa"/>
          </w:tcPr>
          <w:p w:rsidR="00B04472" w:rsidRPr="00A6599A" w:rsidRDefault="00B04472" w:rsidP="00E93D1B">
            <w:pPr>
              <w:spacing w:line="240" w:lineRule="auto"/>
            </w:pPr>
            <w:r w:rsidRPr="00A6599A">
              <w:sym w:font="Wingdings" w:char="F0A8"/>
            </w:r>
            <w:r w:rsidRPr="00A6599A">
              <w:t xml:space="preserve"> Via Legal Messenger</w:t>
            </w:r>
          </w:p>
          <w:p w:rsidR="00B04472" w:rsidRPr="00A6599A" w:rsidRDefault="00B04472" w:rsidP="00E93D1B">
            <w:pPr>
              <w:spacing w:line="240" w:lineRule="auto"/>
            </w:pPr>
            <w:r w:rsidRPr="00A6599A">
              <w:sym w:font="Wingdings" w:char="F0A8"/>
            </w:r>
            <w:r w:rsidRPr="00A6599A">
              <w:t xml:space="preserve"> Via Facsimile</w:t>
            </w:r>
          </w:p>
          <w:p w:rsidR="00B04472" w:rsidRPr="00A6599A" w:rsidRDefault="00B04472" w:rsidP="00E93D1B">
            <w:pPr>
              <w:spacing w:line="240" w:lineRule="auto"/>
            </w:pPr>
            <w:r w:rsidRPr="00A6599A">
              <w:sym w:font="Wingdings" w:char="F0A8"/>
            </w:r>
            <w:r w:rsidRPr="00A6599A">
              <w:t xml:space="preserve"> Via U.S. Mail</w:t>
            </w:r>
          </w:p>
          <w:p w:rsidR="00B04472" w:rsidRPr="00A6599A" w:rsidRDefault="00B04472" w:rsidP="00E93D1B">
            <w:pPr>
              <w:spacing w:line="240" w:lineRule="auto"/>
            </w:pPr>
            <w:r w:rsidRPr="00A6599A">
              <w:sym w:font="Wingdings" w:char="F0FE"/>
            </w:r>
            <w:r>
              <w:t xml:space="preserve"> Via Email</w:t>
            </w:r>
          </w:p>
        </w:tc>
      </w:tr>
      <w:tr w:rsidR="00B04472" w:rsidRPr="00A6599A" w:rsidTr="00E93D1B">
        <w:tc>
          <w:tcPr>
            <w:tcW w:w="6230" w:type="dxa"/>
          </w:tcPr>
          <w:p w:rsidR="00B04472" w:rsidRDefault="00B04472" w:rsidP="00E93D1B">
            <w:pPr>
              <w:spacing w:line="240" w:lineRule="auto"/>
              <w:rPr>
                <w:szCs w:val="24"/>
              </w:rPr>
            </w:pPr>
            <w:r>
              <w:rPr>
                <w:szCs w:val="24"/>
              </w:rPr>
              <w:t>James K. Sells</w:t>
            </w:r>
          </w:p>
          <w:p w:rsidR="00B04472" w:rsidRDefault="00B04472" w:rsidP="00E93D1B">
            <w:pPr>
              <w:spacing w:line="240" w:lineRule="auto"/>
              <w:rPr>
                <w:szCs w:val="24"/>
              </w:rPr>
            </w:pPr>
            <w:r>
              <w:rPr>
                <w:szCs w:val="24"/>
              </w:rPr>
              <w:t>3110 Judson Street</w:t>
            </w:r>
          </w:p>
          <w:p w:rsidR="00B04472" w:rsidRDefault="00B04472" w:rsidP="00E93D1B">
            <w:pPr>
              <w:spacing w:line="240" w:lineRule="auto"/>
              <w:rPr>
                <w:szCs w:val="24"/>
              </w:rPr>
            </w:pPr>
            <w:r>
              <w:rPr>
                <w:szCs w:val="24"/>
              </w:rPr>
              <w:t>Gig Harbor, WA  98335</w:t>
            </w:r>
          </w:p>
          <w:p w:rsidR="00B04472" w:rsidRDefault="00B04472" w:rsidP="00E93D1B">
            <w:pPr>
              <w:spacing w:line="240" w:lineRule="auto"/>
              <w:rPr>
                <w:szCs w:val="24"/>
              </w:rPr>
            </w:pPr>
            <w:r>
              <w:rPr>
                <w:szCs w:val="24"/>
              </w:rPr>
              <w:t>(360) 981-0168</w:t>
            </w:r>
          </w:p>
          <w:p w:rsidR="00B04472" w:rsidRDefault="00B04472" w:rsidP="00E93D1B">
            <w:pPr>
              <w:spacing w:line="240" w:lineRule="auto"/>
              <w:rPr>
                <w:szCs w:val="24"/>
              </w:rPr>
            </w:pPr>
            <w:r>
              <w:rPr>
                <w:szCs w:val="24"/>
              </w:rPr>
              <w:t>jamessells@comcast.net</w:t>
            </w:r>
          </w:p>
          <w:p w:rsidR="00B04472" w:rsidRDefault="00B04472" w:rsidP="00E93D1B">
            <w:pPr>
              <w:spacing w:line="240" w:lineRule="auto"/>
              <w:rPr>
                <w:szCs w:val="24"/>
              </w:rPr>
            </w:pPr>
            <w:r>
              <w:rPr>
                <w:szCs w:val="24"/>
              </w:rPr>
              <w:t>cheryls@rsulaw.com</w:t>
            </w:r>
          </w:p>
          <w:p w:rsidR="00B04472" w:rsidRDefault="00B04472" w:rsidP="00E93D1B">
            <w:pPr>
              <w:spacing w:line="240" w:lineRule="auto"/>
              <w:rPr>
                <w:szCs w:val="24"/>
              </w:rPr>
            </w:pPr>
          </w:p>
          <w:p w:rsidR="00B04472" w:rsidRDefault="00B04472" w:rsidP="00E93D1B">
            <w:pPr>
              <w:spacing w:line="240" w:lineRule="auto"/>
              <w:rPr>
                <w:szCs w:val="24"/>
              </w:rPr>
            </w:pPr>
            <w:r>
              <w:rPr>
                <w:szCs w:val="24"/>
              </w:rPr>
              <w:t>David W. Wiley</w:t>
            </w:r>
          </w:p>
          <w:p w:rsidR="00B04472" w:rsidRDefault="00B04472" w:rsidP="00E93D1B">
            <w:pPr>
              <w:spacing w:line="240" w:lineRule="auto"/>
              <w:rPr>
                <w:szCs w:val="24"/>
              </w:rPr>
            </w:pPr>
            <w:r>
              <w:rPr>
                <w:szCs w:val="24"/>
              </w:rPr>
              <w:t>Williams, Kastner &amp; Gibbs PLLC</w:t>
            </w:r>
          </w:p>
          <w:p w:rsidR="00B04472" w:rsidRDefault="00B04472" w:rsidP="00E93D1B">
            <w:pPr>
              <w:spacing w:line="240" w:lineRule="auto"/>
              <w:rPr>
                <w:szCs w:val="24"/>
              </w:rPr>
            </w:pPr>
            <w:r>
              <w:rPr>
                <w:szCs w:val="24"/>
              </w:rPr>
              <w:t>601 Union Street, Suite 4100</w:t>
            </w:r>
          </w:p>
          <w:p w:rsidR="00B04472" w:rsidRDefault="00B04472" w:rsidP="00E93D1B">
            <w:pPr>
              <w:spacing w:line="240" w:lineRule="auto"/>
              <w:rPr>
                <w:szCs w:val="24"/>
              </w:rPr>
            </w:pPr>
            <w:r>
              <w:rPr>
                <w:szCs w:val="24"/>
              </w:rPr>
              <w:t>Seattle, WA  98101</w:t>
            </w:r>
          </w:p>
          <w:p w:rsidR="00B04472" w:rsidRDefault="00B04472" w:rsidP="00E93D1B">
            <w:pPr>
              <w:spacing w:line="240" w:lineRule="auto"/>
              <w:rPr>
                <w:szCs w:val="24"/>
              </w:rPr>
            </w:pPr>
            <w:r>
              <w:rPr>
                <w:szCs w:val="24"/>
              </w:rPr>
              <w:t>dwiley@williamskastner.com</w:t>
            </w:r>
          </w:p>
          <w:p w:rsidR="00B04472" w:rsidRDefault="00B04472" w:rsidP="00E93D1B">
            <w:pPr>
              <w:spacing w:line="240" w:lineRule="auto"/>
              <w:rPr>
                <w:szCs w:val="24"/>
              </w:rPr>
            </w:pPr>
            <w:r>
              <w:rPr>
                <w:szCs w:val="24"/>
              </w:rPr>
              <w:t>ltaylor@williamskastner.com</w:t>
            </w:r>
          </w:p>
          <w:p w:rsidR="00B04472" w:rsidRPr="000C6053" w:rsidRDefault="00B04472" w:rsidP="00E93D1B">
            <w:pPr>
              <w:spacing w:line="240" w:lineRule="auto"/>
              <w:rPr>
                <w:i/>
                <w:szCs w:val="24"/>
              </w:rPr>
            </w:pPr>
            <w:r w:rsidRPr="000C6053">
              <w:rPr>
                <w:i/>
                <w:szCs w:val="24"/>
              </w:rPr>
              <w:t>Attorney for Protestant WRRA, Rubatino, Consolidated, Murrey</w:t>
            </w:r>
            <w:r>
              <w:rPr>
                <w:i/>
                <w:szCs w:val="24"/>
              </w:rPr>
              <w:t>’</w:t>
            </w:r>
            <w:r w:rsidRPr="000C6053">
              <w:rPr>
                <w:i/>
                <w:szCs w:val="24"/>
              </w:rPr>
              <w:t>s, and Pullman</w:t>
            </w:r>
          </w:p>
        </w:tc>
        <w:tc>
          <w:tcPr>
            <w:tcW w:w="3026" w:type="dxa"/>
          </w:tcPr>
          <w:p w:rsidR="00B04472" w:rsidRPr="00A6599A" w:rsidRDefault="00B04472" w:rsidP="00E93D1B">
            <w:pPr>
              <w:spacing w:line="240" w:lineRule="auto"/>
            </w:pPr>
            <w:r w:rsidRPr="00A6599A">
              <w:sym w:font="Wingdings" w:char="F0A8"/>
            </w:r>
            <w:r w:rsidRPr="00A6599A">
              <w:t xml:space="preserve"> Via Legal Messenger</w:t>
            </w:r>
          </w:p>
          <w:p w:rsidR="00B04472" w:rsidRPr="00A6599A" w:rsidRDefault="00B04472" w:rsidP="00E93D1B">
            <w:pPr>
              <w:spacing w:line="240" w:lineRule="auto"/>
            </w:pPr>
            <w:r w:rsidRPr="00A6599A">
              <w:sym w:font="Wingdings" w:char="F0A8"/>
            </w:r>
            <w:r w:rsidRPr="00A6599A">
              <w:t xml:space="preserve"> Via Facsimile</w:t>
            </w:r>
          </w:p>
          <w:p w:rsidR="00B04472" w:rsidRPr="00A6599A" w:rsidRDefault="00B04472" w:rsidP="00E93D1B">
            <w:pPr>
              <w:spacing w:line="240" w:lineRule="auto"/>
            </w:pPr>
            <w:r w:rsidRPr="00A6599A">
              <w:sym w:font="Wingdings" w:char="F0A8"/>
            </w:r>
            <w:r w:rsidRPr="00A6599A">
              <w:t xml:space="preserve"> Via U.S. Mail</w:t>
            </w:r>
          </w:p>
          <w:p w:rsidR="00B04472" w:rsidRDefault="00B04472" w:rsidP="00E93D1B">
            <w:pPr>
              <w:spacing w:line="240" w:lineRule="auto"/>
            </w:pPr>
            <w:r w:rsidRPr="00A6599A">
              <w:sym w:font="Wingdings" w:char="F0FE"/>
            </w:r>
            <w:r w:rsidRPr="00A6599A">
              <w:t xml:space="preserve"> Via Email</w:t>
            </w:r>
          </w:p>
          <w:p w:rsidR="00B04472" w:rsidRDefault="00B04472" w:rsidP="00E93D1B">
            <w:pPr>
              <w:spacing w:line="240" w:lineRule="auto"/>
            </w:pPr>
          </w:p>
          <w:p w:rsidR="00B04472" w:rsidRDefault="00B04472" w:rsidP="00E93D1B">
            <w:pPr>
              <w:spacing w:line="240" w:lineRule="auto"/>
            </w:pPr>
          </w:p>
          <w:p w:rsidR="00B04472" w:rsidRDefault="00B04472" w:rsidP="00E93D1B">
            <w:pPr>
              <w:spacing w:line="240" w:lineRule="auto"/>
            </w:pPr>
          </w:p>
          <w:p w:rsidR="00B04472" w:rsidRDefault="00B04472" w:rsidP="00E93D1B">
            <w:pPr>
              <w:spacing w:line="240" w:lineRule="auto"/>
            </w:pPr>
            <w:r>
              <w:sym w:font="Wingdings" w:char="00A8"/>
            </w:r>
            <w:r>
              <w:t xml:space="preserve"> Via Legal Messenger</w:t>
            </w:r>
          </w:p>
          <w:p w:rsidR="00B04472" w:rsidRDefault="00B04472" w:rsidP="00E93D1B">
            <w:pPr>
              <w:spacing w:line="240" w:lineRule="auto"/>
            </w:pPr>
            <w:r>
              <w:sym w:font="Wingdings" w:char="00A8"/>
            </w:r>
            <w:r>
              <w:t xml:space="preserve"> Via Facsimile</w:t>
            </w:r>
          </w:p>
          <w:p w:rsidR="00B04472" w:rsidRDefault="00B04472" w:rsidP="00E93D1B">
            <w:pPr>
              <w:spacing w:line="240" w:lineRule="auto"/>
            </w:pPr>
            <w:r>
              <w:sym w:font="Wingdings" w:char="00A8"/>
            </w:r>
            <w:r>
              <w:t xml:space="preserve"> Via U.S. Mail</w:t>
            </w:r>
          </w:p>
          <w:p w:rsidR="00B04472" w:rsidRPr="00A6599A" w:rsidRDefault="00B04472" w:rsidP="00E93D1B">
            <w:pPr>
              <w:spacing w:line="240" w:lineRule="auto"/>
            </w:pPr>
            <w:r>
              <w:sym w:font="Wingdings" w:char="00FE"/>
            </w:r>
            <w:r>
              <w:t xml:space="preserve"> Via Email</w:t>
            </w:r>
          </w:p>
        </w:tc>
      </w:tr>
    </w:tbl>
    <w:p w:rsidR="00B04472" w:rsidRPr="00EA4CD6" w:rsidRDefault="00B04472" w:rsidP="00B04472">
      <w:pPr>
        <w:keepNext/>
        <w:suppressAutoHyphens/>
        <w:spacing w:before="240" w:line="480" w:lineRule="exact"/>
        <w:ind w:firstLine="720"/>
        <w:rPr>
          <w:spacing w:val="-3"/>
        </w:rPr>
      </w:pPr>
      <w:r>
        <w:rPr>
          <w:szCs w:val="24"/>
        </w:rPr>
        <w:t>D</w:t>
      </w:r>
      <w:r w:rsidRPr="00207FC2">
        <w:rPr>
          <w:szCs w:val="24"/>
        </w:rPr>
        <w:t>ATED at Seattle</w:t>
      </w:r>
      <w:r w:rsidRPr="00A6599A">
        <w:t xml:space="preserve">, Washington, this </w:t>
      </w:r>
      <w:r w:rsidRPr="00EA4CD6">
        <w:rPr>
          <w:spacing w:val="-3"/>
        </w:rPr>
        <w:fldChar w:fldCharType="begin"/>
      </w:r>
      <w:r w:rsidRPr="00EA4CD6">
        <w:rPr>
          <w:spacing w:val="-3"/>
        </w:rPr>
        <w:instrText xml:space="preserve"> DATE \@ "d" \* Ordinal \* MERGEFORMAT </w:instrText>
      </w:r>
      <w:r w:rsidRPr="00EA4CD6">
        <w:rPr>
          <w:spacing w:val="-3"/>
        </w:rPr>
        <w:fldChar w:fldCharType="separate"/>
      </w:r>
      <w:r w:rsidR="00486D38">
        <w:rPr>
          <w:noProof/>
          <w:spacing w:val="-3"/>
        </w:rPr>
        <w:t>8th</w:t>
      </w:r>
      <w:r w:rsidRPr="00EA4CD6">
        <w:rPr>
          <w:spacing w:val="-3"/>
        </w:rPr>
        <w:fldChar w:fldCharType="end"/>
      </w:r>
      <w:r w:rsidRPr="00EA4CD6">
        <w:rPr>
          <w:spacing w:val="-3"/>
        </w:rPr>
        <w:t xml:space="preserve"> day of </w:t>
      </w:r>
      <w:r w:rsidRPr="00EA4CD6">
        <w:rPr>
          <w:spacing w:val="-3"/>
        </w:rPr>
        <w:fldChar w:fldCharType="begin"/>
      </w:r>
      <w:r w:rsidRPr="00EA4CD6">
        <w:rPr>
          <w:spacing w:val="-3"/>
        </w:rPr>
        <w:instrText xml:space="preserve"> DATE \@ "MMMM, yyyy" \* MERGEFORMAT </w:instrText>
      </w:r>
      <w:r w:rsidRPr="00EA4CD6">
        <w:rPr>
          <w:spacing w:val="-3"/>
        </w:rPr>
        <w:fldChar w:fldCharType="separate"/>
      </w:r>
      <w:r w:rsidR="00486D38">
        <w:rPr>
          <w:noProof/>
          <w:spacing w:val="-3"/>
        </w:rPr>
        <w:t>April, 2013</w:t>
      </w:r>
      <w:r w:rsidRPr="00EA4CD6">
        <w:rPr>
          <w:spacing w:val="-3"/>
        </w:rPr>
        <w:fldChar w:fldCharType="end"/>
      </w:r>
      <w:r w:rsidRPr="00EA4CD6">
        <w:rPr>
          <w:spacing w:val="-3"/>
        </w:rPr>
        <w:t>.</w:t>
      </w:r>
    </w:p>
    <w:p w:rsidR="00B04472" w:rsidRDefault="00B04472" w:rsidP="00B04472">
      <w:pPr>
        <w:spacing w:line="240" w:lineRule="auto"/>
        <w:ind w:firstLine="720"/>
      </w:pPr>
    </w:p>
    <w:p w:rsidR="00B04472" w:rsidRPr="00A6599A" w:rsidRDefault="00B04472" w:rsidP="00B04472">
      <w:pPr>
        <w:tabs>
          <w:tab w:val="right" w:pos="9270"/>
        </w:tabs>
        <w:spacing w:line="240" w:lineRule="auto"/>
        <w:ind w:left="5040"/>
      </w:pPr>
      <w:r w:rsidRPr="00A6599A">
        <w:rPr>
          <w:u w:val="single"/>
        </w:rPr>
        <w:tab/>
      </w:r>
      <w:r w:rsidRPr="00A6599A">
        <w:rPr>
          <w:u w:val="single"/>
        </w:rPr>
        <w:tab/>
      </w:r>
    </w:p>
    <w:p w:rsidR="00B04472" w:rsidRDefault="00B04472" w:rsidP="00B04472">
      <w:pPr>
        <w:spacing w:line="240" w:lineRule="auto"/>
        <w:ind w:left="5073"/>
        <w:rPr>
          <w:spacing w:val="-3"/>
          <w:szCs w:val="24"/>
        </w:rPr>
      </w:pPr>
      <w:r>
        <w:rPr>
          <w:spacing w:val="-3"/>
          <w:szCs w:val="24"/>
        </w:rPr>
        <w:t>Deanna L. Schow</w:t>
      </w:r>
    </w:p>
    <w:p w:rsidR="006405CA" w:rsidRDefault="006405CA" w:rsidP="00B04472">
      <w:pPr>
        <w:numPr>
          <w:ilvl w:val="1"/>
          <w:numId w:val="0"/>
        </w:numPr>
        <w:spacing w:line="480" w:lineRule="exact"/>
        <w:jc w:val="center"/>
        <w:outlineLvl w:val="0"/>
        <w:rPr>
          <w:spacing w:val="-3"/>
          <w:szCs w:val="24"/>
        </w:rPr>
      </w:pPr>
    </w:p>
    <w:sectPr w:rsidR="006405CA" w:rsidSect="009D4F7E">
      <w:pgSz w:w="12240" w:h="15840" w:code="1"/>
      <w:pgMar w:top="-1269" w:right="1170" w:bottom="720" w:left="1440" w:header="720" w:footer="203"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52E" w:rsidRDefault="00F9552E">
      <w:pPr>
        <w:spacing w:line="240" w:lineRule="auto"/>
      </w:pPr>
      <w:r>
        <w:separator/>
      </w:r>
    </w:p>
  </w:endnote>
  <w:endnote w:type="continuationSeparator" w:id="0">
    <w:p w:rsidR="00F9552E" w:rsidRDefault="00F9552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New Roman Bold">
    <w:altName w:val="Times"/>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45" w:type="dxa"/>
      <w:tblLayout w:type="fixed"/>
      <w:tblCellMar>
        <w:left w:w="115" w:type="dxa"/>
        <w:right w:w="115" w:type="dxa"/>
      </w:tblCellMar>
      <w:tblLook w:val="0000"/>
    </w:tblPr>
    <w:tblGrid>
      <w:gridCol w:w="5155"/>
      <w:gridCol w:w="900"/>
      <w:gridCol w:w="3690"/>
    </w:tblGrid>
    <w:tr w:rsidR="00F9552E" w:rsidTr="00675DCD">
      <w:trPr>
        <w:cantSplit/>
        <w:trHeight w:hRule="exact" w:val="936"/>
      </w:trPr>
      <w:tc>
        <w:tcPr>
          <w:tcW w:w="5155" w:type="dxa"/>
        </w:tcPr>
        <w:p w:rsidR="00F9552E" w:rsidRDefault="00F9552E" w:rsidP="00CC3C85">
          <w:pPr>
            <w:spacing w:line="240" w:lineRule="auto"/>
            <w:rPr>
              <w:sz w:val="20"/>
            </w:rPr>
          </w:pPr>
          <w:r>
            <w:rPr>
              <w:sz w:val="20"/>
            </w:rPr>
            <w:t>WASTE MANAGEMENT’S ANSWER TO WRRA PETITION F</w:t>
          </w:r>
          <w:r w:rsidR="00CC3C85">
            <w:rPr>
              <w:sz w:val="20"/>
            </w:rPr>
            <w:t>OR ADMINISTRATIVE REVIEW</w:t>
          </w:r>
        </w:p>
      </w:tc>
      <w:tc>
        <w:tcPr>
          <w:tcW w:w="900" w:type="dxa"/>
        </w:tcPr>
        <w:p w:rsidR="00F9552E" w:rsidRDefault="00F9552E" w:rsidP="00EB4013"/>
      </w:tc>
      <w:tc>
        <w:tcPr>
          <w:tcW w:w="3690" w:type="dxa"/>
        </w:tcPr>
        <w:p w:rsidR="00F9552E" w:rsidRDefault="00F9552E" w:rsidP="00D82D05">
          <w:pPr>
            <w:pStyle w:val="FirmName"/>
            <w:spacing w:line="240" w:lineRule="auto"/>
            <w:rPr>
              <w:rFonts w:ascii="Garamond" w:hAnsi="Garamond"/>
              <w:smallCaps/>
              <w:sz w:val="28"/>
            </w:rPr>
          </w:pPr>
          <w:r>
            <w:rPr>
              <w:rFonts w:ascii="Garamond" w:hAnsi="Garamond"/>
              <w:smallCaps/>
              <w:sz w:val="28"/>
            </w:rPr>
            <w:t>Summit Law Group pllc</w:t>
          </w:r>
        </w:p>
        <w:p w:rsidR="00F9552E" w:rsidRDefault="00F9552E" w:rsidP="00D82D05">
          <w:pPr>
            <w:pStyle w:val="FirmName"/>
            <w:spacing w:line="160" w:lineRule="exact"/>
            <w:rPr>
              <w:rFonts w:ascii="Garamond" w:hAnsi="Garamond"/>
              <w:smallCaps/>
              <w:sz w:val="16"/>
            </w:rPr>
          </w:pPr>
          <w:smartTag w:uri="urn:schemas-microsoft-com:office:smarttags" w:element="Street">
            <w:smartTag w:uri="urn:schemas-microsoft-com:office:smarttags" w:element="address">
              <w:r>
                <w:rPr>
                  <w:rFonts w:ascii="Garamond" w:hAnsi="Garamond"/>
                  <w:smallCaps/>
                  <w:sz w:val="16"/>
                </w:rPr>
                <w:t>315 Fifth Avenue South, Suite 1000</w:t>
              </w:r>
            </w:smartTag>
          </w:smartTag>
        </w:p>
        <w:p w:rsidR="00F9552E" w:rsidRDefault="00F9552E" w:rsidP="00D82D05">
          <w:pPr>
            <w:pStyle w:val="FirmName"/>
            <w:spacing w:line="160" w:lineRule="exact"/>
            <w:rPr>
              <w:rFonts w:ascii="Garamond" w:hAnsi="Garamond"/>
              <w:smallCaps/>
              <w:sz w:val="16"/>
            </w:rPr>
          </w:pPr>
          <w:smartTag w:uri="urn:schemas-microsoft-com:office:smarttags" w:element="place">
            <w:smartTag w:uri="urn:schemas-microsoft-com:office:smarttags" w:element="City">
              <w:r>
                <w:rPr>
                  <w:rFonts w:ascii="Garamond" w:hAnsi="Garamond"/>
                  <w:smallCaps/>
                  <w:sz w:val="16"/>
                </w:rPr>
                <w:t>Seattle</w:t>
              </w:r>
            </w:smartTag>
            <w:r>
              <w:rPr>
                <w:rFonts w:ascii="Garamond" w:hAnsi="Garamond"/>
                <w:smallCaps/>
                <w:sz w:val="16"/>
              </w:rPr>
              <w:t xml:space="preserve">, </w:t>
            </w:r>
            <w:smartTag w:uri="urn:schemas-microsoft-com:office:smarttags" w:element="State">
              <w:r>
                <w:rPr>
                  <w:rFonts w:ascii="Garamond" w:hAnsi="Garamond"/>
                  <w:smallCaps/>
                  <w:sz w:val="16"/>
                </w:rPr>
                <w:t>Washington</w:t>
              </w:r>
            </w:smartTag>
            <w:r>
              <w:rPr>
                <w:rFonts w:ascii="Garamond" w:hAnsi="Garamond"/>
                <w:smallCaps/>
                <w:sz w:val="16"/>
              </w:rPr>
              <w:t xml:space="preserve"> </w:t>
            </w:r>
            <w:smartTag w:uri="urn:schemas-microsoft-com:office:smarttags" w:element="PostalCode">
              <w:r>
                <w:rPr>
                  <w:rFonts w:ascii="Garamond" w:hAnsi="Garamond"/>
                  <w:smallCaps/>
                  <w:sz w:val="16"/>
                </w:rPr>
                <w:t>98104-2682</w:t>
              </w:r>
            </w:smartTag>
          </w:smartTag>
        </w:p>
        <w:p w:rsidR="00F9552E" w:rsidRDefault="00F9552E" w:rsidP="00D82D05">
          <w:pPr>
            <w:pStyle w:val="FirmName"/>
            <w:spacing w:line="160" w:lineRule="exact"/>
            <w:rPr>
              <w:rFonts w:ascii="Garamond" w:hAnsi="Garamond"/>
              <w:sz w:val="16"/>
            </w:rPr>
          </w:pPr>
          <w:r>
            <w:rPr>
              <w:rFonts w:ascii="Garamond" w:hAnsi="Garamond"/>
              <w:sz w:val="16"/>
            </w:rPr>
            <w:t>Telephone:  (206) 676-7000</w:t>
          </w:r>
        </w:p>
        <w:p w:rsidR="00F9552E" w:rsidRDefault="00F9552E" w:rsidP="00D82D05">
          <w:pPr>
            <w:spacing w:line="160" w:lineRule="exact"/>
            <w:jc w:val="center"/>
          </w:pPr>
          <w:r>
            <w:rPr>
              <w:rFonts w:ascii="Garamond" w:hAnsi="Garamond"/>
              <w:sz w:val="16"/>
            </w:rPr>
            <w:t>Fax:  (206) 676-7001</w:t>
          </w:r>
        </w:p>
      </w:tc>
    </w:tr>
  </w:tbl>
  <w:p w:rsidR="00F9552E" w:rsidRPr="006405CA" w:rsidRDefault="00F9552E" w:rsidP="000447D5">
    <w:pPr>
      <w:pStyle w:val="DocI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45" w:type="dxa"/>
      <w:tblLayout w:type="fixed"/>
      <w:tblCellMar>
        <w:left w:w="115" w:type="dxa"/>
        <w:right w:w="115" w:type="dxa"/>
      </w:tblCellMar>
      <w:tblLook w:val="0000"/>
    </w:tblPr>
    <w:tblGrid>
      <w:gridCol w:w="5155"/>
      <w:gridCol w:w="900"/>
      <w:gridCol w:w="3690"/>
    </w:tblGrid>
    <w:tr w:rsidR="00CC3C85" w:rsidTr="00675DCD">
      <w:trPr>
        <w:cantSplit/>
        <w:trHeight w:hRule="exact" w:val="936"/>
      </w:trPr>
      <w:tc>
        <w:tcPr>
          <w:tcW w:w="5155" w:type="dxa"/>
        </w:tcPr>
        <w:p w:rsidR="00CC3C85" w:rsidRDefault="00CC3C85" w:rsidP="00B05E6A">
          <w:pPr>
            <w:spacing w:line="240" w:lineRule="auto"/>
            <w:rPr>
              <w:sz w:val="20"/>
            </w:rPr>
          </w:pPr>
          <w:r>
            <w:rPr>
              <w:sz w:val="20"/>
            </w:rPr>
            <w:t xml:space="preserve">WASTE MANAGEMENT’S ANSWER TO WRRA PETITION FOR ADMINISTRATIVE REVIEW – Page </w:t>
          </w:r>
          <w:r w:rsidR="00F64C48" w:rsidRPr="009D4F7E">
            <w:rPr>
              <w:sz w:val="20"/>
            </w:rPr>
            <w:fldChar w:fldCharType="begin"/>
          </w:r>
          <w:r w:rsidRPr="009D4F7E">
            <w:rPr>
              <w:sz w:val="20"/>
            </w:rPr>
            <w:instrText xml:space="preserve"> PAGE   \* MERGEFORMAT </w:instrText>
          </w:r>
          <w:r w:rsidR="00F64C48" w:rsidRPr="009D4F7E">
            <w:rPr>
              <w:sz w:val="20"/>
            </w:rPr>
            <w:fldChar w:fldCharType="separate"/>
          </w:r>
          <w:r w:rsidR="009E3F98">
            <w:rPr>
              <w:noProof/>
              <w:sz w:val="20"/>
            </w:rPr>
            <w:t>iii</w:t>
          </w:r>
          <w:r w:rsidR="00F64C48" w:rsidRPr="009D4F7E">
            <w:rPr>
              <w:sz w:val="20"/>
            </w:rPr>
            <w:fldChar w:fldCharType="end"/>
          </w:r>
        </w:p>
      </w:tc>
      <w:tc>
        <w:tcPr>
          <w:tcW w:w="900" w:type="dxa"/>
        </w:tcPr>
        <w:p w:rsidR="00CC3C85" w:rsidRDefault="00CC3C85" w:rsidP="00EB4013"/>
      </w:tc>
      <w:tc>
        <w:tcPr>
          <w:tcW w:w="3690" w:type="dxa"/>
        </w:tcPr>
        <w:p w:rsidR="00CC3C85" w:rsidRDefault="00CC3C85" w:rsidP="00D82D05">
          <w:pPr>
            <w:pStyle w:val="FirmName"/>
            <w:spacing w:line="240" w:lineRule="auto"/>
            <w:rPr>
              <w:rFonts w:ascii="Garamond" w:hAnsi="Garamond"/>
              <w:smallCaps/>
              <w:sz w:val="28"/>
            </w:rPr>
          </w:pPr>
          <w:r>
            <w:rPr>
              <w:rFonts w:ascii="Garamond" w:hAnsi="Garamond"/>
              <w:smallCaps/>
              <w:sz w:val="28"/>
            </w:rPr>
            <w:t>Summit Law Group pllc</w:t>
          </w:r>
        </w:p>
        <w:p w:rsidR="00CC3C85" w:rsidRDefault="00CC3C85" w:rsidP="00D82D05">
          <w:pPr>
            <w:pStyle w:val="FirmName"/>
            <w:spacing w:line="160" w:lineRule="exact"/>
            <w:rPr>
              <w:rFonts w:ascii="Garamond" w:hAnsi="Garamond"/>
              <w:smallCaps/>
              <w:sz w:val="16"/>
            </w:rPr>
          </w:pPr>
          <w:smartTag w:uri="urn:schemas-microsoft-com:office:smarttags" w:element="Street">
            <w:smartTag w:uri="urn:schemas-microsoft-com:office:smarttags" w:element="address">
              <w:r>
                <w:rPr>
                  <w:rFonts w:ascii="Garamond" w:hAnsi="Garamond"/>
                  <w:smallCaps/>
                  <w:sz w:val="16"/>
                </w:rPr>
                <w:t>315 Fifth Avenue South, Suite 1000</w:t>
              </w:r>
            </w:smartTag>
          </w:smartTag>
        </w:p>
        <w:p w:rsidR="00CC3C85" w:rsidRDefault="00CC3C85" w:rsidP="00D82D05">
          <w:pPr>
            <w:pStyle w:val="FirmName"/>
            <w:spacing w:line="160" w:lineRule="exact"/>
            <w:rPr>
              <w:rFonts w:ascii="Garamond" w:hAnsi="Garamond"/>
              <w:smallCaps/>
              <w:sz w:val="16"/>
            </w:rPr>
          </w:pPr>
          <w:smartTag w:uri="urn:schemas-microsoft-com:office:smarttags" w:element="place">
            <w:smartTag w:uri="urn:schemas-microsoft-com:office:smarttags" w:element="City">
              <w:r>
                <w:rPr>
                  <w:rFonts w:ascii="Garamond" w:hAnsi="Garamond"/>
                  <w:smallCaps/>
                  <w:sz w:val="16"/>
                </w:rPr>
                <w:t>Seattle</w:t>
              </w:r>
            </w:smartTag>
            <w:r>
              <w:rPr>
                <w:rFonts w:ascii="Garamond" w:hAnsi="Garamond"/>
                <w:smallCaps/>
                <w:sz w:val="16"/>
              </w:rPr>
              <w:t xml:space="preserve">, </w:t>
            </w:r>
            <w:smartTag w:uri="urn:schemas-microsoft-com:office:smarttags" w:element="State">
              <w:r>
                <w:rPr>
                  <w:rFonts w:ascii="Garamond" w:hAnsi="Garamond"/>
                  <w:smallCaps/>
                  <w:sz w:val="16"/>
                </w:rPr>
                <w:t>Washington</w:t>
              </w:r>
            </w:smartTag>
            <w:r>
              <w:rPr>
                <w:rFonts w:ascii="Garamond" w:hAnsi="Garamond"/>
                <w:smallCaps/>
                <w:sz w:val="16"/>
              </w:rPr>
              <w:t xml:space="preserve"> </w:t>
            </w:r>
            <w:smartTag w:uri="urn:schemas-microsoft-com:office:smarttags" w:element="PostalCode">
              <w:r>
                <w:rPr>
                  <w:rFonts w:ascii="Garamond" w:hAnsi="Garamond"/>
                  <w:smallCaps/>
                  <w:sz w:val="16"/>
                </w:rPr>
                <w:t>98104-2682</w:t>
              </w:r>
            </w:smartTag>
          </w:smartTag>
        </w:p>
        <w:p w:rsidR="00CC3C85" w:rsidRDefault="00CC3C85" w:rsidP="00D82D05">
          <w:pPr>
            <w:pStyle w:val="FirmName"/>
            <w:spacing w:line="160" w:lineRule="exact"/>
            <w:rPr>
              <w:rFonts w:ascii="Garamond" w:hAnsi="Garamond"/>
              <w:sz w:val="16"/>
            </w:rPr>
          </w:pPr>
          <w:r>
            <w:rPr>
              <w:rFonts w:ascii="Garamond" w:hAnsi="Garamond"/>
              <w:sz w:val="16"/>
            </w:rPr>
            <w:t>Telephone:  (206) 676-7000</w:t>
          </w:r>
        </w:p>
        <w:p w:rsidR="00CC3C85" w:rsidRDefault="00CC3C85" w:rsidP="00D82D05">
          <w:pPr>
            <w:spacing w:line="160" w:lineRule="exact"/>
            <w:jc w:val="center"/>
          </w:pPr>
          <w:r>
            <w:rPr>
              <w:rFonts w:ascii="Garamond" w:hAnsi="Garamond"/>
              <w:sz w:val="16"/>
            </w:rPr>
            <w:t>Fax:  (206) 676-7001</w:t>
          </w:r>
        </w:p>
      </w:tc>
    </w:tr>
  </w:tbl>
  <w:p w:rsidR="00CC3C85" w:rsidRPr="006405CA" w:rsidRDefault="00CC3C85" w:rsidP="000447D5">
    <w:pPr>
      <w:pStyle w:val="DocI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45" w:type="dxa"/>
      <w:tblLayout w:type="fixed"/>
      <w:tblCellMar>
        <w:left w:w="115" w:type="dxa"/>
        <w:right w:w="115" w:type="dxa"/>
      </w:tblCellMar>
      <w:tblLook w:val="0000"/>
    </w:tblPr>
    <w:tblGrid>
      <w:gridCol w:w="5155"/>
      <w:gridCol w:w="900"/>
      <w:gridCol w:w="3690"/>
    </w:tblGrid>
    <w:tr w:rsidR="00CC3C85" w:rsidTr="00675DCD">
      <w:trPr>
        <w:cantSplit/>
        <w:trHeight w:hRule="exact" w:val="936"/>
      </w:trPr>
      <w:tc>
        <w:tcPr>
          <w:tcW w:w="5155" w:type="dxa"/>
        </w:tcPr>
        <w:p w:rsidR="00CC3C85" w:rsidRDefault="00CC3C85" w:rsidP="00B05E6A">
          <w:pPr>
            <w:spacing w:line="240" w:lineRule="auto"/>
            <w:rPr>
              <w:sz w:val="20"/>
            </w:rPr>
          </w:pPr>
          <w:r>
            <w:rPr>
              <w:sz w:val="20"/>
            </w:rPr>
            <w:t xml:space="preserve">WASTE MANAGEMENT’S ANSWER TO WRRA PETITION FOR ADMINISTRATIVE REVIEW – Page </w:t>
          </w:r>
          <w:r w:rsidR="00F64C48" w:rsidRPr="009D4F7E">
            <w:rPr>
              <w:sz w:val="20"/>
            </w:rPr>
            <w:fldChar w:fldCharType="begin"/>
          </w:r>
          <w:r w:rsidRPr="009D4F7E">
            <w:rPr>
              <w:sz w:val="20"/>
            </w:rPr>
            <w:instrText xml:space="preserve"> PAGE   \* MERGEFORMAT </w:instrText>
          </w:r>
          <w:r w:rsidR="00F64C48" w:rsidRPr="009D4F7E">
            <w:rPr>
              <w:sz w:val="20"/>
            </w:rPr>
            <w:fldChar w:fldCharType="separate"/>
          </w:r>
          <w:r w:rsidR="009E3F98">
            <w:rPr>
              <w:noProof/>
              <w:sz w:val="20"/>
            </w:rPr>
            <w:t>2</w:t>
          </w:r>
          <w:r w:rsidR="00F64C48" w:rsidRPr="009D4F7E">
            <w:rPr>
              <w:sz w:val="20"/>
            </w:rPr>
            <w:fldChar w:fldCharType="end"/>
          </w:r>
        </w:p>
      </w:tc>
      <w:tc>
        <w:tcPr>
          <w:tcW w:w="900" w:type="dxa"/>
        </w:tcPr>
        <w:p w:rsidR="00CC3C85" w:rsidRDefault="00CC3C85" w:rsidP="00EB4013"/>
      </w:tc>
      <w:tc>
        <w:tcPr>
          <w:tcW w:w="3690" w:type="dxa"/>
        </w:tcPr>
        <w:p w:rsidR="00CC3C85" w:rsidRDefault="00CC3C85" w:rsidP="00D82D05">
          <w:pPr>
            <w:pStyle w:val="FirmName"/>
            <w:spacing w:line="240" w:lineRule="auto"/>
            <w:rPr>
              <w:rFonts w:ascii="Garamond" w:hAnsi="Garamond"/>
              <w:smallCaps/>
              <w:sz w:val="28"/>
            </w:rPr>
          </w:pPr>
          <w:r>
            <w:rPr>
              <w:rFonts w:ascii="Garamond" w:hAnsi="Garamond"/>
              <w:smallCaps/>
              <w:sz w:val="28"/>
            </w:rPr>
            <w:t>Summit Law Group pllc</w:t>
          </w:r>
        </w:p>
        <w:p w:rsidR="00CC3C85" w:rsidRDefault="00CC3C85" w:rsidP="00D82D05">
          <w:pPr>
            <w:pStyle w:val="FirmName"/>
            <w:spacing w:line="160" w:lineRule="exact"/>
            <w:rPr>
              <w:rFonts w:ascii="Garamond" w:hAnsi="Garamond"/>
              <w:smallCaps/>
              <w:sz w:val="16"/>
            </w:rPr>
          </w:pPr>
          <w:smartTag w:uri="urn:schemas-microsoft-com:office:smarttags" w:element="Street">
            <w:smartTag w:uri="urn:schemas-microsoft-com:office:smarttags" w:element="address">
              <w:r>
                <w:rPr>
                  <w:rFonts w:ascii="Garamond" w:hAnsi="Garamond"/>
                  <w:smallCaps/>
                  <w:sz w:val="16"/>
                </w:rPr>
                <w:t>315 Fifth Avenue South, Suite 1000</w:t>
              </w:r>
            </w:smartTag>
          </w:smartTag>
        </w:p>
        <w:p w:rsidR="00CC3C85" w:rsidRDefault="00CC3C85" w:rsidP="00D82D05">
          <w:pPr>
            <w:pStyle w:val="FirmName"/>
            <w:spacing w:line="160" w:lineRule="exact"/>
            <w:rPr>
              <w:rFonts w:ascii="Garamond" w:hAnsi="Garamond"/>
              <w:smallCaps/>
              <w:sz w:val="16"/>
            </w:rPr>
          </w:pPr>
          <w:smartTag w:uri="urn:schemas-microsoft-com:office:smarttags" w:element="place">
            <w:smartTag w:uri="urn:schemas-microsoft-com:office:smarttags" w:element="City">
              <w:r>
                <w:rPr>
                  <w:rFonts w:ascii="Garamond" w:hAnsi="Garamond"/>
                  <w:smallCaps/>
                  <w:sz w:val="16"/>
                </w:rPr>
                <w:t>Seattle</w:t>
              </w:r>
            </w:smartTag>
            <w:r>
              <w:rPr>
                <w:rFonts w:ascii="Garamond" w:hAnsi="Garamond"/>
                <w:smallCaps/>
                <w:sz w:val="16"/>
              </w:rPr>
              <w:t xml:space="preserve">, </w:t>
            </w:r>
            <w:smartTag w:uri="urn:schemas-microsoft-com:office:smarttags" w:element="State">
              <w:r>
                <w:rPr>
                  <w:rFonts w:ascii="Garamond" w:hAnsi="Garamond"/>
                  <w:smallCaps/>
                  <w:sz w:val="16"/>
                </w:rPr>
                <w:t>Washington</w:t>
              </w:r>
            </w:smartTag>
            <w:r>
              <w:rPr>
                <w:rFonts w:ascii="Garamond" w:hAnsi="Garamond"/>
                <w:smallCaps/>
                <w:sz w:val="16"/>
              </w:rPr>
              <w:t xml:space="preserve"> </w:t>
            </w:r>
            <w:smartTag w:uri="urn:schemas-microsoft-com:office:smarttags" w:element="PostalCode">
              <w:r>
                <w:rPr>
                  <w:rFonts w:ascii="Garamond" w:hAnsi="Garamond"/>
                  <w:smallCaps/>
                  <w:sz w:val="16"/>
                </w:rPr>
                <w:t>98104-2682</w:t>
              </w:r>
            </w:smartTag>
          </w:smartTag>
        </w:p>
        <w:p w:rsidR="00CC3C85" w:rsidRDefault="00CC3C85" w:rsidP="00D82D05">
          <w:pPr>
            <w:pStyle w:val="FirmName"/>
            <w:spacing w:line="160" w:lineRule="exact"/>
            <w:rPr>
              <w:rFonts w:ascii="Garamond" w:hAnsi="Garamond"/>
              <w:sz w:val="16"/>
            </w:rPr>
          </w:pPr>
          <w:r>
            <w:rPr>
              <w:rFonts w:ascii="Garamond" w:hAnsi="Garamond"/>
              <w:sz w:val="16"/>
            </w:rPr>
            <w:t>Telephone:  (206) 676-7000</w:t>
          </w:r>
        </w:p>
        <w:p w:rsidR="00CC3C85" w:rsidRDefault="00CC3C85" w:rsidP="00D82D05">
          <w:pPr>
            <w:spacing w:line="160" w:lineRule="exact"/>
            <w:jc w:val="center"/>
          </w:pPr>
          <w:r>
            <w:rPr>
              <w:rFonts w:ascii="Garamond" w:hAnsi="Garamond"/>
              <w:sz w:val="16"/>
            </w:rPr>
            <w:t>Fax:  (206) 676-7001</w:t>
          </w:r>
        </w:p>
      </w:tc>
    </w:tr>
  </w:tbl>
  <w:p w:rsidR="00CC3C85" w:rsidRPr="006405CA" w:rsidRDefault="00CC3C85" w:rsidP="000447D5">
    <w:pPr>
      <w:pStyle w:val="DocI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52E" w:rsidRDefault="00F9552E">
      <w:pPr>
        <w:spacing w:line="240" w:lineRule="auto"/>
      </w:pPr>
      <w:r>
        <w:separator/>
      </w:r>
    </w:p>
  </w:footnote>
  <w:footnote w:type="continuationSeparator" w:id="0">
    <w:p w:rsidR="00F9552E" w:rsidRDefault="00F9552E">
      <w:pPr>
        <w:spacing w:line="240" w:lineRule="auto"/>
      </w:pPr>
      <w:r>
        <w:continuationSeparator/>
      </w:r>
    </w:p>
  </w:footnote>
  <w:footnote w:id="1">
    <w:p w:rsidR="000B55CA" w:rsidRPr="000B55CA" w:rsidRDefault="000B55CA" w:rsidP="00CC3C85">
      <w:pPr>
        <w:pStyle w:val="FootnoteText"/>
        <w:spacing w:line="240" w:lineRule="auto"/>
        <w:ind w:firstLine="0"/>
        <w:jc w:val="both"/>
        <w:rPr>
          <w:sz w:val="20"/>
        </w:rPr>
      </w:pPr>
      <w:r w:rsidRPr="000B55CA">
        <w:rPr>
          <w:rStyle w:val="FootnoteReference"/>
          <w:sz w:val="20"/>
        </w:rPr>
        <w:footnoteRef/>
      </w:r>
      <w:r w:rsidRPr="000B55CA">
        <w:rPr>
          <w:sz w:val="20"/>
        </w:rPr>
        <w:t xml:space="preserve"> Waste Management concurrently has filed an Answer to </w:t>
      </w:r>
      <w:r>
        <w:rPr>
          <w:sz w:val="20"/>
        </w:rPr>
        <w:t>Stericycle’s</w:t>
      </w:r>
      <w:r w:rsidRPr="000B55CA">
        <w:rPr>
          <w:sz w:val="20"/>
        </w:rPr>
        <w:t xml:space="preserve"> petition for administrative review and, to avoid duplication, Waste Management incorporates that Answer herein by this reference.</w:t>
      </w:r>
    </w:p>
  </w:footnote>
  <w:footnote w:id="2">
    <w:p w:rsidR="00F9552E" w:rsidRPr="00FE53E1" w:rsidRDefault="00F9552E" w:rsidP="00CC3C85">
      <w:pPr>
        <w:pStyle w:val="FootnoteText"/>
        <w:spacing w:line="240" w:lineRule="auto"/>
        <w:ind w:firstLine="0"/>
        <w:jc w:val="both"/>
        <w:rPr>
          <w:sz w:val="20"/>
        </w:rPr>
      </w:pPr>
      <w:r>
        <w:rPr>
          <w:rStyle w:val="FootnoteReference"/>
        </w:rPr>
        <w:footnoteRef/>
      </w:r>
      <w:r>
        <w:t xml:space="preserve"> </w:t>
      </w:r>
      <w:r w:rsidRPr="00FE53E1">
        <w:rPr>
          <w:sz w:val="20"/>
        </w:rPr>
        <w:t>RCW 81.77.040</w:t>
      </w:r>
      <w:r w:rsidR="00F64C48">
        <w:rPr>
          <w:sz w:val="20"/>
        </w:rPr>
        <w:fldChar w:fldCharType="begin"/>
      </w:r>
      <w:r w:rsidR="00CC3C85">
        <w:instrText xml:space="preserve"> TA \l "</w:instrText>
      </w:r>
      <w:r w:rsidR="00CC3C85" w:rsidRPr="005E5647">
        <w:rPr>
          <w:sz w:val="20"/>
        </w:rPr>
        <w:instrText>RCW 81.77.040</w:instrText>
      </w:r>
      <w:r w:rsidR="00CC3C85">
        <w:instrText xml:space="preserve">" \s "RCW 81.77.040" \c 2 </w:instrText>
      </w:r>
      <w:r w:rsidR="00F64C48">
        <w:rPr>
          <w:sz w:val="20"/>
        </w:rPr>
        <w:fldChar w:fldCharType="end"/>
      </w:r>
      <w:r w:rsidRPr="00FE53E1">
        <w:rPr>
          <w:sz w:val="20"/>
        </w:rPr>
        <w:t>; Order 05 ¶</w:t>
      </w:r>
      <w:r w:rsidR="001A6E74">
        <w:rPr>
          <w:sz w:val="20"/>
        </w:rPr>
        <w:t xml:space="preserve"> </w:t>
      </w:r>
      <w:r w:rsidRPr="00FE53E1">
        <w:rPr>
          <w:sz w:val="20"/>
        </w:rPr>
        <w:t xml:space="preserve">11.  </w:t>
      </w:r>
    </w:p>
  </w:footnote>
  <w:footnote w:id="3">
    <w:p w:rsidR="00F9552E" w:rsidRPr="000B55CA" w:rsidRDefault="00F9552E" w:rsidP="00CC3C85">
      <w:pPr>
        <w:pStyle w:val="FootnoteText"/>
        <w:spacing w:line="240" w:lineRule="auto"/>
        <w:ind w:firstLine="0"/>
        <w:jc w:val="both"/>
        <w:rPr>
          <w:sz w:val="20"/>
        </w:rPr>
      </w:pPr>
      <w:r w:rsidRPr="000B55CA">
        <w:rPr>
          <w:rStyle w:val="FootnoteReference"/>
          <w:sz w:val="20"/>
        </w:rPr>
        <w:footnoteRef/>
      </w:r>
      <w:r w:rsidRPr="000B55CA">
        <w:rPr>
          <w:sz w:val="20"/>
        </w:rPr>
        <w:t xml:space="preserve"> The WRRA Protestants do not challenge the </w:t>
      </w:r>
      <w:r w:rsidR="00377690" w:rsidRPr="000B55CA">
        <w:rPr>
          <w:sz w:val="20"/>
        </w:rPr>
        <w:t xml:space="preserve">Initial Order’s finding in favor </w:t>
      </w:r>
      <w:r w:rsidRPr="000B55CA">
        <w:rPr>
          <w:sz w:val="20"/>
        </w:rPr>
        <w:t>of Waste Mana</w:t>
      </w:r>
      <w:r w:rsidR="00CC3C85">
        <w:rPr>
          <w:sz w:val="20"/>
        </w:rPr>
        <w:t>gement’s fitness.</w:t>
      </w:r>
    </w:p>
  </w:footnote>
  <w:footnote w:id="4">
    <w:p w:rsidR="00F9552E" w:rsidRPr="00FE53E1" w:rsidRDefault="00F9552E" w:rsidP="00586950">
      <w:pPr>
        <w:pStyle w:val="FootnoteText"/>
        <w:spacing w:line="240" w:lineRule="auto"/>
        <w:ind w:firstLine="0"/>
        <w:rPr>
          <w:sz w:val="20"/>
        </w:rPr>
      </w:pPr>
      <w:r w:rsidRPr="00FE53E1">
        <w:rPr>
          <w:rStyle w:val="FootnoteReference"/>
          <w:sz w:val="20"/>
        </w:rPr>
        <w:footnoteRef/>
      </w:r>
      <w:r w:rsidRPr="00FE53E1">
        <w:rPr>
          <w:sz w:val="20"/>
        </w:rPr>
        <w:t xml:space="preserve"> </w:t>
      </w:r>
      <w:r w:rsidR="000B55CA">
        <w:rPr>
          <w:sz w:val="20"/>
        </w:rPr>
        <w:t xml:space="preserve">WRRA Petition </w:t>
      </w:r>
      <w:r w:rsidRPr="00FE53E1">
        <w:rPr>
          <w:sz w:val="20"/>
        </w:rPr>
        <w:t>¶</w:t>
      </w:r>
      <w:r w:rsidR="001A6E74">
        <w:rPr>
          <w:sz w:val="20"/>
        </w:rPr>
        <w:t xml:space="preserve"> </w:t>
      </w:r>
      <w:r w:rsidR="00CC3C85">
        <w:rPr>
          <w:sz w:val="20"/>
        </w:rPr>
        <w:t>8.</w:t>
      </w:r>
    </w:p>
  </w:footnote>
  <w:footnote w:id="5">
    <w:p w:rsidR="00F9552E" w:rsidRPr="00CC3C85" w:rsidRDefault="00F9552E" w:rsidP="006E6B99">
      <w:pPr>
        <w:pStyle w:val="FootnoteText"/>
        <w:spacing w:line="240" w:lineRule="auto"/>
        <w:ind w:firstLine="0"/>
        <w:jc w:val="both"/>
        <w:rPr>
          <w:sz w:val="20"/>
        </w:rPr>
      </w:pPr>
      <w:r w:rsidRPr="00FE53E1">
        <w:rPr>
          <w:rStyle w:val="FootnoteReference"/>
          <w:sz w:val="20"/>
        </w:rPr>
        <w:footnoteRef/>
      </w:r>
      <w:r w:rsidRPr="00FE53E1">
        <w:rPr>
          <w:sz w:val="20"/>
        </w:rPr>
        <w:t xml:space="preserve"> </w:t>
      </w:r>
      <w:r w:rsidR="00377690" w:rsidRPr="00CC3C85">
        <w:rPr>
          <w:sz w:val="20"/>
        </w:rPr>
        <w:t xml:space="preserve">WRRA </w:t>
      </w:r>
      <w:r w:rsidRPr="00CC3C85">
        <w:rPr>
          <w:sz w:val="20"/>
        </w:rPr>
        <w:t>Petition ¶</w:t>
      </w:r>
      <w:r w:rsidR="00377690" w:rsidRPr="00CC3C85">
        <w:rPr>
          <w:sz w:val="20"/>
        </w:rPr>
        <w:t xml:space="preserve"> </w:t>
      </w:r>
      <w:r w:rsidR="006E6B99">
        <w:rPr>
          <w:sz w:val="20"/>
        </w:rPr>
        <w:t>11.</w:t>
      </w:r>
    </w:p>
  </w:footnote>
  <w:footnote w:id="6">
    <w:p w:rsidR="00F9552E" w:rsidRPr="00CC3C85" w:rsidRDefault="00F9552E" w:rsidP="006E6B99">
      <w:pPr>
        <w:pStyle w:val="FootnoteText"/>
        <w:spacing w:line="240" w:lineRule="auto"/>
        <w:ind w:firstLine="0"/>
        <w:jc w:val="both"/>
        <w:rPr>
          <w:sz w:val="20"/>
        </w:rPr>
      </w:pPr>
      <w:r w:rsidRPr="00CC3C85">
        <w:rPr>
          <w:rStyle w:val="FootnoteReference"/>
          <w:sz w:val="20"/>
        </w:rPr>
        <w:footnoteRef/>
      </w:r>
      <w:r w:rsidRPr="00CC3C85">
        <w:rPr>
          <w:sz w:val="20"/>
        </w:rPr>
        <w:t xml:space="preserve"> </w:t>
      </w:r>
      <w:r w:rsidRPr="00CC3C85">
        <w:rPr>
          <w:i/>
          <w:sz w:val="20"/>
        </w:rPr>
        <w:t>In re Am. Envt. Mgmt. Corp.</w:t>
      </w:r>
      <w:r w:rsidRPr="00CC3C85">
        <w:rPr>
          <w:sz w:val="20"/>
        </w:rPr>
        <w:t>, App No. GA-874, Order M.V.G. No. 1452</w:t>
      </w:r>
      <w:r w:rsidR="00AC4019" w:rsidRPr="00CC3C85">
        <w:rPr>
          <w:sz w:val="20"/>
        </w:rPr>
        <w:t xml:space="preserve"> at 8</w:t>
      </w:r>
      <w:r w:rsidRPr="00CC3C85">
        <w:rPr>
          <w:sz w:val="20"/>
        </w:rPr>
        <w:t xml:space="preserve"> (Nov. 30, 1990)</w:t>
      </w:r>
      <w:r w:rsidR="00F64C48">
        <w:rPr>
          <w:sz w:val="20"/>
        </w:rPr>
        <w:fldChar w:fldCharType="begin"/>
      </w:r>
      <w:r w:rsidR="00CC3C85">
        <w:instrText xml:space="preserve"> TA \l "</w:instrText>
      </w:r>
      <w:r w:rsidR="00CC3C85" w:rsidRPr="006410F5">
        <w:rPr>
          <w:i/>
          <w:sz w:val="20"/>
        </w:rPr>
        <w:instrText>In re Am. Envt. Mgmt. Corp.</w:instrText>
      </w:r>
      <w:r w:rsidR="00CC3C85" w:rsidRPr="006410F5">
        <w:rPr>
          <w:sz w:val="20"/>
        </w:rPr>
        <w:instrText>, App No. GA-874, Order M.V.G. No. 1452 at 8 (Nov. 30, 1990)</w:instrText>
      </w:r>
      <w:r w:rsidR="00CC3C85">
        <w:instrText xml:space="preserve">" \s "In re Am. Envt. Mgmt. Corp., App No. GA-874, Order M.V.G. No. 1452 at 8 (Nov. 30, 1990)" \c 1 </w:instrText>
      </w:r>
      <w:r w:rsidR="00F64C48">
        <w:rPr>
          <w:sz w:val="20"/>
        </w:rPr>
        <w:fldChar w:fldCharType="end"/>
      </w:r>
      <w:r w:rsidR="006E6B99">
        <w:rPr>
          <w:sz w:val="20"/>
        </w:rPr>
        <w:t>.</w:t>
      </w:r>
    </w:p>
  </w:footnote>
  <w:footnote w:id="7">
    <w:p w:rsidR="00F9552E" w:rsidRPr="00CC3C85" w:rsidRDefault="00F9552E" w:rsidP="006E6B99">
      <w:pPr>
        <w:pStyle w:val="FootnoteText"/>
        <w:spacing w:line="240" w:lineRule="auto"/>
        <w:ind w:firstLine="0"/>
        <w:jc w:val="both"/>
        <w:rPr>
          <w:sz w:val="20"/>
        </w:rPr>
      </w:pPr>
      <w:r w:rsidRPr="00CC3C85">
        <w:rPr>
          <w:rStyle w:val="FootnoteReference"/>
          <w:sz w:val="20"/>
        </w:rPr>
        <w:footnoteRef/>
      </w:r>
      <w:r w:rsidRPr="00CC3C85">
        <w:rPr>
          <w:sz w:val="20"/>
        </w:rPr>
        <w:t xml:space="preserve"> </w:t>
      </w:r>
      <w:r w:rsidR="00377690" w:rsidRPr="00CC3C85">
        <w:rPr>
          <w:sz w:val="20"/>
        </w:rPr>
        <w:t>“</w:t>
      </w:r>
      <w:r w:rsidRPr="00CC3C85">
        <w:rPr>
          <w:sz w:val="20"/>
        </w:rPr>
        <w:t xml:space="preserve">The finding of failure of satisfactory service does not necessarily involve a moral judgment.  A carrier may be found unsatisfactory despite providing excellent service to the public within the terms of its certificate if the service does not meet the reasonable requirements of shippers.”  </w:t>
      </w:r>
      <w:r w:rsidRPr="00CC3C85">
        <w:rPr>
          <w:i/>
          <w:sz w:val="20"/>
        </w:rPr>
        <w:t>In re Ryder Distribution Res., Inc.</w:t>
      </w:r>
      <w:r w:rsidRPr="00CC3C85">
        <w:rPr>
          <w:sz w:val="20"/>
        </w:rPr>
        <w:t>, App. No. GA-75154, Order M.V.G. No. 1596 at 2</w:t>
      </w:r>
      <w:r w:rsidR="00377690" w:rsidRPr="00CC3C85">
        <w:rPr>
          <w:sz w:val="20"/>
        </w:rPr>
        <w:t xml:space="preserve"> (Jan. 25, 1993)</w:t>
      </w:r>
      <w:r w:rsidR="006E6B99">
        <w:rPr>
          <w:sz w:val="20"/>
        </w:rPr>
        <w:fldChar w:fldCharType="begin"/>
      </w:r>
      <w:r w:rsidR="006E6B99">
        <w:instrText xml:space="preserve"> TA \l "</w:instrText>
      </w:r>
      <w:r w:rsidR="006E6B99" w:rsidRPr="005725E8">
        <w:rPr>
          <w:i/>
          <w:sz w:val="20"/>
        </w:rPr>
        <w:instrText>In re Ryder Distribution Res., Inc.</w:instrText>
      </w:r>
      <w:r w:rsidR="006E6B99" w:rsidRPr="005725E8">
        <w:rPr>
          <w:sz w:val="20"/>
        </w:rPr>
        <w:instrText>, App. No. GA-75154, Order M.V.G. No. 1596 at 2 (Jan. 25, 1993)</w:instrText>
      </w:r>
      <w:r w:rsidR="006E6B99">
        <w:instrText xml:space="preserve">" \s "In re Ryder Distribution Res., Inc., App. No. GA-75154, Order M.V.G. No. 1596 at 2 (Jan. 25, 1993)" \c 1 </w:instrText>
      </w:r>
      <w:r w:rsidR="006E6B99">
        <w:rPr>
          <w:sz w:val="20"/>
        </w:rPr>
        <w:fldChar w:fldCharType="end"/>
      </w:r>
      <w:r w:rsidRPr="00CC3C85">
        <w:rPr>
          <w:sz w:val="20"/>
        </w:rPr>
        <w:t xml:space="preserve">. </w:t>
      </w:r>
    </w:p>
  </w:footnote>
  <w:footnote w:id="8">
    <w:p w:rsidR="00F9552E" w:rsidRDefault="00F9552E" w:rsidP="006E6B99">
      <w:pPr>
        <w:pStyle w:val="FootnoteText"/>
        <w:spacing w:line="240" w:lineRule="auto"/>
        <w:ind w:firstLine="0"/>
        <w:jc w:val="both"/>
      </w:pPr>
      <w:r w:rsidRPr="00CC3C85">
        <w:rPr>
          <w:rStyle w:val="FootnoteReference"/>
          <w:sz w:val="20"/>
        </w:rPr>
        <w:footnoteRef/>
      </w:r>
      <w:r w:rsidRPr="00CC3C85">
        <w:rPr>
          <w:sz w:val="20"/>
        </w:rPr>
        <w:t xml:space="preserve"> </w:t>
      </w:r>
      <w:r w:rsidRPr="00CC3C85">
        <w:rPr>
          <w:i/>
          <w:sz w:val="20"/>
        </w:rPr>
        <w:t>In re Sureway Med. Servs., Inc</w:t>
      </w:r>
      <w:r w:rsidRPr="00CC3C85">
        <w:rPr>
          <w:sz w:val="20"/>
        </w:rPr>
        <w:t>., App. No. GA-75968, Order M.V.G. No. 1663 at 10-11 ( Nov. 19, 1993)</w:t>
      </w:r>
      <w:r w:rsidR="006E6B99">
        <w:rPr>
          <w:sz w:val="20"/>
        </w:rPr>
        <w:fldChar w:fldCharType="begin"/>
      </w:r>
      <w:r w:rsidR="006E6B99">
        <w:instrText xml:space="preserve"> TA \l "</w:instrText>
      </w:r>
      <w:r w:rsidR="006E6B99" w:rsidRPr="00921639">
        <w:rPr>
          <w:i/>
          <w:sz w:val="20"/>
        </w:rPr>
        <w:instrText>In re Sureway Med. Servs., Inc</w:instrText>
      </w:r>
      <w:r w:rsidR="006E6B99" w:rsidRPr="00921639">
        <w:rPr>
          <w:sz w:val="20"/>
        </w:rPr>
        <w:instrText>., App. No. GA-75968, Order M.V.G. No. 1663 at 10-11 ( Nov. 19, 1993)</w:instrText>
      </w:r>
      <w:r w:rsidR="006E6B99">
        <w:instrText xml:space="preserve">" \s "In re Sureway Med. Servs., Inc., App. No. GA-75968, Order M.V.G. No. 1663 at 10-11 ( Nov. 19, 1993)" \c 1 </w:instrText>
      </w:r>
      <w:r w:rsidR="006E6B99">
        <w:rPr>
          <w:sz w:val="20"/>
        </w:rPr>
        <w:fldChar w:fldCharType="end"/>
      </w:r>
      <w:r w:rsidRPr="00CC3C85">
        <w:rPr>
          <w:sz w:val="20"/>
        </w:rPr>
        <w:t xml:space="preserve"> (“In evaluating whether existing companies will provide service to the satisfaction of the Commission, the Commission will not limit its consideration to evidence of service failures of the sort that usually are significant in neighborhood garbage collection</w:t>
      </w:r>
      <w:r w:rsidRPr="00AB58DA">
        <w:rPr>
          <w:sz w:val="20"/>
        </w:rPr>
        <w:t xml:space="preserve"> service, such as service refusals, missed pickups or garbage strewn about.</w:t>
      </w:r>
      <w:r>
        <w:t>”).</w:t>
      </w:r>
    </w:p>
  </w:footnote>
  <w:footnote w:id="9">
    <w:p w:rsidR="00F9552E" w:rsidRPr="00FE53E1" w:rsidRDefault="00F9552E" w:rsidP="006E6B99">
      <w:pPr>
        <w:pStyle w:val="FootnoteText"/>
        <w:spacing w:line="240" w:lineRule="auto"/>
        <w:ind w:firstLine="0"/>
        <w:jc w:val="both"/>
        <w:rPr>
          <w:sz w:val="20"/>
        </w:rPr>
      </w:pPr>
      <w:r w:rsidRPr="00FE53E1">
        <w:rPr>
          <w:rStyle w:val="FootnoteReference"/>
          <w:sz w:val="20"/>
        </w:rPr>
        <w:footnoteRef/>
      </w:r>
      <w:r w:rsidRPr="00FE53E1">
        <w:rPr>
          <w:sz w:val="20"/>
        </w:rPr>
        <w:t xml:space="preserve"> </w:t>
      </w:r>
      <w:r w:rsidR="00A5666B">
        <w:rPr>
          <w:sz w:val="20"/>
        </w:rPr>
        <w:t>To avoid duplication, Waste Management addresses this point further in its Answer to Stericycle’s Petition for Administrative Review</w:t>
      </w:r>
      <w:r w:rsidRPr="00FE53E1">
        <w:rPr>
          <w:sz w:val="20"/>
        </w:rPr>
        <w:t>.</w:t>
      </w:r>
    </w:p>
  </w:footnote>
  <w:footnote w:id="10">
    <w:p w:rsidR="00F9552E" w:rsidRPr="00FE53E1" w:rsidRDefault="00F9552E" w:rsidP="006E6B99">
      <w:pPr>
        <w:pStyle w:val="FootnoteText"/>
        <w:spacing w:line="240" w:lineRule="auto"/>
        <w:ind w:firstLine="0"/>
        <w:jc w:val="both"/>
        <w:rPr>
          <w:sz w:val="20"/>
        </w:rPr>
      </w:pPr>
      <w:r w:rsidRPr="00FE53E1">
        <w:rPr>
          <w:rStyle w:val="FootnoteReference"/>
          <w:sz w:val="20"/>
        </w:rPr>
        <w:footnoteRef/>
      </w:r>
      <w:r w:rsidRPr="00FE53E1">
        <w:rPr>
          <w:sz w:val="20"/>
        </w:rPr>
        <w:t xml:space="preserve"> Order 05 ¶</w:t>
      </w:r>
      <w:r w:rsidR="00DC2BF1">
        <w:rPr>
          <w:sz w:val="20"/>
        </w:rPr>
        <w:t xml:space="preserve"> </w:t>
      </w:r>
      <w:r w:rsidR="006E6B99">
        <w:rPr>
          <w:sz w:val="20"/>
        </w:rPr>
        <w:t>9.</w:t>
      </w:r>
    </w:p>
  </w:footnote>
  <w:footnote w:id="11">
    <w:p w:rsidR="00F64C48" w:rsidRDefault="00604671" w:rsidP="006E6B99">
      <w:pPr>
        <w:pStyle w:val="FootnoteText"/>
        <w:ind w:firstLine="0"/>
        <w:jc w:val="both"/>
        <w:rPr>
          <w:sz w:val="20"/>
        </w:rPr>
      </w:pPr>
      <w:r w:rsidRPr="00604671">
        <w:rPr>
          <w:rStyle w:val="FootnoteReference"/>
          <w:sz w:val="20"/>
        </w:rPr>
        <w:footnoteRef/>
      </w:r>
      <w:r w:rsidRPr="00604671">
        <w:rPr>
          <w:sz w:val="20"/>
        </w:rPr>
        <w:t xml:space="preserve"> Ex. RM-1T at 3.</w:t>
      </w:r>
    </w:p>
  </w:footnote>
  <w:footnote w:id="12">
    <w:p w:rsidR="00F64C48" w:rsidRDefault="00604671" w:rsidP="006E6B99">
      <w:pPr>
        <w:pStyle w:val="FootnoteText"/>
        <w:ind w:firstLine="0"/>
        <w:jc w:val="both"/>
        <w:rPr>
          <w:sz w:val="20"/>
        </w:rPr>
      </w:pPr>
      <w:r w:rsidRPr="00604671">
        <w:rPr>
          <w:rStyle w:val="FootnoteReference"/>
          <w:sz w:val="20"/>
        </w:rPr>
        <w:footnoteRef/>
      </w:r>
      <w:r w:rsidRPr="00604671">
        <w:rPr>
          <w:sz w:val="20"/>
        </w:rPr>
        <w:t xml:space="preserve"> Hearing Tr. Vol. VI at 397:23-399:7 (Columbia Basin Hospital in Ephrata, in Protestant Consolidated Disposal Services, Inc.’s territory; Pullman Regional Hospital in Protestant Pullman Disposal Service’s territory; Samaritan Hospital in Moses Lake, in Protestant Consolidated’s territory).</w:t>
      </w:r>
    </w:p>
  </w:footnote>
  <w:footnote w:id="13">
    <w:p w:rsidR="00F9552E" w:rsidRPr="00FE53E1" w:rsidRDefault="00F9552E" w:rsidP="006E6B99">
      <w:pPr>
        <w:pStyle w:val="FootnoteText"/>
        <w:spacing w:line="240" w:lineRule="auto"/>
        <w:ind w:firstLine="0"/>
        <w:jc w:val="both"/>
        <w:rPr>
          <w:sz w:val="20"/>
        </w:rPr>
      </w:pPr>
      <w:r>
        <w:rPr>
          <w:rStyle w:val="FootnoteReference"/>
        </w:rPr>
        <w:footnoteRef/>
      </w:r>
      <w:r>
        <w:t xml:space="preserve"> </w:t>
      </w:r>
      <w:r w:rsidR="00925F93">
        <w:t xml:space="preserve">WRRA </w:t>
      </w:r>
      <w:r w:rsidRPr="00FE53E1">
        <w:rPr>
          <w:sz w:val="20"/>
        </w:rPr>
        <w:t>Petition ¶¶</w:t>
      </w:r>
      <w:r w:rsidR="00925F93">
        <w:rPr>
          <w:sz w:val="20"/>
        </w:rPr>
        <w:t xml:space="preserve"> </w:t>
      </w:r>
      <w:r w:rsidR="006E6B99">
        <w:rPr>
          <w:sz w:val="20"/>
        </w:rPr>
        <w:t>12-19.</w:t>
      </w:r>
    </w:p>
  </w:footnote>
  <w:footnote w:id="14">
    <w:p w:rsidR="00F9552E" w:rsidRPr="00FE53E1" w:rsidRDefault="00F9552E" w:rsidP="006E6B99">
      <w:pPr>
        <w:pStyle w:val="FootnoteText"/>
        <w:spacing w:line="240" w:lineRule="auto"/>
        <w:ind w:firstLine="0"/>
        <w:rPr>
          <w:sz w:val="20"/>
        </w:rPr>
      </w:pPr>
      <w:r w:rsidRPr="00FE53E1">
        <w:rPr>
          <w:rStyle w:val="FootnoteReference"/>
          <w:sz w:val="20"/>
        </w:rPr>
        <w:footnoteRef/>
      </w:r>
      <w:r w:rsidRPr="00FE53E1">
        <w:rPr>
          <w:sz w:val="20"/>
        </w:rPr>
        <w:t xml:space="preserve"> Order 07 ¶</w:t>
      </w:r>
      <w:r w:rsidR="001E1A30">
        <w:rPr>
          <w:sz w:val="20"/>
        </w:rPr>
        <w:t xml:space="preserve"> </w:t>
      </w:r>
      <w:r w:rsidRPr="00FE53E1">
        <w:rPr>
          <w:sz w:val="20"/>
        </w:rPr>
        <w:t>6 (emphasis in original)</w:t>
      </w:r>
      <w:r w:rsidR="006E6B99">
        <w:rPr>
          <w:sz w:val="20"/>
        </w:rPr>
        <w:t>.</w:t>
      </w:r>
    </w:p>
  </w:footnote>
  <w:footnote w:id="15">
    <w:p w:rsidR="00F9552E" w:rsidRPr="00FE53E1" w:rsidRDefault="00F9552E" w:rsidP="006E6B99">
      <w:pPr>
        <w:pStyle w:val="FootnoteText"/>
        <w:spacing w:line="240" w:lineRule="auto"/>
        <w:ind w:firstLine="0"/>
        <w:rPr>
          <w:sz w:val="20"/>
        </w:rPr>
      </w:pPr>
      <w:r w:rsidRPr="00FE53E1">
        <w:rPr>
          <w:rStyle w:val="FootnoteReference"/>
          <w:sz w:val="20"/>
        </w:rPr>
        <w:footnoteRef/>
      </w:r>
      <w:r w:rsidRPr="00FE53E1">
        <w:rPr>
          <w:sz w:val="20"/>
        </w:rPr>
        <w:t xml:space="preserve"> </w:t>
      </w:r>
      <w:r w:rsidR="006A6701">
        <w:rPr>
          <w:i/>
          <w:sz w:val="20"/>
        </w:rPr>
        <w:t>Id.</w:t>
      </w:r>
      <w:r w:rsidRPr="00FE53E1">
        <w:rPr>
          <w:sz w:val="20"/>
        </w:rPr>
        <w:t xml:space="preserve"> ¶</w:t>
      </w:r>
      <w:r w:rsidR="001E1A30">
        <w:rPr>
          <w:sz w:val="20"/>
        </w:rPr>
        <w:t xml:space="preserve"> 15.</w:t>
      </w:r>
    </w:p>
  </w:footnote>
  <w:footnote w:id="16">
    <w:p w:rsidR="00F9552E" w:rsidRPr="00FE53E1" w:rsidRDefault="00F9552E" w:rsidP="006E6B99">
      <w:pPr>
        <w:pStyle w:val="FootnoteText"/>
        <w:spacing w:line="240" w:lineRule="auto"/>
        <w:ind w:firstLine="0"/>
        <w:rPr>
          <w:sz w:val="20"/>
        </w:rPr>
      </w:pPr>
      <w:r w:rsidRPr="00FE53E1">
        <w:rPr>
          <w:rStyle w:val="FootnoteReference"/>
          <w:sz w:val="20"/>
        </w:rPr>
        <w:footnoteRef/>
      </w:r>
      <w:r w:rsidRPr="00FE53E1">
        <w:rPr>
          <w:sz w:val="20"/>
        </w:rPr>
        <w:t xml:space="preserve"> </w:t>
      </w:r>
      <w:r w:rsidR="006A6701">
        <w:rPr>
          <w:i/>
          <w:sz w:val="20"/>
        </w:rPr>
        <w:t>Id.</w:t>
      </w:r>
      <w:r w:rsidR="006A6701">
        <w:rPr>
          <w:sz w:val="20"/>
        </w:rPr>
        <w:t xml:space="preserve"> </w:t>
      </w:r>
      <w:r w:rsidRPr="00FE53E1">
        <w:rPr>
          <w:sz w:val="20"/>
        </w:rPr>
        <w:t>¶</w:t>
      </w:r>
      <w:r w:rsidR="001E1A30">
        <w:rPr>
          <w:sz w:val="20"/>
        </w:rPr>
        <w:t xml:space="preserve"> </w:t>
      </w:r>
      <w:r w:rsidR="006E6B99">
        <w:rPr>
          <w:sz w:val="20"/>
        </w:rPr>
        <w:t>16.</w:t>
      </w:r>
    </w:p>
  </w:footnote>
  <w:footnote w:id="17">
    <w:p w:rsidR="00F9552E" w:rsidRPr="00FE53E1" w:rsidRDefault="00F9552E" w:rsidP="006E6B99">
      <w:pPr>
        <w:pStyle w:val="FootnoteText"/>
        <w:spacing w:line="240" w:lineRule="auto"/>
        <w:ind w:firstLine="0"/>
        <w:rPr>
          <w:sz w:val="20"/>
        </w:rPr>
      </w:pPr>
      <w:r>
        <w:rPr>
          <w:rStyle w:val="FootnoteReference"/>
        </w:rPr>
        <w:footnoteRef/>
      </w:r>
      <w:r>
        <w:t xml:space="preserve"> </w:t>
      </w:r>
      <w:r w:rsidR="006A6701">
        <w:rPr>
          <w:i/>
        </w:rPr>
        <w:t>Id.</w:t>
      </w:r>
      <w:r>
        <w:rPr>
          <w:sz w:val="20"/>
        </w:rPr>
        <w:t xml:space="preserve"> </w:t>
      </w:r>
      <w:r w:rsidRPr="00FE53E1">
        <w:rPr>
          <w:sz w:val="20"/>
        </w:rPr>
        <w:t>¶</w:t>
      </w:r>
      <w:r w:rsidR="001E1A30">
        <w:rPr>
          <w:sz w:val="20"/>
        </w:rPr>
        <w:t xml:space="preserve"> </w:t>
      </w:r>
      <w:r w:rsidRPr="00FE53E1">
        <w:rPr>
          <w:sz w:val="20"/>
        </w:rPr>
        <w:t>15.</w:t>
      </w:r>
    </w:p>
  </w:footnote>
  <w:footnote w:id="18">
    <w:p w:rsidR="00F9552E" w:rsidRPr="00FE53E1" w:rsidRDefault="00F9552E" w:rsidP="006E6B99">
      <w:pPr>
        <w:pStyle w:val="FootnoteText"/>
        <w:spacing w:line="240" w:lineRule="auto"/>
        <w:ind w:firstLine="0"/>
        <w:rPr>
          <w:sz w:val="20"/>
        </w:rPr>
      </w:pPr>
      <w:r w:rsidRPr="00FE53E1">
        <w:rPr>
          <w:rStyle w:val="FootnoteReference"/>
          <w:sz w:val="20"/>
        </w:rPr>
        <w:footnoteRef/>
      </w:r>
      <w:r w:rsidRPr="00FE53E1">
        <w:rPr>
          <w:sz w:val="20"/>
        </w:rPr>
        <w:t xml:space="preserve"> </w:t>
      </w:r>
      <w:r w:rsidR="006500D9">
        <w:rPr>
          <w:sz w:val="20"/>
        </w:rPr>
        <w:t xml:space="preserve">WRRA </w:t>
      </w:r>
      <w:r w:rsidRPr="00FE53E1">
        <w:rPr>
          <w:sz w:val="20"/>
        </w:rPr>
        <w:t>Petition ¶</w:t>
      </w:r>
      <w:r w:rsidR="006500D9">
        <w:rPr>
          <w:sz w:val="20"/>
        </w:rPr>
        <w:t xml:space="preserve"> </w:t>
      </w:r>
      <w:r w:rsidR="006E6B99">
        <w:rPr>
          <w:sz w:val="20"/>
        </w:rPr>
        <w:t>13.</w:t>
      </w:r>
    </w:p>
  </w:footnote>
  <w:footnote w:id="19">
    <w:p w:rsidR="00F9552E" w:rsidRPr="00FE53E1" w:rsidRDefault="00F9552E" w:rsidP="006E6B99">
      <w:pPr>
        <w:pStyle w:val="FootnoteText"/>
        <w:spacing w:line="240" w:lineRule="auto"/>
        <w:ind w:firstLine="0"/>
        <w:jc w:val="both"/>
        <w:rPr>
          <w:sz w:val="20"/>
        </w:rPr>
      </w:pPr>
      <w:r w:rsidRPr="00FE53E1">
        <w:rPr>
          <w:rStyle w:val="FootnoteReference"/>
          <w:sz w:val="20"/>
        </w:rPr>
        <w:footnoteRef/>
      </w:r>
      <w:r w:rsidRPr="00FE53E1">
        <w:rPr>
          <w:sz w:val="20"/>
        </w:rPr>
        <w:t xml:space="preserve"> Order 07 ¶¶</w:t>
      </w:r>
      <w:r w:rsidR="004B6487">
        <w:rPr>
          <w:sz w:val="20"/>
        </w:rPr>
        <w:t xml:space="preserve"> </w:t>
      </w:r>
      <w:r w:rsidRPr="00FE53E1">
        <w:rPr>
          <w:sz w:val="20"/>
        </w:rPr>
        <w:t>11-12.</w:t>
      </w:r>
    </w:p>
  </w:footnote>
  <w:footnote w:id="20">
    <w:p w:rsidR="00F9552E" w:rsidRPr="00F43678" w:rsidRDefault="00F9552E" w:rsidP="006E6B99">
      <w:pPr>
        <w:pStyle w:val="FootnoteText"/>
        <w:spacing w:line="240" w:lineRule="auto"/>
        <w:ind w:firstLine="0"/>
        <w:jc w:val="both"/>
        <w:rPr>
          <w:sz w:val="20"/>
        </w:rPr>
      </w:pPr>
      <w:r w:rsidRPr="00F43678">
        <w:rPr>
          <w:rStyle w:val="FootnoteReference"/>
          <w:sz w:val="20"/>
        </w:rPr>
        <w:footnoteRef/>
      </w:r>
      <w:r w:rsidRPr="00F43678">
        <w:rPr>
          <w:sz w:val="20"/>
        </w:rPr>
        <w:t xml:space="preserve"> </w:t>
      </w:r>
      <w:r w:rsidRPr="00F43678">
        <w:rPr>
          <w:i/>
          <w:sz w:val="20"/>
        </w:rPr>
        <w:t>In re Dutchman Marine, LLC</w:t>
      </w:r>
      <w:r w:rsidR="00AC4019">
        <w:rPr>
          <w:i/>
          <w:sz w:val="20"/>
        </w:rPr>
        <w:t xml:space="preserve"> and Seattle Harbor Tours, Ltd. P’ship</w:t>
      </w:r>
      <w:r w:rsidRPr="00F43678">
        <w:rPr>
          <w:sz w:val="20"/>
        </w:rPr>
        <w:t xml:space="preserve">, </w:t>
      </w:r>
      <w:r w:rsidR="00AC4019" w:rsidRPr="00F43678">
        <w:rPr>
          <w:sz w:val="20"/>
        </w:rPr>
        <w:t>Docket</w:t>
      </w:r>
      <w:r w:rsidR="00AC4019">
        <w:rPr>
          <w:sz w:val="20"/>
        </w:rPr>
        <w:t xml:space="preserve"> No</w:t>
      </w:r>
      <w:r w:rsidR="00AC4019" w:rsidRPr="00F43678">
        <w:rPr>
          <w:sz w:val="20"/>
        </w:rPr>
        <w:t>s</w:t>
      </w:r>
      <w:r w:rsidR="00AC4019">
        <w:rPr>
          <w:sz w:val="20"/>
        </w:rPr>
        <w:t>.</w:t>
      </w:r>
      <w:r w:rsidRPr="00F43678">
        <w:rPr>
          <w:sz w:val="20"/>
        </w:rPr>
        <w:t xml:space="preserve"> TS-001774 &amp; TS-002055, </w:t>
      </w:r>
      <w:r w:rsidR="00AC4019">
        <w:rPr>
          <w:sz w:val="20"/>
        </w:rPr>
        <w:t xml:space="preserve">First Supplemental Order – Initial Order Granting Applications with Conditions (Sep. 19, 2001) and </w:t>
      </w:r>
      <w:r w:rsidRPr="00F43678">
        <w:rPr>
          <w:sz w:val="20"/>
        </w:rPr>
        <w:t>Second Supplemental Order – Commission Decision and Order Affirming Initial Order Granting Applications with Conditions (Oct. 19, 2011)</w:t>
      </w:r>
      <w:r w:rsidR="006E6B99">
        <w:rPr>
          <w:sz w:val="20"/>
        </w:rPr>
        <w:fldChar w:fldCharType="begin"/>
      </w:r>
      <w:r w:rsidR="006E6B99">
        <w:instrText xml:space="preserve"> TA \l "</w:instrText>
      </w:r>
      <w:r w:rsidR="006E6B99" w:rsidRPr="00991689">
        <w:rPr>
          <w:i/>
          <w:sz w:val="20"/>
        </w:rPr>
        <w:instrText>In re Dutchman Marine, LLC and Seattle Harbor Tours, Ltd. P’ship</w:instrText>
      </w:r>
      <w:r w:rsidR="006E6B99" w:rsidRPr="00991689">
        <w:rPr>
          <w:sz w:val="20"/>
        </w:rPr>
        <w:instrText>, Docket Nos. TS-001774 &amp; TS-002055, First Supplemental Order – Initial Order Granting Applications with Conditions (Sep. 19, 2001) and Second Supplemental Order – Commission Decision and Order Affirming Initial Order Granting Applications with Conditions (Oct. 19, 2011)</w:instrText>
      </w:r>
      <w:r w:rsidR="006E6B99">
        <w:instrText xml:space="preserve">" \s "In re Dutchman Marine, LLC and Seattle Harbor Tours, Ltd. P’ship, Docket Nos. TS-001774 &amp; TS-002055, First Supplemental Order – Initial Order Granting Applications with Conditions (Sep. 19, 2001) and Second Supplemental Order – Commission Decision and Ord" \c 1 </w:instrText>
      </w:r>
      <w:r w:rsidR="006E6B99">
        <w:rPr>
          <w:sz w:val="20"/>
        </w:rPr>
        <w:fldChar w:fldCharType="end"/>
      </w:r>
      <w:r w:rsidR="006E6B99">
        <w:rPr>
          <w:sz w:val="20"/>
        </w:rPr>
        <w:t>.</w:t>
      </w:r>
    </w:p>
  </w:footnote>
  <w:footnote w:id="21">
    <w:p w:rsidR="00F9552E" w:rsidRPr="00685410" w:rsidRDefault="00F9552E" w:rsidP="006E6B99">
      <w:pPr>
        <w:pStyle w:val="FootnoteText"/>
        <w:spacing w:line="240" w:lineRule="auto"/>
        <w:ind w:firstLine="0"/>
        <w:jc w:val="both"/>
        <w:rPr>
          <w:sz w:val="20"/>
        </w:rPr>
      </w:pPr>
      <w:r w:rsidRPr="00685410">
        <w:rPr>
          <w:rStyle w:val="FootnoteReference"/>
          <w:sz w:val="20"/>
        </w:rPr>
        <w:footnoteRef/>
      </w:r>
      <w:r w:rsidRPr="00685410">
        <w:rPr>
          <w:sz w:val="20"/>
        </w:rPr>
        <w:t xml:space="preserve"> </w:t>
      </w:r>
      <w:r w:rsidR="00AC4019" w:rsidRPr="008E5426">
        <w:rPr>
          <w:i/>
          <w:sz w:val="20"/>
        </w:rPr>
        <w:t>In re Dutchman Marine , LLC and Seattle Harbor Tours Ltd, P</w:t>
      </w:r>
      <w:r w:rsidR="00486D38">
        <w:rPr>
          <w:i/>
          <w:sz w:val="20"/>
        </w:rPr>
        <w:t>’</w:t>
      </w:r>
      <w:r w:rsidR="00AC4019" w:rsidRPr="008E5426">
        <w:rPr>
          <w:i/>
          <w:sz w:val="20"/>
        </w:rPr>
        <w:t>ship</w:t>
      </w:r>
      <w:r w:rsidR="00AC4019">
        <w:rPr>
          <w:sz w:val="20"/>
        </w:rPr>
        <w:t xml:space="preserve">, Docket No. TS-001774 &amp; TS-002055, </w:t>
      </w:r>
      <w:r w:rsidRPr="00685410">
        <w:rPr>
          <w:sz w:val="20"/>
        </w:rPr>
        <w:t xml:space="preserve">Second Supplemental Order </w:t>
      </w:r>
      <w:r w:rsidR="008E5426">
        <w:rPr>
          <w:sz w:val="20"/>
        </w:rPr>
        <w:t xml:space="preserve">– </w:t>
      </w:r>
      <w:r w:rsidR="008E5426" w:rsidRPr="00F43678">
        <w:rPr>
          <w:sz w:val="20"/>
        </w:rPr>
        <w:t xml:space="preserve">Commission Decision and Order Affirming Initial Order Granting Applications with Conditions </w:t>
      </w:r>
      <w:r w:rsidRPr="00685410">
        <w:rPr>
          <w:sz w:val="20"/>
        </w:rPr>
        <w:t>at 1</w:t>
      </w:r>
      <w:r w:rsidR="00E329E5">
        <w:rPr>
          <w:sz w:val="20"/>
        </w:rPr>
        <w:t xml:space="preserve"> </w:t>
      </w:r>
      <w:r w:rsidR="008E5426" w:rsidRPr="00F43678">
        <w:rPr>
          <w:sz w:val="20"/>
        </w:rPr>
        <w:t>(Oct. 19, 2011)</w:t>
      </w:r>
      <w:r w:rsidR="002B3188">
        <w:rPr>
          <w:sz w:val="20"/>
        </w:rPr>
        <w:fldChar w:fldCharType="begin"/>
      </w:r>
      <w:r w:rsidR="002B3188">
        <w:instrText xml:space="preserve"> TA \l "</w:instrText>
      </w:r>
      <w:r w:rsidR="002B3188" w:rsidRPr="00F2216B">
        <w:rPr>
          <w:i/>
          <w:sz w:val="20"/>
        </w:rPr>
        <w:instrText>In re Dutchman Marine , LLC and Seattle Harbor Tours Ltd, Pship</w:instrText>
      </w:r>
      <w:r w:rsidR="002B3188" w:rsidRPr="00F2216B">
        <w:rPr>
          <w:sz w:val="20"/>
        </w:rPr>
        <w:instrText>, Docket No. TS-001774 &amp; TS-002055, Second Supplemental Order – Commission Decision and Order Affirming Initial Order Granting Applications with Conditions at 1 (Oct. 19, 2011)</w:instrText>
      </w:r>
      <w:r w:rsidR="002B3188">
        <w:instrText xml:space="preserve">" \s "In re Dutchman Marine , LLC and Seattle Harbor Tours Ltd, Pship, Docket No. TS-001774 &amp; TS-002055, Second Supplemental Order – Commission Decision and Order Affirming Initial Order Granting Applications with Conditions at 1 (Oct. 19, 2011)" \c 1 </w:instrText>
      </w:r>
      <w:r w:rsidR="002B3188">
        <w:rPr>
          <w:sz w:val="20"/>
        </w:rPr>
        <w:fldChar w:fldCharType="end"/>
      </w:r>
      <w:r w:rsidRPr="00685410">
        <w:rPr>
          <w:sz w:val="20"/>
        </w:rPr>
        <w:t xml:space="preserve">.  The argument by </w:t>
      </w:r>
      <w:r w:rsidR="00E329E5">
        <w:rPr>
          <w:sz w:val="20"/>
        </w:rPr>
        <w:t xml:space="preserve">the </w:t>
      </w:r>
      <w:r w:rsidRPr="00685410">
        <w:rPr>
          <w:sz w:val="20"/>
        </w:rPr>
        <w:t xml:space="preserve">WRRA Protestants regarding erroneous </w:t>
      </w:r>
      <w:r w:rsidR="008E5426">
        <w:rPr>
          <w:sz w:val="20"/>
        </w:rPr>
        <w:t>references to</w:t>
      </w:r>
      <w:r w:rsidRPr="00685410">
        <w:rPr>
          <w:sz w:val="20"/>
        </w:rPr>
        <w:t xml:space="preserve"> the initial order </w:t>
      </w:r>
      <w:r>
        <w:rPr>
          <w:sz w:val="20"/>
        </w:rPr>
        <w:t xml:space="preserve">of </w:t>
      </w:r>
      <w:r w:rsidRPr="006C4707">
        <w:rPr>
          <w:i/>
          <w:sz w:val="20"/>
        </w:rPr>
        <w:t>Dutchman Marine</w:t>
      </w:r>
      <w:r w:rsidRPr="00685410">
        <w:rPr>
          <w:sz w:val="20"/>
        </w:rPr>
        <w:t xml:space="preserve"> is somewhat baffling.  </w:t>
      </w:r>
      <w:r>
        <w:rPr>
          <w:sz w:val="20"/>
        </w:rPr>
        <w:t>Admittedly, i</w:t>
      </w:r>
      <w:r w:rsidRPr="00685410">
        <w:rPr>
          <w:sz w:val="20"/>
        </w:rPr>
        <w:t xml:space="preserve">f </w:t>
      </w:r>
      <w:r>
        <w:rPr>
          <w:sz w:val="20"/>
        </w:rPr>
        <w:t>an</w:t>
      </w:r>
      <w:r w:rsidRPr="00685410">
        <w:rPr>
          <w:sz w:val="20"/>
        </w:rPr>
        <w:t xml:space="preserve"> initial order becomes final by operation of law, then it has no precedential value.  WAC 480-07-825(7)</w:t>
      </w:r>
      <w:r w:rsidR="002B3188">
        <w:rPr>
          <w:sz w:val="20"/>
        </w:rPr>
        <w:fldChar w:fldCharType="begin"/>
      </w:r>
      <w:r w:rsidR="002B3188">
        <w:instrText xml:space="preserve"> TA \l "</w:instrText>
      </w:r>
      <w:r w:rsidR="002B3188" w:rsidRPr="00103F5D">
        <w:rPr>
          <w:sz w:val="20"/>
        </w:rPr>
        <w:instrText>WAC 480-07-825(7)</w:instrText>
      </w:r>
      <w:r w:rsidR="002B3188">
        <w:instrText xml:space="preserve">" \s "WAC 480-07-825(7)" \c 6 </w:instrText>
      </w:r>
      <w:r w:rsidR="002B3188">
        <w:rPr>
          <w:sz w:val="20"/>
        </w:rPr>
        <w:fldChar w:fldCharType="end"/>
      </w:r>
      <w:r w:rsidRPr="00685410">
        <w:rPr>
          <w:sz w:val="20"/>
        </w:rPr>
        <w:t xml:space="preserve">.  That does not appear to be what happened in the </w:t>
      </w:r>
      <w:r w:rsidRPr="006C4707">
        <w:rPr>
          <w:i/>
          <w:sz w:val="20"/>
        </w:rPr>
        <w:t>Dutchman Marine</w:t>
      </w:r>
      <w:r w:rsidRPr="00685410">
        <w:rPr>
          <w:sz w:val="20"/>
        </w:rPr>
        <w:t xml:space="preserve"> case.  Under the WUTC rules, an initial order becomes final</w:t>
      </w:r>
      <w:r>
        <w:rPr>
          <w:sz w:val="20"/>
        </w:rPr>
        <w:t xml:space="preserve"> by agency action</w:t>
      </w:r>
      <w:r w:rsidRPr="00685410">
        <w:rPr>
          <w:sz w:val="20"/>
        </w:rPr>
        <w:t xml:space="preserve"> whenever </w:t>
      </w:r>
      <w:r w:rsidR="00E329E5">
        <w:rPr>
          <w:sz w:val="20"/>
        </w:rPr>
        <w:t>“</w:t>
      </w:r>
      <w:r w:rsidRPr="00685410">
        <w:rPr>
          <w:sz w:val="20"/>
        </w:rPr>
        <w:t>the Commissioners enter an order after the period available for petitions for administrative review and no such petition has been filed</w:t>
      </w:r>
      <w:r w:rsidR="00E329E5">
        <w:rPr>
          <w:sz w:val="20"/>
        </w:rPr>
        <w:t>.</w:t>
      </w:r>
      <w:r w:rsidRPr="00685410">
        <w:rPr>
          <w:sz w:val="20"/>
        </w:rPr>
        <w:t>…”  WAC 480-07-820(b)(iii)</w:t>
      </w:r>
      <w:r w:rsidR="002B3188">
        <w:rPr>
          <w:sz w:val="20"/>
        </w:rPr>
        <w:fldChar w:fldCharType="begin"/>
      </w:r>
      <w:r w:rsidR="002B3188">
        <w:instrText xml:space="preserve"> TA \l "</w:instrText>
      </w:r>
      <w:r w:rsidR="002B3188" w:rsidRPr="000D334A">
        <w:rPr>
          <w:sz w:val="20"/>
        </w:rPr>
        <w:instrText>WAC 480-07-820(b)(iii)</w:instrText>
      </w:r>
      <w:r w:rsidR="002B3188">
        <w:instrText xml:space="preserve">" \s "WAC 480-07-820(b)(iii)" \c 6 </w:instrText>
      </w:r>
      <w:r w:rsidR="002B3188">
        <w:rPr>
          <w:sz w:val="20"/>
        </w:rPr>
        <w:fldChar w:fldCharType="end"/>
      </w:r>
      <w:r w:rsidRPr="00685410">
        <w:rPr>
          <w:sz w:val="20"/>
        </w:rPr>
        <w:t xml:space="preserve">.  In the </w:t>
      </w:r>
      <w:r w:rsidRPr="006C4707">
        <w:rPr>
          <w:i/>
          <w:sz w:val="20"/>
        </w:rPr>
        <w:t>Dutchman Marine</w:t>
      </w:r>
      <w:r w:rsidRPr="00685410">
        <w:rPr>
          <w:sz w:val="20"/>
        </w:rPr>
        <w:t xml:space="preserve"> case, the Second Supplement</w:t>
      </w:r>
      <w:r w:rsidR="008E5426">
        <w:rPr>
          <w:sz w:val="20"/>
        </w:rPr>
        <w:t>al</w:t>
      </w:r>
      <w:r w:rsidRPr="00685410">
        <w:rPr>
          <w:sz w:val="20"/>
        </w:rPr>
        <w:t xml:space="preserve"> Order recites that no </w:t>
      </w:r>
      <w:r>
        <w:rPr>
          <w:sz w:val="20"/>
        </w:rPr>
        <w:t xml:space="preserve">timely </w:t>
      </w:r>
      <w:r w:rsidRPr="00685410">
        <w:rPr>
          <w:sz w:val="20"/>
        </w:rPr>
        <w:t xml:space="preserve">petition was filed and </w:t>
      </w:r>
      <w:r w:rsidR="00E329E5">
        <w:rPr>
          <w:sz w:val="20"/>
        </w:rPr>
        <w:t xml:space="preserve">the Order </w:t>
      </w:r>
      <w:r w:rsidRPr="00685410">
        <w:rPr>
          <w:sz w:val="20"/>
        </w:rPr>
        <w:t>was entered over the signature of all three Commissioners.  The Commissioners “affirmed and adopted” the initial order, which is also contemplated by rule for a final order.  WAC 480-07-825(9)</w:t>
      </w:r>
      <w:r w:rsidR="002B3188">
        <w:rPr>
          <w:sz w:val="20"/>
        </w:rPr>
        <w:fldChar w:fldCharType="begin"/>
      </w:r>
      <w:r w:rsidR="002B3188">
        <w:instrText xml:space="preserve"> TA \l "</w:instrText>
      </w:r>
      <w:r w:rsidR="002B3188" w:rsidRPr="009D6CE9">
        <w:rPr>
          <w:sz w:val="20"/>
        </w:rPr>
        <w:instrText>WAC 480-07-825(9)</w:instrText>
      </w:r>
      <w:r w:rsidR="002B3188">
        <w:instrText xml:space="preserve">" \s "WAC 480-07-825(9)" \c 6 </w:instrText>
      </w:r>
      <w:r w:rsidR="002B3188">
        <w:rPr>
          <w:sz w:val="20"/>
        </w:rPr>
        <w:fldChar w:fldCharType="end"/>
      </w:r>
      <w:r w:rsidRPr="00685410">
        <w:rPr>
          <w:sz w:val="20"/>
        </w:rPr>
        <w:t xml:space="preserve">.  As noted by </w:t>
      </w:r>
      <w:r w:rsidR="00E329E5">
        <w:rPr>
          <w:sz w:val="20"/>
        </w:rPr>
        <w:t xml:space="preserve">the </w:t>
      </w:r>
      <w:r w:rsidRPr="00685410">
        <w:rPr>
          <w:sz w:val="20"/>
        </w:rPr>
        <w:t xml:space="preserve">WRRA Protestants, the Second Supplemental Order was not the Commission “Standard Notice of Finality,” and did not include the standard statement that the “Commission does not endorse the order’s reasoning and conclusions.”  </w:t>
      </w:r>
      <w:r w:rsidR="008E5426">
        <w:rPr>
          <w:sz w:val="20"/>
        </w:rPr>
        <w:t xml:space="preserve">WRRA </w:t>
      </w:r>
      <w:r w:rsidRPr="00685410">
        <w:rPr>
          <w:sz w:val="20"/>
        </w:rPr>
        <w:t xml:space="preserve">Petition </w:t>
      </w:r>
      <w:r w:rsidR="00E329E5">
        <w:rPr>
          <w:sz w:val="20"/>
        </w:rPr>
        <w:t>n.</w:t>
      </w:r>
      <w:r w:rsidRPr="00685410">
        <w:rPr>
          <w:sz w:val="20"/>
        </w:rPr>
        <w:t xml:space="preserve">15.  Indeed, it includes a recitation that “This is a final order of the Commission.”  Waste Management can only assume that citation to the analysis in the Dutchman Marine initial order is proper.  The allegations of error on this point are mistaken – albeit irrelevant because the </w:t>
      </w:r>
      <w:r w:rsidR="00604671" w:rsidRPr="00604671">
        <w:rPr>
          <w:i/>
          <w:sz w:val="20"/>
        </w:rPr>
        <w:t>Dutchman Marine</w:t>
      </w:r>
      <w:r w:rsidRPr="00685410">
        <w:rPr>
          <w:sz w:val="20"/>
        </w:rPr>
        <w:t xml:space="preserve"> case was cited in the Initial Order for illustrative purposes and not for precedential </w:t>
      </w:r>
      <w:r>
        <w:rPr>
          <w:sz w:val="20"/>
        </w:rPr>
        <w:t>authority</w:t>
      </w:r>
      <w:r w:rsidRPr="00685410">
        <w:rPr>
          <w:sz w:val="20"/>
        </w:rPr>
        <w:t>.</w:t>
      </w:r>
    </w:p>
  </w:footnote>
  <w:footnote w:id="22">
    <w:p w:rsidR="00F9552E" w:rsidRPr="00FE53E1" w:rsidRDefault="00F9552E" w:rsidP="00586950">
      <w:pPr>
        <w:pStyle w:val="FootnoteText"/>
        <w:spacing w:line="240" w:lineRule="auto"/>
        <w:ind w:firstLine="0"/>
        <w:rPr>
          <w:sz w:val="20"/>
        </w:rPr>
      </w:pPr>
      <w:r w:rsidRPr="00FE53E1">
        <w:rPr>
          <w:rStyle w:val="FootnoteReference"/>
          <w:sz w:val="20"/>
        </w:rPr>
        <w:footnoteRef/>
      </w:r>
      <w:r w:rsidRPr="00FE53E1">
        <w:rPr>
          <w:sz w:val="20"/>
        </w:rPr>
        <w:t xml:space="preserve"> Stericycle</w:t>
      </w:r>
      <w:r w:rsidR="00E329E5">
        <w:rPr>
          <w:sz w:val="20"/>
        </w:rPr>
        <w:t>’s</w:t>
      </w:r>
      <w:r w:rsidRPr="00FE53E1">
        <w:rPr>
          <w:sz w:val="20"/>
        </w:rPr>
        <w:t xml:space="preserve"> Petition</w:t>
      </w:r>
      <w:r w:rsidR="00E329E5">
        <w:rPr>
          <w:sz w:val="20"/>
        </w:rPr>
        <w:t xml:space="preserve"> for Review</w:t>
      </w:r>
      <w:r w:rsidRPr="00FE53E1">
        <w:rPr>
          <w:sz w:val="20"/>
        </w:rPr>
        <w:t xml:space="preserve"> ¶</w:t>
      </w:r>
      <w:r w:rsidR="00E329E5">
        <w:rPr>
          <w:sz w:val="20"/>
        </w:rPr>
        <w:t xml:space="preserve"> </w:t>
      </w:r>
      <w:r w:rsidRPr="00FE53E1">
        <w:rPr>
          <w:sz w:val="20"/>
        </w:rPr>
        <w:t>83.</w:t>
      </w:r>
    </w:p>
  </w:footnote>
  <w:footnote w:id="23">
    <w:p w:rsidR="00F9552E" w:rsidRPr="002B3188" w:rsidRDefault="00F9552E" w:rsidP="002B3188">
      <w:pPr>
        <w:pStyle w:val="FootnoteText"/>
        <w:spacing w:line="240" w:lineRule="auto"/>
        <w:ind w:firstLine="0"/>
        <w:jc w:val="both"/>
        <w:rPr>
          <w:sz w:val="20"/>
        </w:rPr>
      </w:pPr>
      <w:r>
        <w:rPr>
          <w:rStyle w:val="FootnoteReference"/>
        </w:rPr>
        <w:footnoteRef/>
      </w:r>
      <w:r>
        <w:t xml:space="preserve"> </w:t>
      </w:r>
      <w:r w:rsidRPr="00AB58DA">
        <w:rPr>
          <w:sz w:val="20"/>
        </w:rPr>
        <w:t>Initial Order ¶</w:t>
      </w:r>
      <w:r w:rsidR="009956BE">
        <w:rPr>
          <w:sz w:val="20"/>
        </w:rPr>
        <w:t xml:space="preserve"> </w:t>
      </w:r>
      <w:r w:rsidRPr="00AB58DA">
        <w:rPr>
          <w:sz w:val="20"/>
        </w:rPr>
        <w:t xml:space="preserve">11 </w:t>
      </w:r>
      <w:r w:rsidR="009956BE">
        <w:rPr>
          <w:sz w:val="20"/>
        </w:rPr>
        <w:t>(quoting</w:t>
      </w:r>
      <w:r w:rsidRPr="00AB58DA">
        <w:rPr>
          <w:sz w:val="20"/>
        </w:rPr>
        <w:t xml:space="preserve"> </w:t>
      </w:r>
      <w:r w:rsidRPr="00AB58DA">
        <w:rPr>
          <w:i/>
          <w:sz w:val="20"/>
        </w:rPr>
        <w:t>In re Sure-Way Incineration, Inc.</w:t>
      </w:r>
      <w:r w:rsidRPr="00AB58DA">
        <w:rPr>
          <w:sz w:val="20"/>
        </w:rPr>
        <w:t>, App. No. GA-868, Order No. 1451 at 16-17 ( Nov. 30, 1990) (“The Commission is not ready to say that grant of one application for statewide authority would preclude a grant of others, and will consider this element in future proceedings.”)</w:t>
      </w:r>
      <w:r>
        <w:rPr>
          <w:sz w:val="20"/>
        </w:rPr>
        <w:t>)</w:t>
      </w:r>
      <w:r w:rsidRPr="00AB58DA">
        <w:rPr>
          <w:sz w:val="20"/>
        </w:rPr>
        <w:t xml:space="preserve">.  Stericycle would prefer the outcome in this case to rest on the Commission’s report to the legislature predicated by litigation involving ferry service on Lake Chelan </w:t>
      </w:r>
      <w:r w:rsidR="009956BE">
        <w:rPr>
          <w:sz w:val="20"/>
        </w:rPr>
        <w:t xml:space="preserve">rather </w:t>
      </w:r>
      <w:r w:rsidRPr="00AB58DA">
        <w:rPr>
          <w:sz w:val="20"/>
        </w:rPr>
        <w:t>than consider the Commission’s own, recent findings about the need for competition in biomedical waste collection services.  Stericycle</w:t>
      </w:r>
      <w:r w:rsidR="009956BE">
        <w:rPr>
          <w:sz w:val="20"/>
        </w:rPr>
        <w:t>’s</w:t>
      </w:r>
      <w:r w:rsidRPr="00AB58DA">
        <w:rPr>
          <w:sz w:val="20"/>
        </w:rPr>
        <w:t xml:space="preserve"> Petition ¶</w:t>
      </w:r>
      <w:r w:rsidR="009956BE">
        <w:rPr>
          <w:sz w:val="20"/>
        </w:rPr>
        <w:t xml:space="preserve">¶ </w:t>
      </w:r>
      <w:r w:rsidRPr="00AB58DA">
        <w:rPr>
          <w:sz w:val="20"/>
        </w:rPr>
        <w:t>85</w:t>
      </w:r>
      <w:r w:rsidR="009956BE">
        <w:rPr>
          <w:sz w:val="20"/>
        </w:rPr>
        <w:t>-</w:t>
      </w:r>
      <w:r w:rsidRPr="00AB58DA">
        <w:rPr>
          <w:sz w:val="20"/>
        </w:rPr>
        <w:t xml:space="preserve">86 (“The only other source cited for the purposed Commission policy in favor of competition is a single sentence in a final order resolving motions for summary determination in </w:t>
      </w:r>
      <w:r w:rsidRPr="002B3188">
        <w:rPr>
          <w:i/>
          <w:sz w:val="20"/>
        </w:rPr>
        <w:t>Stericycle v. Waste Management</w:t>
      </w:r>
      <w:r w:rsidRPr="002B3188">
        <w:rPr>
          <w:sz w:val="20"/>
        </w:rPr>
        <w:t xml:space="preserve">,….”).  It fails to mention that in that litigation that culminated in the ostensibly irrelevant and isolated statement, Stericycle itself urged the Commission to </w:t>
      </w:r>
      <w:r w:rsidRPr="002B3188">
        <w:rPr>
          <w:sz w:val="20"/>
          <w:u w:val="single"/>
        </w:rPr>
        <w:t>require</w:t>
      </w:r>
      <w:r w:rsidRPr="002B3188">
        <w:rPr>
          <w:sz w:val="20"/>
        </w:rPr>
        <w:t xml:space="preserve"> that Waste Management perform statewide authority.  </w:t>
      </w:r>
      <w:r w:rsidR="006E6B99" w:rsidRPr="002B3188">
        <w:rPr>
          <w:i/>
          <w:iCs/>
          <w:sz w:val="20"/>
        </w:rPr>
        <w:t>In re Pet’n of Stericycle of Wash., Inc.</w:t>
      </w:r>
      <w:r w:rsidR="006E6B99" w:rsidRPr="002B3188">
        <w:rPr>
          <w:sz w:val="20"/>
        </w:rPr>
        <w:t>, Docket TG-110287, Pet’n of Stericycle of Wash. ¶ 3 (Feb. 10, 2011) (requesting that the Commission “condition[] approval of any tariff filed by Waste Management for biomedical waste collection and transportation services on the successful prosecution by Waste Management of an application for statewide biomedical waste collection authority”).</w:t>
      </w:r>
    </w:p>
  </w:footnote>
  <w:footnote w:id="24">
    <w:p w:rsidR="00F9552E" w:rsidRPr="002B3188" w:rsidRDefault="00F9552E" w:rsidP="002B3188">
      <w:pPr>
        <w:pStyle w:val="FootnoteText"/>
        <w:spacing w:line="240" w:lineRule="auto"/>
        <w:ind w:firstLine="0"/>
        <w:jc w:val="both"/>
        <w:rPr>
          <w:sz w:val="20"/>
        </w:rPr>
      </w:pPr>
      <w:r w:rsidRPr="002B3188">
        <w:rPr>
          <w:rStyle w:val="FootnoteReference"/>
          <w:sz w:val="20"/>
        </w:rPr>
        <w:footnoteRef/>
      </w:r>
      <w:r w:rsidRPr="002B3188">
        <w:rPr>
          <w:sz w:val="20"/>
        </w:rPr>
        <w:t xml:space="preserve"> </w:t>
      </w:r>
      <w:r w:rsidRPr="002B3188">
        <w:rPr>
          <w:i/>
          <w:sz w:val="20"/>
        </w:rPr>
        <w:t>Stericycle of Wash., Inc. v. Waste Mgmt. of Wash., Inc.</w:t>
      </w:r>
      <w:r w:rsidRPr="002B3188">
        <w:rPr>
          <w:sz w:val="20"/>
        </w:rPr>
        <w:t>, Docket TG-110553, Final Order on Cross-Mot. for Dismissal &amp; Summ. Determination at 14-15 (July 13, 2011)</w:t>
      </w:r>
      <w:r w:rsidR="002B3188">
        <w:rPr>
          <w:sz w:val="20"/>
        </w:rPr>
        <w:fldChar w:fldCharType="begin"/>
      </w:r>
      <w:r w:rsidR="002B3188">
        <w:instrText xml:space="preserve"> TA \l "</w:instrText>
      </w:r>
      <w:r w:rsidR="002B3188" w:rsidRPr="00694A02">
        <w:rPr>
          <w:i/>
          <w:sz w:val="20"/>
        </w:rPr>
        <w:instrText>Stericycle of Wash., Inc. v. Waste Mgmt. of Wash., Inc.</w:instrText>
      </w:r>
      <w:r w:rsidR="002B3188" w:rsidRPr="00694A02">
        <w:rPr>
          <w:sz w:val="20"/>
        </w:rPr>
        <w:instrText>, Docket TG-110553, Final Order on Cross-Mot. for Dismissal &amp; Summ. Determination at 14-15 (July 13, 2011)</w:instrText>
      </w:r>
      <w:r w:rsidR="002B3188">
        <w:instrText xml:space="preserve">" \s "Stericycle of Wash., Inc. v. Waste Mgmt. of Wash., Inc., Docket TG-110553, Final Order on Cross-Mot. for Dismissal &amp; Summ. Determination at 14-15 (July 13, 2011)" \c 1 </w:instrText>
      </w:r>
      <w:r w:rsidR="002B3188">
        <w:rPr>
          <w:sz w:val="20"/>
        </w:rPr>
        <w:fldChar w:fldCharType="end"/>
      </w:r>
      <w:r w:rsidRPr="002B3188">
        <w:rPr>
          <w:sz w:val="20"/>
        </w:rPr>
        <w:t xml:space="preserve"> (The Commission “recognized that its regulation of this specialized service is underpinned by different policies than the ones applicable to traditional solid waste collection ….”).</w:t>
      </w:r>
    </w:p>
  </w:footnote>
  <w:footnote w:id="25">
    <w:p w:rsidR="00F9552E" w:rsidRPr="002B3188" w:rsidRDefault="00F9552E" w:rsidP="002B3188">
      <w:pPr>
        <w:pStyle w:val="FootnoteText"/>
        <w:spacing w:line="240" w:lineRule="auto"/>
        <w:ind w:firstLine="0"/>
        <w:jc w:val="both"/>
        <w:rPr>
          <w:sz w:val="20"/>
        </w:rPr>
      </w:pPr>
      <w:r w:rsidRPr="002B3188">
        <w:rPr>
          <w:rStyle w:val="FootnoteReference"/>
          <w:sz w:val="20"/>
        </w:rPr>
        <w:footnoteRef/>
      </w:r>
      <w:r w:rsidRPr="002B3188">
        <w:rPr>
          <w:sz w:val="20"/>
        </w:rPr>
        <w:t xml:space="preserve"> </w:t>
      </w:r>
      <w:r w:rsidR="00A5666B" w:rsidRPr="002B3188">
        <w:rPr>
          <w:sz w:val="20"/>
        </w:rPr>
        <w:t>To avoid duplication, Waste Management addresses this point further in its Answer to Stericycle’s Petition for Administrative Review</w:t>
      </w:r>
      <w:r w:rsidR="00A50AFA" w:rsidRPr="002B3188">
        <w:rPr>
          <w:sz w:val="20"/>
        </w:rPr>
        <w:t>.</w:t>
      </w:r>
    </w:p>
  </w:footnote>
  <w:footnote w:id="26">
    <w:p w:rsidR="00683D5B" w:rsidRPr="002B3188" w:rsidRDefault="00683D5B" w:rsidP="002B3188">
      <w:pPr>
        <w:pStyle w:val="FootnoteText"/>
        <w:spacing w:line="240" w:lineRule="auto"/>
        <w:ind w:firstLine="0"/>
        <w:jc w:val="both"/>
        <w:rPr>
          <w:sz w:val="20"/>
        </w:rPr>
      </w:pPr>
      <w:r w:rsidRPr="002B3188">
        <w:rPr>
          <w:rStyle w:val="FootnoteReference"/>
          <w:sz w:val="20"/>
        </w:rPr>
        <w:footnoteRef/>
      </w:r>
      <w:r w:rsidRPr="002B3188">
        <w:rPr>
          <w:sz w:val="20"/>
        </w:rPr>
        <w:t xml:space="preserve"> </w:t>
      </w:r>
      <w:r w:rsidRPr="002B3188">
        <w:rPr>
          <w:i/>
          <w:sz w:val="20"/>
        </w:rPr>
        <w:t xml:space="preserve">See </w:t>
      </w:r>
      <w:r w:rsidRPr="002B3188">
        <w:rPr>
          <w:sz w:val="20"/>
        </w:rPr>
        <w:t>Ex. MAW-22.</w:t>
      </w:r>
    </w:p>
  </w:footnote>
  <w:footnote w:id="27">
    <w:p w:rsidR="006E6B99" w:rsidRPr="002B3188" w:rsidRDefault="006E6B99" w:rsidP="002B3188">
      <w:pPr>
        <w:pStyle w:val="FootnoteText"/>
        <w:spacing w:line="240" w:lineRule="auto"/>
        <w:ind w:firstLine="0"/>
        <w:jc w:val="both"/>
        <w:rPr>
          <w:sz w:val="20"/>
        </w:rPr>
      </w:pPr>
      <w:r w:rsidRPr="002B3188">
        <w:rPr>
          <w:rStyle w:val="FootnoteReference"/>
          <w:sz w:val="20"/>
        </w:rPr>
        <w:footnoteRef/>
      </w:r>
      <w:r w:rsidRPr="002B3188">
        <w:rPr>
          <w:sz w:val="20"/>
        </w:rPr>
        <w:t xml:space="preserve"> It has filed twice to add new rates, but has not otherwise changed its basic rates.  </w:t>
      </w:r>
      <w:r w:rsidRPr="002B3188">
        <w:rPr>
          <w:i/>
          <w:sz w:val="20"/>
        </w:rPr>
        <w:t>See, e.g.,</w:t>
      </w:r>
      <w:r w:rsidRPr="002B3188">
        <w:rPr>
          <w:sz w:val="20"/>
        </w:rPr>
        <w:t xml:space="preserve"> Stericycle of Washington, Inc. Docket No. TG-011370 (December 1, 2001) (minimum charges) and Docket No. TG-081200 (August 11, 2008) (charges for incinerating pharmaceuticals).</w:t>
      </w:r>
    </w:p>
  </w:footnote>
  <w:footnote w:id="28">
    <w:p w:rsidR="006E6B99" w:rsidRPr="002B3188" w:rsidRDefault="006E6B99" w:rsidP="002B3188">
      <w:pPr>
        <w:pStyle w:val="FootnoteText"/>
        <w:spacing w:line="240" w:lineRule="auto"/>
        <w:ind w:firstLine="0"/>
        <w:jc w:val="both"/>
        <w:rPr>
          <w:sz w:val="20"/>
        </w:rPr>
      </w:pPr>
      <w:r w:rsidRPr="002B3188">
        <w:rPr>
          <w:rStyle w:val="FootnoteReference"/>
          <w:sz w:val="20"/>
        </w:rPr>
        <w:footnoteRef/>
      </w:r>
      <w:r w:rsidRPr="002B3188">
        <w:rPr>
          <w:sz w:val="20"/>
        </w:rPr>
        <w:t xml:space="preserve"> Order ¶13; Stericycle of Wash., Inc., Docket No. TG-111023 (June 13, 2011).</w:t>
      </w:r>
    </w:p>
  </w:footnote>
  <w:footnote w:id="29">
    <w:p w:rsidR="006E6B99" w:rsidRPr="002B3188" w:rsidRDefault="006E6B99" w:rsidP="002B3188">
      <w:pPr>
        <w:pStyle w:val="FootnoteText"/>
        <w:spacing w:line="240" w:lineRule="auto"/>
        <w:ind w:firstLine="0"/>
        <w:jc w:val="both"/>
        <w:rPr>
          <w:sz w:val="20"/>
        </w:rPr>
      </w:pPr>
      <w:r w:rsidRPr="002B3188">
        <w:rPr>
          <w:rStyle w:val="FootnoteReference"/>
          <w:sz w:val="20"/>
        </w:rPr>
        <w:footnoteRef/>
      </w:r>
      <w:r w:rsidRPr="002B3188">
        <w:rPr>
          <w:sz w:val="20"/>
        </w:rPr>
        <w:t xml:space="preserve"> WM Healthcare Solutions of WA – Tariff No. 2 (effective April 6, 2011), Docket TG</w:t>
      </w:r>
      <w:r w:rsidRPr="002B3188">
        <w:rPr>
          <w:sz w:val="20"/>
        </w:rPr>
        <w:noBreakHyphen/>
        <w:t xml:space="preserve">110552 (The Commission allowed Waste Management’s tariff to go into effect by operation of law.); </w:t>
      </w:r>
      <w:r w:rsidRPr="002B3188">
        <w:rPr>
          <w:i/>
          <w:sz w:val="20"/>
        </w:rPr>
        <w:t>Stericycle v. Waste Mgmt.</w:t>
      </w:r>
      <w:r w:rsidRPr="002B3188">
        <w:rPr>
          <w:sz w:val="20"/>
        </w:rPr>
        <w:t>, Docket TG</w:t>
      </w:r>
      <w:r w:rsidRPr="002B3188">
        <w:rPr>
          <w:sz w:val="20"/>
        </w:rPr>
        <w:noBreakHyphen/>
        <w:t>110553, Order 02 (July 13, 2011)</w:t>
      </w:r>
      <w:r w:rsidR="002B3188">
        <w:rPr>
          <w:sz w:val="20"/>
        </w:rPr>
        <w:fldChar w:fldCharType="begin"/>
      </w:r>
      <w:r w:rsidR="002B3188">
        <w:instrText xml:space="preserve"> TA \s "Stericycle of Wash., Inc. v. Waste Mgmt. of Wash., Inc., Docket TG-110553, Final Order on Cross-Mot. for Dismissal &amp; Summ. Determination at 14-15 (July 13, 2011)" </w:instrText>
      </w:r>
      <w:r w:rsidR="002B3188">
        <w:rPr>
          <w:sz w:val="20"/>
        </w:rPr>
        <w:fldChar w:fldCharType="end"/>
      </w:r>
      <w:r w:rsidRPr="002B3188">
        <w:rPr>
          <w:sz w:val="20"/>
        </w:rPr>
        <w:t xml:space="preserve"> (The Commission rejected Stericycle’s allegations that Waste Management had abandoned its biomedical waste authority under Certificate G 237, and its requests for the Commission to order Waste Management to get statewide authority from the Commission before allowing it to collect biomedical waste, and dismissed the complaint.); </w:t>
      </w:r>
      <w:r w:rsidRPr="002B3188">
        <w:rPr>
          <w:i/>
          <w:sz w:val="20"/>
        </w:rPr>
        <w:t>Stericycle</w:t>
      </w:r>
      <w:r w:rsidRPr="002B3188">
        <w:rPr>
          <w:sz w:val="20"/>
        </w:rPr>
        <w:t xml:space="preserve"> </w:t>
      </w:r>
      <w:r w:rsidRPr="002B3188">
        <w:rPr>
          <w:i/>
          <w:sz w:val="20"/>
        </w:rPr>
        <w:t>v. Waste Mgmt.</w:t>
      </w:r>
      <w:r w:rsidRPr="002B3188">
        <w:rPr>
          <w:sz w:val="20"/>
        </w:rPr>
        <w:t>, Docket TG</w:t>
      </w:r>
      <w:r w:rsidRPr="002B3188">
        <w:rPr>
          <w:sz w:val="20"/>
        </w:rPr>
        <w:noBreakHyphen/>
        <w:t>121597 (Complaint by Stericycle filed October 1, 2012, and now pending before the Commission.)</w:t>
      </w:r>
      <w:r w:rsidR="002B3188">
        <w:rPr>
          <w:sz w:val="20"/>
        </w:rPr>
        <w:t>.</w:t>
      </w:r>
    </w:p>
  </w:footnote>
  <w:footnote w:id="30">
    <w:p w:rsidR="006E6B99" w:rsidRPr="002B3188" w:rsidRDefault="006E6B99" w:rsidP="002B3188">
      <w:pPr>
        <w:pStyle w:val="FootnoteText"/>
        <w:ind w:firstLine="0"/>
        <w:jc w:val="both"/>
        <w:rPr>
          <w:sz w:val="20"/>
        </w:rPr>
      </w:pPr>
      <w:r w:rsidRPr="002B3188">
        <w:rPr>
          <w:rStyle w:val="FootnoteReference"/>
          <w:sz w:val="20"/>
        </w:rPr>
        <w:footnoteRef/>
      </w:r>
      <w:r w:rsidRPr="002B3188">
        <w:rPr>
          <w:sz w:val="20"/>
        </w:rPr>
        <w:t xml:space="preserve"> </w:t>
      </w:r>
      <w:r w:rsidRPr="002B3188">
        <w:rPr>
          <w:i/>
          <w:sz w:val="20"/>
        </w:rPr>
        <w:t>See</w:t>
      </w:r>
      <w:r w:rsidRPr="002B3188">
        <w:rPr>
          <w:sz w:val="20"/>
        </w:rPr>
        <w:t xml:space="preserve"> Ex. MAW-9.</w:t>
      </w:r>
    </w:p>
  </w:footnote>
  <w:footnote w:id="31">
    <w:p w:rsidR="006E6B99" w:rsidRPr="002B3188" w:rsidRDefault="006E6B99" w:rsidP="002B3188">
      <w:pPr>
        <w:pStyle w:val="FootnoteText"/>
        <w:ind w:firstLine="0"/>
        <w:jc w:val="both"/>
        <w:rPr>
          <w:sz w:val="20"/>
        </w:rPr>
      </w:pPr>
      <w:r w:rsidRPr="002B3188">
        <w:rPr>
          <w:rStyle w:val="FootnoteReference"/>
          <w:sz w:val="20"/>
        </w:rPr>
        <w:footnoteRef/>
      </w:r>
      <w:r w:rsidRPr="002B3188">
        <w:rPr>
          <w:sz w:val="20"/>
        </w:rPr>
        <w:t xml:space="preserve"> WAC 480</w:t>
      </w:r>
      <w:r w:rsidRPr="002B3188">
        <w:rPr>
          <w:sz w:val="20"/>
        </w:rPr>
        <w:noBreakHyphen/>
        <w:t>70</w:t>
      </w:r>
      <w:r w:rsidRPr="002B3188">
        <w:rPr>
          <w:sz w:val="20"/>
        </w:rPr>
        <w:noBreakHyphen/>
        <w:t>361(7)</w:t>
      </w:r>
      <w:r w:rsidR="002B3188">
        <w:rPr>
          <w:sz w:val="20"/>
        </w:rPr>
        <w:fldChar w:fldCharType="begin"/>
      </w:r>
      <w:r w:rsidR="002B3188">
        <w:instrText xml:space="preserve"> TA \l "</w:instrText>
      </w:r>
      <w:r w:rsidR="002B3188" w:rsidRPr="004326D7">
        <w:rPr>
          <w:sz w:val="20"/>
        </w:rPr>
        <w:instrText>WAC 480</w:instrText>
      </w:r>
      <w:r w:rsidR="002B3188" w:rsidRPr="004326D7">
        <w:rPr>
          <w:sz w:val="20"/>
        </w:rPr>
        <w:noBreakHyphen/>
        <w:instrText>70</w:instrText>
      </w:r>
      <w:r w:rsidR="002B3188" w:rsidRPr="004326D7">
        <w:rPr>
          <w:sz w:val="20"/>
        </w:rPr>
        <w:noBreakHyphen/>
        <w:instrText>361(7)</w:instrText>
      </w:r>
      <w:r w:rsidR="002B3188">
        <w:instrText xml:space="preserve">" \s "WAC 480-70-361(7)" \c 6 </w:instrText>
      </w:r>
      <w:r w:rsidR="002B3188">
        <w:rPr>
          <w:sz w:val="20"/>
        </w:rPr>
        <w:fldChar w:fldCharType="end"/>
      </w:r>
      <w:r w:rsidRPr="002B3188">
        <w:rPr>
          <w:sz w:val="20"/>
        </w:rPr>
        <w:t xml:space="preserve">; Hearing Tr. Vol. VI at 448:1-11 (Lycan); </w:t>
      </w:r>
      <w:r w:rsidRPr="002B3188">
        <w:rPr>
          <w:i/>
          <w:sz w:val="20"/>
        </w:rPr>
        <w:t>id.</w:t>
      </w:r>
      <w:r w:rsidRPr="002B3188">
        <w:rPr>
          <w:sz w:val="20"/>
        </w:rPr>
        <w:t xml:space="preserve"> at 484:19-486:19-23 (Patschkowski).</w:t>
      </w:r>
    </w:p>
  </w:footnote>
  <w:footnote w:id="32">
    <w:p w:rsidR="006E6B99" w:rsidRPr="002B3188" w:rsidRDefault="006E6B99" w:rsidP="002B3188">
      <w:pPr>
        <w:pStyle w:val="FootnoteText"/>
        <w:ind w:firstLine="0"/>
        <w:jc w:val="both"/>
        <w:rPr>
          <w:sz w:val="20"/>
        </w:rPr>
      </w:pPr>
      <w:r w:rsidRPr="002B3188">
        <w:rPr>
          <w:rStyle w:val="FootnoteReference"/>
          <w:sz w:val="20"/>
        </w:rPr>
        <w:footnoteRef/>
      </w:r>
      <w:r w:rsidRPr="002B3188">
        <w:rPr>
          <w:sz w:val="20"/>
        </w:rPr>
        <w:t xml:space="preserve"> WAC 480</w:t>
      </w:r>
      <w:r w:rsidRPr="002B3188">
        <w:rPr>
          <w:sz w:val="20"/>
        </w:rPr>
        <w:noBreakHyphen/>
        <w:t>70</w:t>
      </w:r>
      <w:r w:rsidRPr="002B3188">
        <w:rPr>
          <w:sz w:val="20"/>
        </w:rPr>
        <w:noBreakHyphen/>
        <w:t>386(a)</w:t>
      </w:r>
      <w:r w:rsidR="002B3188">
        <w:rPr>
          <w:sz w:val="20"/>
        </w:rPr>
        <w:fldChar w:fldCharType="begin"/>
      </w:r>
      <w:r w:rsidR="002B3188">
        <w:instrText xml:space="preserve"> TA \l "</w:instrText>
      </w:r>
      <w:r w:rsidR="002B3188" w:rsidRPr="001476E7">
        <w:rPr>
          <w:sz w:val="20"/>
        </w:rPr>
        <w:instrText>WAC 480</w:instrText>
      </w:r>
      <w:r w:rsidR="002B3188" w:rsidRPr="001476E7">
        <w:rPr>
          <w:sz w:val="20"/>
        </w:rPr>
        <w:noBreakHyphen/>
        <w:instrText>70</w:instrText>
      </w:r>
      <w:r w:rsidR="002B3188" w:rsidRPr="001476E7">
        <w:rPr>
          <w:sz w:val="20"/>
        </w:rPr>
        <w:noBreakHyphen/>
        <w:instrText>386(a)</w:instrText>
      </w:r>
      <w:r w:rsidR="002B3188">
        <w:instrText xml:space="preserve">" \s "WAC 480-70-386(a)" \c 6 </w:instrText>
      </w:r>
      <w:r w:rsidR="002B3188">
        <w:rPr>
          <w:sz w:val="20"/>
        </w:rPr>
        <w:fldChar w:fldCharType="end"/>
      </w:r>
      <w:r w:rsidRPr="002B3188">
        <w:rPr>
          <w:sz w:val="20"/>
        </w:rPr>
        <w:t xml:space="preserve">; Hearing Tr. Vol. VI at 448:1-11 (Lycan); </w:t>
      </w:r>
      <w:r w:rsidRPr="002B3188">
        <w:rPr>
          <w:i/>
          <w:sz w:val="20"/>
        </w:rPr>
        <w:t>id.</w:t>
      </w:r>
      <w:r w:rsidRPr="002B3188">
        <w:rPr>
          <w:sz w:val="20"/>
        </w:rPr>
        <w:t xml:space="preserve"> at 484:19-486:19-23 (Patschkowski)</w:t>
      </w:r>
      <w:r w:rsidR="002B3188">
        <w:rPr>
          <w:sz w:val="20"/>
        </w:rPr>
        <w:t>.</w:t>
      </w:r>
    </w:p>
  </w:footnote>
  <w:footnote w:id="33">
    <w:p w:rsidR="006E6B99" w:rsidRPr="002B3188" w:rsidRDefault="006E6B99" w:rsidP="002B3188">
      <w:pPr>
        <w:pStyle w:val="FootnoteText"/>
        <w:spacing w:line="240" w:lineRule="auto"/>
        <w:ind w:firstLine="0"/>
        <w:jc w:val="both"/>
        <w:rPr>
          <w:sz w:val="20"/>
        </w:rPr>
      </w:pPr>
      <w:r w:rsidRPr="002B3188">
        <w:rPr>
          <w:rStyle w:val="FootnoteReference"/>
          <w:sz w:val="20"/>
        </w:rPr>
        <w:footnoteRef/>
      </w:r>
      <w:r w:rsidRPr="002B3188">
        <w:rPr>
          <w:sz w:val="20"/>
        </w:rPr>
        <w:t xml:space="preserve"> Hearing Tr. Vol. VI at 448:1-11 (Lycan); </w:t>
      </w:r>
      <w:r w:rsidRPr="002B3188">
        <w:rPr>
          <w:i/>
          <w:sz w:val="20"/>
        </w:rPr>
        <w:t>id.</w:t>
      </w:r>
      <w:r w:rsidRPr="002B3188">
        <w:rPr>
          <w:sz w:val="20"/>
        </w:rPr>
        <w:t xml:space="preserve"> at 484:19-486:19-23 (Patschkowski).</w:t>
      </w:r>
    </w:p>
  </w:footnote>
  <w:footnote w:id="34">
    <w:p w:rsidR="00F9552E" w:rsidRPr="002B3188" w:rsidRDefault="00F9552E" w:rsidP="002B3188">
      <w:pPr>
        <w:pStyle w:val="FootnoteText"/>
        <w:spacing w:line="240" w:lineRule="auto"/>
        <w:ind w:firstLine="0"/>
        <w:jc w:val="both"/>
        <w:rPr>
          <w:sz w:val="20"/>
        </w:rPr>
      </w:pPr>
      <w:r w:rsidRPr="002B3188">
        <w:rPr>
          <w:rStyle w:val="FootnoteReference"/>
          <w:sz w:val="20"/>
        </w:rPr>
        <w:footnoteRef/>
      </w:r>
      <w:r w:rsidRPr="002B3188">
        <w:rPr>
          <w:sz w:val="20"/>
        </w:rPr>
        <w:t xml:space="preserve"> </w:t>
      </w:r>
      <w:r w:rsidR="00551604" w:rsidRPr="002B3188">
        <w:rPr>
          <w:sz w:val="20"/>
        </w:rPr>
        <w:t xml:space="preserve">Charles S. </w:t>
      </w:r>
      <w:r w:rsidRPr="002B3188">
        <w:rPr>
          <w:sz w:val="20"/>
        </w:rPr>
        <w:t>Phillips,</w:t>
      </w:r>
      <w:r w:rsidR="00551604" w:rsidRPr="002B3188">
        <w:rPr>
          <w:sz w:val="20"/>
        </w:rPr>
        <w:t xml:space="preserve"> Jr.</w:t>
      </w:r>
      <w:r w:rsidRPr="002B3188">
        <w:rPr>
          <w:sz w:val="20"/>
        </w:rPr>
        <w:t xml:space="preserve"> </w:t>
      </w:r>
      <w:r w:rsidR="00604671" w:rsidRPr="002B3188">
        <w:rPr>
          <w:sz w:val="20"/>
          <w:u w:val="single"/>
        </w:rPr>
        <w:t>The Regulation of Public Utilities</w:t>
      </w:r>
      <w:r w:rsidRPr="002B3188">
        <w:rPr>
          <w:sz w:val="20"/>
        </w:rPr>
        <w:t>, Ch. 12</w:t>
      </w:r>
      <w:r w:rsidR="002B3188">
        <w:rPr>
          <w:sz w:val="20"/>
        </w:rPr>
        <w:fldChar w:fldCharType="begin"/>
      </w:r>
      <w:r w:rsidR="002B3188">
        <w:instrText xml:space="preserve"> TA \l "</w:instrText>
      </w:r>
      <w:r w:rsidR="002B3188" w:rsidRPr="006544D5">
        <w:rPr>
          <w:sz w:val="20"/>
        </w:rPr>
        <w:instrText xml:space="preserve">Charles S. Phillips, Jr. </w:instrText>
      </w:r>
      <w:r w:rsidR="002B3188" w:rsidRPr="006544D5">
        <w:rPr>
          <w:sz w:val="20"/>
          <w:u w:val="single"/>
        </w:rPr>
        <w:instrText>The Regulation of Public Utilities</w:instrText>
      </w:r>
      <w:r w:rsidR="002B3188" w:rsidRPr="006544D5">
        <w:rPr>
          <w:sz w:val="20"/>
        </w:rPr>
        <w:instrText>, Ch. 12</w:instrText>
      </w:r>
      <w:r w:rsidR="002B3188">
        <w:instrText xml:space="preserve">" \s "Charles S. Phillips, Jr. The Regulation of Public Utilities, Ch. 12" \c 3 </w:instrText>
      </w:r>
      <w:r w:rsidR="002B3188">
        <w:rPr>
          <w:sz w:val="20"/>
        </w:rPr>
        <w:fldChar w:fldCharType="end"/>
      </w:r>
      <w:r w:rsidRPr="002B3188">
        <w:rPr>
          <w:sz w:val="20"/>
        </w:rPr>
        <w:t xml:space="preserve"> (it is sound regulatory policy to favor the introduction of an element of competition where its operative effect will tend to promote the public interest); </w:t>
      </w:r>
      <w:r w:rsidR="00604671" w:rsidRPr="002B3188">
        <w:rPr>
          <w:i/>
          <w:sz w:val="20"/>
        </w:rPr>
        <w:t>see also</w:t>
      </w:r>
      <w:r w:rsidRPr="002B3188">
        <w:rPr>
          <w:sz w:val="20"/>
        </w:rPr>
        <w:t xml:space="preserve"> </w:t>
      </w:r>
      <w:r w:rsidR="00551604" w:rsidRPr="002B3188">
        <w:rPr>
          <w:sz w:val="20"/>
        </w:rPr>
        <w:t xml:space="preserve">Nelson Lee Smith, </w:t>
      </w:r>
      <w:r w:rsidR="00604671" w:rsidRPr="002B3188">
        <w:rPr>
          <w:sz w:val="20"/>
          <w:u w:val="single"/>
        </w:rPr>
        <w:t>The Federal Power Commission and Pipeline Markets: How Much Competition?</w:t>
      </w:r>
      <w:r w:rsidRPr="002B3188">
        <w:rPr>
          <w:sz w:val="20"/>
        </w:rPr>
        <w:t>, 68 Columbia Law Review 664 (1968)</w:t>
      </w:r>
      <w:r w:rsidR="002B3188">
        <w:rPr>
          <w:sz w:val="20"/>
        </w:rPr>
        <w:fldChar w:fldCharType="begin"/>
      </w:r>
      <w:r w:rsidR="002B3188">
        <w:instrText xml:space="preserve"> TA \l "</w:instrText>
      </w:r>
      <w:r w:rsidR="002B3188" w:rsidRPr="00723E58">
        <w:rPr>
          <w:sz w:val="20"/>
        </w:rPr>
        <w:instrText xml:space="preserve">Nelson Lee Smith, </w:instrText>
      </w:r>
      <w:r w:rsidR="002B3188" w:rsidRPr="00723E58">
        <w:rPr>
          <w:sz w:val="20"/>
          <w:u w:val="single"/>
        </w:rPr>
        <w:instrText>The Federal Power Commission and Pipeline Markets: How Much Competition?</w:instrText>
      </w:r>
      <w:r w:rsidR="002B3188" w:rsidRPr="00723E58">
        <w:rPr>
          <w:sz w:val="20"/>
        </w:rPr>
        <w:instrText>, 68 Columbia Law Review 664 (1968)</w:instrText>
      </w:r>
      <w:r w:rsidR="002B3188">
        <w:instrText xml:space="preserve">" \s "Nelson Lee Smith, The Federal Power Commission and Pipeline Markets: How Much Competition?, 68 Columbia Law Review 664 (1968)" \c 3 </w:instrText>
      </w:r>
      <w:r w:rsidR="002B3188">
        <w:rPr>
          <w:sz w:val="20"/>
        </w:rPr>
        <w:fldChar w:fldCharType="end"/>
      </w:r>
      <w:r w:rsidRPr="002B3188">
        <w:rPr>
          <w:sz w:val="20"/>
        </w:rPr>
        <w:t>.</w:t>
      </w:r>
    </w:p>
  </w:footnote>
  <w:footnote w:id="35">
    <w:p w:rsidR="00C00121" w:rsidRPr="00C00121" w:rsidRDefault="00C00121" w:rsidP="00C00121">
      <w:pPr>
        <w:pStyle w:val="FootnoteText"/>
        <w:ind w:firstLine="0"/>
        <w:rPr>
          <w:sz w:val="20"/>
        </w:rPr>
      </w:pPr>
      <w:r w:rsidRPr="00C00121">
        <w:rPr>
          <w:rStyle w:val="FootnoteReference"/>
          <w:sz w:val="20"/>
        </w:rPr>
        <w:footnoteRef/>
      </w:r>
      <w:r w:rsidRPr="00C00121">
        <w:rPr>
          <w:sz w:val="20"/>
        </w:rPr>
        <w:t xml:space="preserve"> Order 07 ¶</w:t>
      </w:r>
      <w:r w:rsidR="008E5426">
        <w:rPr>
          <w:sz w:val="20"/>
        </w:rPr>
        <w:t xml:space="preserve"> </w:t>
      </w:r>
      <w:r w:rsidRPr="00C00121">
        <w:rPr>
          <w:sz w:val="20"/>
        </w:rPr>
        <w:t>31; WRRA Petition ¶</w:t>
      </w:r>
      <w:r w:rsidR="00A13343">
        <w:rPr>
          <w:sz w:val="20"/>
        </w:rPr>
        <w:t xml:space="preserve"> </w:t>
      </w:r>
      <w:r w:rsidR="00B04472">
        <w:rPr>
          <w:sz w:val="20"/>
        </w:rPr>
        <w:t>4.</w:t>
      </w:r>
    </w:p>
  </w:footnote>
  <w:footnote w:id="36">
    <w:p w:rsidR="00F9552E" w:rsidRPr="00B5533A" w:rsidRDefault="00F9552E" w:rsidP="00157099">
      <w:pPr>
        <w:pStyle w:val="FootnoteText"/>
        <w:spacing w:line="240" w:lineRule="auto"/>
        <w:ind w:firstLine="0"/>
        <w:rPr>
          <w:sz w:val="20"/>
        </w:rPr>
      </w:pPr>
      <w:r w:rsidRPr="00B5533A">
        <w:rPr>
          <w:rStyle w:val="FootnoteReference"/>
          <w:sz w:val="20"/>
        </w:rPr>
        <w:footnoteRef/>
      </w:r>
      <w:r w:rsidRPr="00B5533A">
        <w:rPr>
          <w:sz w:val="20"/>
        </w:rPr>
        <w:t xml:space="preserve"> Order </w:t>
      </w:r>
      <w:r w:rsidR="006C6F67" w:rsidRPr="00B5533A">
        <w:rPr>
          <w:sz w:val="20"/>
        </w:rPr>
        <w:t>05</w:t>
      </w:r>
      <w:r w:rsidR="006C6F67">
        <w:rPr>
          <w:sz w:val="20"/>
        </w:rPr>
        <w:t xml:space="preserve"> </w:t>
      </w:r>
      <w:r w:rsidRPr="00B5533A">
        <w:rPr>
          <w:sz w:val="20"/>
        </w:rPr>
        <w:t>¶</w:t>
      </w:r>
      <w:r w:rsidR="008E5426">
        <w:rPr>
          <w:sz w:val="20"/>
        </w:rPr>
        <w:t xml:space="preserve"> </w:t>
      </w:r>
      <w:r w:rsidRPr="00B5533A">
        <w:rPr>
          <w:sz w:val="20"/>
        </w:rPr>
        <w:t>10.</w:t>
      </w:r>
    </w:p>
  </w:footnote>
  <w:footnote w:id="37">
    <w:p w:rsidR="00F9552E" w:rsidRPr="00B04472" w:rsidRDefault="00F9552E" w:rsidP="00B04472">
      <w:pPr>
        <w:pStyle w:val="FootnoteText"/>
        <w:ind w:firstLine="0"/>
        <w:jc w:val="both"/>
        <w:rPr>
          <w:sz w:val="20"/>
        </w:rPr>
      </w:pPr>
      <w:r w:rsidRPr="00157099">
        <w:rPr>
          <w:rStyle w:val="FootnoteReference"/>
          <w:sz w:val="20"/>
        </w:rPr>
        <w:footnoteRef/>
      </w:r>
      <w:r w:rsidRPr="00157099">
        <w:rPr>
          <w:sz w:val="20"/>
        </w:rPr>
        <w:t xml:space="preserve"> </w:t>
      </w:r>
      <w:r w:rsidRPr="00B04472">
        <w:rPr>
          <w:i/>
          <w:sz w:val="20"/>
        </w:rPr>
        <w:t>In re Ryder Distribution Res., Inc.</w:t>
      </w:r>
      <w:r w:rsidRPr="00B04472">
        <w:rPr>
          <w:sz w:val="20"/>
        </w:rPr>
        <w:t>, App. No. GA-75154, Order M.V.G. No. 1596 at 12 ( Jan. 25, 1993)</w:t>
      </w:r>
      <w:r w:rsidR="00B04472">
        <w:rPr>
          <w:sz w:val="20"/>
        </w:rPr>
        <w:fldChar w:fldCharType="begin"/>
      </w:r>
      <w:r w:rsidR="00B04472">
        <w:instrText xml:space="preserve"> TA \s "In re Ryder Distribution Res., Inc., App. No. GA-75154, Order M.V.G. No. 1596 at 2 (Jan. 25, 1993)" </w:instrText>
      </w:r>
      <w:r w:rsidR="00B04472">
        <w:rPr>
          <w:sz w:val="20"/>
        </w:rPr>
        <w:fldChar w:fldCharType="end"/>
      </w:r>
      <w:r w:rsidRPr="00B04472">
        <w:rPr>
          <w:sz w:val="20"/>
        </w:rPr>
        <w:t xml:space="preserve"> (The Commission concluded that “single carrier service is a reasonable shipper need ….”).</w:t>
      </w:r>
    </w:p>
  </w:footnote>
  <w:footnote w:id="38">
    <w:p w:rsidR="00F9552E" w:rsidRPr="00B04472" w:rsidRDefault="00F9552E" w:rsidP="00B04472">
      <w:pPr>
        <w:pStyle w:val="FootnoteText"/>
        <w:spacing w:line="240" w:lineRule="auto"/>
        <w:ind w:firstLine="0"/>
        <w:jc w:val="both"/>
        <w:rPr>
          <w:sz w:val="20"/>
        </w:rPr>
      </w:pPr>
      <w:r w:rsidRPr="00B04472">
        <w:rPr>
          <w:rStyle w:val="FootnoteReference"/>
          <w:sz w:val="20"/>
        </w:rPr>
        <w:footnoteRef/>
      </w:r>
      <w:r w:rsidRPr="00B04472">
        <w:rPr>
          <w:sz w:val="20"/>
        </w:rPr>
        <w:t xml:space="preserve"> Order 05 ¶</w:t>
      </w:r>
      <w:r w:rsidR="00F40A3F" w:rsidRPr="00B04472">
        <w:rPr>
          <w:sz w:val="20"/>
        </w:rPr>
        <w:t xml:space="preserve"> </w:t>
      </w:r>
      <w:r w:rsidRPr="00B04472">
        <w:rPr>
          <w:sz w:val="20"/>
        </w:rPr>
        <w:t>11; Order 07 ¶¶</w:t>
      </w:r>
      <w:r w:rsidR="00F40A3F" w:rsidRPr="00B04472">
        <w:rPr>
          <w:sz w:val="20"/>
        </w:rPr>
        <w:t xml:space="preserve"> </w:t>
      </w:r>
      <w:r w:rsidRPr="00B04472">
        <w:rPr>
          <w:sz w:val="20"/>
        </w:rPr>
        <w:t>17-22.</w:t>
      </w:r>
    </w:p>
  </w:footnote>
  <w:footnote w:id="39">
    <w:p w:rsidR="00F9552E" w:rsidRPr="00B04472" w:rsidRDefault="00F9552E" w:rsidP="00B04472">
      <w:pPr>
        <w:pStyle w:val="FootnoteText"/>
        <w:spacing w:line="240" w:lineRule="auto"/>
        <w:ind w:firstLine="0"/>
        <w:jc w:val="both"/>
        <w:rPr>
          <w:sz w:val="20"/>
        </w:rPr>
      </w:pPr>
      <w:r w:rsidRPr="00B04472">
        <w:rPr>
          <w:rStyle w:val="FootnoteReference"/>
          <w:sz w:val="20"/>
        </w:rPr>
        <w:footnoteRef/>
      </w:r>
      <w:r w:rsidR="00B04472">
        <w:rPr>
          <w:sz w:val="20"/>
        </w:rPr>
        <w:t xml:space="preserve"> Order 07 ¶18.</w:t>
      </w:r>
    </w:p>
  </w:footnote>
  <w:footnote w:id="40">
    <w:p w:rsidR="00F9552E" w:rsidRPr="00B04472" w:rsidRDefault="00F9552E" w:rsidP="00B04472">
      <w:pPr>
        <w:pStyle w:val="FootnoteText"/>
        <w:spacing w:line="240" w:lineRule="auto"/>
        <w:ind w:firstLine="0"/>
        <w:jc w:val="both"/>
        <w:rPr>
          <w:sz w:val="20"/>
        </w:rPr>
      </w:pPr>
      <w:r w:rsidRPr="00B04472">
        <w:rPr>
          <w:rStyle w:val="FootnoteReference"/>
          <w:sz w:val="20"/>
        </w:rPr>
        <w:footnoteRef/>
      </w:r>
      <w:r w:rsidRPr="00B04472">
        <w:rPr>
          <w:sz w:val="20"/>
        </w:rPr>
        <w:t xml:space="preserve"> </w:t>
      </w:r>
      <w:r w:rsidRPr="00B04472">
        <w:rPr>
          <w:i/>
          <w:sz w:val="20"/>
        </w:rPr>
        <w:t>In re Sureway Med. Servs., Inc.</w:t>
      </w:r>
      <w:r w:rsidRPr="00B04472">
        <w:rPr>
          <w:sz w:val="20"/>
        </w:rPr>
        <w:t>, App. No. GA-75968, Order M.V.G. No. 1663</w:t>
      </w:r>
      <w:r w:rsidRPr="00B04472">
        <w:rPr>
          <w:i/>
          <w:sz w:val="20"/>
        </w:rPr>
        <w:t xml:space="preserve"> </w:t>
      </w:r>
      <w:r w:rsidRPr="00B04472">
        <w:rPr>
          <w:sz w:val="20"/>
        </w:rPr>
        <w:t>at 11 (Nov.19, 1993)</w:t>
      </w:r>
      <w:r w:rsidR="00B04472">
        <w:rPr>
          <w:sz w:val="20"/>
        </w:rPr>
        <w:fldChar w:fldCharType="begin"/>
      </w:r>
      <w:r w:rsidR="00B04472">
        <w:instrText xml:space="preserve"> TA \s "In re Sureway Med. Servs., Inc., App. No. GA-75968, Order M.V.G. No. 1663 at 10-11 ( Nov. 19, 1993)" </w:instrText>
      </w:r>
      <w:r w:rsidR="00B04472">
        <w:rPr>
          <w:sz w:val="20"/>
        </w:rPr>
        <w:fldChar w:fldCharType="end"/>
      </w:r>
      <w:r w:rsidRPr="00B04472">
        <w:rPr>
          <w:sz w:val="20"/>
        </w:rPr>
        <w:t xml:space="preserve"> (emphasis added).</w:t>
      </w:r>
    </w:p>
  </w:footnote>
  <w:footnote w:id="41">
    <w:p w:rsidR="00F9552E" w:rsidRPr="00A65827" w:rsidRDefault="00F9552E" w:rsidP="00B04472">
      <w:pPr>
        <w:pStyle w:val="FootnoteText"/>
        <w:spacing w:line="240" w:lineRule="auto"/>
        <w:ind w:firstLine="0"/>
        <w:jc w:val="both"/>
        <w:rPr>
          <w:sz w:val="20"/>
        </w:rPr>
      </w:pPr>
      <w:r w:rsidRPr="00A65827">
        <w:rPr>
          <w:rStyle w:val="FootnoteReference"/>
          <w:sz w:val="20"/>
        </w:rPr>
        <w:footnoteRef/>
      </w:r>
      <w:r w:rsidRPr="00A65827">
        <w:rPr>
          <w:sz w:val="20"/>
        </w:rPr>
        <w:t xml:space="preserve"> </w:t>
      </w:r>
      <w:r w:rsidRPr="00A65827">
        <w:rPr>
          <w:i/>
          <w:sz w:val="20"/>
        </w:rPr>
        <w:t>In re Ryder Distribution Resources, Inc.</w:t>
      </w:r>
      <w:r w:rsidRPr="00A65827">
        <w:rPr>
          <w:sz w:val="20"/>
        </w:rPr>
        <w:t>, App. No. GA-75154, Order M.V.G. No. 1761 at 14 (Aug. 11, 1995)</w:t>
      </w:r>
      <w:r w:rsidR="00B04472">
        <w:rPr>
          <w:sz w:val="20"/>
        </w:rPr>
        <w:fldChar w:fldCharType="begin"/>
      </w:r>
      <w:r w:rsidR="00B04472">
        <w:instrText xml:space="preserve"> TA \l "</w:instrText>
      </w:r>
      <w:r w:rsidR="00B04472" w:rsidRPr="001A247F">
        <w:rPr>
          <w:i/>
          <w:sz w:val="20"/>
        </w:rPr>
        <w:instrText>In re Ryder Distribution Resources, Inc.</w:instrText>
      </w:r>
      <w:r w:rsidR="00B04472" w:rsidRPr="001A247F">
        <w:rPr>
          <w:sz w:val="20"/>
        </w:rPr>
        <w:instrText>, App. No. GA-75154, Order M.V.G. No. 1761 at 14 (Aug. 11, 1995)</w:instrText>
      </w:r>
      <w:r w:rsidR="00B04472">
        <w:instrText xml:space="preserve">" \s "In re Ryder Distribution Resources, Inc., App. No. GA-75154, Order M.V.G. No. 1761 at 14 (Aug. 11, 1995)" \c 1 </w:instrText>
      </w:r>
      <w:r w:rsidR="00B04472">
        <w:rPr>
          <w:sz w:val="20"/>
        </w:rPr>
        <w:fldChar w:fldCharType="end"/>
      </w:r>
      <w:r w:rsidRPr="00A65827">
        <w:rPr>
          <w:sz w:val="20"/>
        </w:rPr>
        <w:t xml:space="preserve"> (emphasis added).</w:t>
      </w:r>
    </w:p>
  </w:footnote>
  <w:footnote w:id="42">
    <w:p w:rsidR="00F9552E" w:rsidRPr="00E36CCF" w:rsidRDefault="00F9552E" w:rsidP="00B04472">
      <w:pPr>
        <w:pStyle w:val="FootnoteText"/>
        <w:spacing w:line="240" w:lineRule="auto"/>
        <w:ind w:firstLine="0"/>
        <w:jc w:val="both"/>
        <w:rPr>
          <w:sz w:val="20"/>
        </w:rPr>
      </w:pPr>
      <w:r w:rsidRPr="00E36CCF">
        <w:rPr>
          <w:rStyle w:val="FootnoteReference"/>
          <w:sz w:val="20"/>
        </w:rPr>
        <w:footnoteRef/>
      </w:r>
      <w:r w:rsidRPr="00E36CCF">
        <w:rPr>
          <w:sz w:val="20"/>
        </w:rPr>
        <w:t xml:space="preserve"> Ex. MAW-4T at 15-19; Hearing Tr. Vol. VIII at 812:18-813:2.</w:t>
      </w:r>
    </w:p>
  </w:footnote>
  <w:footnote w:id="43">
    <w:p w:rsidR="00F9552E" w:rsidRPr="00E36CCF" w:rsidRDefault="00F9552E" w:rsidP="00B04472">
      <w:pPr>
        <w:pStyle w:val="FootnoteText"/>
        <w:spacing w:line="240" w:lineRule="auto"/>
        <w:ind w:firstLine="0"/>
        <w:jc w:val="both"/>
        <w:rPr>
          <w:sz w:val="20"/>
        </w:rPr>
      </w:pPr>
      <w:r w:rsidRPr="00E36CCF">
        <w:rPr>
          <w:rStyle w:val="FootnoteReference"/>
          <w:sz w:val="20"/>
        </w:rPr>
        <w:footnoteRef/>
      </w:r>
      <w:r w:rsidRPr="00E36CCF">
        <w:rPr>
          <w:sz w:val="20"/>
        </w:rPr>
        <w:t xml:space="preserve"> Order 05 ¶ 11.</w:t>
      </w:r>
    </w:p>
  </w:footnote>
  <w:footnote w:id="44">
    <w:p w:rsidR="00F9552E" w:rsidRPr="00E36CCF" w:rsidRDefault="00F9552E" w:rsidP="00B04472">
      <w:pPr>
        <w:pStyle w:val="FootnoteText"/>
        <w:spacing w:line="240" w:lineRule="auto"/>
        <w:ind w:firstLine="0"/>
        <w:jc w:val="both"/>
        <w:rPr>
          <w:sz w:val="20"/>
        </w:rPr>
      </w:pPr>
      <w:r w:rsidRPr="00E36CCF">
        <w:rPr>
          <w:rStyle w:val="FootnoteReference"/>
          <w:sz w:val="20"/>
        </w:rPr>
        <w:footnoteRef/>
      </w:r>
      <w:r w:rsidRPr="00E36CCF">
        <w:rPr>
          <w:sz w:val="20"/>
        </w:rPr>
        <w:t xml:space="preserve"> Hearing Tr. Vol. VIII at 813:3-7, 814:9-815:1, 816:24-817:5.</w:t>
      </w:r>
    </w:p>
  </w:footnote>
  <w:footnote w:id="45">
    <w:p w:rsidR="00F9552E" w:rsidRPr="00E36CCF" w:rsidRDefault="00F9552E" w:rsidP="00B04472">
      <w:pPr>
        <w:pStyle w:val="FootnoteText"/>
        <w:spacing w:line="240" w:lineRule="auto"/>
        <w:ind w:firstLine="0"/>
        <w:jc w:val="both"/>
        <w:rPr>
          <w:sz w:val="20"/>
        </w:rPr>
      </w:pPr>
      <w:r w:rsidRPr="00E36CCF">
        <w:rPr>
          <w:rStyle w:val="FootnoteReference"/>
          <w:sz w:val="20"/>
        </w:rPr>
        <w:footnoteRef/>
      </w:r>
      <w:r w:rsidRPr="00E36CCF">
        <w:rPr>
          <w:sz w:val="20"/>
        </w:rPr>
        <w:t xml:space="preserve"> </w:t>
      </w:r>
      <w:r w:rsidRPr="00E36CCF">
        <w:rPr>
          <w:i/>
          <w:sz w:val="20"/>
        </w:rPr>
        <w:t>Id.</w:t>
      </w:r>
      <w:r w:rsidRPr="00E36CCF">
        <w:rPr>
          <w:sz w:val="20"/>
        </w:rPr>
        <w:t xml:space="preserve"> at 823:15-825:19.  Murrey’s Disposal is a subsidiary of Waste Connections, Inc., </w:t>
      </w:r>
      <w:r w:rsidRPr="00E36CCF">
        <w:rPr>
          <w:i/>
          <w:sz w:val="20"/>
        </w:rPr>
        <w:t>id.</w:t>
      </w:r>
      <w:r w:rsidRPr="00E36CCF">
        <w:rPr>
          <w:sz w:val="20"/>
        </w:rPr>
        <w:t xml:space="preserve"> at 823:7-10, a publicly traded corporation (</w:t>
      </w:r>
      <w:r w:rsidRPr="00B04472">
        <w:rPr>
          <w:sz w:val="20"/>
        </w:rPr>
        <w:t>http://www.wasteconnections.com/company/about-us.aspx</w:t>
      </w:r>
      <w:r w:rsidRPr="00E36CCF">
        <w:rPr>
          <w:sz w:val="20"/>
        </w:rPr>
        <w:t>) “with, literally, billions of dollars to spend.”  WRRA Protestants’ Post-Hearing Brf. at 5:9.</w:t>
      </w:r>
    </w:p>
  </w:footnote>
  <w:footnote w:id="46">
    <w:p w:rsidR="00F9552E" w:rsidRPr="00E36CCF" w:rsidRDefault="00F9552E" w:rsidP="00EA1162">
      <w:pPr>
        <w:pStyle w:val="FootnoteText"/>
        <w:ind w:firstLine="0"/>
        <w:rPr>
          <w:sz w:val="20"/>
        </w:rPr>
      </w:pPr>
      <w:r w:rsidRPr="00E36CCF">
        <w:rPr>
          <w:rStyle w:val="FootnoteReference"/>
          <w:sz w:val="20"/>
        </w:rPr>
        <w:footnoteRef/>
      </w:r>
      <w:r w:rsidRPr="00E36CCF">
        <w:rPr>
          <w:sz w:val="20"/>
        </w:rPr>
        <w:t xml:space="preserve"> Ex. MAW-4T at 16-17; Ex. MAW-14.</w:t>
      </w:r>
    </w:p>
  </w:footnote>
  <w:footnote w:id="47">
    <w:p w:rsidR="00F9552E" w:rsidRPr="00E36CCF" w:rsidRDefault="00F9552E" w:rsidP="00EA1162">
      <w:pPr>
        <w:pStyle w:val="FootnoteText"/>
        <w:ind w:firstLine="0"/>
        <w:rPr>
          <w:sz w:val="20"/>
        </w:rPr>
      </w:pPr>
      <w:r w:rsidRPr="00E36CCF">
        <w:rPr>
          <w:rStyle w:val="FootnoteReference"/>
          <w:sz w:val="20"/>
        </w:rPr>
        <w:footnoteRef/>
      </w:r>
      <w:r w:rsidRPr="00E36CCF">
        <w:rPr>
          <w:sz w:val="20"/>
        </w:rPr>
        <w:t xml:space="preserve"> Hearing</w:t>
      </w:r>
      <w:r w:rsidR="00B04472">
        <w:rPr>
          <w:sz w:val="20"/>
        </w:rPr>
        <w:t xml:space="preserve"> Tr. Vol. VIII at 837:8-838:2.</w:t>
      </w:r>
    </w:p>
  </w:footnote>
  <w:footnote w:id="48">
    <w:p w:rsidR="00F9552E" w:rsidRPr="00E36CCF" w:rsidRDefault="00F9552E" w:rsidP="00EA1162">
      <w:pPr>
        <w:pStyle w:val="FootnoteText"/>
        <w:ind w:firstLine="0"/>
        <w:rPr>
          <w:sz w:val="20"/>
        </w:rPr>
      </w:pPr>
      <w:r w:rsidRPr="00E36CCF">
        <w:rPr>
          <w:rStyle w:val="FootnoteReference"/>
          <w:sz w:val="20"/>
        </w:rPr>
        <w:footnoteRef/>
      </w:r>
      <w:r w:rsidRPr="00E36CCF">
        <w:rPr>
          <w:sz w:val="20"/>
        </w:rPr>
        <w:t xml:space="preserve"> Hearing Tr. Vol. VIII at 840:3-13.</w:t>
      </w:r>
    </w:p>
  </w:footnote>
  <w:footnote w:id="49">
    <w:p w:rsidR="00F9552E" w:rsidRPr="00E36CCF" w:rsidRDefault="00F9552E" w:rsidP="00EA1162">
      <w:pPr>
        <w:pStyle w:val="FootnoteText"/>
        <w:ind w:firstLine="0"/>
        <w:rPr>
          <w:sz w:val="20"/>
        </w:rPr>
      </w:pPr>
      <w:r w:rsidRPr="00E36CCF">
        <w:rPr>
          <w:rStyle w:val="FootnoteReference"/>
          <w:sz w:val="20"/>
        </w:rPr>
        <w:footnoteRef/>
      </w:r>
      <w:r w:rsidRPr="00E36CCF">
        <w:rPr>
          <w:sz w:val="20"/>
        </w:rPr>
        <w:t xml:space="preserve"> Hearing Tr. Vol. VII at 708:4-14, 709:1-16.</w:t>
      </w:r>
    </w:p>
  </w:footnote>
  <w:footnote w:id="50">
    <w:p w:rsidR="00F9552E" w:rsidRPr="00E36CCF" w:rsidRDefault="00F9552E" w:rsidP="00EA1162">
      <w:pPr>
        <w:pStyle w:val="FootnoteText"/>
        <w:ind w:firstLine="0"/>
        <w:rPr>
          <w:sz w:val="20"/>
        </w:rPr>
      </w:pPr>
      <w:r w:rsidRPr="00E36CCF">
        <w:rPr>
          <w:rStyle w:val="FootnoteReference"/>
          <w:sz w:val="20"/>
        </w:rPr>
        <w:footnoteRef/>
      </w:r>
      <w:r w:rsidRPr="00E36CCF">
        <w:rPr>
          <w:sz w:val="20"/>
        </w:rPr>
        <w:t xml:space="preserve"> </w:t>
      </w:r>
      <w:r w:rsidRPr="00E36CCF">
        <w:rPr>
          <w:i/>
          <w:sz w:val="20"/>
        </w:rPr>
        <w:t>Id.</w:t>
      </w:r>
      <w:r w:rsidR="00B04472">
        <w:rPr>
          <w:sz w:val="20"/>
        </w:rPr>
        <w:t xml:space="preserve"> at 709:20-21.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52E" w:rsidRPr="00B05E6A" w:rsidRDefault="00F64C48">
    <w:pPr>
      <w:pStyle w:val="Header"/>
    </w:pPr>
    <w:r>
      <w:pict>
        <v:line id="RightBorder" o:spid="_x0000_s2051" style="position:absolute;z-index:251658240;mso-position-horizontal-relative:margin;mso-position-vertical-relative:page" from="486.75pt,3.75pt" to="486.75pt,795.75pt" o:allowincell="f">
          <w10:wrap anchorx="margin" anchory="page"/>
        </v:line>
      </w:pict>
    </w:r>
    <w:r>
      <w:pict>
        <v:shapetype id="_x0000_t202" coordsize="21600,21600" o:spt="202" path="m,l,21600r21600,l21600,xe">
          <v:stroke joinstyle="miter"/>
          <v:path gradientshapeok="t" o:connecttype="rect"/>
        </v:shapetype>
        <v:shape id="LineNumbers" o:spid="_x0000_s2052" type="#_x0000_t202" style="position:absolute;margin-left:-50.4pt;margin-top:3.15pt;width:36pt;height:655.2pt;z-index:251659264;mso-wrap-style:tight;mso-position-horizontal-relative:margin;mso-position-vertical-relative:margin" o:allowincell="f" stroked="f">
          <v:textbox style="mso-next-textbox:#LineNumbers;mso-rotate-with-shape:t" inset="0,0,0,0">
            <w:txbxContent>
              <w:p w:rsidR="00F9552E" w:rsidRDefault="00F9552E" w:rsidP="00090CA3">
                <w:pPr>
                  <w:spacing w:line="470" w:lineRule="exact"/>
                  <w:jc w:val="right"/>
                </w:pPr>
                <w:r>
                  <w:t>1</w:t>
                </w:r>
              </w:p>
              <w:p w:rsidR="00F9552E" w:rsidRDefault="00F9552E" w:rsidP="00090CA3">
                <w:pPr>
                  <w:spacing w:line="470" w:lineRule="exact"/>
                  <w:jc w:val="right"/>
                </w:pPr>
                <w:r>
                  <w:t>2</w:t>
                </w:r>
              </w:p>
              <w:p w:rsidR="00F9552E" w:rsidRDefault="00F9552E" w:rsidP="00090CA3">
                <w:pPr>
                  <w:spacing w:line="470" w:lineRule="exact"/>
                  <w:jc w:val="right"/>
                </w:pPr>
                <w:r>
                  <w:t>3</w:t>
                </w:r>
              </w:p>
              <w:p w:rsidR="00F9552E" w:rsidRDefault="00F9552E" w:rsidP="00090CA3">
                <w:pPr>
                  <w:spacing w:line="470" w:lineRule="exact"/>
                  <w:jc w:val="right"/>
                </w:pPr>
                <w:r>
                  <w:t>4</w:t>
                </w:r>
              </w:p>
              <w:p w:rsidR="00F9552E" w:rsidRDefault="00F9552E" w:rsidP="00090CA3">
                <w:pPr>
                  <w:spacing w:line="470" w:lineRule="exact"/>
                  <w:jc w:val="right"/>
                </w:pPr>
                <w:r>
                  <w:t>5</w:t>
                </w:r>
              </w:p>
              <w:p w:rsidR="00F9552E" w:rsidRDefault="00F9552E" w:rsidP="00090CA3">
                <w:pPr>
                  <w:spacing w:line="470" w:lineRule="exact"/>
                  <w:jc w:val="right"/>
                </w:pPr>
                <w:r>
                  <w:t>6</w:t>
                </w:r>
              </w:p>
              <w:p w:rsidR="00F9552E" w:rsidRDefault="00F9552E" w:rsidP="00090CA3">
                <w:pPr>
                  <w:spacing w:line="470" w:lineRule="exact"/>
                  <w:jc w:val="right"/>
                </w:pPr>
                <w:r>
                  <w:t>7</w:t>
                </w:r>
              </w:p>
              <w:p w:rsidR="00F9552E" w:rsidRDefault="00F9552E" w:rsidP="00090CA3">
                <w:pPr>
                  <w:spacing w:line="470" w:lineRule="exact"/>
                  <w:jc w:val="right"/>
                </w:pPr>
                <w:r>
                  <w:t>8</w:t>
                </w:r>
              </w:p>
              <w:p w:rsidR="00F9552E" w:rsidRDefault="00F9552E" w:rsidP="00090CA3">
                <w:pPr>
                  <w:spacing w:line="470" w:lineRule="exact"/>
                  <w:jc w:val="right"/>
                </w:pPr>
                <w:r>
                  <w:t>9</w:t>
                </w:r>
              </w:p>
              <w:p w:rsidR="00F9552E" w:rsidRDefault="00F9552E" w:rsidP="00090CA3">
                <w:pPr>
                  <w:spacing w:line="470" w:lineRule="exact"/>
                  <w:jc w:val="right"/>
                </w:pPr>
                <w:r>
                  <w:t>10</w:t>
                </w:r>
              </w:p>
              <w:p w:rsidR="00F9552E" w:rsidRDefault="00F9552E" w:rsidP="00090CA3">
                <w:pPr>
                  <w:spacing w:line="470" w:lineRule="exact"/>
                  <w:jc w:val="right"/>
                </w:pPr>
                <w:r>
                  <w:t>11</w:t>
                </w:r>
              </w:p>
              <w:p w:rsidR="00F9552E" w:rsidRDefault="00F9552E" w:rsidP="00090CA3">
                <w:pPr>
                  <w:spacing w:line="470" w:lineRule="exact"/>
                  <w:jc w:val="right"/>
                </w:pPr>
                <w:r>
                  <w:t>12</w:t>
                </w:r>
              </w:p>
              <w:p w:rsidR="00F9552E" w:rsidRDefault="00F9552E" w:rsidP="00090CA3">
                <w:pPr>
                  <w:spacing w:line="470" w:lineRule="exact"/>
                  <w:jc w:val="right"/>
                </w:pPr>
                <w:r>
                  <w:t>13</w:t>
                </w:r>
              </w:p>
              <w:p w:rsidR="00F9552E" w:rsidRDefault="00F9552E" w:rsidP="00090CA3">
                <w:pPr>
                  <w:spacing w:line="470" w:lineRule="exact"/>
                  <w:jc w:val="right"/>
                </w:pPr>
                <w:r>
                  <w:t>14</w:t>
                </w:r>
              </w:p>
              <w:p w:rsidR="00F9552E" w:rsidRDefault="00F9552E" w:rsidP="00090CA3">
                <w:pPr>
                  <w:spacing w:line="470" w:lineRule="exact"/>
                  <w:jc w:val="right"/>
                </w:pPr>
                <w:r>
                  <w:t>15</w:t>
                </w:r>
              </w:p>
              <w:p w:rsidR="00F9552E" w:rsidRDefault="00F9552E" w:rsidP="00090CA3">
                <w:pPr>
                  <w:spacing w:line="470" w:lineRule="exact"/>
                  <w:jc w:val="right"/>
                </w:pPr>
                <w:r>
                  <w:t>16</w:t>
                </w:r>
              </w:p>
              <w:p w:rsidR="00F9552E" w:rsidRDefault="00F9552E" w:rsidP="00090CA3">
                <w:pPr>
                  <w:spacing w:line="470" w:lineRule="exact"/>
                  <w:jc w:val="right"/>
                </w:pPr>
                <w:r>
                  <w:t>17</w:t>
                </w:r>
              </w:p>
              <w:p w:rsidR="00F9552E" w:rsidRDefault="00F9552E" w:rsidP="00090CA3">
                <w:pPr>
                  <w:spacing w:line="470" w:lineRule="exact"/>
                  <w:jc w:val="right"/>
                </w:pPr>
                <w:r>
                  <w:t>18</w:t>
                </w:r>
              </w:p>
              <w:p w:rsidR="00F9552E" w:rsidRDefault="00F9552E" w:rsidP="00090CA3">
                <w:pPr>
                  <w:spacing w:line="470" w:lineRule="exact"/>
                  <w:jc w:val="right"/>
                </w:pPr>
                <w:r>
                  <w:t>19</w:t>
                </w:r>
              </w:p>
              <w:p w:rsidR="00F9552E" w:rsidRDefault="00F9552E" w:rsidP="00090CA3">
                <w:pPr>
                  <w:spacing w:line="470" w:lineRule="exact"/>
                  <w:jc w:val="right"/>
                </w:pPr>
                <w:r>
                  <w:t>20</w:t>
                </w:r>
              </w:p>
              <w:p w:rsidR="00F9552E" w:rsidRDefault="00F9552E" w:rsidP="00090CA3">
                <w:pPr>
                  <w:spacing w:line="470" w:lineRule="exact"/>
                  <w:jc w:val="right"/>
                </w:pPr>
                <w:r>
                  <w:t>21</w:t>
                </w:r>
              </w:p>
              <w:p w:rsidR="00F9552E" w:rsidRDefault="00F9552E" w:rsidP="00090CA3">
                <w:pPr>
                  <w:spacing w:line="470" w:lineRule="exact"/>
                  <w:jc w:val="right"/>
                </w:pPr>
                <w:r>
                  <w:t>22</w:t>
                </w:r>
              </w:p>
              <w:p w:rsidR="00F9552E" w:rsidRDefault="00F9552E" w:rsidP="00090CA3">
                <w:pPr>
                  <w:spacing w:line="470" w:lineRule="exact"/>
                  <w:jc w:val="right"/>
                </w:pPr>
                <w:r>
                  <w:t>23</w:t>
                </w:r>
              </w:p>
              <w:p w:rsidR="00F9552E" w:rsidRDefault="00F9552E" w:rsidP="00090CA3">
                <w:pPr>
                  <w:spacing w:line="470" w:lineRule="exact"/>
                  <w:jc w:val="right"/>
                </w:pPr>
                <w:r>
                  <w:t>24</w:t>
                </w:r>
              </w:p>
              <w:p w:rsidR="00F9552E" w:rsidRDefault="00F9552E" w:rsidP="00090CA3">
                <w:pPr>
                  <w:spacing w:line="470" w:lineRule="exact"/>
                  <w:jc w:val="right"/>
                </w:pPr>
                <w:r>
                  <w:t>25</w:t>
                </w:r>
              </w:p>
              <w:p w:rsidR="00F9552E" w:rsidRDefault="00F9552E" w:rsidP="00090CA3">
                <w:pPr>
                  <w:spacing w:line="470" w:lineRule="exact"/>
                  <w:jc w:val="right"/>
                </w:pPr>
                <w:r>
                  <w:t>26</w:t>
                </w:r>
              </w:p>
              <w:p w:rsidR="00F9552E" w:rsidRDefault="00F9552E" w:rsidP="00090CA3">
                <w:pPr>
                  <w:spacing w:line="470" w:lineRule="exact"/>
                  <w:jc w:val="right"/>
                </w:pPr>
                <w:r>
                  <w:t>27</w:t>
                </w:r>
              </w:p>
              <w:p w:rsidR="00F9552E" w:rsidRDefault="00F9552E" w:rsidP="00090CA3">
                <w:pPr>
                  <w:spacing w:line="470" w:lineRule="exact"/>
                  <w:jc w:val="right"/>
                </w:pPr>
                <w:r>
                  <w:t>28</w:t>
                </w:r>
              </w:p>
              <w:p w:rsidR="00F9552E" w:rsidRDefault="00F9552E">
                <w:pPr>
                  <w:spacing w:line="480" w:lineRule="exact"/>
                  <w:jc w:val="right"/>
                </w:pPr>
              </w:p>
              <w:p w:rsidR="00F9552E" w:rsidRDefault="00F9552E">
                <w:pPr>
                  <w:jc w:val="right"/>
                </w:pPr>
              </w:p>
              <w:p w:rsidR="00F9552E" w:rsidRDefault="00F9552E">
                <w:pPr>
                  <w:jc w:val="right"/>
                </w:pPr>
              </w:p>
            </w:txbxContent>
          </v:textbox>
          <w10:wrap anchorx="margin" anchory="margin"/>
        </v:shape>
      </w:pict>
    </w:r>
    <w:r>
      <w:pict>
        <v:line id="LeftBorder2" o:spid="_x0000_s2050" style="position:absolute;z-index:251657216;mso-position-horizontal-relative:margin;mso-position-vertical-relative:page" from="-7.2pt,0" to="-7.2pt,11in" o:allowincell="f">
          <w10:wrap anchorx="margin" anchory="page"/>
        </v:line>
      </w:pict>
    </w:r>
    <w:r>
      <w:pict>
        <v:line id="LeftBorder1" o:spid="_x0000_s2049" style="position:absolute;z-index:251656192;mso-position-horizontal-relative:margin;mso-position-vertical-relative:page" from="-3.6pt,0" to="-3.6pt,11in" o:allowincell="f">
          <w10:wrap anchorx="margin"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FFFFFFFE"/>
    <w:multiLevelType w:val="singleLevel"/>
    <w:tmpl w:val="FFFFFFFF"/>
    <w:lvl w:ilvl="0">
      <w:numFmt w:val="decimal"/>
      <w:lvlText w:val="*"/>
      <w:lvlJc w:val="left"/>
    </w:lvl>
  </w:abstractNum>
  <w:abstractNum w:abstractNumId="2">
    <w:nsid w:val="062D2D07"/>
    <w:multiLevelType w:val="hybridMultilevel"/>
    <w:tmpl w:val="7BDACC4A"/>
    <w:lvl w:ilvl="0" w:tplc="91A03EB8">
      <w:start w:val="27"/>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0CC478E8"/>
    <w:multiLevelType w:val="singleLevel"/>
    <w:tmpl w:val="0409000F"/>
    <w:lvl w:ilvl="0">
      <w:start w:val="1"/>
      <w:numFmt w:val="decimal"/>
      <w:lvlText w:val="%1."/>
      <w:lvlJc w:val="left"/>
      <w:pPr>
        <w:tabs>
          <w:tab w:val="num" w:pos="360"/>
        </w:tabs>
        <w:ind w:left="360" w:hanging="360"/>
      </w:pPr>
    </w:lvl>
  </w:abstractNum>
  <w:abstractNum w:abstractNumId="4">
    <w:nsid w:val="0D2F6BFB"/>
    <w:multiLevelType w:val="hybridMultilevel"/>
    <w:tmpl w:val="C8AE3B6A"/>
    <w:lvl w:ilvl="0" w:tplc="5B1CC8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37513F"/>
    <w:multiLevelType w:val="singleLevel"/>
    <w:tmpl w:val="27AC7962"/>
    <w:lvl w:ilvl="0">
      <w:start w:val="1"/>
      <w:numFmt w:val="decimal"/>
      <w:lvlText w:val="%1."/>
      <w:lvlJc w:val="left"/>
      <w:pPr>
        <w:tabs>
          <w:tab w:val="num" w:pos="1440"/>
        </w:tabs>
        <w:ind w:left="1440" w:hanging="720"/>
      </w:pPr>
      <w:rPr>
        <w:rFonts w:hint="default"/>
      </w:rPr>
    </w:lvl>
  </w:abstractNum>
  <w:abstractNum w:abstractNumId="6">
    <w:nsid w:val="15BD1831"/>
    <w:multiLevelType w:val="singleLevel"/>
    <w:tmpl w:val="0409000F"/>
    <w:lvl w:ilvl="0">
      <w:start w:val="1"/>
      <w:numFmt w:val="decimal"/>
      <w:lvlText w:val="%1."/>
      <w:lvlJc w:val="left"/>
      <w:pPr>
        <w:tabs>
          <w:tab w:val="num" w:pos="360"/>
        </w:tabs>
        <w:ind w:left="360" w:hanging="360"/>
      </w:pPr>
    </w:lvl>
  </w:abstractNum>
  <w:abstractNum w:abstractNumId="7">
    <w:nsid w:val="16D51FA4"/>
    <w:multiLevelType w:val="singleLevel"/>
    <w:tmpl w:val="0409000F"/>
    <w:lvl w:ilvl="0">
      <w:start w:val="1"/>
      <w:numFmt w:val="decimal"/>
      <w:lvlText w:val="%1."/>
      <w:lvlJc w:val="left"/>
      <w:pPr>
        <w:tabs>
          <w:tab w:val="num" w:pos="360"/>
        </w:tabs>
        <w:ind w:left="360" w:hanging="360"/>
      </w:pPr>
    </w:lvl>
  </w:abstractNum>
  <w:abstractNum w:abstractNumId="8">
    <w:nsid w:val="1CD426E7"/>
    <w:multiLevelType w:val="hybridMultilevel"/>
    <w:tmpl w:val="C8AE3B6A"/>
    <w:lvl w:ilvl="0" w:tplc="5B1CC8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35C2686"/>
    <w:multiLevelType w:val="hybridMultilevel"/>
    <w:tmpl w:val="EDCE866E"/>
    <w:lvl w:ilvl="0" w:tplc="8EC6E84A">
      <w:start w:val="1"/>
      <w:numFmt w:val="decimal"/>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2B7A08"/>
    <w:multiLevelType w:val="singleLevel"/>
    <w:tmpl w:val="04090013"/>
    <w:lvl w:ilvl="0">
      <w:start w:val="1"/>
      <w:numFmt w:val="upperRoman"/>
      <w:lvlText w:val="%1."/>
      <w:lvlJc w:val="left"/>
      <w:pPr>
        <w:tabs>
          <w:tab w:val="num" w:pos="720"/>
        </w:tabs>
        <w:ind w:left="720" w:hanging="720"/>
      </w:pPr>
    </w:lvl>
  </w:abstractNum>
  <w:abstractNum w:abstractNumId="11">
    <w:nsid w:val="2C3E0EAC"/>
    <w:multiLevelType w:val="hybridMultilevel"/>
    <w:tmpl w:val="C8AE3B6A"/>
    <w:lvl w:ilvl="0" w:tplc="5B1CC8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DE0877"/>
    <w:multiLevelType w:val="multilevel"/>
    <w:tmpl w:val="8E0A7B70"/>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nsid w:val="2DD92227"/>
    <w:multiLevelType w:val="multilevel"/>
    <w:tmpl w:val="2A72A25C"/>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nsid w:val="2F532F13"/>
    <w:multiLevelType w:val="hybridMultilevel"/>
    <w:tmpl w:val="79F8A4C8"/>
    <w:lvl w:ilvl="0" w:tplc="39F25B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1D66449"/>
    <w:multiLevelType w:val="hybridMultilevel"/>
    <w:tmpl w:val="8EC0DDDA"/>
    <w:lvl w:ilvl="0" w:tplc="D23A7B74">
      <w:start w:val="1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nsid w:val="472F0921"/>
    <w:multiLevelType w:val="multilevel"/>
    <w:tmpl w:val="22AED672"/>
    <w:lvl w:ilvl="0">
      <w:start w:val="1"/>
      <w:numFmt w:val="decimal"/>
      <w:pStyle w:val="ParaNumbered"/>
      <w:lvlText w:val="%1."/>
      <w:lvlJc w:val="left"/>
      <w:pPr>
        <w:tabs>
          <w:tab w:val="num" w:pos="-720"/>
        </w:tabs>
        <w:ind w:left="-720" w:firstLine="720"/>
      </w:pPr>
      <w:rPr>
        <w:rFonts w:hint="default"/>
        <w:b w:val="0"/>
        <w:i/>
        <w:sz w:val="22"/>
      </w:rPr>
    </w:lvl>
    <w:lvl w:ilvl="1">
      <w:start w:val="1"/>
      <w:numFmt w:val="lowerLetter"/>
      <w:lvlText w:val="%2."/>
      <w:lvlJc w:val="left"/>
      <w:pPr>
        <w:tabs>
          <w:tab w:val="num" w:pos="-720"/>
        </w:tabs>
        <w:ind w:left="-720" w:firstLine="1440"/>
      </w:pPr>
      <w:rPr>
        <w:rFonts w:hint="default"/>
      </w:rPr>
    </w:lvl>
    <w:lvl w:ilvl="2">
      <w:start w:val="1"/>
      <w:numFmt w:val="decimal"/>
      <w:lvlText w:val="(%3)"/>
      <w:lvlJc w:val="left"/>
      <w:pPr>
        <w:tabs>
          <w:tab w:val="num" w:pos="-720"/>
        </w:tabs>
        <w:ind w:left="-720" w:firstLine="2160"/>
      </w:pPr>
      <w:rPr>
        <w:rFonts w:hint="default"/>
      </w:rPr>
    </w:lvl>
    <w:lvl w:ilvl="3">
      <w:start w:val="1"/>
      <w:numFmt w:val="decimal"/>
      <w:lvlText w:val="(%4)"/>
      <w:lvlJc w:val="left"/>
      <w:pPr>
        <w:tabs>
          <w:tab w:val="num" w:pos="0"/>
        </w:tabs>
        <w:ind w:left="0" w:hanging="360"/>
      </w:pPr>
      <w:rPr>
        <w:rFonts w:hint="default"/>
      </w:rPr>
    </w:lvl>
    <w:lvl w:ilvl="4">
      <w:start w:val="1"/>
      <w:numFmt w:val="lowerLetter"/>
      <w:lvlText w:val="(%5)"/>
      <w:lvlJc w:val="left"/>
      <w:pPr>
        <w:tabs>
          <w:tab w:val="num" w:pos="360"/>
        </w:tabs>
        <w:ind w:left="360" w:hanging="360"/>
      </w:pPr>
      <w:rPr>
        <w:rFonts w:hint="default"/>
      </w:rPr>
    </w:lvl>
    <w:lvl w:ilvl="5">
      <w:start w:val="1"/>
      <w:numFmt w:val="lowerRoman"/>
      <w:lvlText w:val="(%6)"/>
      <w:lvlJc w:val="left"/>
      <w:pPr>
        <w:tabs>
          <w:tab w:val="num" w:pos="720"/>
        </w:tabs>
        <w:ind w:left="72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1440"/>
        </w:tabs>
        <w:ind w:left="1440" w:hanging="360"/>
      </w:pPr>
      <w:rPr>
        <w:rFonts w:hint="default"/>
      </w:rPr>
    </w:lvl>
    <w:lvl w:ilvl="8">
      <w:start w:val="1"/>
      <w:numFmt w:val="lowerRoman"/>
      <w:lvlText w:val="%9."/>
      <w:lvlJc w:val="left"/>
      <w:pPr>
        <w:tabs>
          <w:tab w:val="num" w:pos="1800"/>
        </w:tabs>
        <w:ind w:left="1800" w:hanging="360"/>
      </w:pPr>
      <w:rPr>
        <w:rFonts w:hint="default"/>
      </w:rPr>
    </w:lvl>
  </w:abstractNum>
  <w:abstractNum w:abstractNumId="17">
    <w:nsid w:val="4BA3009E"/>
    <w:multiLevelType w:val="hybridMultilevel"/>
    <w:tmpl w:val="792295DC"/>
    <w:lvl w:ilvl="0" w:tplc="5B1CC81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55E1502"/>
    <w:multiLevelType w:val="singleLevel"/>
    <w:tmpl w:val="0409000F"/>
    <w:lvl w:ilvl="0">
      <w:start w:val="1"/>
      <w:numFmt w:val="decimal"/>
      <w:lvlText w:val="%1."/>
      <w:lvlJc w:val="left"/>
      <w:pPr>
        <w:tabs>
          <w:tab w:val="num" w:pos="360"/>
        </w:tabs>
        <w:ind w:left="360" w:hanging="360"/>
      </w:pPr>
    </w:lvl>
  </w:abstractNum>
  <w:abstractNum w:abstractNumId="19">
    <w:nsid w:val="6ABB4C3B"/>
    <w:multiLevelType w:val="singleLevel"/>
    <w:tmpl w:val="0409000F"/>
    <w:lvl w:ilvl="0">
      <w:start w:val="1"/>
      <w:numFmt w:val="decimal"/>
      <w:lvlText w:val="%1."/>
      <w:lvlJc w:val="left"/>
      <w:pPr>
        <w:tabs>
          <w:tab w:val="num" w:pos="360"/>
        </w:tabs>
        <w:ind w:left="360" w:hanging="360"/>
      </w:pPr>
    </w:lvl>
  </w:abstractNum>
  <w:abstractNum w:abstractNumId="20">
    <w:nsid w:val="6CFD6667"/>
    <w:multiLevelType w:val="multilevel"/>
    <w:tmpl w:val="7F5A03CE"/>
    <w:lvl w:ilvl="0">
      <w:start w:val="1"/>
      <w:numFmt w:val="upperRoman"/>
      <w:pStyle w:val="Heading1"/>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pStyle w:val="Heading2"/>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decimal"/>
      <w:pStyle w:val="Heading3"/>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lowerLetter"/>
      <w:pStyle w:val="Heading4"/>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pStyle w:val="Heading5"/>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pStyle w:val="Heading6"/>
      <w:lvlText w:val="%6."/>
      <w:lvlJc w:val="left"/>
      <w:pPr>
        <w:tabs>
          <w:tab w:val="num" w:pos="1080"/>
        </w:tabs>
        <w:ind w:left="0" w:firstLine="720"/>
      </w:pPr>
      <w:rPr>
        <w:rFonts w:ascii="Times New Roman" w:hAnsi="Times New Roman" w:hint="default"/>
        <w:b w:val="0"/>
        <w:i w:val="0"/>
        <w:sz w:val="24"/>
      </w:rPr>
    </w:lvl>
    <w:lvl w:ilvl="6">
      <w:start w:val="1"/>
      <w:numFmt w:val="decimal"/>
      <w:lvlRestart w:val="0"/>
      <w:pStyle w:val="Heading7"/>
      <w:lvlText w:val="%7."/>
      <w:lvlJc w:val="left"/>
      <w:pPr>
        <w:tabs>
          <w:tab w:val="num" w:pos="1080"/>
        </w:tabs>
        <w:ind w:left="0" w:firstLine="720"/>
      </w:pPr>
      <w:rPr>
        <w:rFonts w:ascii="Times New Roman" w:hAnsi="Times New Roman" w:hint="default"/>
        <w:b w:val="0"/>
        <w:i w:val="0"/>
        <w:sz w:val="24"/>
      </w:rPr>
    </w:lvl>
    <w:lvl w:ilvl="7">
      <w:start w:val="1"/>
      <w:numFmt w:val="lowerLetter"/>
      <w:pStyle w:val="Heading8"/>
      <w:lvlText w:val="%8."/>
      <w:lvlJc w:val="left"/>
      <w:pPr>
        <w:tabs>
          <w:tab w:val="num" w:pos="1800"/>
        </w:tabs>
        <w:ind w:left="0" w:firstLine="1440"/>
      </w:pPr>
      <w:rPr>
        <w:rFonts w:ascii="Times New Roman" w:hAnsi="Times New Roman" w:hint="default"/>
        <w:b w:val="0"/>
        <w:i w:val="0"/>
        <w:sz w:val="24"/>
      </w:rPr>
    </w:lvl>
    <w:lvl w:ilvl="8">
      <w:start w:val="1"/>
      <w:numFmt w:val="lowerRoman"/>
      <w:pStyle w:val="Heading9"/>
      <w:lvlText w:val="(%9)"/>
      <w:lvlJc w:val="left"/>
      <w:pPr>
        <w:tabs>
          <w:tab w:val="num" w:pos="2880"/>
        </w:tabs>
        <w:ind w:left="2880" w:hanging="720"/>
      </w:pPr>
      <w:rPr>
        <w:rFonts w:ascii="Times New Roman" w:hAnsi="Times New Roman" w:hint="default"/>
        <w:b w:val="0"/>
        <w:i w:val="0"/>
        <w:sz w:val="24"/>
      </w:rPr>
    </w:lvl>
  </w:abstractNum>
  <w:abstractNum w:abstractNumId="21">
    <w:nsid w:val="7FA36E3B"/>
    <w:multiLevelType w:val="hybridMultilevel"/>
    <w:tmpl w:val="792295DC"/>
    <w:lvl w:ilvl="0" w:tplc="5B1CC81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3"/>
  </w:num>
  <w:num w:numId="3">
    <w:abstractNumId w:val="6"/>
  </w:num>
  <w:num w:numId="4">
    <w:abstractNumId w:val="10"/>
  </w:num>
  <w:num w:numId="5">
    <w:abstractNumId w:val="18"/>
  </w:num>
  <w:num w:numId="6">
    <w:abstractNumId w:val="7"/>
  </w:num>
  <w:num w:numId="7">
    <w:abstractNumId w:val="0"/>
  </w:num>
  <w:num w:numId="8">
    <w:abstractNumId w:val="1"/>
  </w:num>
  <w:num w:numId="9">
    <w:abstractNumId w:val="12"/>
  </w:num>
  <w:num w:numId="10">
    <w:abstractNumId w:val="13"/>
  </w:num>
  <w:num w:numId="11">
    <w:abstractNumId w:val="19"/>
  </w:num>
  <w:num w:numId="12">
    <w:abstractNumId w:val="13"/>
  </w:num>
  <w:num w:numId="13">
    <w:abstractNumId w:val="13"/>
  </w:num>
  <w:num w:numId="14">
    <w:abstractNumId w:val="16"/>
  </w:num>
  <w:num w:numId="15">
    <w:abstractNumId w:val="20"/>
  </w:num>
  <w:num w:numId="16">
    <w:abstractNumId w:val="16"/>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20"/>
  </w:num>
  <w:num w:numId="25">
    <w:abstractNumId w:val="20"/>
  </w:num>
  <w:num w:numId="26">
    <w:abstractNumId w:val="20"/>
  </w:num>
  <w:num w:numId="27">
    <w:abstractNumId w:val="9"/>
  </w:num>
  <w:num w:numId="28">
    <w:abstractNumId w:val="8"/>
  </w:num>
  <w:num w:numId="29">
    <w:abstractNumId w:val="4"/>
  </w:num>
  <w:num w:numId="30">
    <w:abstractNumId w:val="11"/>
  </w:num>
  <w:num w:numId="31">
    <w:abstractNumId w:val="15"/>
  </w:num>
  <w:num w:numId="32">
    <w:abstractNumId w:val="2"/>
  </w:num>
  <w:num w:numId="33">
    <w:abstractNumId w:val="14"/>
  </w:num>
  <w:num w:numId="34">
    <w:abstractNumId w:val="17"/>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962566"/>
    <w:rsid w:val="00001A29"/>
    <w:rsid w:val="00003AA8"/>
    <w:rsid w:val="0000465D"/>
    <w:rsid w:val="00006176"/>
    <w:rsid w:val="00006FB6"/>
    <w:rsid w:val="00013F17"/>
    <w:rsid w:val="00017FA3"/>
    <w:rsid w:val="000222B2"/>
    <w:rsid w:val="00031944"/>
    <w:rsid w:val="0003238A"/>
    <w:rsid w:val="0003653B"/>
    <w:rsid w:val="000446D9"/>
    <w:rsid w:val="000447D5"/>
    <w:rsid w:val="00044C2C"/>
    <w:rsid w:val="000526ED"/>
    <w:rsid w:val="00052EE9"/>
    <w:rsid w:val="00061820"/>
    <w:rsid w:val="000633D1"/>
    <w:rsid w:val="00067EA0"/>
    <w:rsid w:val="0007073C"/>
    <w:rsid w:val="00080A15"/>
    <w:rsid w:val="00090CA3"/>
    <w:rsid w:val="0009483A"/>
    <w:rsid w:val="0009664D"/>
    <w:rsid w:val="000A58D6"/>
    <w:rsid w:val="000A6454"/>
    <w:rsid w:val="000B39DF"/>
    <w:rsid w:val="000B4D91"/>
    <w:rsid w:val="000B55A8"/>
    <w:rsid w:val="000B55CA"/>
    <w:rsid w:val="000B5ED7"/>
    <w:rsid w:val="000C0451"/>
    <w:rsid w:val="000C5E5B"/>
    <w:rsid w:val="000C5F29"/>
    <w:rsid w:val="000C6053"/>
    <w:rsid w:val="000D67D4"/>
    <w:rsid w:val="000E0EA7"/>
    <w:rsid w:val="000E1834"/>
    <w:rsid w:val="000F1E3B"/>
    <w:rsid w:val="00104093"/>
    <w:rsid w:val="00104797"/>
    <w:rsid w:val="0010562F"/>
    <w:rsid w:val="001056FD"/>
    <w:rsid w:val="00114796"/>
    <w:rsid w:val="00115439"/>
    <w:rsid w:val="0011744F"/>
    <w:rsid w:val="00123C08"/>
    <w:rsid w:val="0013098C"/>
    <w:rsid w:val="00130A52"/>
    <w:rsid w:val="00137575"/>
    <w:rsid w:val="00141C87"/>
    <w:rsid w:val="00144671"/>
    <w:rsid w:val="00154536"/>
    <w:rsid w:val="00157099"/>
    <w:rsid w:val="00161627"/>
    <w:rsid w:val="001670E3"/>
    <w:rsid w:val="00172199"/>
    <w:rsid w:val="00172324"/>
    <w:rsid w:val="001732A3"/>
    <w:rsid w:val="00177064"/>
    <w:rsid w:val="00185540"/>
    <w:rsid w:val="00186046"/>
    <w:rsid w:val="00191412"/>
    <w:rsid w:val="001A089B"/>
    <w:rsid w:val="001A3BCF"/>
    <w:rsid w:val="001A41C1"/>
    <w:rsid w:val="001A6061"/>
    <w:rsid w:val="001A6D4B"/>
    <w:rsid w:val="001A6E74"/>
    <w:rsid w:val="001B4F0F"/>
    <w:rsid w:val="001B6DE2"/>
    <w:rsid w:val="001C2B4B"/>
    <w:rsid w:val="001C43E2"/>
    <w:rsid w:val="001D04C0"/>
    <w:rsid w:val="001D1C1F"/>
    <w:rsid w:val="001D20C5"/>
    <w:rsid w:val="001D5F17"/>
    <w:rsid w:val="001D7052"/>
    <w:rsid w:val="001D723F"/>
    <w:rsid w:val="001E06D8"/>
    <w:rsid w:val="001E1A30"/>
    <w:rsid w:val="001E7ECB"/>
    <w:rsid w:val="001F14A0"/>
    <w:rsid w:val="001F2ABC"/>
    <w:rsid w:val="00207FC2"/>
    <w:rsid w:val="00216BF7"/>
    <w:rsid w:val="00220506"/>
    <w:rsid w:val="00222B51"/>
    <w:rsid w:val="00232DAD"/>
    <w:rsid w:val="002337DC"/>
    <w:rsid w:val="00242325"/>
    <w:rsid w:val="0024258E"/>
    <w:rsid w:val="0024271F"/>
    <w:rsid w:val="00247971"/>
    <w:rsid w:val="002515BF"/>
    <w:rsid w:val="00251F85"/>
    <w:rsid w:val="00252AD5"/>
    <w:rsid w:val="00257229"/>
    <w:rsid w:val="00261042"/>
    <w:rsid w:val="00263622"/>
    <w:rsid w:val="00265EB6"/>
    <w:rsid w:val="0026654E"/>
    <w:rsid w:val="0027092C"/>
    <w:rsid w:val="00275888"/>
    <w:rsid w:val="00276B6F"/>
    <w:rsid w:val="002801B4"/>
    <w:rsid w:val="00285836"/>
    <w:rsid w:val="00286EAB"/>
    <w:rsid w:val="00294277"/>
    <w:rsid w:val="002A3500"/>
    <w:rsid w:val="002A65C0"/>
    <w:rsid w:val="002B3188"/>
    <w:rsid w:val="002B343A"/>
    <w:rsid w:val="002B4C1E"/>
    <w:rsid w:val="002B5A0E"/>
    <w:rsid w:val="002C1E2A"/>
    <w:rsid w:val="002C2EE7"/>
    <w:rsid w:val="002C551D"/>
    <w:rsid w:val="002D2ECD"/>
    <w:rsid w:val="002E59DB"/>
    <w:rsid w:val="002F00AD"/>
    <w:rsid w:val="002F2E69"/>
    <w:rsid w:val="002F42F7"/>
    <w:rsid w:val="00303F9F"/>
    <w:rsid w:val="00310F64"/>
    <w:rsid w:val="00316F5F"/>
    <w:rsid w:val="00317186"/>
    <w:rsid w:val="00317392"/>
    <w:rsid w:val="003217E6"/>
    <w:rsid w:val="00327075"/>
    <w:rsid w:val="00330932"/>
    <w:rsid w:val="00331CE2"/>
    <w:rsid w:val="00332311"/>
    <w:rsid w:val="003342E0"/>
    <w:rsid w:val="00335CC6"/>
    <w:rsid w:val="003364B8"/>
    <w:rsid w:val="00337B67"/>
    <w:rsid w:val="00337F97"/>
    <w:rsid w:val="00340690"/>
    <w:rsid w:val="00347C18"/>
    <w:rsid w:val="003504B1"/>
    <w:rsid w:val="00351D82"/>
    <w:rsid w:val="003533C3"/>
    <w:rsid w:val="003541BD"/>
    <w:rsid w:val="003559B0"/>
    <w:rsid w:val="003566AD"/>
    <w:rsid w:val="003607BA"/>
    <w:rsid w:val="00363DE6"/>
    <w:rsid w:val="003642EF"/>
    <w:rsid w:val="00370CFE"/>
    <w:rsid w:val="003746B0"/>
    <w:rsid w:val="00376CAC"/>
    <w:rsid w:val="00377690"/>
    <w:rsid w:val="00380A58"/>
    <w:rsid w:val="00390756"/>
    <w:rsid w:val="003917A1"/>
    <w:rsid w:val="00391AB3"/>
    <w:rsid w:val="003A313B"/>
    <w:rsid w:val="003A54DA"/>
    <w:rsid w:val="003B0496"/>
    <w:rsid w:val="003B0CAF"/>
    <w:rsid w:val="003B377C"/>
    <w:rsid w:val="003B3DF3"/>
    <w:rsid w:val="003B6AC6"/>
    <w:rsid w:val="003B6FA6"/>
    <w:rsid w:val="003B7E83"/>
    <w:rsid w:val="003C1ED7"/>
    <w:rsid w:val="003C5039"/>
    <w:rsid w:val="003C59D2"/>
    <w:rsid w:val="003C70B7"/>
    <w:rsid w:val="003C789D"/>
    <w:rsid w:val="003D1AFB"/>
    <w:rsid w:val="003D26E1"/>
    <w:rsid w:val="003D5CF6"/>
    <w:rsid w:val="003D632C"/>
    <w:rsid w:val="003D6624"/>
    <w:rsid w:val="003E0A88"/>
    <w:rsid w:val="003E38BF"/>
    <w:rsid w:val="003E52D2"/>
    <w:rsid w:val="0040044C"/>
    <w:rsid w:val="0040194C"/>
    <w:rsid w:val="00401AB0"/>
    <w:rsid w:val="004035FA"/>
    <w:rsid w:val="0040382C"/>
    <w:rsid w:val="00407B00"/>
    <w:rsid w:val="00413FE8"/>
    <w:rsid w:val="00416983"/>
    <w:rsid w:val="00417656"/>
    <w:rsid w:val="004223AF"/>
    <w:rsid w:val="00422794"/>
    <w:rsid w:val="0044162E"/>
    <w:rsid w:val="00441723"/>
    <w:rsid w:val="00442E05"/>
    <w:rsid w:val="004512F4"/>
    <w:rsid w:val="004523B4"/>
    <w:rsid w:val="00462576"/>
    <w:rsid w:val="004645A4"/>
    <w:rsid w:val="004708E2"/>
    <w:rsid w:val="0047735D"/>
    <w:rsid w:val="00482276"/>
    <w:rsid w:val="00482E3F"/>
    <w:rsid w:val="00483360"/>
    <w:rsid w:val="00486D38"/>
    <w:rsid w:val="004950ED"/>
    <w:rsid w:val="004A4057"/>
    <w:rsid w:val="004A589F"/>
    <w:rsid w:val="004A791B"/>
    <w:rsid w:val="004B281D"/>
    <w:rsid w:val="004B51CE"/>
    <w:rsid w:val="004B6487"/>
    <w:rsid w:val="004B7248"/>
    <w:rsid w:val="004C4971"/>
    <w:rsid w:val="004C5F3B"/>
    <w:rsid w:val="004C75A5"/>
    <w:rsid w:val="004C78A6"/>
    <w:rsid w:val="004D31F3"/>
    <w:rsid w:val="004D4EC8"/>
    <w:rsid w:val="004D686D"/>
    <w:rsid w:val="004E055E"/>
    <w:rsid w:val="004E141A"/>
    <w:rsid w:val="004E1C0D"/>
    <w:rsid w:val="004E428E"/>
    <w:rsid w:val="004E61E5"/>
    <w:rsid w:val="004F6F5A"/>
    <w:rsid w:val="00500EAA"/>
    <w:rsid w:val="0050216B"/>
    <w:rsid w:val="0051598B"/>
    <w:rsid w:val="00517941"/>
    <w:rsid w:val="00517E5F"/>
    <w:rsid w:val="00520183"/>
    <w:rsid w:val="00521984"/>
    <w:rsid w:val="0052352A"/>
    <w:rsid w:val="0052417B"/>
    <w:rsid w:val="005244A3"/>
    <w:rsid w:val="00527A4F"/>
    <w:rsid w:val="0053063B"/>
    <w:rsid w:val="00530CA3"/>
    <w:rsid w:val="00531033"/>
    <w:rsid w:val="005324D2"/>
    <w:rsid w:val="00535E4B"/>
    <w:rsid w:val="00542452"/>
    <w:rsid w:val="00544F7F"/>
    <w:rsid w:val="00545740"/>
    <w:rsid w:val="00551604"/>
    <w:rsid w:val="00553DF7"/>
    <w:rsid w:val="00555527"/>
    <w:rsid w:val="0055730C"/>
    <w:rsid w:val="00561964"/>
    <w:rsid w:val="00573254"/>
    <w:rsid w:val="00574BF3"/>
    <w:rsid w:val="0057651D"/>
    <w:rsid w:val="00577ED0"/>
    <w:rsid w:val="005829E3"/>
    <w:rsid w:val="00584CAD"/>
    <w:rsid w:val="00586950"/>
    <w:rsid w:val="00591B24"/>
    <w:rsid w:val="00594F8B"/>
    <w:rsid w:val="005A285E"/>
    <w:rsid w:val="005A329F"/>
    <w:rsid w:val="005A3629"/>
    <w:rsid w:val="005B311C"/>
    <w:rsid w:val="005B5126"/>
    <w:rsid w:val="005B61EE"/>
    <w:rsid w:val="005C41C2"/>
    <w:rsid w:val="005C4556"/>
    <w:rsid w:val="005D05CC"/>
    <w:rsid w:val="005D1E5D"/>
    <w:rsid w:val="005D6396"/>
    <w:rsid w:val="005E021A"/>
    <w:rsid w:val="005E1014"/>
    <w:rsid w:val="005E23D9"/>
    <w:rsid w:val="005E5998"/>
    <w:rsid w:val="005F012A"/>
    <w:rsid w:val="005F513E"/>
    <w:rsid w:val="005F7B4C"/>
    <w:rsid w:val="00600C0D"/>
    <w:rsid w:val="00604671"/>
    <w:rsid w:val="00604EE3"/>
    <w:rsid w:val="00610EB8"/>
    <w:rsid w:val="00615A02"/>
    <w:rsid w:val="0061791E"/>
    <w:rsid w:val="00617FE9"/>
    <w:rsid w:val="00621014"/>
    <w:rsid w:val="00622049"/>
    <w:rsid w:val="00622E56"/>
    <w:rsid w:val="00637EFB"/>
    <w:rsid w:val="006405CA"/>
    <w:rsid w:val="00641584"/>
    <w:rsid w:val="006500D9"/>
    <w:rsid w:val="00652727"/>
    <w:rsid w:val="00657429"/>
    <w:rsid w:val="006617A5"/>
    <w:rsid w:val="00663572"/>
    <w:rsid w:val="0066457C"/>
    <w:rsid w:val="006658B5"/>
    <w:rsid w:val="006667EB"/>
    <w:rsid w:val="00675DCD"/>
    <w:rsid w:val="006763EF"/>
    <w:rsid w:val="006776FC"/>
    <w:rsid w:val="00680F01"/>
    <w:rsid w:val="006819FF"/>
    <w:rsid w:val="00683605"/>
    <w:rsid w:val="00683D5B"/>
    <w:rsid w:val="006842BE"/>
    <w:rsid w:val="00685410"/>
    <w:rsid w:val="0069103C"/>
    <w:rsid w:val="00692806"/>
    <w:rsid w:val="0069341C"/>
    <w:rsid w:val="0069391B"/>
    <w:rsid w:val="00696D4E"/>
    <w:rsid w:val="006A6701"/>
    <w:rsid w:val="006B0865"/>
    <w:rsid w:val="006B2AAC"/>
    <w:rsid w:val="006B48AD"/>
    <w:rsid w:val="006B526E"/>
    <w:rsid w:val="006B7089"/>
    <w:rsid w:val="006C1F63"/>
    <w:rsid w:val="006C3177"/>
    <w:rsid w:val="006C4707"/>
    <w:rsid w:val="006C6F67"/>
    <w:rsid w:val="006C7337"/>
    <w:rsid w:val="006D00BB"/>
    <w:rsid w:val="006D51A3"/>
    <w:rsid w:val="006D531F"/>
    <w:rsid w:val="006D62D0"/>
    <w:rsid w:val="006E3E38"/>
    <w:rsid w:val="006E4039"/>
    <w:rsid w:val="006E5232"/>
    <w:rsid w:val="006E6B99"/>
    <w:rsid w:val="006E7947"/>
    <w:rsid w:val="006F140B"/>
    <w:rsid w:val="006F2E68"/>
    <w:rsid w:val="006F49D4"/>
    <w:rsid w:val="006F5666"/>
    <w:rsid w:val="00702A9A"/>
    <w:rsid w:val="007046E0"/>
    <w:rsid w:val="00706ED7"/>
    <w:rsid w:val="00710239"/>
    <w:rsid w:val="00711143"/>
    <w:rsid w:val="00711421"/>
    <w:rsid w:val="00712FF3"/>
    <w:rsid w:val="0071320E"/>
    <w:rsid w:val="00716275"/>
    <w:rsid w:val="0072004F"/>
    <w:rsid w:val="00720706"/>
    <w:rsid w:val="0072713D"/>
    <w:rsid w:val="00743E06"/>
    <w:rsid w:val="0074412D"/>
    <w:rsid w:val="00744DAB"/>
    <w:rsid w:val="007502A9"/>
    <w:rsid w:val="0075589C"/>
    <w:rsid w:val="007623E7"/>
    <w:rsid w:val="00764F48"/>
    <w:rsid w:val="007713A6"/>
    <w:rsid w:val="007747A7"/>
    <w:rsid w:val="0077498E"/>
    <w:rsid w:val="00776A2D"/>
    <w:rsid w:val="0077761B"/>
    <w:rsid w:val="007822CC"/>
    <w:rsid w:val="007853FF"/>
    <w:rsid w:val="007856A1"/>
    <w:rsid w:val="00786EEE"/>
    <w:rsid w:val="0078739F"/>
    <w:rsid w:val="00787F63"/>
    <w:rsid w:val="00792F61"/>
    <w:rsid w:val="007A05F7"/>
    <w:rsid w:val="007A1056"/>
    <w:rsid w:val="007B06F1"/>
    <w:rsid w:val="007B4E1C"/>
    <w:rsid w:val="007C1670"/>
    <w:rsid w:val="007D2F07"/>
    <w:rsid w:val="007E2F05"/>
    <w:rsid w:val="007E5D99"/>
    <w:rsid w:val="007E7E68"/>
    <w:rsid w:val="007F3618"/>
    <w:rsid w:val="007F37C0"/>
    <w:rsid w:val="00804C3F"/>
    <w:rsid w:val="00805B69"/>
    <w:rsid w:val="00805F8B"/>
    <w:rsid w:val="008062F5"/>
    <w:rsid w:val="00816D84"/>
    <w:rsid w:val="00830285"/>
    <w:rsid w:val="00830A50"/>
    <w:rsid w:val="008335CD"/>
    <w:rsid w:val="008355A7"/>
    <w:rsid w:val="00847AC2"/>
    <w:rsid w:val="00847D8D"/>
    <w:rsid w:val="00852F4C"/>
    <w:rsid w:val="00854650"/>
    <w:rsid w:val="00855288"/>
    <w:rsid w:val="00855383"/>
    <w:rsid w:val="008565F8"/>
    <w:rsid w:val="00857747"/>
    <w:rsid w:val="0086039E"/>
    <w:rsid w:val="008660F2"/>
    <w:rsid w:val="00873DEE"/>
    <w:rsid w:val="008846B8"/>
    <w:rsid w:val="00884953"/>
    <w:rsid w:val="00891629"/>
    <w:rsid w:val="008A50BD"/>
    <w:rsid w:val="008A53E8"/>
    <w:rsid w:val="008B3656"/>
    <w:rsid w:val="008B6E53"/>
    <w:rsid w:val="008B7235"/>
    <w:rsid w:val="008C107F"/>
    <w:rsid w:val="008D10EE"/>
    <w:rsid w:val="008E5426"/>
    <w:rsid w:val="008E61DA"/>
    <w:rsid w:val="008F08AB"/>
    <w:rsid w:val="008F732E"/>
    <w:rsid w:val="008F769B"/>
    <w:rsid w:val="00915DD7"/>
    <w:rsid w:val="009214E5"/>
    <w:rsid w:val="00925F93"/>
    <w:rsid w:val="009307E4"/>
    <w:rsid w:val="00932B6E"/>
    <w:rsid w:val="00932BA5"/>
    <w:rsid w:val="009358DB"/>
    <w:rsid w:val="009461E2"/>
    <w:rsid w:val="00947DE1"/>
    <w:rsid w:val="0095109F"/>
    <w:rsid w:val="009551E3"/>
    <w:rsid w:val="00955B0B"/>
    <w:rsid w:val="009602A6"/>
    <w:rsid w:val="00962566"/>
    <w:rsid w:val="00962B63"/>
    <w:rsid w:val="0097446C"/>
    <w:rsid w:val="00974B29"/>
    <w:rsid w:val="00977D66"/>
    <w:rsid w:val="00980C9D"/>
    <w:rsid w:val="00981CA9"/>
    <w:rsid w:val="009821DE"/>
    <w:rsid w:val="0098649D"/>
    <w:rsid w:val="00990D91"/>
    <w:rsid w:val="00993D8A"/>
    <w:rsid w:val="009956BE"/>
    <w:rsid w:val="009A3C03"/>
    <w:rsid w:val="009A4A2E"/>
    <w:rsid w:val="009B4BCC"/>
    <w:rsid w:val="009B4C0C"/>
    <w:rsid w:val="009B5589"/>
    <w:rsid w:val="009B76A3"/>
    <w:rsid w:val="009C264C"/>
    <w:rsid w:val="009C47D8"/>
    <w:rsid w:val="009D28F0"/>
    <w:rsid w:val="009D3151"/>
    <w:rsid w:val="009D4D56"/>
    <w:rsid w:val="009D4F7E"/>
    <w:rsid w:val="009E0280"/>
    <w:rsid w:val="009E0822"/>
    <w:rsid w:val="009E0ABF"/>
    <w:rsid w:val="009E2CB2"/>
    <w:rsid w:val="009E2E6B"/>
    <w:rsid w:val="009E33FD"/>
    <w:rsid w:val="009E3DA0"/>
    <w:rsid w:val="009E3F98"/>
    <w:rsid w:val="009E4B5B"/>
    <w:rsid w:val="009E5F08"/>
    <w:rsid w:val="009F015C"/>
    <w:rsid w:val="009F1FB1"/>
    <w:rsid w:val="009F286F"/>
    <w:rsid w:val="009F3650"/>
    <w:rsid w:val="009F5336"/>
    <w:rsid w:val="009F5504"/>
    <w:rsid w:val="009F7C99"/>
    <w:rsid w:val="00A00339"/>
    <w:rsid w:val="00A030B7"/>
    <w:rsid w:val="00A13343"/>
    <w:rsid w:val="00A1354F"/>
    <w:rsid w:val="00A17F12"/>
    <w:rsid w:val="00A23DA5"/>
    <w:rsid w:val="00A2513A"/>
    <w:rsid w:val="00A25933"/>
    <w:rsid w:val="00A33B4C"/>
    <w:rsid w:val="00A45AD0"/>
    <w:rsid w:val="00A50AFA"/>
    <w:rsid w:val="00A5646C"/>
    <w:rsid w:val="00A5666B"/>
    <w:rsid w:val="00A610F0"/>
    <w:rsid w:val="00A62578"/>
    <w:rsid w:val="00A6599A"/>
    <w:rsid w:val="00A7223A"/>
    <w:rsid w:val="00A7288A"/>
    <w:rsid w:val="00A73069"/>
    <w:rsid w:val="00A7403B"/>
    <w:rsid w:val="00A77A1E"/>
    <w:rsid w:val="00A840B3"/>
    <w:rsid w:val="00A84704"/>
    <w:rsid w:val="00AA248F"/>
    <w:rsid w:val="00AA5A5D"/>
    <w:rsid w:val="00AB1A02"/>
    <w:rsid w:val="00AB2CC6"/>
    <w:rsid w:val="00AB58DA"/>
    <w:rsid w:val="00AC200C"/>
    <w:rsid w:val="00AC4019"/>
    <w:rsid w:val="00AC769A"/>
    <w:rsid w:val="00AD0191"/>
    <w:rsid w:val="00AD2528"/>
    <w:rsid w:val="00AD4698"/>
    <w:rsid w:val="00AE5C75"/>
    <w:rsid w:val="00AF068C"/>
    <w:rsid w:val="00AF4224"/>
    <w:rsid w:val="00AF5B58"/>
    <w:rsid w:val="00AF7F65"/>
    <w:rsid w:val="00B04088"/>
    <w:rsid w:val="00B04472"/>
    <w:rsid w:val="00B05E6A"/>
    <w:rsid w:val="00B10488"/>
    <w:rsid w:val="00B221DD"/>
    <w:rsid w:val="00B269E4"/>
    <w:rsid w:val="00B26B6F"/>
    <w:rsid w:val="00B344DE"/>
    <w:rsid w:val="00B369DA"/>
    <w:rsid w:val="00B36D97"/>
    <w:rsid w:val="00B41019"/>
    <w:rsid w:val="00B446CF"/>
    <w:rsid w:val="00B44F4E"/>
    <w:rsid w:val="00B450EF"/>
    <w:rsid w:val="00B52620"/>
    <w:rsid w:val="00B534D0"/>
    <w:rsid w:val="00B5533A"/>
    <w:rsid w:val="00B566D7"/>
    <w:rsid w:val="00B56C81"/>
    <w:rsid w:val="00B60EA7"/>
    <w:rsid w:val="00B6117D"/>
    <w:rsid w:val="00B6147D"/>
    <w:rsid w:val="00B63210"/>
    <w:rsid w:val="00B63EF8"/>
    <w:rsid w:val="00B64007"/>
    <w:rsid w:val="00B808C7"/>
    <w:rsid w:val="00B900FC"/>
    <w:rsid w:val="00B91F81"/>
    <w:rsid w:val="00B943BA"/>
    <w:rsid w:val="00B96F9E"/>
    <w:rsid w:val="00BB567D"/>
    <w:rsid w:val="00BB71D5"/>
    <w:rsid w:val="00BC0892"/>
    <w:rsid w:val="00BC13AC"/>
    <w:rsid w:val="00BC47A5"/>
    <w:rsid w:val="00BD2EC2"/>
    <w:rsid w:val="00BD3044"/>
    <w:rsid w:val="00BD4D9F"/>
    <w:rsid w:val="00BD5DBB"/>
    <w:rsid w:val="00BE07E8"/>
    <w:rsid w:val="00BE56DE"/>
    <w:rsid w:val="00BE673D"/>
    <w:rsid w:val="00BF6863"/>
    <w:rsid w:val="00C00121"/>
    <w:rsid w:val="00C073A4"/>
    <w:rsid w:val="00C13FB0"/>
    <w:rsid w:val="00C16645"/>
    <w:rsid w:val="00C22876"/>
    <w:rsid w:val="00C22BDF"/>
    <w:rsid w:val="00C22F1D"/>
    <w:rsid w:val="00C2512E"/>
    <w:rsid w:val="00C263E2"/>
    <w:rsid w:val="00C27146"/>
    <w:rsid w:val="00C36963"/>
    <w:rsid w:val="00C4135C"/>
    <w:rsid w:val="00C43315"/>
    <w:rsid w:val="00C46587"/>
    <w:rsid w:val="00C47936"/>
    <w:rsid w:val="00C521FB"/>
    <w:rsid w:val="00C56BEF"/>
    <w:rsid w:val="00C60B29"/>
    <w:rsid w:val="00C6108A"/>
    <w:rsid w:val="00C63C24"/>
    <w:rsid w:val="00C669B4"/>
    <w:rsid w:val="00C66DCC"/>
    <w:rsid w:val="00C763AF"/>
    <w:rsid w:val="00C803C8"/>
    <w:rsid w:val="00C80FF2"/>
    <w:rsid w:val="00C822E7"/>
    <w:rsid w:val="00C83152"/>
    <w:rsid w:val="00C84B12"/>
    <w:rsid w:val="00C918BF"/>
    <w:rsid w:val="00C91F4C"/>
    <w:rsid w:val="00C94706"/>
    <w:rsid w:val="00CA117B"/>
    <w:rsid w:val="00CA3B54"/>
    <w:rsid w:val="00CA3D42"/>
    <w:rsid w:val="00CA474B"/>
    <w:rsid w:val="00CA7874"/>
    <w:rsid w:val="00CC0AED"/>
    <w:rsid w:val="00CC2EA7"/>
    <w:rsid w:val="00CC3C85"/>
    <w:rsid w:val="00CC5B39"/>
    <w:rsid w:val="00CC5DBE"/>
    <w:rsid w:val="00CD0694"/>
    <w:rsid w:val="00CD3331"/>
    <w:rsid w:val="00CD425B"/>
    <w:rsid w:val="00CE421F"/>
    <w:rsid w:val="00CE7CF8"/>
    <w:rsid w:val="00CE7D59"/>
    <w:rsid w:val="00CE7E40"/>
    <w:rsid w:val="00CF2B52"/>
    <w:rsid w:val="00CF3327"/>
    <w:rsid w:val="00D01410"/>
    <w:rsid w:val="00D030D9"/>
    <w:rsid w:val="00D056AE"/>
    <w:rsid w:val="00D106D9"/>
    <w:rsid w:val="00D136F3"/>
    <w:rsid w:val="00D16F02"/>
    <w:rsid w:val="00D23FDF"/>
    <w:rsid w:val="00D252D3"/>
    <w:rsid w:val="00D26A49"/>
    <w:rsid w:val="00D33BFC"/>
    <w:rsid w:val="00D445B1"/>
    <w:rsid w:val="00D44D4D"/>
    <w:rsid w:val="00D50110"/>
    <w:rsid w:val="00D524D0"/>
    <w:rsid w:val="00D5481F"/>
    <w:rsid w:val="00D565E2"/>
    <w:rsid w:val="00D61559"/>
    <w:rsid w:val="00D62F3E"/>
    <w:rsid w:val="00D63485"/>
    <w:rsid w:val="00D63F82"/>
    <w:rsid w:val="00D73EB7"/>
    <w:rsid w:val="00D74F86"/>
    <w:rsid w:val="00D77ECB"/>
    <w:rsid w:val="00D81F99"/>
    <w:rsid w:val="00D82D05"/>
    <w:rsid w:val="00D83792"/>
    <w:rsid w:val="00D8515B"/>
    <w:rsid w:val="00D85FB6"/>
    <w:rsid w:val="00DA7AA3"/>
    <w:rsid w:val="00DB245D"/>
    <w:rsid w:val="00DC0619"/>
    <w:rsid w:val="00DC2BF1"/>
    <w:rsid w:val="00DC35F2"/>
    <w:rsid w:val="00DC5A10"/>
    <w:rsid w:val="00DC5AD6"/>
    <w:rsid w:val="00DC6E54"/>
    <w:rsid w:val="00DC7F76"/>
    <w:rsid w:val="00DD48ED"/>
    <w:rsid w:val="00DD4DB5"/>
    <w:rsid w:val="00DD5A15"/>
    <w:rsid w:val="00DD6F64"/>
    <w:rsid w:val="00DE0054"/>
    <w:rsid w:val="00DE36DF"/>
    <w:rsid w:val="00DE66CB"/>
    <w:rsid w:val="00E05D0E"/>
    <w:rsid w:val="00E11F14"/>
    <w:rsid w:val="00E14CEC"/>
    <w:rsid w:val="00E15439"/>
    <w:rsid w:val="00E15D20"/>
    <w:rsid w:val="00E16AF5"/>
    <w:rsid w:val="00E16C9A"/>
    <w:rsid w:val="00E17D83"/>
    <w:rsid w:val="00E20292"/>
    <w:rsid w:val="00E2313C"/>
    <w:rsid w:val="00E24E31"/>
    <w:rsid w:val="00E31B1F"/>
    <w:rsid w:val="00E3288F"/>
    <w:rsid w:val="00E329E5"/>
    <w:rsid w:val="00E33C69"/>
    <w:rsid w:val="00E3400D"/>
    <w:rsid w:val="00E34028"/>
    <w:rsid w:val="00E37A21"/>
    <w:rsid w:val="00E418F6"/>
    <w:rsid w:val="00E41966"/>
    <w:rsid w:val="00E531AE"/>
    <w:rsid w:val="00E576E0"/>
    <w:rsid w:val="00E6271B"/>
    <w:rsid w:val="00E634EF"/>
    <w:rsid w:val="00E651D6"/>
    <w:rsid w:val="00E67541"/>
    <w:rsid w:val="00E70977"/>
    <w:rsid w:val="00E71A8A"/>
    <w:rsid w:val="00E762E1"/>
    <w:rsid w:val="00E76701"/>
    <w:rsid w:val="00E76B24"/>
    <w:rsid w:val="00E8042D"/>
    <w:rsid w:val="00E959D8"/>
    <w:rsid w:val="00E97C05"/>
    <w:rsid w:val="00E97E99"/>
    <w:rsid w:val="00EA05AE"/>
    <w:rsid w:val="00EA1162"/>
    <w:rsid w:val="00EA3800"/>
    <w:rsid w:val="00EA3C4B"/>
    <w:rsid w:val="00EA3E5C"/>
    <w:rsid w:val="00EA402D"/>
    <w:rsid w:val="00EA4B74"/>
    <w:rsid w:val="00EA57F2"/>
    <w:rsid w:val="00EB4013"/>
    <w:rsid w:val="00EB5644"/>
    <w:rsid w:val="00ED180E"/>
    <w:rsid w:val="00ED2430"/>
    <w:rsid w:val="00ED59FB"/>
    <w:rsid w:val="00ED64C2"/>
    <w:rsid w:val="00EE2EE8"/>
    <w:rsid w:val="00EE62F4"/>
    <w:rsid w:val="00EE7407"/>
    <w:rsid w:val="00EE7D15"/>
    <w:rsid w:val="00EF09E5"/>
    <w:rsid w:val="00EF10ED"/>
    <w:rsid w:val="00EF2769"/>
    <w:rsid w:val="00EF6089"/>
    <w:rsid w:val="00EF663E"/>
    <w:rsid w:val="00F019A4"/>
    <w:rsid w:val="00F03470"/>
    <w:rsid w:val="00F1196D"/>
    <w:rsid w:val="00F12D74"/>
    <w:rsid w:val="00F1627B"/>
    <w:rsid w:val="00F16462"/>
    <w:rsid w:val="00F20F92"/>
    <w:rsid w:val="00F35662"/>
    <w:rsid w:val="00F36BAA"/>
    <w:rsid w:val="00F40A3F"/>
    <w:rsid w:val="00F41327"/>
    <w:rsid w:val="00F43645"/>
    <w:rsid w:val="00F43678"/>
    <w:rsid w:val="00F50282"/>
    <w:rsid w:val="00F50441"/>
    <w:rsid w:val="00F52BF4"/>
    <w:rsid w:val="00F56369"/>
    <w:rsid w:val="00F56433"/>
    <w:rsid w:val="00F61A2C"/>
    <w:rsid w:val="00F64C48"/>
    <w:rsid w:val="00F64E4F"/>
    <w:rsid w:val="00F66661"/>
    <w:rsid w:val="00F66B95"/>
    <w:rsid w:val="00F72D7E"/>
    <w:rsid w:val="00F734E8"/>
    <w:rsid w:val="00F742FD"/>
    <w:rsid w:val="00F75D69"/>
    <w:rsid w:val="00F77F7B"/>
    <w:rsid w:val="00F82D17"/>
    <w:rsid w:val="00F84BCC"/>
    <w:rsid w:val="00F86E40"/>
    <w:rsid w:val="00F90CD0"/>
    <w:rsid w:val="00F91D26"/>
    <w:rsid w:val="00F9545F"/>
    <w:rsid w:val="00F9552E"/>
    <w:rsid w:val="00FA1BA5"/>
    <w:rsid w:val="00FB7820"/>
    <w:rsid w:val="00FB7FBB"/>
    <w:rsid w:val="00FC7D44"/>
    <w:rsid w:val="00FC7F9E"/>
    <w:rsid w:val="00FD0A00"/>
    <w:rsid w:val="00FD2DF3"/>
    <w:rsid w:val="00FE4279"/>
    <w:rsid w:val="00FE53E1"/>
    <w:rsid w:val="00FF2102"/>
    <w:rsid w:val="00FF55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EAA"/>
    <w:pPr>
      <w:spacing w:line="508" w:lineRule="exact"/>
    </w:pPr>
    <w:rPr>
      <w:sz w:val="24"/>
    </w:rPr>
  </w:style>
  <w:style w:type="paragraph" w:styleId="Heading1">
    <w:name w:val="heading 1"/>
    <w:basedOn w:val="Normal"/>
    <w:next w:val="Normal"/>
    <w:qFormat/>
    <w:rsid w:val="00500EAA"/>
    <w:pPr>
      <w:keepNext/>
      <w:numPr>
        <w:numId w:val="15"/>
      </w:numPr>
      <w:spacing w:before="240" w:after="60"/>
      <w:jc w:val="center"/>
      <w:outlineLvl w:val="0"/>
    </w:pPr>
    <w:rPr>
      <w:b/>
      <w:kern w:val="28"/>
    </w:rPr>
  </w:style>
  <w:style w:type="paragraph" w:styleId="Heading2">
    <w:name w:val="heading 2"/>
    <w:basedOn w:val="Normal"/>
    <w:next w:val="BodyText"/>
    <w:qFormat/>
    <w:rsid w:val="00500EAA"/>
    <w:pPr>
      <w:keepNext/>
      <w:keepLines/>
      <w:numPr>
        <w:ilvl w:val="1"/>
        <w:numId w:val="15"/>
      </w:numPr>
      <w:spacing w:before="240" w:line="240" w:lineRule="exact"/>
      <w:outlineLvl w:val="1"/>
    </w:pPr>
    <w:rPr>
      <w:b/>
    </w:rPr>
  </w:style>
  <w:style w:type="paragraph" w:styleId="Heading3">
    <w:name w:val="heading 3"/>
    <w:basedOn w:val="Normal"/>
    <w:next w:val="BodyText"/>
    <w:link w:val="Heading3Char"/>
    <w:qFormat/>
    <w:rsid w:val="00500EAA"/>
    <w:pPr>
      <w:keepNext/>
      <w:keepLines/>
      <w:numPr>
        <w:ilvl w:val="2"/>
        <w:numId w:val="15"/>
      </w:numPr>
      <w:spacing w:before="240" w:line="240" w:lineRule="exact"/>
      <w:outlineLvl w:val="2"/>
    </w:pPr>
    <w:rPr>
      <w:b/>
    </w:rPr>
  </w:style>
  <w:style w:type="paragraph" w:styleId="Heading4">
    <w:name w:val="heading 4"/>
    <w:basedOn w:val="Normal"/>
    <w:next w:val="BodyText"/>
    <w:link w:val="Heading4Char"/>
    <w:qFormat/>
    <w:rsid w:val="00500EAA"/>
    <w:pPr>
      <w:keepNext/>
      <w:keepLines/>
      <w:numPr>
        <w:ilvl w:val="3"/>
        <w:numId w:val="15"/>
      </w:numPr>
      <w:spacing w:before="240" w:line="240" w:lineRule="exact"/>
      <w:outlineLvl w:val="3"/>
    </w:pPr>
    <w:rPr>
      <w:b/>
    </w:rPr>
  </w:style>
  <w:style w:type="paragraph" w:styleId="Heading5">
    <w:name w:val="heading 5"/>
    <w:basedOn w:val="Normal"/>
    <w:next w:val="BodyText"/>
    <w:qFormat/>
    <w:rsid w:val="00500EAA"/>
    <w:pPr>
      <w:keepNext/>
      <w:keepLines/>
      <w:numPr>
        <w:ilvl w:val="4"/>
        <w:numId w:val="15"/>
      </w:numPr>
      <w:spacing w:before="240" w:line="240" w:lineRule="exact"/>
      <w:outlineLvl w:val="4"/>
    </w:pPr>
    <w:rPr>
      <w:b/>
    </w:rPr>
  </w:style>
  <w:style w:type="paragraph" w:styleId="Heading6">
    <w:name w:val="heading 6"/>
    <w:basedOn w:val="Normal"/>
    <w:next w:val="BodyText"/>
    <w:qFormat/>
    <w:rsid w:val="00500EAA"/>
    <w:pPr>
      <w:keepNext/>
      <w:keepLines/>
      <w:numPr>
        <w:ilvl w:val="5"/>
        <w:numId w:val="15"/>
      </w:numPr>
      <w:spacing w:before="240" w:line="240" w:lineRule="exact"/>
      <w:outlineLvl w:val="5"/>
    </w:pPr>
    <w:rPr>
      <w:b/>
    </w:rPr>
  </w:style>
  <w:style w:type="paragraph" w:styleId="Heading7">
    <w:name w:val="heading 7"/>
    <w:basedOn w:val="Normal"/>
    <w:next w:val="BodyText"/>
    <w:qFormat/>
    <w:rsid w:val="00500EAA"/>
    <w:pPr>
      <w:keepNext/>
      <w:keepLines/>
      <w:numPr>
        <w:ilvl w:val="6"/>
        <w:numId w:val="15"/>
      </w:numPr>
      <w:spacing w:before="240" w:line="240" w:lineRule="exact"/>
      <w:outlineLvl w:val="6"/>
    </w:pPr>
    <w:rPr>
      <w:b/>
    </w:rPr>
  </w:style>
  <w:style w:type="paragraph" w:styleId="Heading8">
    <w:name w:val="heading 8"/>
    <w:basedOn w:val="Normal"/>
    <w:next w:val="BodyText"/>
    <w:qFormat/>
    <w:rsid w:val="00500EAA"/>
    <w:pPr>
      <w:keepNext/>
      <w:keepLines/>
      <w:numPr>
        <w:ilvl w:val="7"/>
        <w:numId w:val="15"/>
      </w:numPr>
      <w:spacing w:before="240" w:line="240" w:lineRule="exact"/>
      <w:outlineLvl w:val="7"/>
    </w:pPr>
    <w:rPr>
      <w:b/>
    </w:rPr>
  </w:style>
  <w:style w:type="paragraph" w:styleId="Heading9">
    <w:name w:val="heading 9"/>
    <w:basedOn w:val="Normal"/>
    <w:next w:val="BodyText"/>
    <w:qFormat/>
    <w:rsid w:val="00500EAA"/>
    <w:pPr>
      <w:keepNext/>
      <w:keepLines/>
      <w:numPr>
        <w:ilvl w:val="8"/>
        <w:numId w:val="15"/>
      </w:numPr>
      <w:spacing w:before="240" w:line="240" w:lineRule="exac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rsid w:val="00500EAA"/>
    <w:pPr>
      <w:spacing w:line="254" w:lineRule="exact"/>
    </w:pPr>
  </w:style>
  <w:style w:type="paragraph" w:customStyle="1" w:styleId="15Spacing">
    <w:name w:val="1.5 Spacing"/>
    <w:basedOn w:val="Normal"/>
    <w:rsid w:val="00500EAA"/>
    <w:pPr>
      <w:spacing w:line="381" w:lineRule="exact"/>
    </w:pPr>
  </w:style>
  <w:style w:type="paragraph" w:customStyle="1" w:styleId="DoubleSpacing">
    <w:name w:val="Double Spacing"/>
    <w:basedOn w:val="Normal"/>
    <w:rsid w:val="00500EAA"/>
  </w:style>
  <w:style w:type="paragraph" w:customStyle="1" w:styleId="AttorneyName">
    <w:name w:val="Attorney Name"/>
    <w:basedOn w:val="SingleSpacing"/>
    <w:rsid w:val="00500EAA"/>
  </w:style>
  <w:style w:type="paragraph" w:customStyle="1" w:styleId="FirmName">
    <w:name w:val="Firm Name"/>
    <w:basedOn w:val="SingleSpacing"/>
    <w:rsid w:val="00500EAA"/>
    <w:pPr>
      <w:jc w:val="center"/>
    </w:pPr>
  </w:style>
  <w:style w:type="paragraph" w:customStyle="1" w:styleId="SignatureBlock">
    <w:name w:val="Signature Block"/>
    <w:basedOn w:val="SingleSpacing"/>
    <w:rsid w:val="00500EAA"/>
    <w:pPr>
      <w:ind w:left="5040"/>
    </w:pPr>
  </w:style>
  <w:style w:type="paragraph" w:styleId="Header">
    <w:name w:val="header"/>
    <w:basedOn w:val="Normal"/>
    <w:rsid w:val="00500EAA"/>
    <w:pPr>
      <w:tabs>
        <w:tab w:val="center" w:pos="4320"/>
        <w:tab w:val="right" w:pos="8640"/>
      </w:tabs>
    </w:pPr>
  </w:style>
  <w:style w:type="paragraph" w:styleId="Footer">
    <w:name w:val="footer"/>
    <w:basedOn w:val="Normal"/>
    <w:rsid w:val="00500EAA"/>
    <w:pPr>
      <w:tabs>
        <w:tab w:val="center" w:pos="4320"/>
        <w:tab w:val="right" w:pos="8640"/>
      </w:tabs>
    </w:pPr>
  </w:style>
  <w:style w:type="paragraph" w:styleId="DocumentMap">
    <w:name w:val="Document Map"/>
    <w:basedOn w:val="Normal"/>
    <w:semiHidden/>
    <w:rsid w:val="00500EAA"/>
    <w:pPr>
      <w:shd w:val="clear" w:color="auto" w:fill="000080"/>
    </w:pPr>
    <w:rPr>
      <w:rFonts w:ascii="Tahoma" w:hAnsi="Tahoma"/>
    </w:rPr>
  </w:style>
  <w:style w:type="paragraph" w:styleId="BodyText">
    <w:name w:val="Body Text"/>
    <w:basedOn w:val="Normal"/>
    <w:rsid w:val="00500EAA"/>
    <w:pPr>
      <w:spacing w:line="480" w:lineRule="exact"/>
      <w:ind w:firstLine="720"/>
    </w:pPr>
  </w:style>
  <w:style w:type="paragraph" w:customStyle="1" w:styleId="BodyTextLeft">
    <w:name w:val="Body Text Left"/>
    <w:basedOn w:val="BodyText"/>
    <w:rsid w:val="00500EAA"/>
    <w:pPr>
      <w:ind w:firstLine="0"/>
    </w:pPr>
  </w:style>
  <w:style w:type="character" w:styleId="FootnoteReference">
    <w:name w:val="footnote reference"/>
    <w:semiHidden/>
    <w:rsid w:val="00500EAA"/>
    <w:rPr>
      <w:vertAlign w:val="superscript"/>
    </w:rPr>
  </w:style>
  <w:style w:type="paragraph" w:styleId="FootnoteText">
    <w:name w:val="footnote text"/>
    <w:basedOn w:val="Normal"/>
    <w:link w:val="FootnoteTextChar"/>
    <w:semiHidden/>
    <w:rsid w:val="00500EAA"/>
    <w:pPr>
      <w:spacing w:after="120" w:line="240" w:lineRule="exact"/>
      <w:ind w:firstLine="720"/>
    </w:pPr>
    <w:rPr>
      <w:sz w:val="22"/>
    </w:rPr>
  </w:style>
  <w:style w:type="paragraph" w:customStyle="1" w:styleId="Quotation">
    <w:name w:val="Quotation"/>
    <w:basedOn w:val="Normal"/>
    <w:next w:val="BodyTextLeft"/>
    <w:rsid w:val="00500EAA"/>
    <w:pPr>
      <w:spacing w:before="240" w:after="240" w:line="240" w:lineRule="exact"/>
      <w:ind w:left="1440" w:right="720"/>
    </w:pPr>
  </w:style>
  <w:style w:type="paragraph" w:styleId="Signature">
    <w:name w:val="Signature"/>
    <w:basedOn w:val="BodyText"/>
    <w:next w:val="BodyText"/>
    <w:rsid w:val="00500EAA"/>
    <w:pPr>
      <w:keepNext/>
      <w:keepLines/>
      <w:spacing w:before="720" w:line="240" w:lineRule="exact"/>
      <w:ind w:left="4680" w:firstLine="0"/>
    </w:pPr>
  </w:style>
  <w:style w:type="paragraph" w:styleId="BodyTextIndent">
    <w:name w:val="Body Text Indent"/>
    <w:basedOn w:val="Normal"/>
    <w:rsid w:val="00500EAA"/>
    <w:pPr>
      <w:spacing w:line="240" w:lineRule="auto"/>
      <w:ind w:left="144"/>
    </w:pPr>
  </w:style>
  <w:style w:type="paragraph" w:styleId="BlockText">
    <w:name w:val="Block Text"/>
    <w:basedOn w:val="Normal"/>
    <w:rsid w:val="00500EAA"/>
    <w:pPr>
      <w:spacing w:line="240" w:lineRule="auto"/>
      <w:ind w:left="720" w:right="720"/>
    </w:pPr>
  </w:style>
  <w:style w:type="paragraph" w:styleId="BodyTextIndent2">
    <w:name w:val="Body Text Indent 2"/>
    <w:basedOn w:val="Normal"/>
    <w:rsid w:val="00500EAA"/>
    <w:pPr>
      <w:tabs>
        <w:tab w:val="left" w:pos="-720"/>
      </w:tabs>
      <w:suppressAutoHyphens/>
      <w:spacing w:line="480" w:lineRule="auto"/>
      <w:ind w:firstLine="720"/>
      <w:jc w:val="both"/>
    </w:pPr>
  </w:style>
  <w:style w:type="paragraph" w:styleId="BodyText2">
    <w:name w:val="Body Text 2"/>
    <w:basedOn w:val="Normal"/>
    <w:rsid w:val="00500EAA"/>
    <w:pPr>
      <w:tabs>
        <w:tab w:val="left" w:pos="-720"/>
      </w:tabs>
      <w:suppressAutoHyphens/>
      <w:spacing w:line="480" w:lineRule="auto"/>
      <w:jc w:val="both"/>
    </w:pPr>
  </w:style>
  <w:style w:type="paragraph" w:styleId="BalloonText">
    <w:name w:val="Balloon Text"/>
    <w:basedOn w:val="Normal"/>
    <w:semiHidden/>
    <w:rsid w:val="003D5CF6"/>
    <w:rPr>
      <w:rFonts w:ascii="Tahoma" w:hAnsi="Tahoma" w:cs="Tahoma"/>
      <w:sz w:val="16"/>
      <w:szCs w:val="16"/>
    </w:rPr>
  </w:style>
  <w:style w:type="character" w:styleId="PageNumber">
    <w:name w:val="page number"/>
    <w:basedOn w:val="DefaultParagraphFont"/>
    <w:rsid w:val="00EB4013"/>
  </w:style>
  <w:style w:type="paragraph" w:customStyle="1" w:styleId="ParaNumbered">
    <w:name w:val="Para Numbered"/>
    <w:basedOn w:val="Normal"/>
    <w:rsid w:val="00A6599A"/>
    <w:pPr>
      <w:numPr>
        <w:numId w:val="14"/>
      </w:numPr>
      <w:spacing w:line="480" w:lineRule="exact"/>
    </w:pPr>
    <w:rPr>
      <w:szCs w:val="24"/>
    </w:rPr>
  </w:style>
  <w:style w:type="paragraph" w:styleId="Subtitle">
    <w:name w:val="Subtitle"/>
    <w:basedOn w:val="Normal"/>
    <w:next w:val="Normal"/>
    <w:link w:val="SubtitleChar"/>
    <w:uiPriority w:val="11"/>
    <w:qFormat/>
    <w:rsid w:val="00A6599A"/>
    <w:pPr>
      <w:spacing w:after="60"/>
      <w:jc w:val="center"/>
      <w:outlineLvl w:val="1"/>
    </w:pPr>
    <w:rPr>
      <w:rFonts w:ascii="Cambria" w:hAnsi="Cambria"/>
      <w:szCs w:val="24"/>
    </w:rPr>
  </w:style>
  <w:style w:type="character" w:customStyle="1" w:styleId="SubtitleChar">
    <w:name w:val="Subtitle Char"/>
    <w:link w:val="Subtitle"/>
    <w:uiPriority w:val="11"/>
    <w:rsid w:val="00A6599A"/>
    <w:rPr>
      <w:rFonts w:ascii="Cambria" w:eastAsia="Times New Roman" w:hAnsi="Cambria" w:cs="Times New Roman"/>
      <w:sz w:val="24"/>
      <w:szCs w:val="24"/>
    </w:rPr>
  </w:style>
  <w:style w:type="paragraph" w:styleId="NormalWeb">
    <w:name w:val="Normal (Web)"/>
    <w:basedOn w:val="Normal"/>
    <w:rsid w:val="00F64E4F"/>
    <w:pPr>
      <w:spacing w:line="240" w:lineRule="exact"/>
    </w:pPr>
    <w:rPr>
      <w:szCs w:val="24"/>
    </w:rPr>
  </w:style>
  <w:style w:type="character" w:styleId="Hyperlink">
    <w:name w:val="Hyperlink"/>
    <w:uiPriority w:val="99"/>
    <w:unhideWhenUsed/>
    <w:rsid w:val="00D82D05"/>
    <w:rPr>
      <w:color w:val="0000FF"/>
      <w:u w:val="single"/>
    </w:rPr>
  </w:style>
  <w:style w:type="paragraph" w:styleId="PlainText">
    <w:name w:val="Plain Text"/>
    <w:basedOn w:val="Normal"/>
    <w:link w:val="PlainTextChar"/>
    <w:uiPriority w:val="99"/>
    <w:unhideWhenUsed/>
    <w:rsid w:val="00D82D05"/>
    <w:pPr>
      <w:spacing w:line="240" w:lineRule="auto"/>
    </w:pPr>
    <w:rPr>
      <w:rFonts w:ascii="Consolas" w:eastAsia="Calibri" w:hAnsi="Consolas"/>
      <w:sz w:val="21"/>
      <w:szCs w:val="21"/>
    </w:rPr>
  </w:style>
  <w:style w:type="character" w:customStyle="1" w:styleId="PlainTextChar">
    <w:name w:val="Plain Text Char"/>
    <w:link w:val="PlainText"/>
    <w:uiPriority w:val="99"/>
    <w:rsid w:val="00D82D05"/>
    <w:rPr>
      <w:rFonts w:ascii="Consolas" w:eastAsia="Calibri" w:hAnsi="Consolas" w:cs="Times New Roman"/>
      <w:sz w:val="21"/>
      <w:szCs w:val="21"/>
    </w:rPr>
  </w:style>
  <w:style w:type="paragraph" w:styleId="ListParagraph">
    <w:name w:val="List Paragraph"/>
    <w:basedOn w:val="Normal"/>
    <w:uiPriority w:val="34"/>
    <w:qFormat/>
    <w:rsid w:val="00AD2528"/>
    <w:pPr>
      <w:ind w:left="720"/>
    </w:pPr>
  </w:style>
  <w:style w:type="character" w:styleId="CommentReference">
    <w:name w:val="annotation reference"/>
    <w:uiPriority w:val="99"/>
    <w:semiHidden/>
    <w:unhideWhenUsed/>
    <w:rsid w:val="009B4C0C"/>
    <w:rPr>
      <w:sz w:val="16"/>
      <w:szCs w:val="16"/>
    </w:rPr>
  </w:style>
  <w:style w:type="paragraph" w:styleId="CommentText">
    <w:name w:val="annotation text"/>
    <w:basedOn w:val="Normal"/>
    <w:link w:val="CommentTextChar"/>
    <w:uiPriority w:val="99"/>
    <w:semiHidden/>
    <w:unhideWhenUsed/>
    <w:rsid w:val="009B4C0C"/>
    <w:rPr>
      <w:sz w:val="20"/>
    </w:rPr>
  </w:style>
  <w:style w:type="character" w:customStyle="1" w:styleId="CommentTextChar">
    <w:name w:val="Comment Text Char"/>
    <w:basedOn w:val="DefaultParagraphFont"/>
    <w:link w:val="CommentText"/>
    <w:uiPriority w:val="99"/>
    <w:semiHidden/>
    <w:rsid w:val="009B4C0C"/>
  </w:style>
  <w:style w:type="paragraph" w:styleId="CommentSubject">
    <w:name w:val="annotation subject"/>
    <w:basedOn w:val="CommentText"/>
    <w:next w:val="CommentText"/>
    <w:link w:val="CommentSubjectChar"/>
    <w:uiPriority w:val="99"/>
    <w:semiHidden/>
    <w:unhideWhenUsed/>
    <w:rsid w:val="009B4C0C"/>
    <w:rPr>
      <w:b/>
      <w:bCs/>
    </w:rPr>
  </w:style>
  <w:style w:type="character" w:customStyle="1" w:styleId="CommentSubjectChar">
    <w:name w:val="Comment Subject Char"/>
    <w:link w:val="CommentSubject"/>
    <w:uiPriority w:val="99"/>
    <w:semiHidden/>
    <w:rsid w:val="009B4C0C"/>
    <w:rPr>
      <w:b/>
      <w:bCs/>
    </w:rPr>
  </w:style>
  <w:style w:type="paragraph" w:styleId="TOC1">
    <w:name w:val="toc 1"/>
    <w:basedOn w:val="Normal"/>
    <w:next w:val="Normal"/>
    <w:autoRedefine/>
    <w:uiPriority w:val="39"/>
    <w:unhideWhenUsed/>
    <w:rsid w:val="00C60B29"/>
    <w:pPr>
      <w:tabs>
        <w:tab w:val="left" w:pos="720"/>
        <w:tab w:val="right" w:leader="dot" w:pos="9540"/>
      </w:tabs>
      <w:spacing w:after="240" w:line="240" w:lineRule="auto"/>
    </w:pPr>
  </w:style>
  <w:style w:type="paragraph" w:styleId="TOC2">
    <w:name w:val="toc 2"/>
    <w:basedOn w:val="Normal"/>
    <w:next w:val="Normal"/>
    <w:autoRedefine/>
    <w:uiPriority w:val="39"/>
    <w:unhideWhenUsed/>
    <w:rsid w:val="00C60B29"/>
    <w:pPr>
      <w:tabs>
        <w:tab w:val="right" w:leader="dot" w:pos="9540"/>
      </w:tabs>
      <w:spacing w:after="240" w:line="240" w:lineRule="auto"/>
      <w:ind w:left="1440" w:right="900" w:hanging="720"/>
    </w:pPr>
  </w:style>
  <w:style w:type="paragraph" w:styleId="TOAHeading">
    <w:name w:val="toa heading"/>
    <w:basedOn w:val="Normal"/>
    <w:next w:val="Normal"/>
    <w:uiPriority w:val="99"/>
    <w:unhideWhenUsed/>
    <w:rsid w:val="00413FE8"/>
    <w:pPr>
      <w:spacing w:before="120"/>
    </w:pPr>
    <w:rPr>
      <w:rFonts w:ascii="Cambria" w:hAnsi="Cambria"/>
      <w:b/>
      <w:bCs/>
      <w:szCs w:val="24"/>
    </w:rPr>
  </w:style>
  <w:style w:type="paragraph" w:styleId="TableofAuthorities">
    <w:name w:val="table of authorities"/>
    <w:basedOn w:val="Normal"/>
    <w:next w:val="Normal"/>
    <w:uiPriority w:val="99"/>
    <w:semiHidden/>
    <w:unhideWhenUsed/>
    <w:rsid w:val="00413FE8"/>
    <w:pPr>
      <w:ind w:left="240" w:hanging="240"/>
    </w:pPr>
  </w:style>
  <w:style w:type="paragraph" w:customStyle="1" w:styleId="DocID">
    <w:name w:val="DocID"/>
    <w:basedOn w:val="Footer"/>
    <w:next w:val="Footer"/>
    <w:link w:val="DocIDChar"/>
    <w:rsid w:val="006405CA"/>
    <w:pPr>
      <w:tabs>
        <w:tab w:val="clear" w:pos="4320"/>
        <w:tab w:val="clear" w:pos="8640"/>
      </w:tabs>
      <w:spacing w:line="240" w:lineRule="auto"/>
    </w:pPr>
    <w:rPr>
      <w:spacing w:val="-3"/>
      <w:sz w:val="16"/>
      <w:szCs w:val="24"/>
    </w:rPr>
  </w:style>
  <w:style w:type="character" w:customStyle="1" w:styleId="DocIDChar">
    <w:name w:val="DocID Char"/>
    <w:basedOn w:val="DefaultParagraphFont"/>
    <w:link w:val="DocID"/>
    <w:rsid w:val="006405CA"/>
    <w:rPr>
      <w:spacing w:val="-3"/>
      <w:sz w:val="16"/>
      <w:szCs w:val="24"/>
    </w:rPr>
  </w:style>
  <w:style w:type="paragraph" w:styleId="TOC3">
    <w:name w:val="toc 3"/>
    <w:basedOn w:val="Normal"/>
    <w:next w:val="Normal"/>
    <w:autoRedefine/>
    <w:uiPriority w:val="39"/>
    <w:unhideWhenUsed/>
    <w:rsid w:val="00C60B29"/>
    <w:pPr>
      <w:tabs>
        <w:tab w:val="right" w:leader="dot" w:pos="9540"/>
      </w:tabs>
      <w:spacing w:after="240" w:line="240" w:lineRule="auto"/>
      <w:ind w:left="2160" w:right="1080" w:hanging="720"/>
    </w:pPr>
    <w:rPr>
      <w:rFonts w:eastAsia="Calibri"/>
      <w:b/>
      <w:noProof/>
    </w:rPr>
  </w:style>
  <w:style w:type="paragraph" w:styleId="TOC4">
    <w:name w:val="toc 4"/>
    <w:basedOn w:val="Normal"/>
    <w:next w:val="Normal"/>
    <w:autoRedefine/>
    <w:uiPriority w:val="39"/>
    <w:unhideWhenUsed/>
    <w:rsid w:val="00C60B29"/>
    <w:pPr>
      <w:tabs>
        <w:tab w:val="right" w:leader="dot" w:pos="9540"/>
      </w:tabs>
      <w:spacing w:after="240" w:line="240" w:lineRule="auto"/>
      <w:ind w:left="2880" w:right="1080" w:hanging="720"/>
    </w:pPr>
  </w:style>
  <w:style w:type="character" w:customStyle="1" w:styleId="Heading3Char">
    <w:name w:val="Heading 3 Char"/>
    <w:basedOn w:val="DefaultParagraphFont"/>
    <w:link w:val="Heading3"/>
    <w:rsid w:val="00586950"/>
    <w:rPr>
      <w:b/>
      <w:sz w:val="24"/>
    </w:rPr>
  </w:style>
  <w:style w:type="character" w:customStyle="1" w:styleId="Heading4Char">
    <w:name w:val="Heading 4 Char"/>
    <w:basedOn w:val="DefaultParagraphFont"/>
    <w:link w:val="Heading4"/>
    <w:rsid w:val="00586950"/>
    <w:rPr>
      <w:b/>
      <w:sz w:val="24"/>
    </w:rPr>
  </w:style>
  <w:style w:type="character" w:customStyle="1" w:styleId="FootnoteTextChar">
    <w:name w:val="Footnote Text Char"/>
    <w:basedOn w:val="DefaultParagraphFont"/>
    <w:link w:val="FootnoteText"/>
    <w:semiHidden/>
    <w:rsid w:val="00586950"/>
    <w:rPr>
      <w:sz w:val="22"/>
    </w:rPr>
  </w:style>
  <w:style w:type="paragraph" w:styleId="NoSpacing">
    <w:name w:val="No Spacing"/>
    <w:uiPriority w:val="1"/>
    <w:qFormat/>
    <w:rsid w:val="00377690"/>
    <w:rPr>
      <w:sz w:val="24"/>
    </w:rPr>
  </w:style>
</w:styles>
</file>

<file path=word/webSettings.xml><?xml version="1.0" encoding="utf-8"?>
<w:webSettings xmlns:r="http://schemas.openxmlformats.org/officeDocument/2006/relationships" xmlns:w="http://schemas.openxmlformats.org/wordprocessingml/2006/main">
  <w:divs>
    <w:div w:id="233131002">
      <w:bodyDiv w:val="1"/>
      <w:marLeft w:val="0"/>
      <w:marRight w:val="0"/>
      <w:marTop w:val="0"/>
      <w:marBottom w:val="0"/>
      <w:divBdr>
        <w:top w:val="none" w:sz="0" w:space="0" w:color="auto"/>
        <w:left w:val="none" w:sz="0" w:space="0" w:color="auto"/>
        <w:bottom w:val="none" w:sz="0" w:space="0" w:color="auto"/>
        <w:right w:val="none" w:sz="0" w:space="0" w:color="auto"/>
      </w:divBdr>
    </w:div>
    <w:div w:id="986471680">
      <w:bodyDiv w:val="1"/>
      <w:marLeft w:val="0"/>
      <w:marRight w:val="0"/>
      <w:marTop w:val="0"/>
      <w:marBottom w:val="0"/>
      <w:divBdr>
        <w:top w:val="none" w:sz="0" w:space="0" w:color="auto"/>
        <w:left w:val="none" w:sz="0" w:space="0" w:color="auto"/>
        <w:bottom w:val="none" w:sz="0" w:space="0" w:color="auto"/>
        <w:right w:val="none" w:sz="0" w:space="0" w:color="auto"/>
      </w:divBdr>
    </w:div>
    <w:div w:id="1470199397">
      <w:bodyDiv w:val="1"/>
      <w:marLeft w:val="0"/>
      <w:marRight w:val="0"/>
      <w:marTop w:val="0"/>
      <w:marBottom w:val="0"/>
      <w:divBdr>
        <w:top w:val="none" w:sz="0" w:space="0" w:color="auto"/>
        <w:left w:val="none" w:sz="0" w:space="0" w:color="auto"/>
        <w:bottom w:val="none" w:sz="0" w:space="0" w:color="auto"/>
        <w:right w:val="none" w:sz="0" w:space="0" w:color="auto"/>
      </w:divBdr>
    </w:div>
    <w:div w:id="166212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gkopta@utc.wa.gov"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ords@utc.wa.gov"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Response</DocumentSetType>
    <IsConfidential xmlns="dc463f71-b30c-4ab2-9473-d307f9d35888">false</IsConfidential>
    <AgendaOrder xmlns="dc463f71-b30c-4ab2-9473-d307f9d35888">false</AgendaOrder>
    <CaseType xmlns="dc463f71-b30c-4ab2-9473-d307f9d35888">Certificate</CaseType>
    <IndustryCode xmlns="dc463f71-b30c-4ab2-9473-d307f9d35888">227</IndustryCode>
    <CaseStatus xmlns="dc463f71-b30c-4ab2-9473-d307f9d35888">Closed</CaseStatus>
    <OpenedDate xmlns="dc463f71-b30c-4ab2-9473-d307f9d35888">2011-12-30T08:00:00+00:00</OpenedDate>
    <Date1 xmlns="dc463f71-b30c-4ab2-9473-d307f9d35888">2013-04-08T07:00:00+00:00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120033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F8702C4AF602440A75427A84B605696" ma:contentTypeVersion="139" ma:contentTypeDescription="" ma:contentTypeScope="" ma:versionID="096abf71eef04c5921b607dfdb70529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A3C2AD0D-76D7-41B1-BE96-83EC00DD3FEE}"/>
</file>

<file path=customXml/itemProps2.xml><?xml version="1.0" encoding="utf-8"?>
<ds:datastoreItem xmlns:ds="http://schemas.openxmlformats.org/officeDocument/2006/customXml" ds:itemID="{C1558F90-669A-4C1A-A4CF-A5E1A0951754}"/>
</file>

<file path=customXml/itemProps3.xml><?xml version="1.0" encoding="utf-8"?>
<ds:datastoreItem xmlns:ds="http://schemas.openxmlformats.org/officeDocument/2006/customXml" ds:itemID="{7F5B5C33-1906-4050-9EFC-673275CE7CDC}"/>
</file>

<file path=customXml/itemProps4.xml><?xml version="1.0" encoding="utf-8"?>
<ds:datastoreItem xmlns:ds="http://schemas.openxmlformats.org/officeDocument/2006/customXml" ds:itemID="{4C4F279C-022E-4F74-85B3-0222444857E9}"/>
</file>

<file path=customXml/itemProps5.xml><?xml version="1.0" encoding="utf-8"?>
<ds:datastoreItem xmlns:ds="http://schemas.openxmlformats.org/officeDocument/2006/customXml" ds:itemID="{D00DDA87-1BFA-4350-B864-3739AD0F68DC}"/>
</file>

<file path=docProps/app.xml><?xml version="1.0" encoding="utf-8"?>
<Properties xmlns="http://schemas.openxmlformats.org/officeDocument/2006/extended-properties" xmlns:vt="http://schemas.openxmlformats.org/officeDocument/2006/docPropsVTypes">
  <Template>Normal</Template>
  <TotalTime>0</TotalTime>
  <Pages>22</Pages>
  <Words>4748</Words>
  <Characters>28372</Characters>
  <Application>Microsoft Office Word</Application>
  <DocSecurity>0</DocSecurity>
  <Lines>545</Lines>
  <Paragraphs>220</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32900</CharactersWithSpaces>
  <SharedDoc>false</SharedDoc>
  <HLinks>
    <vt:vector size="12" baseType="variant">
      <vt:variant>
        <vt:i4>7602192</vt:i4>
      </vt:variant>
      <vt:variant>
        <vt:i4>9</vt:i4>
      </vt:variant>
      <vt:variant>
        <vt:i4>0</vt:i4>
      </vt:variant>
      <vt:variant>
        <vt:i4>5</vt:i4>
      </vt:variant>
      <vt:variant>
        <vt:lpwstr>mailto:gkopta@utc.wa.gov</vt:lpwstr>
      </vt:variant>
      <vt:variant>
        <vt:lpwstr/>
      </vt:variant>
      <vt:variant>
        <vt:i4>5374008</vt:i4>
      </vt:variant>
      <vt:variant>
        <vt:i4>6</vt:i4>
      </vt:variant>
      <vt:variant>
        <vt:i4>0</vt:i4>
      </vt:variant>
      <vt:variant>
        <vt:i4>5</vt:i4>
      </vt:variant>
      <vt:variant>
        <vt:lpwstr>mailto:records@utc.wa.gov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2011-12-28T22:34:00Z</cp:lastPrinted>
  <dcterms:created xsi:type="dcterms:W3CDTF">2013-04-08T22:05:00Z</dcterms:created>
  <dcterms:modified xsi:type="dcterms:W3CDTF">2013-04-08T22:39:00Z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chkNativeAuthor">
    <vt:lpwstr>0</vt:lpwstr>
  </property>
  <property fmtid="{D5CDD505-2E9C-101B-9397-08002B2CF9AE}" pid="3" name="CUS_DocIDString">
    <vt:lpwstr>4818-8696-7827.1</vt:lpwstr>
  </property>
  <property fmtid="{D5CDD505-2E9C-101B-9397-08002B2CF9AE}" pid="4" name="NDDocNumber">
    <vt:lpwstr>4818-8696-7827</vt:lpwstr>
  </property>
  <property fmtid="{D5CDD505-2E9C-101B-9397-08002B2CF9AE}" pid="5" name="CUS_DocIDVersion">
    <vt:lpwstr>1</vt:lpwstr>
  </property>
  <property fmtid="{D5CDD505-2E9C-101B-9397-08002B2CF9AE}" pid="6" name="CUS_DocIDiPage">
    <vt:lpwstr>0</vt:lpwstr>
  </property>
  <property fmtid="{D5CDD505-2E9C-101B-9397-08002B2CF9AE}" pid="7" name="CUS_DocIDbChkLibDB">
    <vt:lpwstr>0</vt:lpwstr>
  </property>
  <property fmtid="{D5CDD505-2E9C-101B-9397-08002B2CF9AE}" pid="8" name="CUS_DocIDbchkClientNumber">
    <vt:lpwstr>0</vt:lpwstr>
  </property>
  <property fmtid="{D5CDD505-2E9C-101B-9397-08002B2CF9AE}" pid="9" name="CUS_DocIDbchkMatterNumber">
    <vt:lpwstr>0</vt:lpwstr>
  </property>
  <property fmtid="{D5CDD505-2E9C-101B-9397-08002B2CF9AE}" pid="10" name="CUS_DocIDbchkDocumentName">
    <vt:lpwstr>0</vt:lpwstr>
  </property>
  <property fmtid="{D5CDD505-2E9C-101B-9397-08002B2CF9AE}" pid="11" name="CUS_DocIDbchkAuthorName">
    <vt:lpwstr>0</vt:lpwstr>
  </property>
  <property fmtid="{D5CDD505-2E9C-101B-9397-08002B2CF9AE}" pid="12" name="CUS_DocIDbchkDocumentNumber">
    <vt:lpwstr>0</vt:lpwstr>
  </property>
  <property fmtid="{D5CDD505-2E9C-101B-9397-08002B2CF9AE}" pid="13" name="CUS_DocIDbchkVersionNumber">
    <vt:lpwstr>0</vt:lpwstr>
  </property>
  <property fmtid="{D5CDD505-2E9C-101B-9397-08002B2CF9AE}" pid="14" name="CUS_DocIDboptFileName">
    <vt:lpwstr>-1</vt:lpwstr>
  </property>
  <property fmtid="{D5CDD505-2E9C-101B-9397-08002B2CF9AE}" pid="15" name="CUS_DocIDboptFileNamePath">
    <vt:lpwstr>0</vt:lpwstr>
  </property>
  <property fmtid="{D5CDD505-2E9C-101B-9397-08002B2CF9AE}" pid="16" name="CUS_DocIDbchkDate">
    <vt:lpwstr>0</vt:lpwstr>
  </property>
  <property fmtid="{D5CDD505-2E9C-101B-9397-08002B2CF9AE}" pid="17" name="CUS_DocIDbchkTime">
    <vt:lpwstr>0</vt:lpwstr>
  </property>
  <property fmtid="{D5CDD505-2E9C-101B-9397-08002B2CF9AE}" pid="18" name="CUS_DocIDbchkDocbLocation">
    <vt:lpwstr>0</vt:lpwstr>
  </property>
  <property fmtid="{D5CDD505-2E9C-101B-9397-08002B2CF9AE}" pid="19" name="CUS_DocIDOperation">
    <vt:lpwstr>REMOVE</vt:lpwstr>
  </property>
  <property fmtid="{D5CDD505-2E9C-101B-9397-08002B2CF9AE}" pid="20" name="CUS_DocIDsSeparator">
    <vt:lpwstr>(Use Firm's Default)</vt:lpwstr>
  </property>
  <property fmtid="{D5CDD505-2E9C-101B-9397-08002B2CF9AE}" pid="21" name="ContentTypeId">
    <vt:lpwstr>0x0101006E56B4D1795A2E4DB2F0B01679ED314A000F8702C4AF602440A75427A84B605696</vt:lpwstr>
  </property>
  <property fmtid="{D5CDD505-2E9C-101B-9397-08002B2CF9AE}" pid="22" name="_docset_NoMedatataSyncRequired">
    <vt:lpwstr>False</vt:lpwstr>
  </property>
</Properties>
</file>