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1C" w:rsidRPr="00EF271C" w:rsidRDefault="00EF271C" w:rsidP="00380CC7">
      <w:pPr>
        <w:widowControl w:val="0"/>
        <w:ind w:left="4320"/>
        <w:rPr>
          <w:b/>
          <w:szCs w:val="20"/>
          <w:lang w:eastAsia="zh-CN"/>
        </w:rPr>
      </w:pPr>
      <w:bookmarkStart w:id="0" w:name="_GoBack"/>
      <w:bookmarkEnd w:id="0"/>
      <w:r w:rsidRPr="00EF271C">
        <w:rPr>
          <w:b/>
          <w:szCs w:val="20"/>
          <w:lang w:eastAsia="zh-CN"/>
        </w:rPr>
        <w:t>EXHIBIT NO. ___(</w:t>
      </w:r>
      <w:r>
        <w:rPr>
          <w:b/>
          <w:szCs w:val="20"/>
          <w:lang w:eastAsia="zh-CN"/>
        </w:rPr>
        <w:t>JLM</w:t>
      </w:r>
      <w:r w:rsidR="008B54C5">
        <w:rPr>
          <w:b/>
          <w:szCs w:val="20"/>
          <w:lang w:eastAsia="zh-CN"/>
        </w:rPr>
        <w:t>-1T)</w:t>
      </w:r>
      <w:r w:rsidR="008B54C5">
        <w:rPr>
          <w:b/>
          <w:szCs w:val="20"/>
          <w:lang w:eastAsia="zh-CN"/>
        </w:rPr>
        <w:br/>
        <w:t>DOCKETS</w:t>
      </w:r>
      <w:r w:rsidRPr="00EF271C">
        <w:rPr>
          <w:b/>
          <w:szCs w:val="20"/>
          <w:lang w:eastAsia="zh-CN"/>
        </w:rPr>
        <w:t> UE-1</w:t>
      </w:r>
      <w:r>
        <w:rPr>
          <w:b/>
          <w:szCs w:val="20"/>
          <w:lang w:eastAsia="zh-CN"/>
        </w:rPr>
        <w:t>7</w:t>
      </w:r>
      <w:r w:rsidRPr="00EF271C">
        <w:rPr>
          <w:b/>
          <w:szCs w:val="20"/>
          <w:lang w:eastAsia="zh-CN"/>
        </w:rPr>
        <w:t>___/UG-1</w:t>
      </w:r>
      <w:r>
        <w:rPr>
          <w:b/>
          <w:szCs w:val="20"/>
          <w:lang w:eastAsia="zh-CN"/>
        </w:rPr>
        <w:t>7</w:t>
      </w:r>
      <w:r w:rsidR="00212AD7">
        <w:rPr>
          <w:b/>
          <w:szCs w:val="20"/>
          <w:lang w:eastAsia="zh-CN"/>
        </w:rPr>
        <w:t>___</w:t>
      </w:r>
      <w:r w:rsidR="00212AD7">
        <w:rPr>
          <w:b/>
          <w:szCs w:val="20"/>
          <w:lang w:eastAsia="zh-CN"/>
        </w:rPr>
        <w:br/>
        <w:t>2017</w:t>
      </w:r>
      <w:r w:rsidRPr="00EF271C">
        <w:rPr>
          <w:b/>
          <w:szCs w:val="20"/>
          <w:lang w:eastAsia="zh-CN"/>
        </w:rPr>
        <w:t xml:space="preserve"> </w:t>
      </w:r>
      <w:r w:rsidR="00166A97">
        <w:rPr>
          <w:b/>
          <w:szCs w:val="20"/>
          <w:lang w:eastAsia="zh-CN"/>
        </w:rPr>
        <w:t>PSE GENERAL RATE CASE</w:t>
      </w:r>
      <w:r w:rsidR="00166A97">
        <w:rPr>
          <w:b/>
          <w:szCs w:val="20"/>
          <w:lang w:eastAsia="zh-CN"/>
        </w:rPr>
        <w:br/>
        <w:t>WITNESS: </w:t>
      </w:r>
      <w:r>
        <w:rPr>
          <w:b/>
          <w:szCs w:val="20"/>
          <w:lang w:eastAsia="zh-CN"/>
        </w:rPr>
        <w:t>JOEL L. MOLANDER</w:t>
      </w:r>
    </w:p>
    <w:p w:rsidR="00EF271C" w:rsidRPr="00EF271C" w:rsidRDefault="00EF271C" w:rsidP="00380CC7">
      <w:pPr>
        <w:widowControl w:val="0"/>
        <w:jc w:val="center"/>
        <w:rPr>
          <w:b/>
          <w:szCs w:val="20"/>
          <w:lang w:eastAsia="zh-CN"/>
        </w:rPr>
      </w:pPr>
    </w:p>
    <w:p w:rsidR="00041AC0" w:rsidRDefault="00041AC0" w:rsidP="00380CC7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452E22" w:rsidRDefault="00452E22" w:rsidP="00380CC7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452E22" w:rsidRDefault="00452E22" w:rsidP="00380CC7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</w:rPr>
        <w:t>BEFORE THE</w:t>
      </w:r>
    </w:p>
    <w:p w:rsidR="00452E22" w:rsidRDefault="00452E22" w:rsidP="00380CC7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</w:rPr>
        <w:t>WASHINGTON UTILITIES AND TRANSPORTATION COMMISSION</w:t>
      </w:r>
    </w:p>
    <w:p w:rsidR="00452E22" w:rsidRDefault="00452E22" w:rsidP="00380CC7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380CC7" w:rsidRDefault="00380CC7" w:rsidP="00380CC7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452E22" w:rsidRDefault="00452E22" w:rsidP="00380CC7">
      <w:pPr>
        <w:pStyle w:val="center"/>
        <w:keepLines w:val="0"/>
        <w:widowControl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380CC7" w:rsidRPr="00380CC7" w:rsidTr="008632A9">
        <w:tc>
          <w:tcPr>
            <w:tcW w:w="4536" w:type="dxa"/>
            <w:tcBorders>
              <w:top w:val="nil"/>
              <w:left w:val="nil"/>
            </w:tcBorders>
          </w:tcPr>
          <w:p w:rsidR="00380CC7" w:rsidRPr="00380CC7" w:rsidRDefault="00380CC7" w:rsidP="00380CC7">
            <w:pPr>
              <w:spacing w:after="240"/>
              <w:rPr>
                <w:b/>
                <w:szCs w:val="20"/>
                <w:lang w:eastAsia="zh-CN"/>
              </w:rPr>
            </w:pPr>
            <w:r w:rsidRPr="00380CC7">
              <w:rPr>
                <w:b/>
                <w:szCs w:val="20"/>
                <w:lang w:eastAsia="zh-CN"/>
              </w:rPr>
              <w:t>WASHINGTON UTILITIES AND TRANSPORTATION COMMISSION,</w:t>
            </w:r>
          </w:p>
          <w:p w:rsidR="00380CC7" w:rsidRPr="00380CC7" w:rsidRDefault="00380CC7" w:rsidP="00380CC7">
            <w:pPr>
              <w:spacing w:after="240"/>
              <w:ind w:left="2160"/>
              <w:rPr>
                <w:b/>
                <w:szCs w:val="20"/>
                <w:lang w:eastAsia="zh-CN"/>
              </w:rPr>
            </w:pPr>
            <w:r w:rsidRPr="00380CC7">
              <w:rPr>
                <w:b/>
                <w:szCs w:val="20"/>
                <w:lang w:eastAsia="zh-CN"/>
              </w:rPr>
              <w:t>Complainant,</w:t>
            </w:r>
          </w:p>
          <w:p w:rsidR="00380CC7" w:rsidRPr="00380CC7" w:rsidRDefault="00380CC7" w:rsidP="00380CC7">
            <w:pPr>
              <w:spacing w:after="240"/>
              <w:ind w:left="1440"/>
              <w:rPr>
                <w:b/>
                <w:szCs w:val="20"/>
                <w:lang w:eastAsia="zh-CN"/>
              </w:rPr>
            </w:pPr>
            <w:r w:rsidRPr="00380CC7">
              <w:rPr>
                <w:b/>
                <w:szCs w:val="20"/>
                <w:lang w:eastAsia="zh-CN"/>
              </w:rPr>
              <w:t>v.</w:t>
            </w:r>
          </w:p>
          <w:p w:rsidR="00380CC7" w:rsidRPr="00380CC7" w:rsidRDefault="00380CC7" w:rsidP="00380CC7">
            <w:pPr>
              <w:spacing w:after="240"/>
              <w:rPr>
                <w:b/>
                <w:szCs w:val="20"/>
                <w:lang w:eastAsia="zh-CN"/>
              </w:rPr>
            </w:pPr>
            <w:r w:rsidRPr="00380CC7">
              <w:rPr>
                <w:b/>
                <w:szCs w:val="20"/>
                <w:lang w:eastAsia="zh-CN"/>
              </w:rPr>
              <w:t>PUGET SOUND ENERGY,</w:t>
            </w:r>
          </w:p>
          <w:p w:rsidR="00380CC7" w:rsidRPr="00380CC7" w:rsidRDefault="00380CC7" w:rsidP="00380CC7">
            <w:pPr>
              <w:spacing w:after="240"/>
              <w:ind w:left="2160"/>
              <w:rPr>
                <w:b/>
                <w:szCs w:val="20"/>
                <w:lang w:eastAsia="zh-CN"/>
              </w:rPr>
            </w:pPr>
            <w:r w:rsidRPr="00380CC7">
              <w:rPr>
                <w:b/>
                <w:szCs w:val="20"/>
                <w:lang w:eastAsia="zh-CN"/>
              </w:rPr>
              <w:t>Respondent.</w:t>
            </w: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380CC7" w:rsidRPr="00380CC7" w:rsidRDefault="00380CC7" w:rsidP="00380CC7">
            <w:pPr>
              <w:keepNext/>
              <w:keepLines/>
              <w:spacing w:after="240"/>
              <w:ind w:left="324"/>
              <w:rPr>
                <w:b/>
                <w:szCs w:val="20"/>
                <w:lang w:eastAsia="zh-CN"/>
              </w:rPr>
            </w:pPr>
            <w:r w:rsidRPr="00380CC7">
              <w:rPr>
                <w:b/>
                <w:szCs w:val="20"/>
                <w:lang w:eastAsia="zh-CN"/>
              </w:rPr>
              <w:t>Docket UE-17____</w:t>
            </w:r>
            <w:r w:rsidRPr="00380CC7">
              <w:rPr>
                <w:b/>
                <w:szCs w:val="20"/>
                <w:lang w:eastAsia="zh-CN"/>
              </w:rPr>
              <w:br/>
              <w:t>Docket UG-17____</w:t>
            </w:r>
          </w:p>
        </w:tc>
      </w:tr>
    </w:tbl>
    <w:p w:rsidR="00452E22" w:rsidRDefault="00452E22" w:rsidP="00380CC7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452E22" w:rsidRDefault="00452E22" w:rsidP="00380CC7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452E22" w:rsidRDefault="00452E22" w:rsidP="00380CC7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452E22" w:rsidRDefault="00452E22" w:rsidP="00380CC7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380CC7" w:rsidRDefault="00452E22" w:rsidP="00380CC7">
      <w:pPr>
        <w:pStyle w:val="center"/>
        <w:keepLines w:val="0"/>
        <w:widowControl w:val="0"/>
        <w:spacing w:before="0" w:line="240" w:lineRule="auto"/>
        <w:rPr>
          <w:b/>
        </w:rPr>
      </w:pPr>
      <w:proofErr w:type="spellStart"/>
      <w:r>
        <w:rPr>
          <w:b/>
        </w:rPr>
        <w:t>PREFILED</w:t>
      </w:r>
      <w:proofErr w:type="spellEnd"/>
      <w:r>
        <w:rPr>
          <w:b/>
        </w:rPr>
        <w:t xml:space="preserve"> DIRECT TESTIMONY (</w:t>
      </w:r>
      <w:proofErr w:type="spellStart"/>
      <w:r>
        <w:rPr>
          <w:b/>
        </w:rPr>
        <w:t>NONCONFIDENTIAL</w:t>
      </w:r>
      <w:proofErr w:type="spellEnd"/>
      <w:r>
        <w:rPr>
          <w:b/>
        </w:rPr>
        <w:t>) OF</w:t>
      </w:r>
    </w:p>
    <w:p w:rsidR="00380CC7" w:rsidRDefault="00380CC7" w:rsidP="00380CC7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380CC7" w:rsidRDefault="00447E27" w:rsidP="00380CC7">
      <w:pPr>
        <w:pStyle w:val="center"/>
        <w:keepLines w:val="0"/>
        <w:widowControl w:val="0"/>
        <w:spacing w:before="0" w:line="240" w:lineRule="auto"/>
        <w:rPr>
          <w:b/>
          <w:color w:val="000000"/>
        </w:rPr>
      </w:pPr>
      <w:r>
        <w:rPr>
          <w:b/>
          <w:color w:val="000000"/>
        </w:rPr>
        <w:t xml:space="preserve">JOEL </w:t>
      </w:r>
      <w:r w:rsidR="00B95684">
        <w:rPr>
          <w:b/>
          <w:color w:val="000000"/>
        </w:rPr>
        <w:t>L</w:t>
      </w:r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MOLANDER</w:t>
      </w:r>
      <w:proofErr w:type="spellEnd"/>
    </w:p>
    <w:p w:rsidR="00380CC7" w:rsidRDefault="00380CC7" w:rsidP="00380CC7">
      <w:pPr>
        <w:pStyle w:val="center"/>
        <w:keepLines w:val="0"/>
        <w:widowControl w:val="0"/>
        <w:spacing w:before="0" w:line="240" w:lineRule="auto"/>
        <w:rPr>
          <w:b/>
          <w:color w:val="000000"/>
        </w:rPr>
      </w:pPr>
    </w:p>
    <w:p w:rsidR="00452E22" w:rsidRDefault="00452E22" w:rsidP="00380CC7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</w:rPr>
        <w:t>ON BEHALF OF PUGET SOUND ENERGY</w:t>
      </w:r>
    </w:p>
    <w:p w:rsidR="00452E22" w:rsidRDefault="00452E22" w:rsidP="00380CC7">
      <w:pPr>
        <w:pStyle w:val="center"/>
        <w:spacing w:before="0" w:line="240" w:lineRule="auto"/>
        <w:rPr>
          <w:b/>
        </w:rPr>
      </w:pPr>
    </w:p>
    <w:p w:rsidR="00452E22" w:rsidRDefault="00452E22" w:rsidP="00380CC7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452E22" w:rsidRDefault="00452E22" w:rsidP="00380CC7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452E22" w:rsidRDefault="00452E22" w:rsidP="00380CC7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452E22" w:rsidRDefault="00452E22" w:rsidP="00380CC7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452E22" w:rsidRDefault="00452E22" w:rsidP="00380CC7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8B54C5" w:rsidRDefault="008B54C5" w:rsidP="00380CC7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8B54C5" w:rsidRDefault="008B54C5" w:rsidP="00380CC7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8B54C5" w:rsidRDefault="008B54C5" w:rsidP="00380CC7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8B54C5" w:rsidRDefault="008B54C5" w:rsidP="00380CC7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A501ED" w:rsidRDefault="00A501ED" w:rsidP="00380CC7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8B54C5" w:rsidRDefault="008B54C5" w:rsidP="00380CC7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ED1ECF" w:rsidRDefault="00ED1ECF" w:rsidP="00380CC7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ED1ECF" w:rsidRDefault="00ED1ECF" w:rsidP="00380CC7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452E22" w:rsidRDefault="00447E27" w:rsidP="00380CC7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</w:rPr>
        <w:t xml:space="preserve">JANUARY </w:t>
      </w:r>
      <w:r w:rsidR="00EF271C">
        <w:rPr>
          <w:b/>
        </w:rPr>
        <w:t>13</w:t>
      </w:r>
      <w:r>
        <w:rPr>
          <w:b/>
        </w:rPr>
        <w:t>, 2017</w:t>
      </w:r>
    </w:p>
    <w:p w:rsidR="00452E22" w:rsidRDefault="00452E22" w:rsidP="00380CC7">
      <w:pPr>
        <w:widowControl w:val="0"/>
        <w:rPr>
          <w:b/>
        </w:rPr>
        <w:sectPr w:rsidR="00452E22">
          <w:headerReference w:type="default" r:id="rId9"/>
          <w:pgSz w:w="12240" w:h="15840" w:code="1"/>
          <w:pgMar w:top="1440" w:right="1440" w:bottom="1440" w:left="2160" w:header="864" w:footer="576" w:gutter="0"/>
          <w:pgNumType w:fmt="lowerRoman" w:start="1"/>
          <w:cols w:space="720"/>
        </w:sectPr>
      </w:pPr>
    </w:p>
    <w:p w:rsidR="00380CC7" w:rsidRDefault="00452E22" w:rsidP="00380CC7">
      <w:pPr>
        <w:keepNext/>
        <w:spacing w:before="240" w:after="480"/>
        <w:jc w:val="center"/>
        <w:rPr>
          <w:rStyle w:val="Strong"/>
          <w:rFonts w:eastAsia="SimSun"/>
          <w:b w:val="0"/>
        </w:rPr>
      </w:pPr>
      <w:r>
        <w:rPr>
          <w:rStyle w:val="Strong"/>
          <w:rFonts w:eastAsia="SimSun"/>
        </w:rPr>
        <w:lastRenderedPageBreak/>
        <w:t xml:space="preserve">PUGET SOUND </w:t>
      </w:r>
      <w:proofErr w:type="spellStart"/>
      <w:r>
        <w:rPr>
          <w:rStyle w:val="Strong"/>
          <w:rFonts w:eastAsia="SimSun"/>
        </w:rPr>
        <w:t>ENERGY</w:t>
      </w:r>
      <w:proofErr w:type="spellEnd"/>
    </w:p>
    <w:p w:rsidR="00380CC7" w:rsidRDefault="00452E22" w:rsidP="00380CC7">
      <w:pPr>
        <w:keepNext/>
        <w:spacing w:before="240" w:after="480"/>
        <w:jc w:val="center"/>
        <w:rPr>
          <w:rFonts w:eastAsia="SimSun"/>
        </w:rPr>
      </w:pPr>
      <w:proofErr w:type="spellStart"/>
      <w:r>
        <w:rPr>
          <w:rStyle w:val="Strong"/>
          <w:rFonts w:eastAsia="SimSun"/>
        </w:rPr>
        <w:t>PREFILED</w:t>
      </w:r>
      <w:proofErr w:type="spellEnd"/>
      <w:r>
        <w:rPr>
          <w:rStyle w:val="Strong"/>
          <w:rFonts w:eastAsia="SimSun"/>
        </w:rPr>
        <w:t xml:space="preserve"> DIRECT TESTIMONY </w:t>
      </w:r>
      <w:r>
        <w:rPr>
          <w:rFonts w:eastAsia="SimSun"/>
          <w:b/>
          <w:color w:val="000000"/>
        </w:rPr>
        <w:t>(</w:t>
      </w:r>
      <w:proofErr w:type="spellStart"/>
      <w:r>
        <w:rPr>
          <w:rFonts w:eastAsia="SimSun"/>
          <w:b/>
          <w:color w:val="000000"/>
        </w:rPr>
        <w:t>NONCONFIDENTIAL</w:t>
      </w:r>
      <w:proofErr w:type="spellEnd"/>
      <w:r>
        <w:rPr>
          <w:rFonts w:eastAsia="SimSun"/>
          <w:b/>
          <w:color w:val="000000"/>
        </w:rPr>
        <w:t xml:space="preserve">) </w:t>
      </w:r>
      <w:r>
        <w:rPr>
          <w:rStyle w:val="Strong"/>
          <w:rFonts w:eastAsia="SimSun"/>
        </w:rPr>
        <w:t>OF</w:t>
      </w:r>
      <w:r>
        <w:rPr>
          <w:rStyle w:val="Strong"/>
          <w:rFonts w:eastAsia="SimSun"/>
          <w:b w:val="0"/>
        </w:rPr>
        <w:br/>
      </w:r>
      <w:r w:rsidR="00447E27">
        <w:rPr>
          <w:rFonts w:eastAsia="SimSun"/>
          <w:b/>
          <w:color w:val="000000"/>
        </w:rPr>
        <w:t xml:space="preserve">JOEL </w:t>
      </w:r>
      <w:r w:rsidR="00B95684">
        <w:rPr>
          <w:rFonts w:eastAsia="SimSun"/>
          <w:b/>
          <w:color w:val="000000"/>
        </w:rPr>
        <w:t>L</w:t>
      </w:r>
      <w:r w:rsidR="00447E27">
        <w:rPr>
          <w:rFonts w:eastAsia="SimSun"/>
          <w:b/>
          <w:color w:val="000000"/>
        </w:rPr>
        <w:t xml:space="preserve">. </w:t>
      </w:r>
      <w:proofErr w:type="spellStart"/>
      <w:r w:rsidR="00447E27">
        <w:rPr>
          <w:rFonts w:eastAsia="SimSun"/>
          <w:b/>
          <w:color w:val="000000"/>
        </w:rPr>
        <w:t>MOLANDER</w:t>
      </w:r>
      <w:proofErr w:type="spellEnd"/>
    </w:p>
    <w:p w:rsidR="00452E22" w:rsidRDefault="00452E22" w:rsidP="00380CC7">
      <w:pPr>
        <w:keepNext/>
        <w:spacing w:before="240" w:after="480"/>
        <w:jc w:val="center"/>
        <w:rPr>
          <w:rStyle w:val="Strong"/>
          <w:rFonts w:eastAsia="SimSun"/>
          <w:b w:val="0"/>
        </w:rPr>
      </w:pPr>
      <w:r>
        <w:rPr>
          <w:rStyle w:val="Strong"/>
          <w:rFonts w:eastAsia="SimSun"/>
        </w:rPr>
        <w:t>CONTENTS</w:t>
      </w:r>
    </w:p>
    <w:bookmarkStart w:id="4" w:name="mpTableOfContents"/>
    <w:p w:rsidR="00AA2EE7" w:rsidRDefault="005A0981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71304189" w:history="1">
        <w:r w:rsidR="00AA2EE7" w:rsidRPr="00E548FB">
          <w:rPr>
            <w:rStyle w:val="Hyperlink"/>
            <w:rFonts w:eastAsia="SimSun"/>
            <w:noProof/>
          </w:rPr>
          <w:t>I.</w:t>
        </w:r>
        <w:r w:rsidR="00AA2EE7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AA2EE7" w:rsidRPr="00E548FB">
          <w:rPr>
            <w:rStyle w:val="Hyperlink"/>
            <w:rFonts w:eastAsia="SimSun"/>
            <w:noProof/>
          </w:rPr>
          <w:t>INTRODUCTION</w:t>
        </w:r>
        <w:r w:rsidR="00AA2EE7">
          <w:rPr>
            <w:noProof/>
            <w:webHidden/>
          </w:rPr>
          <w:tab/>
        </w:r>
        <w:r w:rsidR="00AA2EE7">
          <w:rPr>
            <w:noProof/>
            <w:webHidden/>
          </w:rPr>
          <w:fldChar w:fldCharType="begin"/>
        </w:r>
        <w:r w:rsidR="00AA2EE7">
          <w:rPr>
            <w:noProof/>
            <w:webHidden/>
          </w:rPr>
          <w:instrText xml:space="preserve"> PAGEREF _Toc471304189 \h </w:instrText>
        </w:r>
        <w:r w:rsidR="00AA2EE7">
          <w:rPr>
            <w:noProof/>
            <w:webHidden/>
          </w:rPr>
        </w:r>
        <w:r w:rsidR="00AA2EE7">
          <w:rPr>
            <w:noProof/>
            <w:webHidden/>
          </w:rPr>
          <w:fldChar w:fldCharType="separate"/>
        </w:r>
        <w:r w:rsidR="00605407">
          <w:rPr>
            <w:noProof/>
            <w:webHidden/>
          </w:rPr>
          <w:t>1</w:t>
        </w:r>
        <w:r w:rsidR="00AA2EE7">
          <w:rPr>
            <w:noProof/>
            <w:webHidden/>
          </w:rPr>
          <w:fldChar w:fldCharType="end"/>
        </w:r>
      </w:hyperlink>
    </w:p>
    <w:p w:rsidR="00AA2EE7" w:rsidRDefault="00B2169F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71304190" w:history="1">
        <w:r w:rsidR="00AA2EE7" w:rsidRPr="00E548FB">
          <w:rPr>
            <w:rStyle w:val="Hyperlink"/>
            <w:noProof/>
          </w:rPr>
          <w:t>II.</w:t>
        </w:r>
        <w:r w:rsidR="00AA2EE7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AA2EE7" w:rsidRPr="00E548FB">
          <w:rPr>
            <w:rStyle w:val="Hyperlink"/>
            <w:noProof/>
          </w:rPr>
          <w:t>PSE’S OPERATING HISTORY AT SKC</w:t>
        </w:r>
        <w:r w:rsidR="00AA2EE7">
          <w:rPr>
            <w:noProof/>
            <w:webHidden/>
          </w:rPr>
          <w:tab/>
        </w:r>
        <w:r w:rsidR="00AA2EE7">
          <w:rPr>
            <w:noProof/>
            <w:webHidden/>
          </w:rPr>
          <w:fldChar w:fldCharType="begin"/>
        </w:r>
        <w:r w:rsidR="00AA2EE7">
          <w:rPr>
            <w:noProof/>
            <w:webHidden/>
          </w:rPr>
          <w:instrText xml:space="preserve"> PAGEREF _Toc471304190 \h </w:instrText>
        </w:r>
        <w:r w:rsidR="00AA2EE7">
          <w:rPr>
            <w:noProof/>
            <w:webHidden/>
          </w:rPr>
        </w:r>
        <w:r w:rsidR="00AA2EE7">
          <w:rPr>
            <w:noProof/>
            <w:webHidden/>
          </w:rPr>
          <w:fldChar w:fldCharType="separate"/>
        </w:r>
        <w:r w:rsidR="00605407">
          <w:rPr>
            <w:noProof/>
            <w:webHidden/>
          </w:rPr>
          <w:t>2</w:t>
        </w:r>
        <w:r w:rsidR="00AA2EE7">
          <w:rPr>
            <w:noProof/>
            <w:webHidden/>
          </w:rPr>
          <w:fldChar w:fldCharType="end"/>
        </w:r>
      </w:hyperlink>
    </w:p>
    <w:p w:rsidR="00AA2EE7" w:rsidRDefault="00B2169F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71304191" w:history="1">
        <w:r w:rsidR="00AA2EE7" w:rsidRPr="00E548FB">
          <w:rPr>
            <w:rStyle w:val="Hyperlink"/>
            <w:noProof/>
          </w:rPr>
          <w:t>III.</w:t>
        </w:r>
        <w:r w:rsidR="00AA2EE7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AA2EE7" w:rsidRPr="00E548FB">
          <w:rPr>
            <w:rStyle w:val="Hyperlink"/>
            <w:noProof/>
          </w:rPr>
          <w:t>PSE’S DECISION TO PURCHASE SKC</w:t>
        </w:r>
        <w:r w:rsidR="00AA2EE7">
          <w:rPr>
            <w:noProof/>
            <w:webHidden/>
          </w:rPr>
          <w:tab/>
        </w:r>
        <w:r w:rsidR="00AA2EE7">
          <w:rPr>
            <w:noProof/>
            <w:webHidden/>
          </w:rPr>
          <w:fldChar w:fldCharType="begin"/>
        </w:r>
        <w:r w:rsidR="00AA2EE7">
          <w:rPr>
            <w:noProof/>
            <w:webHidden/>
          </w:rPr>
          <w:instrText xml:space="preserve"> PAGEREF _Toc471304191 \h </w:instrText>
        </w:r>
        <w:r w:rsidR="00AA2EE7">
          <w:rPr>
            <w:noProof/>
            <w:webHidden/>
          </w:rPr>
        </w:r>
        <w:r w:rsidR="00AA2EE7">
          <w:rPr>
            <w:noProof/>
            <w:webHidden/>
          </w:rPr>
          <w:fldChar w:fldCharType="separate"/>
        </w:r>
        <w:r w:rsidR="00605407">
          <w:rPr>
            <w:noProof/>
            <w:webHidden/>
          </w:rPr>
          <w:t>5</w:t>
        </w:r>
        <w:r w:rsidR="00AA2EE7">
          <w:rPr>
            <w:noProof/>
            <w:webHidden/>
          </w:rPr>
          <w:fldChar w:fldCharType="end"/>
        </w:r>
      </w:hyperlink>
    </w:p>
    <w:p w:rsidR="00AA2EE7" w:rsidRDefault="00B2169F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71304192" w:history="1">
        <w:r w:rsidR="00AA2EE7" w:rsidRPr="00E548FB">
          <w:rPr>
            <w:rStyle w:val="Hyperlink"/>
            <w:noProof/>
          </w:rPr>
          <w:t>III.</w:t>
        </w:r>
        <w:r w:rsidR="00AA2EE7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AA2EE7" w:rsidRPr="00E548FB">
          <w:rPr>
            <w:rStyle w:val="Hyperlink"/>
            <w:noProof/>
          </w:rPr>
          <w:t>CONCLUSION</w:t>
        </w:r>
        <w:r w:rsidR="00AA2EE7">
          <w:rPr>
            <w:noProof/>
            <w:webHidden/>
          </w:rPr>
          <w:tab/>
        </w:r>
        <w:r w:rsidR="00AA2EE7">
          <w:rPr>
            <w:noProof/>
            <w:webHidden/>
          </w:rPr>
          <w:fldChar w:fldCharType="begin"/>
        </w:r>
        <w:r w:rsidR="00AA2EE7">
          <w:rPr>
            <w:noProof/>
            <w:webHidden/>
          </w:rPr>
          <w:instrText xml:space="preserve"> PAGEREF _Toc471304192 \h </w:instrText>
        </w:r>
        <w:r w:rsidR="00AA2EE7">
          <w:rPr>
            <w:noProof/>
            <w:webHidden/>
          </w:rPr>
        </w:r>
        <w:r w:rsidR="00AA2EE7">
          <w:rPr>
            <w:noProof/>
            <w:webHidden/>
          </w:rPr>
          <w:fldChar w:fldCharType="separate"/>
        </w:r>
        <w:r w:rsidR="00605407">
          <w:rPr>
            <w:noProof/>
            <w:webHidden/>
          </w:rPr>
          <w:t>13</w:t>
        </w:r>
        <w:r w:rsidR="00AA2EE7">
          <w:rPr>
            <w:noProof/>
            <w:webHidden/>
          </w:rPr>
          <w:fldChar w:fldCharType="end"/>
        </w:r>
      </w:hyperlink>
    </w:p>
    <w:p w:rsidR="00452E22" w:rsidRDefault="005A0981" w:rsidP="005A0981">
      <w:pPr>
        <w:pStyle w:val="TOC1"/>
      </w:pPr>
      <w:r>
        <w:fldChar w:fldCharType="end"/>
      </w:r>
    </w:p>
    <w:bookmarkEnd w:id="4"/>
    <w:p w:rsidR="00452E22" w:rsidRDefault="00452E22">
      <w:pPr>
        <w:widowControl w:val="0"/>
        <w:spacing w:before="240" w:after="240" w:line="480" w:lineRule="auto"/>
        <w:ind w:left="720" w:right="720"/>
        <w:jc w:val="center"/>
        <w:rPr>
          <w:rFonts w:eastAsia="SimSun"/>
        </w:rPr>
        <w:sectPr w:rsidR="00452E22">
          <w:footerReference w:type="default" r:id="rId10"/>
          <w:pgSz w:w="12240" w:h="15840" w:code="1"/>
          <w:pgMar w:top="1440" w:right="1440" w:bottom="1440" w:left="2160" w:header="864" w:footer="576" w:gutter="0"/>
          <w:pgNumType w:fmt="lowerRoman" w:start="1"/>
          <w:cols w:space="720"/>
        </w:sectPr>
      </w:pPr>
    </w:p>
    <w:p w:rsidR="00380CC7" w:rsidRDefault="00452E22" w:rsidP="00380CC7">
      <w:pPr>
        <w:keepNext/>
        <w:spacing w:before="240" w:after="480"/>
        <w:jc w:val="center"/>
        <w:rPr>
          <w:rStyle w:val="Strong"/>
          <w:rFonts w:eastAsia="SimSun"/>
          <w:b w:val="0"/>
        </w:rPr>
      </w:pPr>
      <w:r>
        <w:rPr>
          <w:rStyle w:val="Strong"/>
          <w:rFonts w:eastAsia="SimSun"/>
        </w:rPr>
        <w:lastRenderedPageBreak/>
        <w:t xml:space="preserve">PUGET SOUND </w:t>
      </w:r>
      <w:proofErr w:type="spellStart"/>
      <w:r>
        <w:rPr>
          <w:rStyle w:val="Strong"/>
          <w:rFonts w:eastAsia="SimSun"/>
        </w:rPr>
        <w:t>ENERGY</w:t>
      </w:r>
      <w:proofErr w:type="spellEnd"/>
    </w:p>
    <w:p w:rsidR="00452E22" w:rsidRDefault="00452E22" w:rsidP="00380CC7">
      <w:pPr>
        <w:keepNext/>
        <w:spacing w:before="240" w:after="480"/>
        <w:jc w:val="center"/>
        <w:rPr>
          <w:rStyle w:val="Strong"/>
          <w:rFonts w:eastAsia="SimSun"/>
          <w:b w:val="0"/>
        </w:rPr>
      </w:pPr>
      <w:proofErr w:type="spellStart"/>
      <w:r>
        <w:rPr>
          <w:rStyle w:val="Strong"/>
          <w:rFonts w:eastAsia="SimSun"/>
        </w:rPr>
        <w:t>PREFILED</w:t>
      </w:r>
      <w:proofErr w:type="spellEnd"/>
      <w:r>
        <w:rPr>
          <w:rStyle w:val="Strong"/>
          <w:rFonts w:eastAsia="SimSun"/>
        </w:rPr>
        <w:t xml:space="preserve"> DIRECT TESTIMONY </w:t>
      </w:r>
      <w:r>
        <w:rPr>
          <w:rFonts w:eastAsia="SimSun"/>
          <w:b/>
          <w:color w:val="000000"/>
        </w:rPr>
        <w:t>(</w:t>
      </w:r>
      <w:proofErr w:type="spellStart"/>
      <w:r>
        <w:rPr>
          <w:rFonts w:eastAsia="SimSun"/>
          <w:b/>
          <w:color w:val="000000"/>
        </w:rPr>
        <w:t>NONCONFIDENTIAL</w:t>
      </w:r>
      <w:proofErr w:type="spellEnd"/>
      <w:r>
        <w:rPr>
          <w:rFonts w:eastAsia="SimSun"/>
          <w:b/>
          <w:color w:val="000000"/>
        </w:rPr>
        <w:t xml:space="preserve">) </w:t>
      </w:r>
      <w:r>
        <w:rPr>
          <w:rStyle w:val="Strong"/>
          <w:rFonts w:eastAsia="SimSun"/>
        </w:rPr>
        <w:t>OF</w:t>
      </w:r>
      <w:r>
        <w:rPr>
          <w:rStyle w:val="Strong"/>
          <w:rFonts w:eastAsia="SimSun"/>
          <w:b w:val="0"/>
        </w:rPr>
        <w:br/>
      </w:r>
      <w:r w:rsidR="00447E27">
        <w:rPr>
          <w:rFonts w:eastAsia="SimSun"/>
          <w:b/>
          <w:color w:val="000000"/>
        </w:rPr>
        <w:t xml:space="preserve">JOEL </w:t>
      </w:r>
      <w:r w:rsidR="00B95684">
        <w:rPr>
          <w:rFonts w:eastAsia="SimSun"/>
          <w:b/>
          <w:color w:val="000000"/>
        </w:rPr>
        <w:t>L</w:t>
      </w:r>
      <w:r w:rsidR="00447E27">
        <w:rPr>
          <w:rFonts w:eastAsia="SimSun"/>
          <w:b/>
          <w:color w:val="000000"/>
        </w:rPr>
        <w:t>. MOLANDER</w:t>
      </w:r>
    </w:p>
    <w:p w:rsidR="00452E22" w:rsidRPr="00380CC7" w:rsidRDefault="00452E22" w:rsidP="00380CC7">
      <w:pPr>
        <w:pStyle w:val="Heading1"/>
      </w:pPr>
      <w:bookmarkStart w:id="5" w:name="_Toc293498700"/>
      <w:bookmarkStart w:id="6" w:name="_Toc471304189"/>
      <w:r w:rsidRPr="00380CC7">
        <w:t>I.</w:t>
      </w:r>
      <w:r w:rsidRPr="00380CC7">
        <w:tab/>
        <w:t>INTRODUCTION</w:t>
      </w:r>
      <w:bookmarkEnd w:id="5"/>
      <w:bookmarkEnd w:id="6"/>
    </w:p>
    <w:p w:rsidR="00452E22" w:rsidRPr="00380CC7" w:rsidRDefault="00452E22" w:rsidP="00380CC7">
      <w:pPr>
        <w:pStyle w:val="question"/>
      </w:pPr>
      <w:r w:rsidRPr="00380CC7">
        <w:t>Q.</w:t>
      </w:r>
      <w:r w:rsidRPr="00380CC7">
        <w:tab/>
        <w:t>Please state your name, business address and present position with Puget Sound Energy.</w:t>
      </w:r>
    </w:p>
    <w:p w:rsidR="00452E22" w:rsidRDefault="00452E22">
      <w:pPr>
        <w:pStyle w:val="answer"/>
        <w:widowControl w:val="0"/>
      </w:pPr>
      <w:r>
        <w:t>A.</w:t>
      </w:r>
      <w:r>
        <w:tab/>
      </w:r>
      <w:r w:rsidR="00B95684">
        <w:t>My name is Joel L. Molander.  My business address is 10885 N.E. Fourth Street Bellevue, WA 98004.</w:t>
      </w:r>
      <w:r w:rsidR="00D82C32">
        <w:t xml:space="preserve"> </w:t>
      </w:r>
      <w:r w:rsidR="00B95684">
        <w:t xml:space="preserve"> I am currently the Director, IT Business Partner Engagement for Puget Sound Energy (“PSE”); however, my testimony provided herein reflects business activities undertaken in my prior role as Director, Corporate Shared Services.</w:t>
      </w:r>
    </w:p>
    <w:p w:rsidR="00452E22" w:rsidRDefault="00452E22" w:rsidP="00380CC7">
      <w:pPr>
        <w:pStyle w:val="question"/>
      </w:pPr>
      <w:r>
        <w:t>Q.</w:t>
      </w:r>
      <w:r>
        <w:tab/>
        <w:t>What is your educational and professional experience?</w:t>
      </w:r>
    </w:p>
    <w:p w:rsidR="00452E22" w:rsidRDefault="00452E22" w:rsidP="00CF1AE3">
      <w:pPr>
        <w:pStyle w:val="answer"/>
        <w:widowControl w:val="0"/>
      </w:pPr>
      <w:r>
        <w:t>A.</w:t>
      </w:r>
      <w:r>
        <w:tab/>
      </w:r>
      <w:r>
        <w:rPr>
          <w:snapToGrid w:val="0"/>
          <w:lang w:eastAsia="en-US"/>
        </w:rPr>
        <w:t>Exhibit No. </w:t>
      </w:r>
      <w:r w:rsidR="00D82C32">
        <w:rPr>
          <w:snapToGrid w:val="0"/>
          <w:lang w:eastAsia="en-US"/>
        </w:rPr>
        <w:t>___</w:t>
      </w:r>
      <w:r w:rsidR="005D4E07">
        <w:rPr>
          <w:snapToGrid w:val="0"/>
          <w:lang w:eastAsia="en-US"/>
        </w:rPr>
        <w:t>(</w:t>
      </w:r>
      <w:r w:rsidR="00B95684">
        <w:rPr>
          <w:snapToGrid w:val="0"/>
          <w:lang w:eastAsia="en-US"/>
        </w:rPr>
        <w:t>JL</w:t>
      </w:r>
      <w:r w:rsidR="00447E27">
        <w:rPr>
          <w:snapToGrid w:val="0"/>
          <w:lang w:eastAsia="en-US"/>
        </w:rPr>
        <w:t>M</w:t>
      </w:r>
      <w:r w:rsidR="00EF5F5B">
        <w:rPr>
          <w:snapToGrid w:val="0"/>
          <w:lang w:eastAsia="en-US"/>
        </w:rPr>
        <w:t>-</w:t>
      </w:r>
      <w:r w:rsidR="00D82C32">
        <w:rPr>
          <w:snapToGrid w:val="0"/>
          <w:lang w:eastAsia="en-US"/>
        </w:rPr>
        <w:t>2</w:t>
      </w:r>
      <w:r w:rsidR="005D4E07">
        <w:rPr>
          <w:snapToGrid w:val="0"/>
          <w:lang w:eastAsia="en-US"/>
        </w:rPr>
        <w:t>)</w:t>
      </w:r>
      <w:r>
        <w:rPr>
          <w:snapToGrid w:val="0"/>
          <w:lang w:eastAsia="en-US"/>
        </w:rPr>
        <w:t xml:space="preserve"> describes my educational and professional experience.</w:t>
      </w:r>
    </w:p>
    <w:p w:rsidR="00452E22" w:rsidRDefault="00B95684" w:rsidP="00380CC7">
      <w:pPr>
        <w:pStyle w:val="question"/>
      </w:pPr>
      <w:r>
        <w:t>Q.</w:t>
      </w:r>
      <w:r>
        <w:tab/>
        <w:t xml:space="preserve">What were </w:t>
      </w:r>
      <w:r w:rsidR="00452E22">
        <w:t xml:space="preserve">your duties as </w:t>
      </w:r>
      <w:r>
        <w:t>Director, Corporate Shared Services</w:t>
      </w:r>
      <w:r w:rsidR="00452E22">
        <w:t>?</w:t>
      </w:r>
    </w:p>
    <w:p w:rsidR="00452E22" w:rsidRDefault="00452E22" w:rsidP="00CF1AE3">
      <w:pPr>
        <w:pStyle w:val="answer"/>
        <w:widowControl w:val="0"/>
      </w:pPr>
      <w:bookmarkStart w:id="7" w:name="OLE_LINK3"/>
      <w:bookmarkStart w:id="8" w:name="OLE_LINK4"/>
      <w:r>
        <w:t>A.</w:t>
      </w:r>
      <w:r>
        <w:tab/>
      </w:r>
      <w:bookmarkEnd w:id="7"/>
      <w:bookmarkEnd w:id="8"/>
      <w:r w:rsidR="006C494B">
        <w:t>My responsibilities included the management and oversight of PSE</w:t>
      </w:r>
      <w:r w:rsidR="0024482F">
        <w:t>’s portfolio of owned</w:t>
      </w:r>
      <w:r w:rsidR="006C494B">
        <w:t xml:space="preserve"> and leased facilities.</w:t>
      </w:r>
      <w:r w:rsidR="00D82C32">
        <w:t xml:space="preserve"> </w:t>
      </w:r>
      <w:r w:rsidR="006C494B">
        <w:t xml:space="preserve"> In addition, I was responsible for PSE’s </w:t>
      </w:r>
      <w:r w:rsidR="0024482F">
        <w:t>corporate s</w:t>
      </w:r>
      <w:r w:rsidR="006C494B">
        <w:t xml:space="preserve">ecurity, </w:t>
      </w:r>
      <w:r w:rsidR="0024482F">
        <w:t>fleet</w:t>
      </w:r>
      <w:r w:rsidR="000F31EF">
        <w:t>,</w:t>
      </w:r>
      <w:r w:rsidR="0024482F">
        <w:t xml:space="preserve"> b</w:t>
      </w:r>
      <w:r w:rsidR="000F31EF">
        <w:t xml:space="preserve">usiness continuity and </w:t>
      </w:r>
      <w:r w:rsidR="006C494B">
        <w:t>emergency management functions.</w:t>
      </w:r>
    </w:p>
    <w:p w:rsidR="00452E22" w:rsidRDefault="00452E22" w:rsidP="00380CC7">
      <w:pPr>
        <w:pStyle w:val="question"/>
      </w:pPr>
      <w:r>
        <w:t>Q.</w:t>
      </w:r>
      <w:r>
        <w:tab/>
        <w:t xml:space="preserve">Please </w:t>
      </w:r>
      <w:r w:rsidR="00FA2414">
        <w:t>provide an overview of</w:t>
      </w:r>
      <w:r>
        <w:t xml:space="preserve"> your testimony.</w:t>
      </w:r>
    </w:p>
    <w:p w:rsidR="00452E22" w:rsidRDefault="006C494B" w:rsidP="006C322E">
      <w:pPr>
        <w:pStyle w:val="answer"/>
        <w:widowControl w:val="0"/>
      </w:pPr>
      <w:r>
        <w:t>A.</w:t>
      </w:r>
      <w:r>
        <w:tab/>
        <w:t xml:space="preserve">My testimony describes </w:t>
      </w:r>
      <w:r w:rsidR="00380CC7">
        <w:t>PSE</w:t>
      </w:r>
      <w:r>
        <w:t>’s decision to acquire the South King Complex</w:t>
      </w:r>
      <w:r w:rsidR="00380CC7">
        <w:t> </w:t>
      </w:r>
      <w:r w:rsidR="004E1CFF">
        <w:t>(“</w:t>
      </w:r>
      <w:proofErr w:type="spellStart"/>
      <w:r w:rsidR="004E1CFF">
        <w:t>SKC</w:t>
      </w:r>
      <w:proofErr w:type="spellEnd"/>
      <w:r w:rsidR="004E1CFF">
        <w:t>”)</w:t>
      </w:r>
      <w:r w:rsidR="00AC4890">
        <w:t xml:space="preserve"> on August 31,</w:t>
      </w:r>
      <w:r w:rsidR="004E1CFF">
        <w:t xml:space="preserve"> 2016</w:t>
      </w:r>
      <w:r>
        <w:t xml:space="preserve">, located at 22828 </w:t>
      </w:r>
      <w:r w:rsidR="00B50D8E">
        <w:t>68th</w:t>
      </w:r>
      <w:r>
        <w:t xml:space="preserve"> Avenue South, Kent</w:t>
      </w:r>
      <w:r w:rsidR="00D82C32">
        <w:t>,</w:t>
      </w:r>
      <w:r>
        <w:t xml:space="preserve"> </w:t>
      </w:r>
      <w:r>
        <w:lastRenderedPageBreak/>
        <w:t>W</w:t>
      </w:r>
      <w:r w:rsidR="00D82C32">
        <w:t>ashington</w:t>
      </w:r>
      <w:r w:rsidR="005017CB">
        <w:t xml:space="preserve"> 98032</w:t>
      </w:r>
      <w:r>
        <w:t xml:space="preserve">. </w:t>
      </w:r>
      <w:r w:rsidR="00D82C32">
        <w:t xml:space="preserve"> </w:t>
      </w:r>
      <w:r>
        <w:t xml:space="preserve">I describe </w:t>
      </w:r>
      <w:r w:rsidR="00380CC7">
        <w:t>PSE</w:t>
      </w:r>
      <w:r>
        <w:t xml:space="preserve">’s operating history at this location, its decision to </w:t>
      </w:r>
      <w:r w:rsidR="00D82C32">
        <w:t>acquire the property</w:t>
      </w:r>
      <w:r w:rsidR="000F31EF">
        <w:t xml:space="preserve">, and how </w:t>
      </w:r>
      <w:r>
        <w:t xml:space="preserve">asset </w:t>
      </w:r>
      <w:r w:rsidR="000F31EF">
        <w:t xml:space="preserve">ownership </w:t>
      </w:r>
      <w:r>
        <w:t xml:space="preserve">will </w:t>
      </w:r>
      <w:r w:rsidR="000F31EF">
        <w:t>e</w:t>
      </w:r>
      <w:r w:rsidR="000C5F8B">
        <w:t xml:space="preserve">liminate operational </w:t>
      </w:r>
      <w:r w:rsidR="000F31EF">
        <w:t>and financial r</w:t>
      </w:r>
      <w:r w:rsidR="000C5F8B">
        <w:t>isk associated with future displacement to a higher-cost location.</w:t>
      </w:r>
    </w:p>
    <w:p w:rsidR="00452E22" w:rsidRDefault="00452E22" w:rsidP="00380CC7">
      <w:pPr>
        <w:pStyle w:val="Heading1"/>
      </w:pPr>
      <w:bookmarkStart w:id="9" w:name="_Toc293498701"/>
      <w:bookmarkStart w:id="10" w:name="_Toc445803746"/>
      <w:bookmarkStart w:id="11" w:name="_Toc471304190"/>
      <w:r>
        <w:t>II.</w:t>
      </w:r>
      <w:r>
        <w:tab/>
      </w:r>
      <w:bookmarkEnd w:id="9"/>
      <w:bookmarkEnd w:id="10"/>
      <w:r w:rsidR="0002716D">
        <w:t xml:space="preserve">PSE’S </w:t>
      </w:r>
      <w:r w:rsidR="000C5F8B">
        <w:t xml:space="preserve">OPERATING HISTORY AT </w:t>
      </w:r>
      <w:proofErr w:type="spellStart"/>
      <w:r w:rsidR="005E0778">
        <w:t>S</w:t>
      </w:r>
      <w:r w:rsidR="00137D57">
        <w:t>KC</w:t>
      </w:r>
      <w:bookmarkEnd w:id="11"/>
      <w:proofErr w:type="spellEnd"/>
    </w:p>
    <w:p w:rsidR="005E0778" w:rsidRPr="005E0778" w:rsidRDefault="005017CB" w:rsidP="00380CC7">
      <w:pPr>
        <w:pStyle w:val="question"/>
      </w:pPr>
      <w:r>
        <w:t>Q.</w:t>
      </w:r>
      <w:r w:rsidR="005E0778" w:rsidRPr="005E0778">
        <w:tab/>
        <w:t xml:space="preserve">Please describe the </w:t>
      </w:r>
      <w:r w:rsidR="00EC4866">
        <w:t xml:space="preserve">origin of </w:t>
      </w:r>
      <w:proofErr w:type="spellStart"/>
      <w:r w:rsidR="005E0778" w:rsidRPr="005E0778">
        <w:t>S</w:t>
      </w:r>
      <w:r w:rsidR="004E1CFF">
        <w:t>KC</w:t>
      </w:r>
      <w:proofErr w:type="spellEnd"/>
      <w:r w:rsidR="005E0778" w:rsidRPr="005E0778">
        <w:t>.</w:t>
      </w:r>
    </w:p>
    <w:p w:rsidR="0024482F" w:rsidRPr="00F40B9D" w:rsidRDefault="000C5F8B" w:rsidP="005017CB">
      <w:pPr>
        <w:pStyle w:val="answer"/>
        <w:rPr>
          <w:rStyle w:val="Emphasis"/>
          <w:i w:val="0"/>
        </w:rPr>
      </w:pPr>
      <w:r w:rsidRPr="001B4B62">
        <w:t>A.</w:t>
      </w:r>
      <w:r>
        <w:tab/>
      </w:r>
      <w:proofErr w:type="spellStart"/>
      <w:r w:rsidR="00F24C56">
        <w:t>S</w:t>
      </w:r>
      <w:r w:rsidR="004E1CFF">
        <w:t>KC</w:t>
      </w:r>
      <w:proofErr w:type="spellEnd"/>
      <w:r w:rsidR="00F24C56" w:rsidRPr="00F40B9D">
        <w:t xml:space="preserve"> </w:t>
      </w:r>
      <w:r w:rsidR="005017CB">
        <w:t xml:space="preserve">is a 26-acre property that </w:t>
      </w:r>
      <w:r w:rsidR="00F24C56" w:rsidRPr="00F40B9D">
        <w:t>w</w:t>
      </w:r>
      <w:r w:rsidR="00650532" w:rsidRPr="00F40B9D">
        <w:t xml:space="preserve">as </w:t>
      </w:r>
      <w:r w:rsidR="00D82C32">
        <w:t>originally owned and developed</w:t>
      </w:r>
      <w:r w:rsidR="00650532" w:rsidRPr="00F40B9D">
        <w:t xml:space="preserve"> by AT&amp;T (then Western Electric) in 1976</w:t>
      </w:r>
      <w:r w:rsidR="0024482F" w:rsidRPr="00F40B9D">
        <w:t xml:space="preserve"> to support its central operation and </w:t>
      </w:r>
      <w:r w:rsidR="00650532" w:rsidRPr="00F40B9D">
        <w:t>warehouse</w:t>
      </w:r>
      <w:r w:rsidR="0024482F" w:rsidRPr="00F40B9D">
        <w:t xml:space="preserve"> functions.</w:t>
      </w:r>
      <w:r w:rsidR="00D82C32">
        <w:t xml:space="preserve"> </w:t>
      </w:r>
      <w:r w:rsidR="0024482F" w:rsidRPr="00F40B9D">
        <w:t xml:space="preserve"> </w:t>
      </w:r>
      <w:r w:rsidR="005017CB">
        <w:t>AT&amp;T’s improvements on the property</w:t>
      </w:r>
      <w:r w:rsidR="0024482F" w:rsidRPr="00F40B9D">
        <w:t xml:space="preserve"> accommodate</w:t>
      </w:r>
      <w:r w:rsidR="005017CB">
        <w:t>d</w:t>
      </w:r>
      <w:r w:rsidR="0024482F" w:rsidRPr="00F40B9D">
        <w:t xml:space="preserve"> both in</w:t>
      </w:r>
      <w:r w:rsidR="000F31EF">
        <w:t>door</w:t>
      </w:r>
      <w:r w:rsidR="0024482F" w:rsidRPr="00F40B9D">
        <w:t xml:space="preserve"> and outdoor storage, materials receipt and distribution, and office </w:t>
      </w:r>
      <w:r w:rsidR="0024482F" w:rsidRPr="00F40B9D">
        <w:rPr>
          <w:rStyle w:val="Emphasis"/>
          <w:i w:val="0"/>
        </w:rPr>
        <w:t>spac</w:t>
      </w:r>
      <w:r w:rsidR="00FA2414">
        <w:rPr>
          <w:rStyle w:val="Emphasis"/>
          <w:i w:val="0"/>
        </w:rPr>
        <w:t xml:space="preserve">e. </w:t>
      </w:r>
      <w:r w:rsidR="00D82C32">
        <w:rPr>
          <w:rStyle w:val="Emphasis"/>
          <w:i w:val="0"/>
        </w:rPr>
        <w:t xml:space="preserve"> </w:t>
      </w:r>
      <w:r w:rsidR="00FA2414">
        <w:rPr>
          <w:rStyle w:val="Emphasis"/>
          <w:i w:val="0"/>
        </w:rPr>
        <w:t>The property was sold</w:t>
      </w:r>
      <w:r w:rsidR="00D82C32">
        <w:rPr>
          <w:rStyle w:val="Emphasis"/>
          <w:i w:val="0"/>
        </w:rPr>
        <w:t xml:space="preserve"> by AT&amp;T</w:t>
      </w:r>
      <w:r w:rsidR="00FA2414">
        <w:rPr>
          <w:rStyle w:val="Emphasis"/>
          <w:i w:val="0"/>
        </w:rPr>
        <w:t xml:space="preserve"> in 1993 </w:t>
      </w:r>
      <w:r w:rsidR="0024482F" w:rsidRPr="00F40B9D">
        <w:rPr>
          <w:rStyle w:val="Emphasis"/>
          <w:i w:val="0"/>
        </w:rPr>
        <w:t>to Ranch Associates</w:t>
      </w:r>
      <w:r w:rsidR="002F4438" w:rsidRPr="00F40B9D">
        <w:rPr>
          <w:rStyle w:val="Emphasis"/>
          <w:i w:val="0"/>
        </w:rPr>
        <w:t xml:space="preserve">, a Washington </w:t>
      </w:r>
      <w:r w:rsidR="00D82C32">
        <w:rPr>
          <w:rStyle w:val="Emphasis"/>
          <w:i w:val="0"/>
        </w:rPr>
        <w:t>s</w:t>
      </w:r>
      <w:r w:rsidR="002F4438" w:rsidRPr="00F40B9D">
        <w:rPr>
          <w:rStyle w:val="Emphasis"/>
          <w:i w:val="0"/>
        </w:rPr>
        <w:t>tate general partnership</w:t>
      </w:r>
      <w:r w:rsidR="0024482F" w:rsidRPr="00F40B9D">
        <w:rPr>
          <w:rStyle w:val="Emphasis"/>
          <w:i w:val="0"/>
        </w:rPr>
        <w:t>.</w:t>
      </w:r>
    </w:p>
    <w:p w:rsidR="005E0778" w:rsidRPr="00F40B9D" w:rsidRDefault="005017CB" w:rsidP="00380CC7">
      <w:pPr>
        <w:pStyle w:val="question"/>
      </w:pPr>
      <w:r>
        <w:t>Q.</w:t>
      </w:r>
      <w:r w:rsidR="005E0778" w:rsidRPr="00F40B9D">
        <w:tab/>
        <w:t xml:space="preserve">How did PSE come </w:t>
      </w:r>
      <w:r w:rsidR="00FA2414">
        <w:t xml:space="preserve">to occupy </w:t>
      </w:r>
      <w:proofErr w:type="spellStart"/>
      <w:r w:rsidR="00D82368">
        <w:t>SKC</w:t>
      </w:r>
      <w:proofErr w:type="spellEnd"/>
      <w:r w:rsidR="005E0778" w:rsidRPr="00F40B9D">
        <w:t>?</w:t>
      </w:r>
    </w:p>
    <w:p w:rsidR="000C5F8B" w:rsidRDefault="005E0778" w:rsidP="005017CB">
      <w:pPr>
        <w:pStyle w:val="answer"/>
      </w:pPr>
      <w:r w:rsidRPr="00F40B9D">
        <w:t>A.</w:t>
      </w:r>
      <w:r w:rsidRPr="00F40B9D">
        <w:tab/>
      </w:r>
      <w:r w:rsidR="002F4438" w:rsidRPr="00F40B9D">
        <w:t xml:space="preserve">In </w:t>
      </w:r>
      <w:r w:rsidR="004E1CFF">
        <w:t xml:space="preserve">1993, </w:t>
      </w:r>
      <w:r w:rsidR="005017CB">
        <w:t>PSE</w:t>
      </w:r>
      <w:r w:rsidR="008F3839">
        <w:t>’s predecessor, Puget Sound Power &amp; Light,</w:t>
      </w:r>
      <w:r w:rsidR="005017CB">
        <w:t xml:space="preserve"> was in need of additional operating space and was looking for a facility suitable for its utili</w:t>
      </w:r>
      <w:r w:rsidR="005B30BF">
        <w:t xml:space="preserve">ty operations.  AT&amp;T’s </w:t>
      </w:r>
      <w:r w:rsidR="005017CB">
        <w:t xml:space="preserve">improvements on the property were ideal for PSE’s operations.  Accordingly, in 1993, </w:t>
      </w:r>
      <w:r w:rsidR="004E1CFF">
        <w:t>PSE entered into an</w:t>
      </w:r>
      <w:r w:rsidR="00B50D8E">
        <w:t xml:space="preserve"> agreement with Ranch Associates to lease </w:t>
      </w:r>
      <w:proofErr w:type="spellStart"/>
      <w:r w:rsidR="00B50D8E">
        <w:t>SKC</w:t>
      </w:r>
      <w:proofErr w:type="spellEnd"/>
      <w:r w:rsidR="00B50D8E">
        <w:t xml:space="preserve">.  </w:t>
      </w:r>
      <w:r w:rsidR="004E1CFF">
        <w:t xml:space="preserve">In </w:t>
      </w:r>
      <w:r w:rsidR="002F4438" w:rsidRPr="00F40B9D">
        <w:t>1994, P</w:t>
      </w:r>
      <w:r w:rsidR="002F4438">
        <w:t>SE relocated its Renton Complex</w:t>
      </w:r>
      <w:r w:rsidR="00B50D8E">
        <w:t>,</w:t>
      </w:r>
      <w:r w:rsidR="002F4438">
        <w:t xml:space="preserve"> Renton Service Cen</w:t>
      </w:r>
      <w:r w:rsidR="002F4438" w:rsidRPr="002F4438">
        <w:t>ter</w:t>
      </w:r>
      <w:r w:rsidR="00B50D8E">
        <w:t>,</w:t>
      </w:r>
      <w:r w:rsidR="002F4438" w:rsidRPr="002F4438">
        <w:t xml:space="preserve"> and </w:t>
      </w:r>
      <w:r w:rsidR="002F4438">
        <w:t>B</w:t>
      </w:r>
      <w:r w:rsidR="002F4438" w:rsidRPr="002F4438">
        <w:t>usiness Office</w:t>
      </w:r>
      <w:r w:rsidR="002F4438">
        <w:t xml:space="preserve"> to </w:t>
      </w:r>
      <w:proofErr w:type="spellStart"/>
      <w:r w:rsidR="002F4438">
        <w:t>SKC</w:t>
      </w:r>
      <w:proofErr w:type="spellEnd"/>
      <w:r w:rsidR="00B50D8E">
        <w:t>.</w:t>
      </w:r>
      <w:r w:rsidR="002F4438">
        <w:t xml:space="preserve"> </w:t>
      </w:r>
      <w:r w:rsidR="00B50D8E">
        <w:t xml:space="preserve"> In 1998, PSE also relocated its </w:t>
      </w:r>
      <w:r w:rsidR="002F4438">
        <w:t xml:space="preserve">Central Stores </w:t>
      </w:r>
      <w:r w:rsidR="00B50D8E">
        <w:t xml:space="preserve">to </w:t>
      </w:r>
      <w:proofErr w:type="spellStart"/>
      <w:r w:rsidR="00B50D8E">
        <w:t>SKC</w:t>
      </w:r>
      <w:proofErr w:type="spellEnd"/>
      <w:r w:rsidR="002F4438">
        <w:t xml:space="preserve">. </w:t>
      </w:r>
    </w:p>
    <w:p w:rsidR="002E3E2E" w:rsidRDefault="005017CB" w:rsidP="00380CC7">
      <w:pPr>
        <w:pStyle w:val="question"/>
      </w:pPr>
      <w:r>
        <w:lastRenderedPageBreak/>
        <w:t>Q.</w:t>
      </w:r>
      <w:r w:rsidR="002E3E2E">
        <w:tab/>
      </w:r>
      <w:r w:rsidR="0002716D">
        <w:t>Please s</w:t>
      </w:r>
      <w:r w:rsidR="00D617CE">
        <w:t xml:space="preserve">ummarize </w:t>
      </w:r>
      <w:r w:rsidR="00380CC7">
        <w:t>PSE</w:t>
      </w:r>
      <w:r w:rsidR="002E3E2E">
        <w:t xml:space="preserve">’s lease </w:t>
      </w:r>
      <w:r w:rsidR="00E96717">
        <w:t xml:space="preserve">terms </w:t>
      </w:r>
      <w:r w:rsidR="002E3E2E">
        <w:t xml:space="preserve">with Ranch Associates prior to its acquisition of </w:t>
      </w:r>
      <w:proofErr w:type="spellStart"/>
      <w:r w:rsidR="002E3E2E">
        <w:t>SKC</w:t>
      </w:r>
      <w:proofErr w:type="spellEnd"/>
      <w:r w:rsidR="002E3E2E">
        <w:t xml:space="preserve"> in 2016.</w:t>
      </w:r>
    </w:p>
    <w:p w:rsidR="002E3E2E" w:rsidRPr="006B607B" w:rsidRDefault="002E3E2E" w:rsidP="005017CB">
      <w:pPr>
        <w:pStyle w:val="answer"/>
      </w:pPr>
      <w:r>
        <w:t>A.</w:t>
      </w:r>
      <w:r>
        <w:tab/>
        <w:t xml:space="preserve">PSE’s initial lease with Ranch Associates was negotiated </w:t>
      </w:r>
      <w:r w:rsidR="000F31EF">
        <w:t xml:space="preserve">in 1993 </w:t>
      </w:r>
      <w:r>
        <w:t>at then market-based rates for a term of 10 years, expiring on February 29, 2004</w:t>
      </w:r>
      <w:r w:rsidRPr="006B607B">
        <w:t>.</w:t>
      </w:r>
      <w:r w:rsidR="004E1CFF">
        <w:t xml:space="preserve"> </w:t>
      </w:r>
      <w:r w:rsidRPr="006B607B">
        <w:t xml:space="preserve"> </w:t>
      </w:r>
      <w:r w:rsidR="00D602C3">
        <w:t>In 200</w:t>
      </w:r>
      <w:r w:rsidRPr="00592B93">
        <w:t>3, PSE negotiate</w:t>
      </w:r>
      <w:r w:rsidR="000F31EF">
        <w:t>d an additional market-based 10-</w:t>
      </w:r>
      <w:r w:rsidRPr="00592B93">
        <w:t xml:space="preserve">year lease term along with </w:t>
      </w:r>
      <w:r w:rsidR="00361DCE">
        <w:t>four</w:t>
      </w:r>
      <w:r w:rsidR="00D602C3">
        <w:t xml:space="preserve"> </w:t>
      </w:r>
      <w:r w:rsidRPr="00592B93">
        <w:t xml:space="preserve">five-year renewal options. </w:t>
      </w:r>
      <w:r w:rsidR="004E1CFF">
        <w:t xml:space="preserve"> </w:t>
      </w:r>
      <w:r w:rsidRPr="00592B93">
        <w:t>On August 6, 2013</w:t>
      </w:r>
      <w:r w:rsidR="00361DCE">
        <w:t>, PSE exercised one of its four</w:t>
      </w:r>
      <w:r w:rsidRPr="00592B93">
        <w:t xml:space="preserve"> five-year renewal options, extending the lease term through February 2019. </w:t>
      </w:r>
      <w:r w:rsidR="004E1CFF">
        <w:t xml:space="preserve"> </w:t>
      </w:r>
      <w:r w:rsidR="000F31EF">
        <w:t xml:space="preserve">Annual lease payments to Ranch Associates included rent and base operating expenses. </w:t>
      </w:r>
      <w:r w:rsidR="004E1CFF">
        <w:t xml:space="preserve"> </w:t>
      </w:r>
      <w:r w:rsidR="00D602C3">
        <w:t>T</w:t>
      </w:r>
      <w:r w:rsidR="000F31EF">
        <w:t>enant improvements were funded by PSE as part of its utility capital program and depreciated in accordance with FERC accounting rules for leased assets.</w:t>
      </w:r>
    </w:p>
    <w:p w:rsidR="00D82368" w:rsidRPr="00F40B9D" w:rsidRDefault="005017CB" w:rsidP="00380CC7">
      <w:pPr>
        <w:pStyle w:val="question"/>
      </w:pPr>
      <w:r>
        <w:t>Q.</w:t>
      </w:r>
      <w:r w:rsidR="00D82368" w:rsidRPr="00F40B9D">
        <w:tab/>
      </w:r>
      <w:r w:rsidR="00D82368">
        <w:t>Please summarize prior</w:t>
      </w:r>
      <w:r w:rsidR="002E3E2E">
        <w:t xml:space="preserve"> </w:t>
      </w:r>
      <w:proofErr w:type="spellStart"/>
      <w:r w:rsidR="002E3E2E">
        <w:t>SKC</w:t>
      </w:r>
      <w:proofErr w:type="spellEnd"/>
      <w:r w:rsidR="00D82368">
        <w:t xml:space="preserve"> tenant improvement investments </w:t>
      </w:r>
      <w:r w:rsidR="002E3E2E">
        <w:t>made by PSE</w:t>
      </w:r>
      <w:r w:rsidR="00D82368">
        <w:t>.</w:t>
      </w:r>
    </w:p>
    <w:p w:rsidR="002E3E2E" w:rsidRPr="002E3E2E" w:rsidRDefault="00D82368" w:rsidP="005017CB">
      <w:pPr>
        <w:pStyle w:val="answer"/>
      </w:pPr>
      <w:r w:rsidRPr="00F40B9D">
        <w:t>A.</w:t>
      </w:r>
      <w:r w:rsidRPr="00F40B9D">
        <w:tab/>
      </w:r>
      <w:r w:rsidR="0029294B" w:rsidRPr="006B607B">
        <w:t xml:space="preserve">Shortly after </w:t>
      </w:r>
      <w:r w:rsidR="00EB3A85">
        <w:t xml:space="preserve">taking occupancy of </w:t>
      </w:r>
      <w:proofErr w:type="spellStart"/>
      <w:r w:rsidR="00EB3A85">
        <w:t>SKC</w:t>
      </w:r>
      <w:proofErr w:type="spellEnd"/>
      <w:r w:rsidR="00EB3A85">
        <w:t xml:space="preserve"> in 1994</w:t>
      </w:r>
      <w:r w:rsidR="0029294B" w:rsidRPr="006B607B">
        <w:t xml:space="preserve">, </w:t>
      </w:r>
      <w:r w:rsidR="002E3E2E">
        <w:t>PSE initiated tenant improvements to further configure the site and facilities for its utility operation</w:t>
      </w:r>
      <w:r w:rsidR="00395A6D">
        <w:t>s</w:t>
      </w:r>
      <w:r w:rsidR="002E3E2E">
        <w:t xml:space="preserve">. </w:t>
      </w:r>
      <w:r w:rsidR="004E1CFF">
        <w:t xml:space="preserve"> </w:t>
      </w:r>
      <w:r w:rsidR="002E3E2E" w:rsidRPr="002E3E2E">
        <w:t>Specifically:</w:t>
      </w:r>
    </w:p>
    <w:p w:rsidR="002E3E2E" w:rsidRPr="002E3E2E" w:rsidRDefault="002E3E2E" w:rsidP="002E3E2E">
      <w:pPr>
        <w:pStyle w:val="ListParagraph"/>
        <w:numPr>
          <w:ilvl w:val="0"/>
          <w:numId w:val="15"/>
        </w:numPr>
        <w:spacing w:before="120" w:after="120"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2E3E2E">
        <w:rPr>
          <w:rFonts w:ascii="Times New Roman" w:hAnsi="Times New Roman" w:cs="Times New Roman"/>
          <w:sz w:val="24"/>
          <w:szCs w:val="24"/>
        </w:rPr>
        <w:t>The exterior storage</w:t>
      </w:r>
      <w:r w:rsidR="0029294B" w:rsidRPr="002E3E2E">
        <w:rPr>
          <w:rFonts w:ascii="Times New Roman" w:hAnsi="Times New Roman" w:cs="Times New Roman"/>
          <w:sz w:val="24"/>
          <w:szCs w:val="24"/>
        </w:rPr>
        <w:t xml:space="preserve"> yard </w:t>
      </w:r>
      <w:r w:rsidRPr="002E3E2E">
        <w:rPr>
          <w:rFonts w:ascii="Times New Roman" w:hAnsi="Times New Roman" w:cs="Times New Roman"/>
          <w:sz w:val="24"/>
          <w:szCs w:val="24"/>
        </w:rPr>
        <w:t xml:space="preserve">was configured to accommodate </w:t>
      </w:r>
      <w:r w:rsidR="004E1CFF">
        <w:rPr>
          <w:rFonts w:ascii="Times New Roman" w:hAnsi="Times New Roman" w:cs="Times New Roman"/>
          <w:sz w:val="24"/>
          <w:szCs w:val="24"/>
        </w:rPr>
        <w:t xml:space="preserve">the storage of </w:t>
      </w:r>
      <w:r w:rsidR="0029294B" w:rsidRPr="002E3E2E">
        <w:rPr>
          <w:rFonts w:ascii="Times New Roman" w:hAnsi="Times New Roman" w:cs="Times New Roman"/>
          <w:sz w:val="24"/>
          <w:szCs w:val="24"/>
        </w:rPr>
        <w:t>poles, transformers, street lights, wire</w:t>
      </w:r>
      <w:r w:rsidR="005B30BF">
        <w:rPr>
          <w:rFonts w:ascii="Times New Roman" w:hAnsi="Times New Roman" w:cs="Times New Roman"/>
          <w:sz w:val="24"/>
          <w:szCs w:val="24"/>
        </w:rPr>
        <w:t xml:space="preserve"> spools and other large items.</w:t>
      </w:r>
    </w:p>
    <w:p w:rsidR="002E3E2E" w:rsidRPr="002E3E2E" w:rsidRDefault="0029294B" w:rsidP="002E3E2E">
      <w:pPr>
        <w:pStyle w:val="ListParagraph"/>
        <w:numPr>
          <w:ilvl w:val="0"/>
          <w:numId w:val="15"/>
        </w:numPr>
        <w:spacing w:before="120" w:after="120"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2E3E2E">
        <w:rPr>
          <w:rFonts w:ascii="Times New Roman" w:hAnsi="Times New Roman" w:cs="Times New Roman"/>
          <w:sz w:val="24"/>
          <w:szCs w:val="24"/>
        </w:rPr>
        <w:t>The office portion of the pro</w:t>
      </w:r>
      <w:r w:rsidR="00395A6D">
        <w:rPr>
          <w:rFonts w:ascii="Times New Roman" w:hAnsi="Times New Roman" w:cs="Times New Roman"/>
          <w:sz w:val="24"/>
          <w:szCs w:val="24"/>
        </w:rPr>
        <w:t>perty</w:t>
      </w:r>
      <w:r w:rsidRPr="002E3E2E">
        <w:rPr>
          <w:rFonts w:ascii="Times New Roman" w:hAnsi="Times New Roman" w:cs="Times New Roman"/>
          <w:sz w:val="24"/>
          <w:szCs w:val="24"/>
        </w:rPr>
        <w:t xml:space="preserve"> was </w:t>
      </w:r>
      <w:r w:rsidR="00395A6D">
        <w:rPr>
          <w:rFonts w:ascii="Times New Roman" w:hAnsi="Times New Roman" w:cs="Times New Roman"/>
          <w:sz w:val="24"/>
          <w:szCs w:val="24"/>
        </w:rPr>
        <w:t>utilized</w:t>
      </w:r>
      <w:r w:rsidR="00395A6D" w:rsidRPr="002E3E2E">
        <w:rPr>
          <w:rFonts w:ascii="Times New Roman" w:hAnsi="Times New Roman" w:cs="Times New Roman"/>
          <w:sz w:val="24"/>
          <w:szCs w:val="24"/>
        </w:rPr>
        <w:t xml:space="preserve"> </w:t>
      </w:r>
      <w:r w:rsidRPr="002E3E2E">
        <w:rPr>
          <w:rFonts w:ascii="Times New Roman" w:hAnsi="Times New Roman" w:cs="Times New Roman"/>
          <w:sz w:val="24"/>
          <w:szCs w:val="24"/>
        </w:rPr>
        <w:t>to accommo</w:t>
      </w:r>
      <w:r w:rsidR="005B30BF">
        <w:rPr>
          <w:rFonts w:ascii="Times New Roman" w:hAnsi="Times New Roman" w:cs="Times New Roman"/>
          <w:sz w:val="24"/>
          <w:szCs w:val="24"/>
        </w:rPr>
        <w:t xml:space="preserve">date PSE </w:t>
      </w:r>
      <w:r w:rsidRPr="002E3E2E">
        <w:rPr>
          <w:rFonts w:ascii="Times New Roman" w:hAnsi="Times New Roman" w:cs="Times New Roman"/>
          <w:sz w:val="24"/>
          <w:szCs w:val="24"/>
        </w:rPr>
        <w:t>routine business</w:t>
      </w:r>
      <w:r w:rsidR="00395A6D">
        <w:rPr>
          <w:rFonts w:ascii="Times New Roman" w:hAnsi="Times New Roman" w:cs="Times New Roman"/>
          <w:sz w:val="24"/>
          <w:szCs w:val="24"/>
        </w:rPr>
        <w:t xml:space="preserve"> operations</w:t>
      </w:r>
      <w:r w:rsidRPr="002E3E2E">
        <w:rPr>
          <w:rFonts w:ascii="Times New Roman" w:hAnsi="Times New Roman" w:cs="Times New Roman"/>
          <w:sz w:val="24"/>
          <w:szCs w:val="24"/>
        </w:rPr>
        <w:t xml:space="preserve"> as well as planning for storms and other emergency situations.  </w:t>
      </w:r>
    </w:p>
    <w:p w:rsidR="002E3E2E" w:rsidRPr="002E3E2E" w:rsidRDefault="0029294B" w:rsidP="002E3E2E">
      <w:pPr>
        <w:pStyle w:val="ListParagraph"/>
        <w:numPr>
          <w:ilvl w:val="0"/>
          <w:numId w:val="15"/>
        </w:numPr>
        <w:spacing w:before="120" w:after="120"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2E3E2E">
        <w:rPr>
          <w:rFonts w:ascii="Times New Roman" w:hAnsi="Times New Roman" w:cs="Times New Roman"/>
          <w:sz w:val="24"/>
          <w:szCs w:val="24"/>
        </w:rPr>
        <w:t>A new waste handling area (Moderate Risk Waste Handling Facility) was designed</w:t>
      </w:r>
      <w:r w:rsidR="00D617CE">
        <w:rPr>
          <w:rFonts w:ascii="Times New Roman" w:hAnsi="Times New Roman" w:cs="Times New Roman"/>
          <w:sz w:val="24"/>
          <w:szCs w:val="24"/>
        </w:rPr>
        <w:t>, permitted and constructed in order</w:t>
      </w:r>
      <w:r w:rsidRPr="002E3E2E">
        <w:rPr>
          <w:rFonts w:ascii="Times New Roman" w:hAnsi="Times New Roman" w:cs="Times New Roman"/>
          <w:sz w:val="24"/>
          <w:szCs w:val="24"/>
        </w:rPr>
        <w:t xml:space="preserve"> to </w:t>
      </w:r>
      <w:r w:rsidR="00041AC0">
        <w:rPr>
          <w:rFonts w:ascii="Times New Roman" w:hAnsi="Times New Roman" w:cs="Times New Roman"/>
          <w:sz w:val="24"/>
          <w:szCs w:val="24"/>
        </w:rPr>
        <w:t>store and process</w:t>
      </w:r>
      <w:r w:rsidR="00041AC0" w:rsidRPr="002E3E2E">
        <w:rPr>
          <w:rFonts w:ascii="Times New Roman" w:hAnsi="Times New Roman" w:cs="Times New Roman"/>
          <w:sz w:val="24"/>
          <w:szCs w:val="24"/>
        </w:rPr>
        <w:t xml:space="preserve"> </w:t>
      </w:r>
      <w:r w:rsidRPr="002E3E2E">
        <w:rPr>
          <w:rFonts w:ascii="Times New Roman" w:hAnsi="Times New Roman" w:cs="Times New Roman"/>
          <w:sz w:val="24"/>
          <w:szCs w:val="24"/>
        </w:rPr>
        <w:t xml:space="preserve">all of PSE’s waste including contaminated dirt, </w:t>
      </w:r>
      <w:r w:rsidR="00395A6D">
        <w:rPr>
          <w:rFonts w:ascii="Times New Roman" w:hAnsi="Times New Roman" w:cs="Times New Roman"/>
          <w:sz w:val="24"/>
          <w:szCs w:val="24"/>
        </w:rPr>
        <w:t xml:space="preserve">used </w:t>
      </w:r>
      <w:r w:rsidRPr="002E3E2E">
        <w:rPr>
          <w:rFonts w:ascii="Times New Roman" w:hAnsi="Times New Roman" w:cs="Times New Roman"/>
          <w:sz w:val="24"/>
          <w:szCs w:val="24"/>
        </w:rPr>
        <w:t xml:space="preserve">batteries, fluorescent light tubes, </w:t>
      </w:r>
      <w:r w:rsidRPr="002E3E2E">
        <w:rPr>
          <w:rFonts w:ascii="Times New Roman" w:hAnsi="Times New Roman" w:cs="Times New Roman"/>
          <w:sz w:val="24"/>
          <w:szCs w:val="24"/>
        </w:rPr>
        <w:lastRenderedPageBreak/>
        <w:t>aerosol products, transformers containing PCBs</w:t>
      </w:r>
      <w:r w:rsidR="00D617CE">
        <w:rPr>
          <w:rFonts w:ascii="Times New Roman" w:hAnsi="Times New Roman" w:cs="Times New Roman"/>
          <w:sz w:val="24"/>
          <w:szCs w:val="24"/>
        </w:rPr>
        <w:t xml:space="preserve">, and </w:t>
      </w:r>
      <w:r w:rsidR="00395A6D">
        <w:rPr>
          <w:rFonts w:ascii="Times New Roman" w:hAnsi="Times New Roman" w:cs="Times New Roman"/>
          <w:sz w:val="24"/>
          <w:szCs w:val="24"/>
        </w:rPr>
        <w:t>flammable waste, such as</w:t>
      </w:r>
      <w:r w:rsidR="00D617CE">
        <w:rPr>
          <w:rFonts w:ascii="Times New Roman" w:hAnsi="Times New Roman" w:cs="Times New Roman"/>
          <w:sz w:val="24"/>
          <w:szCs w:val="24"/>
        </w:rPr>
        <w:t xml:space="preserve"> highway flares</w:t>
      </w:r>
      <w:r w:rsidR="005017CB">
        <w:rPr>
          <w:rFonts w:ascii="Times New Roman" w:hAnsi="Times New Roman" w:cs="Times New Roman"/>
          <w:sz w:val="24"/>
          <w:szCs w:val="24"/>
        </w:rPr>
        <w:t>.</w:t>
      </w:r>
    </w:p>
    <w:p w:rsidR="00E96717" w:rsidRPr="00D617CE" w:rsidRDefault="00D617CE" w:rsidP="00D617CE">
      <w:pPr>
        <w:pStyle w:val="ListParagraph"/>
        <w:numPr>
          <w:ilvl w:val="0"/>
          <w:numId w:val="15"/>
        </w:numPr>
        <w:spacing w:before="120" w:after="120"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E3E2E" w:rsidRPr="002E3E2E">
        <w:rPr>
          <w:rFonts w:ascii="Times New Roman" w:hAnsi="Times New Roman" w:cs="Times New Roman"/>
          <w:sz w:val="24"/>
          <w:szCs w:val="24"/>
        </w:rPr>
        <w:t xml:space="preserve">arehouse </w:t>
      </w:r>
      <w:r>
        <w:rPr>
          <w:rFonts w:ascii="Times New Roman" w:hAnsi="Times New Roman" w:cs="Times New Roman"/>
          <w:sz w:val="24"/>
          <w:szCs w:val="24"/>
        </w:rPr>
        <w:t xml:space="preserve">storage </w:t>
      </w:r>
      <w:r w:rsidR="00395A6D">
        <w:rPr>
          <w:rFonts w:ascii="Times New Roman" w:hAnsi="Times New Roman" w:cs="Times New Roman"/>
          <w:sz w:val="24"/>
          <w:szCs w:val="24"/>
        </w:rPr>
        <w:t xml:space="preserve">on the property </w:t>
      </w:r>
      <w:r w:rsidR="002E3E2E" w:rsidRPr="002E3E2E">
        <w:rPr>
          <w:rFonts w:ascii="Times New Roman" w:hAnsi="Times New Roman" w:cs="Times New Roman"/>
          <w:sz w:val="24"/>
          <w:szCs w:val="24"/>
        </w:rPr>
        <w:t>was configured to</w:t>
      </w:r>
      <w:r w:rsidR="0029294B" w:rsidRPr="002E3E2E">
        <w:rPr>
          <w:rFonts w:ascii="Times New Roman" w:hAnsi="Times New Roman" w:cs="Times New Roman"/>
          <w:sz w:val="24"/>
          <w:szCs w:val="24"/>
        </w:rPr>
        <w:t xml:space="preserve"> accommodate </w:t>
      </w:r>
      <w:r w:rsidR="00395A6D">
        <w:rPr>
          <w:rFonts w:ascii="Times New Roman" w:hAnsi="Times New Roman" w:cs="Times New Roman"/>
          <w:sz w:val="24"/>
          <w:szCs w:val="24"/>
        </w:rPr>
        <w:t xml:space="preserve">the storage of </w:t>
      </w:r>
      <w:r w:rsidR="0029294B" w:rsidRPr="002E3E2E">
        <w:rPr>
          <w:rFonts w:ascii="Times New Roman" w:hAnsi="Times New Roman" w:cs="Times New Roman"/>
          <w:sz w:val="24"/>
          <w:szCs w:val="24"/>
        </w:rPr>
        <w:t xml:space="preserve">items </w:t>
      </w:r>
      <w:r w:rsidR="00E63422">
        <w:rPr>
          <w:rFonts w:ascii="Times New Roman" w:hAnsi="Times New Roman" w:cs="Times New Roman"/>
          <w:sz w:val="24"/>
          <w:szCs w:val="24"/>
        </w:rPr>
        <w:t xml:space="preserve">needed </w:t>
      </w:r>
      <w:r w:rsidR="0029294B" w:rsidRPr="002E3E2E">
        <w:rPr>
          <w:rFonts w:ascii="Times New Roman" w:hAnsi="Times New Roman" w:cs="Times New Roman"/>
          <w:sz w:val="24"/>
          <w:szCs w:val="24"/>
        </w:rPr>
        <w:t xml:space="preserve">for PSE’s electrical distribution system including racking </w:t>
      </w:r>
      <w:r w:rsidR="000F31EF">
        <w:rPr>
          <w:rFonts w:ascii="Times New Roman" w:hAnsi="Times New Roman" w:cs="Times New Roman"/>
          <w:sz w:val="24"/>
          <w:szCs w:val="24"/>
        </w:rPr>
        <w:t>and</w:t>
      </w:r>
      <w:r w:rsidR="0029294B" w:rsidRPr="002E3E2E">
        <w:rPr>
          <w:rFonts w:ascii="Times New Roman" w:hAnsi="Times New Roman" w:cs="Times New Roman"/>
          <w:sz w:val="24"/>
          <w:szCs w:val="24"/>
        </w:rPr>
        <w:t xml:space="preserve"> shelving, forklifts, overhead doors,</w:t>
      </w:r>
      <w:r w:rsidR="00BE06E1">
        <w:rPr>
          <w:rFonts w:ascii="Times New Roman" w:hAnsi="Times New Roman" w:cs="Times New Roman"/>
          <w:sz w:val="24"/>
          <w:szCs w:val="24"/>
        </w:rPr>
        <w:t xml:space="preserve"> meters,</w:t>
      </w:r>
      <w:r w:rsidR="0029294B" w:rsidRPr="002E3E2E">
        <w:rPr>
          <w:rFonts w:ascii="Times New Roman" w:hAnsi="Times New Roman" w:cs="Times New Roman"/>
          <w:sz w:val="24"/>
          <w:szCs w:val="24"/>
        </w:rPr>
        <w:t xml:space="preserve"> </w:t>
      </w:r>
      <w:r w:rsidR="00395A6D">
        <w:rPr>
          <w:rFonts w:ascii="Times New Roman" w:hAnsi="Times New Roman" w:cs="Times New Roman"/>
          <w:sz w:val="24"/>
          <w:szCs w:val="24"/>
        </w:rPr>
        <w:t xml:space="preserve">and </w:t>
      </w:r>
      <w:r w:rsidR="0029294B" w:rsidRPr="002E3E2E">
        <w:rPr>
          <w:rFonts w:ascii="Times New Roman" w:hAnsi="Times New Roman" w:cs="Times New Roman"/>
          <w:sz w:val="24"/>
          <w:szCs w:val="24"/>
        </w:rPr>
        <w:t xml:space="preserve">dock levelers.  </w:t>
      </w:r>
      <w:r w:rsidR="00041AC0">
        <w:rPr>
          <w:rFonts w:ascii="Times New Roman" w:hAnsi="Times New Roman" w:cs="Times New Roman"/>
          <w:sz w:val="24"/>
          <w:szCs w:val="24"/>
        </w:rPr>
        <w:t>Following</w:t>
      </w:r>
      <w:r w:rsidR="00395A6D">
        <w:rPr>
          <w:rFonts w:ascii="Times New Roman" w:hAnsi="Times New Roman" w:cs="Times New Roman"/>
          <w:sz w:val="24"/>
          <w:szCs w:val="24"/>
        </w:rPr>
        <w:t xml:space="preserve"> PSE’s merger</w:t>
      </w:r>
      <w:r>
        <w:rPr>
          <w:rFonts w:ascii="Times New Roman" w:hAnsi="Times New Roman" w:cs="Times New Roman"/>
          <w:sz w:val="24"/>
          <w:szCs w:val="24"/>
        </w:rPr>
        <w:t xml:space="preserve"> in 1997, </w:t>
      </w:r>
      <w:r w:rsidR="0029294B" w:rsidRPr="002E3E2E">
        <w:rPr>
          <w:rFonts w:ascii="Times New Roman" w:hAnsi="Times New Roman" w:cs="Times New Roman"/>
          <w:sz w:val="24"/>
          <w:szCs w:val="24"/>
        </w:rPr>
        <w:t xml:space="preserve">the warehouse </w:t>
      </w:r>
      <w:r>
        <w:rPr>
          <w:rFonts w:ascii="Times New Roman" w:hAnsi="Times New Roman" w:cs="Times New Roman"/>
          <w:sz w:val="24"/>
          <w:szCs w:val="24"/>
        </w:rPr>
        <w:t xml:space="preserve">began </w:t>
      </w:r>
      <w:r w:rsidR="00041AC0">
        <w:rPr>
          <w:rFonts w:ascii="Times New Roman" w:hAnsi="Times New Roman" w:cs="Times New Roman"/>
          <w:sz w:val="24"/>
          <w:szCs w:val="24"/>
        </w:rPr>
        <w:t>storing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94B" w:rsidRPr="002E3E2E">
        <w:rPr>
          <w:rFonts w:ascii="Times New Roman" w:hAnsi="Times New Roman" w:cs="Times New Roman"/>
          <w:sz w:val="24"/>
          <w:szCs w:val="24"/>
        </w:rPr>
        <w:t>form</w:t>
      </w:r>
      <w:r w:rsidR="000F31EF">
        <w:rPr>
          <w:rFonts w:ascii="Times New Roman" w:hAnsi="Times New Roman" w:cs="Times New Roman"/>
          <w:sz w:val="24"/>
          <w:szCs w:val="24"/>
        </w:rPr>
        <w:t xml:space="preserve">er Washington Natural Gas </w:t>
      </w:r>
      <w:r w:rsidR="0029294B" w:rsidRPr="002E3E2E">
        <w:rPr>
          <w:rFonts w:ascii="Times New Roman" w:hAnsi="Times New Roman" w:cs="Times New Roman"/>
          <w:sz w:val="24"/>
          <w:szCs w:val="24"/>
        </w:rPr>
        <w:t xml:space="preserve">materials for </w:t>
      </w:r>
      <w:r w:rsidR="00395A6D">
        <w:rPr>
          <w:rFonts w:ascii="Times New Roman" w:hAnsi="Times New Roman" w:cs="Times New Roman"/>
          <w:sz w:val="24"/>
          <w:szCs w:val="24"/>
        </w:rPr>
        <w:t>its</w:t>
      </w:r>
      <w:r w:rsidR="0029294B" w:rsidRPr="002E3E2E">
        <w:rPr>
          <w:rFonts w:ascii="Times New Roman" w:hAnsi="Times New Roman" w:cs="Times New Roman"/>
          <w:sz w:val="24"/>
          <w:szCs w:val="24"/>
        </w:rPr>
        <w:t xml:space="preserve"> g</w:t>
      </w:r>
      <w:r w:rsidR="00BE06E1">
        <w:rPr>
          <w:rFonts w:ascii="Times New Roman" w:hAnsi="Times New Roman" w:cs="Times New Roman"/>
          <w:sz w:val="24"/>
          <w:szCs w:val="24"/>
        </w:rPr>
        <w:t>as system</w:t>
      </w:r>
      <w:r w:rsidR="00137D57">
        <w:rPr>
          <w:rFonts w:ascii="Times New Roman" w:hAnsi="Times New Roman" w:cs="Times New Roman"/>
          <w:sz w:val="24"/>
          <w:szCs w:val="24"/>
        </w:rPr>
        <w:t>, including meters</w:t>
      </w:r>
      <w:r w:rsidR="00BE06E1">
        <w:rPr>
          <w:rFonts w:ascii="Times New Roman" w:hAnsi="Times New Roman" w:cs="Times New Roman"/>
          <w:sz w:val="24"/>
          <w:szCs w:val="24"/>
        </w:rPr>
        <w:t>.</w:t>
      </w:r>
    </w:p>
    <w:p w:rsidR="00650532" w:rsidRDefault="006C322E" w:rsidP="00380CC7">
      <w:pPr>
        <w:pStyle w:val="question"/>
      </w:pPr>
      <w:r w:rsidRPr="006C322E">
        <w:t>Q.</w:t>
      </w:r>
      <w:r w:rsidR="00650532">
        <w:tab/>
        <w:t>Please describe the operating functions</w:t>
      </w:r>
      <w:r w:rsidR="006B607B">
        <w:t xml:space="preserve"> currently</w:t>
      </w:r>
      <w:r w:rsidR="00650532">
        <w:t xml:space="preserve"> located at </w:t>
      </w:r>
      <w:proofErr w:type="spellStart"/>
      <w:r w:rsidR="00650532">
        <w:t>SKC</w:t>
      </w:r>
      <w:proofErr w:type="spellEnd"/>
      <w:r w:rsidR="00650532">
        <w:t xml:space="preserve"> and how they support </w:t>
      </w:r>
      <w:r w:rsidR="00380CC7">
        <w:t>PSE</w:t>
      </w:r>
      <w:r w:rsidR="00650532">
        <w:t>’s operating model.</w:t>
      </w:r>
    </w:p>
    <w:p w:rsidR="002D1C4B" w:rsidRDefault="00650532" w:rsidP="00BE06E1">
      <w:pPr>
        <w:pStyle w:val="answer"/>
      </w:pPr>
      <w:r w:rsidRPr="001B4B62">
        <w:t>A.</w:t>
      </w:r>
      <w:r w:rsidR="00614901" w:rsidRPr="001B4B62">
        <w:tab/>
      </w:r>
      <w:r w:rsidR="006B607B">
        <w:t>As a result of PSE’s aforementioned tenant improvements and the site’s original utility orie</w:t>
      </w:r>
      <w:r w:rsidR="000F31EF">
        <w:t xml:space="preserve">ntation, </w:t>
      </w:r>
      <w:proofErr w:type="spellStart"/>
      <w:r w:rsidR="000F31EF">
        <w:t>SKC</w:t>
      </w:r>
      <w:proofErr w:type="spellEnd"/>
      <w:r w:rsidR="000F31EF">
        <w:t xml:space="preserve"> continues to be </w:t>
      </w:r>
      <w:r w:rsidR="006B607B">
        <w:t>uniquely configured to support PSE’s utility operation</w:t>
      </w:r>
      <w:r w:rsidR="00886E9C">
        <w:t xml:space="preserve">s. </w:t>
      </w:r>
      <w:r w:rsidR="006B607B">
        <w:t xml:space="preserve"> </w:t>
      </w:r>
      <w:r w:rsidR="00886E9C">
        <w:t>I</w:t>
      </w:r>
      <w:r w:rsidR="006B607B">
        <w:t>ts design, central location</w:t>
      </w:r>
      <w:r w:rsidR="000F31EF">
        <w:t>,</w:t>
      </w:r>
      <w:r w:rsidR="006B607B">
        <w:t xml:space="preserve"> and accessibility to local and interstate highway systems by semi-tractor and “low-boy” delivery trailers for receipt and distribution of materials and large equipment</w:t>
      </w:r>
      <w:r w:rsidR="00886E9C">
        <w:t xml:space="preserve"> make it ideal for PSE’s operations</w:t>
      </w:r>
      <w:r w:rsidR="006B607B">
        <w:t>.</w:t>
      </w:r>
      <w:r w:rsidR="00886E9C">
        <w:t xml:space="preserve"> </w:t>
      </w:r>
      <w:r w:rsidR="000F31EF">
        <w:t xml:space="preserve"> Importantly, </w:t>
      </w:r>
      <w:proofErr w:type="spellStart"/>
      <w:r w:rsidR="000F31EF">
        <w:t>SKC</w:t>
      </w:r>
      <w:proofErr w:type="spellEnd"/>
      <w:r w:rsidR="000F31EF">
        <w:t xml:space="preserve"> is </w:t>
      </w:r>
      <w:r w:rsidR="00886E9C">
        <w:t xml:space="preserve">also </w:t>
      </w:r>
      <w:r w:rsidR="000F31EF">
        <w:t>zoned to accommodate outdoor storage.</w:t>
      </w:r>
      <w:r w:rsidR="00BE06E1">
        <w:t xml:space="preserve">  </w:t>
      </w:r>
      <w:r w:rsidR="006B607B">
        <w:t xml:space="preserve">Today, </w:t>
      </w:r>
      <w:proofErr w:type="spellStart"/>
      <w:r w:rsidR="00AE6E1A">
        <w:t>SKC</w:t>
      </w:r>
      <w:proofErr w:type="spellEnd"/>
      <w:r w:rsidR="00AE6E1A">
        <w:t xml:space="preserve"> supports numerous business functions performed by </w:t>
      </w:r>
      <w:r w:rsidR="002D1C4B">
        <w:t xml:space="preserve">PSE </w:t>
      </w:r>
      <w:r w:rsidR="00AE6E1A">
        <w:t>o</w:t>
      </w:r>
      <w:r w:rsidR="002D1C4B">
        <w:t>n behalf of its customers</w:t>
      </w:r>
      <w:r w:rsidR="00A402D1">
        <w:t xml:space="preserve"> including</w:t>
      </w:r>
      <w:r w:rsidR="0084595B">
        <w:t xml:space="preserve"> </w:t>
      </w:r>
      <w:r w:rsidR="00AE6E1A">
        <w:t xml:space="preserve">materials </w:t>
      </w:r>
      <w:r w:rsidR="002D1C4B" w:rsidRPr="002D1C4B">
        <w:t>warehouse</w:t>
      </w:r>
      <w:r w:rsidR="00AE6E1A">
        <w:t xml:space="preserve"> and central stores; gas and</w:t>
      </w:r>
      <w:r w:rsidR="002D1C4B" w:rsidRPr="002D1C4B">
        <w:t xml:space="preserve"> electric meters inventory </w:t>
      </w:r>
      <w:r w:rsidR="00AE6E1A">
        <w:t xml:space="preserve">management; waste handling; </w:t>
      </w:r>
      <w:r w:rsidR="00A402D1">
        <w:t xml:space="preserve">employee </w:t>
      </w:r>
      <w:r w:rsidR="002D1C4B" w:rsidRPr="002D1C4B">
        <w:t>training</w:t>
      </w:r>
      <w:r w:rsidR="00AE6E1A">
        <w:t>; energy efficiency services; electric first response; engi</w:t>
      </w:r>
      <w:r w:rsidR="0084595B">
        <w:t xml:space="preserve">neering and project management; </w:t>
      </w:r>
      <w:r w:rsidR="0084595B" w:rsidRPr="002D1C4B">
        <w:t>fleet</w:t>
      </w:r>
      <w:r w:rsidR="0084595B">
        <w:t xml:space="preserve"> onboarding and outfitting; </w:t>
      </w:r>
      <w:r w:rsidR="00AE6E1A">
        <w:t xml:space="preserve">and numerous other </w:t>
      </w:r>
      <w:r w:rsidR="00380CC7">
        <w:t>PSE</w:t>
      </w:r>
      <w:r w:rsidR="00AE6E1A">
        <w:t xml:space="preserve"> functions. </w:t>
      </w:r>
      <w:r w:rsidR="002D1C4B" w:rsidRPr="002D1C4B">
        <w:t xml:space="preserve"> In addition to its </w:t>
      </w:r>
      <w:r w:rsidR="00AE6E1A">
        <w:t>utility-oriented design charac</w:t>
      </w:r>
      <w:r w:rsidR="002D1C4B" w:rsidRPr="002D1C4B">
        <w:t xml:space="preserve">teristics, </w:t>
      </w:r>
      <w:proofErr w:type="spellStart"/>
      <w:r w:rsidR="00AE6E1A">
        <w:t>SKC’s</w:t>
      </w:r>
      <w:proofErr w:type="spellEnd"/>
      <w:r w:rsidR="00AE6E1A">
        <w:t xml:space="preserve"> central location enables efficient response to PSE’s </w:t>
      </w:r>
      <w:r w:rsidR="00AE6E1A">
        <w:lastRenderedPageBreak/>
        <w:t>customer base</w:t>
      </w:r>
      <w:r w:rsidR="0038015F">
        <w:t xml:space="preserve"> and the ability to quickly and efficiently onboard foreign crews during storm preparation and restoration</w:t>
      </w:r>
      <w:r w:rsidR="000F31EF">
        <w:t xml:space="preserve"> work</w:t>
      </w:r>
      <w:r w:rsidR="0038015F">
        <w:t>.</w:t>
      </w:r>
    </w:p>
    <w:p w:rsidR="002145F6" w:rsidRDefault="002145F6" w:rsidP="00380CC7">
      <w:pPr>
        <w:pStyle w:val="Heading1"/>
      </w:pPr>
      <w:bookmarkStart w:id="12" w:name="_Toc471304191"/>
      <w:r>
        <w:t>III.</w:t>
      </w:r>
      <w:r>
        <w:tab/>
      </w:r>
      <w:r w:rsidR="00C1760F">
        <w:t xml:space="preserve">PSE’S </w:t>
      </w:r>
      <w:r>
        <w:t xml:space="preserve">DECISION TO PURCHASE </w:t>
      </w:r>
      <w:proofErr w:type="spellStart"/>
      <w:r>
        <w:t>SKC</w:t>
      </w:r>
      <w:bookmarkEnd w:id="12"/>
      <w:proofErr w:type="spellEnd"/>
      <w:r>
        <w:t xml:space="preserve"> </w:t>
      </w:r>
    </w:p>
    <w:p w:rsidR="00650532" w:rsidRDefault="00F13AB0" w:rsidP="00380CC7">
      <w:pPr>
        <w:pStyle w:val="question"/>
      </w:pPr>
      <w:r>
        <w:t>Q.</w:t>
      </w:r>
      <w:r>
        <w:tab/>
      </w:r>
      <w:r w:rsidR="002145F6">
        <w:t xml:space="preserve">Please describe the events that led to PSE’s acquisition of </w:t>
      </w:r>
      <w:proofErr w:type="spellStart"/>
      <w:r w:rsidR="002145F6">
        <w:t>SKC</w:t>
      </w:r>
      <w:proofErr w:type="spellEnd"/>
      <w:r w:rsidR="002145F6">
        <w:t xml:space="preserve"> in 2016.</w:t>
      </w:r>
    </w:p>
    <w:p w:rsidR="00F21B50" w:rsidRDefault="00F13AB0" w:rsidP="00BE06E1">
      <w:pPr>
        <w:pStyle w:val="answer"/>
      </w:pPr>
      <w:r w:rsidRPr="001B4B62">
        <w:t>A.</w:t>
      </w:r>
      <w:r w:rsidRPr="001B4B62">
        <w:tab/>
      </w:r>
      <w:r w:rsidR="00D47878">
        <w:t xml:space="preserve">As a general practice, </w:t>
      </w:r>
      <w:r w:rsidR="008F1E51">
        <w:t xml:space="preserve">PSE </w:t>
      </w:r>
      <w:r w:rsidR="00D47878">
        <w:t xml:space="preserve">evaluates </w:t>
      </w:r>
      <w:r w:rsidR="008F1E51">
        <w:t>its facilities and real estate</w:t>
      </w:r>
      <w:r w:rsidR="00157EC8">
        <w:t xml:space="preserve"> portfolio as lease termination</w:t>
      </w:r>
      <w:r w:rsidR="007B5C9B">
        <w:t xml:space="preserve"> </w:t>
      </w:r>
      <w:r w:rsidR="00D617CE">
        <w:t>or</w:t>
      </w:r>
      <w:r w:rsidR="007B5C9B">
        <w:t xml:space="preserve"> extension dates approach</w:t>
      </w:r>
      <w:r w:rsidR="00157EC8">
        <w:t xml:space="preserve"> </w:t>
      </w:r>
      <w:r w:rsidR="007B5C9B">
        <w:t>for</w:t>
      </w:r>
      <w:r w:rsidR="00157EC8">
        <w:t xml:space="preserve"> key operating assets</w:t>
      </w:r>
      <w:r w:rsidR="0084595B">
        <w:t xml:space="preserve">, of which </w:t>
      </w:r>
      <w:proofErr w:type="spellStart"/>
      <w:r w:rsidR="0084595B">
        <w:t>SKC</w:t>
      </w:r>
      <w:proofErr w:type="spellEnd"/>
      <w:r w:rsidR="0084595B">
        <w:t xml:space="preserve"> is one</w:t>
      </w:r>
      <w:r w:rsidR="00157EC8">
        <w:t xml:space="preserve">. </w:t>
      </w:r>
      <w:r w:rsidR="003C7D08">
        <w:t xml:space="preserve"> </w:t>
      </w:r>
      <w:r w:rsidR="00157EC8">
        <w:t>The</w:t>
      </w:r>
      <w:r w:rsidR="00D47878">
        <w:t>se</w:t>
      </w:r>
      <w:r w:rsidR="00157EC8">
        <w:t xml:space="preserve"> evaluation</w:t>
      </w:r>
      <w:r w:rsidR="00D47878">
        <w:t>s</w:t>
      </w:r>
      <w:r w:rsidR="00157EC8">
        <w:t xml:space="preserve"> </w:t>
      </w:r>
      <w:r w:rsidR="00D47878">
        <w:t>consider</w:t>
      </w:r>
      <w:r w:rsidR="00157EC8">
        <w:t xml:space="preserve"> changing market conditions, </w:t>
      </w:r>
      <w:r w:rsidR="00A46705">
        <w:t xml:space="preserve">the </w:t>
      </w:r>
      <w:r w:rsidR="00157EC8">
        <w:t xml:space="preserve">availability of replacement properties, </w:t>
      </w:r>
      <w:r w:rsidR="00A46705">
        <w:t xml:space="preserve">the </w:t>
      </w:r>
      <w:r w:rsidR="00157EC8">
        <w:t>facilities’ condition and performance against current and prospective</w:t>
      </w:r>
      <w:r w:rsidR="00D617CE">
        <w:t xml:space="preserve"> operating</w:t>
      </w:r>
      <w:r w:rsidR="00157EC8">
        <w:t xml:space="preserve"> requirements, and other contributing factors such as employee</w:t>
      </w:r>
      <w:r w:rsidR="005E0778">
        <w:t xml:space="preserve"> commute and regional</w:t>
      </w:r>
      <w:r w:rsidR="0038015F">
        <w:t xml:space="preserve"> traffic implications</w:t>
      </w:r>
      <w:r w:rsidR="00157EC8">
        <w:t>.</w:t>
      </w:r>
      <w:r w:rsidR="00BE06E1">
        <w:t xml:space="preserve">  </w:t>
      </w:r>
      <w:r w:rsidR="00F21B50">
        <w:t xml:space="preserve">In May 2015, PSE was informed by Ranch Associates that it had received a purchase offer of $28 million </w:t>
      </w:r>
      <w:r w:rsidR="00D617CE">
        <w:t>from</w:t>
      </w:r>
      <w:r w:rsidR="00F21B50">
        <w:t xml:space="preserve"> the adjacent property owner, Prologis, a warehousing and distribution company</w:t>
      </w:r>
      <w:r w:rsidR="007B5C9B">
        <w:t xml:space="preserve"> interested in expanding its operation</w:t>
      </w:r>
      <w:r w:rsidR="00A46705">
        <w:t>s</w:t>
      </w:r>
      <w:r w:rsidR="00F21B50">
        <w:t xml:space="preserve">. </w:t>
      </w:r>
      <w:r w:rsidR="003C7D08">
        <w:t xml:space="preserve"> </w:t>
      </w:r>
      <w:r w:rsidR="00F21B50">
        <w:t>During the course of negotiations between Ranch Associates and Prologis, Ranch Associates informed PSE of its wil</w:t>
      </w:r>
      <w:r w:rsidR="007B5C9B">
        <w:t xml:space="preserve">lingness to sell </w:t>
      </w:r>
      <w:proofErr w:type="spellStart"/>
      <w:r w:rsidR="007B5C9B">
        <w:t>SKC</w:t>
      </w:r>
      <w:proofErr w:type="spellEnd"/>
      <w:r w:rsidR="007B5C9B">
        <w:t xml:space="preserve"> to PSE for an amount equal to </w:t>
      </w:r>
      <w:r w:rsidR="00F21B50">
        <w:t>its Prologis counteroffer price of $30 million.</w:t>
      </w:r>
      <w:r w:rsidR="006D3943">
        <w:t xml:space="preserve"> </w:t>
      </w:r>
      <w:r w:rsidR="003C7D08">
        <w:t xml:space="preserve"> </w:t>
      </w:r>
      <w:r w:rsidR="006D3943">
        <w:t>Wh</w:t>
      </w:r>
      <w:r w:rsidR="003C7D08">
        <w:t>en</w:t>
      </w:r>
      <w:r w:rsidR="006D3943">
        <w:t xml:space="preserve"> Ranch Associates and Prologis failed to reach </w:t>
      </w:r>
      <w:r w:rsidR="003C7D08">
        <w:t xml:space="preserve">a </w:t>
      </w:r>
      <w:r w:rsidR="006D3943">
        <w:t xml:space="preserve">commercial agreement, </w:t>
      </w:r>
      <w:r w:rsidR="00C9703B">
        <w:t xml:space="preserve">Ranch Associates informed PSE of its intent to sell </w:t>
      </w:r>
      <w:proofErr w:type="spellStart"/>
      <w:r w:rsidR="00C9703B">
        <w:t>SKC</w:t>
      </w:r>
      <w:proofErr w:type="spellEnd"/>
      <w:r w:rsidR="00C9703B">
        <w:t xml:space="preserve"> upon receipt of an acceptable offer. </w:t>
      </w:r>
      <w:r w:rsidR="003C7D08">
        <w:t xml:space="preserve"> </w:t>
      </w:r>
      <w:r w:rsidR="00C9703B">
        <w:t>This</w:t>
      </w:r>
      <w:r w:rsidR="006D3943">
        <w:t xml:space="preserve"> potential for change in lessor ownership and </w:t>
      </w:r>
      <w:r w:rsidR="000F31EF">
        <w:t xml:space="preserve">longer-term </w:t>
      </w:r>
      <w:r w:rsidR="006D3943">
        <w:t>lessee implications promp</w:t>
      </w:r>
      <w:r w:rsidR="000F31EF">
        <w:t xml:space="preserve">ted PSE to evaluate </w:t>
      </w:r>
      <w:r w:rsidR="006D3943">
        <w:t xml:space="preserve">alternatives involving </w:t>
      </w:r>
      <w:proofErr w:type="spellStart"/>
      <w:r w:rsidR="006D3943">
        <w:t>SKC</w:t>
      </w:r>
      <w:proofErr w:type="spellEnd"/>
      <w:r w:rsidR="006D3943">
        <w:t>-based resources, including lease extension</w:t>
      </w:r>
      <w:r w:rsidR="00C9703B">
        <w:t xml:space="preserve"> </w:t>
      </w:r>
      <w:r w:rsidR="000F31EF">
        <w:t xml:space="preserve">and associated </w:t>
      </w:r>
      <w:r w:rsidR="00C9703B">
        <w:t>risk</w:t>
      </w:r>
      <w:r w:rsidR="006D3943">
        <w:t>, acquisition and relocation.</w:t>
      </w:r>
    </w:p>
    <w:p w:rsidR="001241AB" w:rsidRDefault="001241AB" w:rsidP="00380CC7">
      <w:pPr>
        <w:pStyle w:val="question"/>
      </w:pPr>
      <w:r>
        <w:lastRenderedPageBreak/>
        <w:t>Q.</w:t>
      </w:r>
      <w:r>
        <w:tab/>
        <w:t>Describe the resources PSE employed in evaluating its facilities portfolio</w:t>
      </w:r>
      <w:r w:rsidR="006D3943">
        <w:t xml:space="preserve"> and </w:t>
      </w:r>
      <w:proofErr w:type="spellStart"/>
      <w:r w:rsidR="006D3943">
        <w:t>SKC</w:t>
      </w:r>
      <w:proofErr w:type="spellEnd"/>
      <w:r w:rsidR="006D3943">
        <w:t xml:space="preserve"> alternatives</w:t>
      </w:r>
      <w:r>
        <w:t>.</w:t>
      </w:r>
    </w:p>
    <w:p w:rsidR="001241AB" w:rsidRDefault="001241AB" w:rsidP="00BE06E1">
      <w:pPr>
        <w:pStyle w:val="answer"/>
      </w:pPr>
      <w:r w:rsidRPr="001B4B62">
        <w:t>A.</w:t>
      </w:r>
      <w:r w:rsidRPr="001B4B62">
        <w:tab/>
      </w:r>
      <w:r>
        <w:t xml:space="preserve">In addition to PSE’s internal real estate and facilities management, engineering and construction resources, PSE sought external </w:t>
      </w:r>
      <w:r w:rsidR="006B69BE">
        <w:t xml:space="preserve">commercial </w:t>
      </w:r>
      <w:r w:rsidR="00A31BC5">
        <w:t>real estate brokerage</w:t>
      </w:r>
      <w:r w:rsidR="006B69BE">
        <w:t xml:space="preserve"> and consulting expertise through a competitive Request for Qualification process.</w:t>
      </w:r>
      <w:r w:rsidR="00A31BC5">
        <w:t xml:space="preserve"> </w:t>
      </w:r>
      <w:r w:rsidR="003C7D08">
        <w:t xml:space="preserve"> </w:t>
      </w:r>
      <w:r w:rsidR="00A31BC5">
        <w:t xml:space="preserve">In June 2015, </w:t>
      </w:r>
      <w:r w:rsidR="009A4BF1">
        <w:t xml:space="preserve">the real estate firm </w:t>
      </w:r>
      <w:proofErr w:type="spellStart"/>
      <w:r w:rsidR="00A31BC5">
        <w:t>CBRE</w:t>
      </w:r>
      <w:proofErr w:type="spellEnd"/>
      <w:r w:rsidR="00A31BC5">
        <w:t xml:space="preserve"> was selected to provide </w:t>
      </w:r>
      <w:r w:rsidR="002B212B">
        <w:t>portfolio</w:t>
      </w:r>
      <w:r w:rsidR="00A31BC5">
        <w:t xml:space="preserve"> consulting and brokerage services.</w:t>
      </w:r>
      <w:r w:rsidR="003C7D08">
        <w:t xml:space="preserve"> </w:t>
      </w:r>
      <w:r w:rsidR="00A31BC5">
        <w:t xml:space="preserve"> In addition, PSE retained the services of MENG Analysis (“MENG”), </w:t>
      </w:r>
      <w:r w:rsidR="00A31BC5" w:rsidRPr="002A5268">
        <w:t>PCS Structural Solutions (“PCS”)</w:t>
      </w:r>
      <w:r w:rsidR="003C7D08">
        <w:t>,</w:t>
      </w:r>
      <w:r w:rsidR="00A31BC5">
        <w:t xml:space="preserve"> and </w:t>
      </w:r>
      <w:proofErr w:type="spellStart"/>
      <w:r w:rsidR="00A31BC5">
        <w:t>GeoEngineers</w:t>
      </w:r>
      <w:proofErr w:type="spellEnd"/>
      <w:r w:rsidR="00A31BC5">
        <w:t xml:space="preserve"> to provide targeted portfolio analytic and pre-purchase due diligence support.</w:t>
      </w:r>
    </w:p>
    <w:p w:rsidR="0038015F" w:rsidRDefault="0038015F" w:rsidP="00380CC7">
      <w:pPr>
        <w:pStyle w:val="question"/>
      </w:pPr>
      <w:r>
        <w:t>Q.</w:t>
      </w:r>
      <w:r>
        <w:tab/>
        <w:t xml:space="preserve">Please explain how the Prologis offer </w:t>
      </w:r>
      <w:r w:rsidR="003A1F26">
        <w:t xml:space="preserve">and the potential for future third-party purchase offers </w:t>
      </w:r>
      <w:r>
        <w:t xml:space="preserve">factored into </w:t>
      </w:r>
      <w:r w:rsidR="007B5C9B">
        <w:t>PSE</w:t>
      </w:r>
      <w:r w:rsidR="000F31EF">
        <w:t>’s</w:t>
      </w:r>
      <w:r w:rsidR="007B5C9B">
        <w:t xml:space="preserve"> decision to evaluate potential acquisition of </w:t>
      </w:r>
      <w:proofErr w:type="spellStart"/>
      <w:r w:rsidR="007B5C9B">
        <w:t>SKC</w:t>
      </w:r>
      <w:proofErr w:type="spellEnd"/>
      <w:r w:rsidR="007B5C9B">
        <w:t>.</w:t>
      </w:r>
    </w:p>
    <w:p w:rsidR="006D3943" w:rsidRDefault="0038015F" w:rsidP="00BE06E1">
      <w:pPr>
        <w:pStyle w:val="answer"/>
      </w:pPr>
      <w:r w:rsidRPr="001B4B62">
        <w:t>A.</w:t>
      </w:r>
      <w:r w:rsidRPr="001B4B62">
        <w:tab/>
      </w:r>
      <w:r w:rsidR="00C949DF">
        <w:t xml:space="preserve">The </w:t>
      </w:r>
      <w:proofErr w:type="spellStart"/>
      <w:r w:rsidR="00C949DF">
        <w:t>SKC</w:t>
      </w:r>
      <w:proofErr w:type="spellEnd"/>
      <w:r w:rsidR="00C949DF">
        <w:t xml:space="preserve"> </w:t>
      </w:r>
      <w:r w:rsidR="00DE60F6">
        <w:t xml:space="preserve">building </w:t>
      </w:r>
      <w:r w:rsidR="00C949DF">
        <w:t xml:space="preserve">currently </w:t>
      </w:r>
      <w:r w:rsidR="00872650">
        <w:t xml:space="preserve">utilizes </w:t>
      </w:r>
      <w:r w:rsidR="00C949DF">
        <w:t>only</w:t>
      </w:r>
      <w:r w:rsidR="00C949DF" w:rsidRPr="00C949DF">
        <w:t xml:space="preserve"> 25% of the </w:t>
      </w:r>
      <w:r w:rsidR="00C949DF">
        <w:t xml:space="preserve">property’s </w:t>
      </w:r>
      <w:r w:rsidR="00D617CE">
        <w:t>developable</w:t>
      </w:r>
      <w:r w:rsidR="00DA19CC">
        <w:t xml:space="preserve"> land and PSE uses the remainder for outdoor equipment and material staging and storage. </w:t>
      </w:r>
      <w:r w:rsidR="00872650">
        <w:t xml:space="preserve"> </w:t>
      </w:r>
      <w:r w:rsidR="000F31EF">
        <w:t>Outside of utility use, w</w:t>
      </w:r>
      <w:r w:rsidR="00DA19CC">
        <w:t>arehouse and distribution facility</w:t>
      </w:r>
      <w:r w:rsidR="00C949DF">
        <w:t xml:space="preserve"> </w:t>
      </w:r>
      <w:r w:rsidR="00C949DF" w:rsidRPr="00C949DF">
        <w:t>densification</w:t>
      </w:r>
      <w:r w:rsidR="000F31EF">
        <w:t xml:space="preserve"> represents</w:t>
      </w:r>
      <w:r w:rsidR="00830B11">
        <w:t xml:space="preserve"> </w:t>
      </w:r>
      <w:r w:rsidR="00D617CE">
        <w:t>a higher</w:t>
      </w:r>
      <w:r w:rsidR="00830B11">
        <w:t xml:space="preserve">-value </w:t>
      </w:r>
      <w:r w:rsidR="000F31EF">
        <w:t>alternative use of the property that would yield</w:t>
      </w:r>
      <w:r w:rsidR="00830B11">
        <w:t xml:space="preserve"> </w:t>
      </w:r>
      <w:r w:rsidR="00C949DF" w:rsidRPr="00C949DF">
        <w:t xml:space="preserve">a </w:t>
      </w:r>
      <w:r w:rsidR="00D617CE">
        <w:t>larger</w:t>
      </w:r>
      <w:r w:rsidR="00C949DF" w:rsidRPr="00C949DF">
        <w:t xml:space="preserve"> income stream and return on investment</w:t>
      </w:r>
      <w:r w:rsidR="00830B11">
        <w:t xml:space="preserve"> for a prospective owner. </w:t>
      </w:r>
      <w:r w:rsidR="00872650">
        <w:t xml:space="preserve"> </w:t>
      </w:r>
      <w:r w:rsidR="00830B11">
        <w:t xml:space="preserve">Sale of the </w:t>
      </w:r>
      <w:proofErr w:type="spellStart"/>
      <w:r w:rsidR="00830B11">
        <w:t>SKC</w:t>
      </w:r>
      <w:proofErr w:type="spellEnd"/>
      <w:r w:rsidR="00830B11">
        <w:t xml:space="preserve"> property to a new owner such as Prologis </w:t>
      </w:r>
      <w:r w:rsidR="00523504">
        <w:t xml:space="preserve">or another interested buyer </w:t>
      </w:r>
      <w:r w:rsidR="000F31EF">
        <w:t xml:space="preserve">would likely </w:t>
      </w:r>
      <w:r w:rsidR="00D617CE">
        <w:t xml:space="preserve">result in </w:t>
      </w:r>
      <w:r w:rsidR="00C949DF">
        <w:t>PSE</w:t>
      </w:r>
      <w:r w:rsidR="00D617CE">
        <w:t xml:space="preserve">’s forced </w:t>
      </w:r>
      <w:r w:rsidR="00C949DF">
        <w:t>r</w:t>
      </w:r>
      <w:r w:rsidR="00D617CE">
        <w:t>elocation</w:t>
      </w:r>
      <w:r w:rsidR="00C949DF" w:rsidRPr="00C949DF">
        <w:t xml:space="preserve"> to an alternate site</w:t>
      </w:r>
      <w:r w:rsidR="000F31EF">
        <w:t xml:space="preserve"> upon lease expiration</w:t>
      </w:r>
      <w:r w:rsidR="00C949DF" w:rsidRPr="00C949DF">
        <w:t xml:space="preserve">. </w:t>
      </w:r>
    </w:p>
    <w:p w:rsidR="0038015F" w:rsidRDefault="00C949DF" w:rsidP="00BE06E1">
      <w:pPr>
        <w:pStyle w:val="answer"/>
        <w:ind w:firstLine="0"/>
      </w:pPr>
      <w:r w:rsidRPr="00C949DF">
        <w:t xml:space="preserve">Alternatively, future lease </w:t>
      </w:r>
      <w:r w:rsidR="00830B11">
        <w:t>extensions</w:t>
      </w:r>
      <w:r w:rsidRPr="00C949DF">
        <w:t xml:space="preserve">, if possible, between PSE, </w:t>
      </w:r>
      <w:r w:rsidR="0038015F">
        <w:t>Ranch Associates or another</w:t>
      </w:r>
      <w:r w:rsidRPr="00C949DF">
        <w:t xml:space="preserve"> landowner, would be subject to significant price risk based on the </w:t>
      </w:r>
      <w:r w:rsidRPr="00C949DF">
        <w:lastRenderedPageBreak/>
        <w:t xml:space="preserve">property’s </w:t>
      </w:r>
      <w:r w:rsidR="00D617CE">
        <w:t xml:space="preserve">higher-value </w:t>
      </w:r>
      <w:r w:rsidRPr="00C949DF">
        <w:t>alternative use as described above</w:t>
      </w:r>
      <w:r>
        <w:t>.</w:t>
      </w:r>
      <w:r w:rsidR="00872650">
        <w:t xml:space="preserve"> </w:t>
      </w:r>
      <w:r>
        <w:t xml:space="preserve"> </w:t>
      </w:r>
      <w:r w:rsidR="00866852">
        <w:t xml:space="preserve">Both PSE and </w:t>
      </w:r>
      <w:proofErr w:type="spellStart"/>
      <w:r w:rsidR="00866852">
        <w:t>CBRE</w:t>
      </w:r>
      <w:proofErr w:type="spellEnd"/>
      <w:r w:rsidR="00866852">
        <w:t xml:space="preserve"> believe this futu</w:t>
      </w:r>
      <w:r w:rsidR="00830B11">
        <w:t>re lease price risk is highly</w:t>
      </w:r>
      <w:r w:rsidR="00866852">
        <w:t xml:space="preserve"> </w:t>
      </w:r>
      <w:r w:rsidR="00830B11">
        <w:t>probable</w:t>
      </w:r>
      <w:r w:rsidR="00866852">
        <w:t xml:space="preserve"> given the </w:t>
      </w:r>
      <w:r w:rsidR="00830B11">
        <w:t>scarcity</w:t>
      </w:r>
      <w:r w:rsidR="0084595B">
        <w:t xml:space="preserve"> </w:t>
      </w:r>
      <w:r w:rsidR="000F31EF">
        <w:t xml:space="preserve">of </w:t>
      </w:r>
      <w:r w:rsidRPr="00C949DF">
        <w:t>alternative sites</w:t>
      </w:r>
      <w:r>
        <w:t xml:space="preserve"> </w:t>
      </w:r>
      <w:r w:rsidR="007B5C9B">
        <w:t>for warehousing and distribution expansion</w:t>
      </w:r>
      <w:r w:rsidR="00830B11">
        <w:t>.</w:t>
      </w:r>
      <w:r w:rsidR="00872650">
        <w:t xml:space="preserve"> </w:t>
      </w:r>
      <w:r w:rsidR="00830B11">
        <w:t xml:space="preserve"> </w:t>
      </w:r>
      <w:r w:rsidR="00D617CE">
        <w:t>Such land</w:t>
      </w:r>
      <w:r w:rsidR="00830B11">
        <w:t xml:space="preserve"> scarcity would also be reflected in the cost of replacement land in the event PSE </w:t>
      </w:r>
      <w:r w:rsidR="00D617CE">
        <w:t xml:space="preserve">were forced </w:t>
      </w:r>
      <w:r w:rsidR="00830B11">
        <w:t xml:space="preserve">to relocate </w:t>
      </w:r>
      <w:proofErr w:type="spellStart"/>
      <w:r w:rsidR="00830B11">
        <w:t>SKC</w:t>
      </w:r>
      <w:proofErr w:type="spellEnd"/>
      <w:r w:rsidR="00830B11">
        <w:t>, notwithstanding the cost to</w:t>
      </w:r>
      <w:r w:rsidR="00866852">
        <w:t xml:space="preserve"> </w:t>
      </w:r>
      <w:r w:rsidR="0084595B">
        <w:t>design, permit and construct replacement facilities</w:t>
      </w:r>
      <w:r w:rsidR="00866852">
        <w:t>, and</w:t>
      </w:r>
      <w:r w:rsidR="0084595B">
        <w:t xml:space="preserve"> </w:t>
      </w:r>
      <w:r w:rsidR="000F31EF">
        <w:t xml:space="preserve">to </w:t>
      </w:r>
      <w:r w:rsidR="0084595B">
        <w:t xml:space="preserve">relocate employees, materials and other equipment currently located at </w:t>
      </w:r>
      <w:proofErr w:type="spellStart"/>
      <w:r w:rsidR="0084595B">
        <w:t>SKC</w:t>
      </w:r>
      <w:proofErr w:type="spellEnd"/>
      <w:r w:rsidR="0084595B">
        <w:t>.</w:t>
      </w:r>
      <w:r w:rsidRPr="00C949DF">
        <w:t xml:space="preserve"> </w:t>
      </w:r>
    </w:p>
    <w:p w:rsidR="00F13AB0" w:rsidRDefault="00F13AB0" w:rsidP="00380CC7">
      <w:pPr>
        <w:pStyle w:val="question"/>
      </w:pPr>
      <w:r w:rsidRPr="00F13AB0">
        <w:t>Q.</w:t>
      </w:r>
      <w:r>
        <w:tab/>
      </w:r>
      <w:r w:rsidR="00A73B34">
        <w:t>Please d</w:t>
      </w:r>
      <w:r w:rsidRPr="00C949DF">
        <w:t xml:space="preserve">escribe the </w:t>
      </w:r>
      <w:r w:rsidR="005E0778">
        <w:t>scenarios</w:t>
      </w:r>
      <w:r w:rsidRPr="00C949DF">
        <w:t xml:space="preserve"> </w:t>
      </w:r>
      <w:r w:rsidR="00220AFD">
        <w:t xml:space="preserve">evaluated by </w:t>
      </w:r>
      <w:r w:rsidR="00A73B34">
        <w:t xml:space="preserve">PSE involving the </w:t>
      </w:r>
      <w:proofErr w:type="spellStart"/>
      <w:r w:rsidR="00A73B34">
        <w:t>SKC</w:t>
      </w:r>
      <w:proofErr w:type="spellEnd"/>
      <w:r w:rsidR="00A73B34">
        <w:t xml:space="preserve"> asset.</w:t>
      </w:r>
    </w:p>
    <w:p w:rsidR="00F13AB0" w:rsidRPr="001B4B62" w:rsidRDefault="00F13AB0" w:rsidP="00BE06E1">
      <w:pPr>
        <w:pStyle w:val="answer"/>
      </w:pPr>
      <w:r w:rsidRPr="001B4B62">
        <w:t>A.</w:t>
      </w:r>
      <w:r w:rsidRPr="001B4B62">
        <w:tab/>
      </w:r>
      <w:r w:rsidR="00D617CE">
        <w:t xml:space="preserve">PSE retained </w:t>
      </w:r>
      <w:proofErr w:type="spellStart"/>
      <w:r w:rsidR="00431F99">
        <w:t>CBRE</w:t>
      </w:r>
      <w:proofErr w:type="spellEnd"/>
      <w:r w:rsidR="00866852">
        <w:t xml:space="preserve"> </w:t>
      </w:r>
      <w:r w:rsidR="00D617CE">
        <w:t>to develop</w:t>
      </w:r>
      <w:r w:rsidR="00866852">
        <w:t xml:space="preserve"> and ev</w:t>
      </w:r>
      <w:r w:rsidR="00506738">
        <w:t xml:space="preserve">aluate </w:t>
      </w:r>
      <w:proofErr w:type="spellStart"/>
      <w:r w:rsidR="00F24C56">
        <w:t>SKC</w:t>
      </w:r>
      <w:proofErr w:type="spellEnd"/>
      <w:r w:rsidR="00F24C56">
        <w:t xml:space="preserve"> </w:t>
      </w:r>
      <w:r w:rsidR="00431F99">
        <w:t>alternative</w:t>
      </w:r>
      <w:r w:rsidR="00F24C56">
        <w:t>s</w:t>
      </w:r>
      <w:r w:rsidR="00431F99">
        <w:t xml:space="preserve"> as </w:t>
      </w:r>
      <w:r w:rsidR="00506738">
        <w:t>described below</w:t>
      </w:r>
      <w:r w:rsidR="00531DAA">
        <w:t>:</w:t>
      </w:r>
    </w:p>
    <w:p w:rsidR="00F13AB0" w:rsidRPr="001B4B62" w:rsidRDefault="00F13AB0" w:rsidP="00CF1AE3">
      <w:pPr>
        <w:pStyle w:val="ListParagraph"/>
        <w:numPr>
          <w:ilvl w:val="0"/>
          <w:numId w:val="13"/>
        </w:numPr>
        <w:spacing w:before="120" w:after="120" w:line="480" w:lineRule="auto"/>
        <w:rPr>
          <w:rFonts w:ascii="Times New Roman" w:hAnsi="Times New Roman" w:cs="Times New Roman"/>
          <w:sz w:val="24"/>
          <w:lang w:eastAsia="zh-CN"/>
        </w:rPr>
      </w:pPr>
      <w:r w:rsidRPr="005E0778">
        <w:rPr>
          <w:rFonts w:ascii="Times New Roman" w:hAnsi="Times New Roman" w:cs="Times New Roman"/>
          <w:b/>
          <w:sz w:val="24"/>
          <w:lang w:eastAsia="zh-CN"/>
        </w:rPr>
        <w:t>Purchase</w:t>
      </w:r>
      <w:r w:rsidR="00540B73" w:rsidRPr="005E0778">
        <w:rPr>
          <w:rFonts w:ascii="Times New Roman" w:hAnsi="Times New Roman" w:cs="Times New Roman"/>
          <w:b/>
          <w:sz w:val="24"/>
          <w:lang w:eastAsia="zh-CN"/>
        </w:rPr>
        <w:t xml:space="preserve"> </w:t>
      </w:r>
      <w:proofErr w:type="spellStart"/>
      <w:r w:rsidR="00540B73" w:rsidRPr="005E0778">
        <w:rPr>
          <w:rFonts w:ascii="Times New Roman" w:hAnsi="Times New Roman" w:cs="Times New Roman"/>
          <w:b/>
          <w:sz w:val="24"/>
          <w:lang w:eastAsia="zh-CN"/>
        </w:rPr>
        <w:t>SKC</w:t>
      </w:r>
      <w:proofErr w:type="spellEnd"/>
      <w:r w:rsidRPr="005E0778">
        <w:rPr>
          <w:rFonts w:ascii="Times New Roman" w:hAnsi="Times New Roman" w:cs="Times New Roman"/>
          <w:b/>
          <w:sz w:val="24"/>
          <w:lang w:eastAsia="zh-CN"/>
        </w:rPr>
        <w:t xml:space="preserve"> in 2016</w:t>
      </w:r>
      <w:r w:rsidR="00506738" w:rsidRPr="005E0778">
        <w:rPr>
          <w:rFonts w:ascii="Times New Roman" w:hAnsi="Times New Roman" w:cs="Times New Roman"/>
          <w:b/>
          <w:sz w:val="24"/>
          <w:lang w:eastAsia="zh-CN"/>
        </w:rPr>
        <w:t>:</w:t>
      </w:r>
      <w:r w:rsidR="00506738">
        <w:rPr>
          <w:rFonts w:ascii="Times New Roman" w:hAnsi="Times New Roman" w:cs="Times New Roman"/>
          <w:sz w:val="24"/>
          <w:lang w:eastAsia="zh-CN"/>
        </w:rPr>
        <w:t xml:space="preserve"> </w:t>
      </w:r>
      <w:r w:rsidR="00872650">
        <w:rPr>
          <w:rFonts w:ascii="Times New Roman" w:hAnsi="Times New Roman" w:cs="Times New Roman"/>
          <w:sz w:val="24"/>
          <w:lang w:eastAsia="zh-CN"/>
        </w:rPr>
        <w:t xml:space="preserve"> </w:t>
      </w:r>
      <w:r w:rsidR="00506738">
        <w:rPr>
          <w:rFonts w:ascii="Times New Roman" w:hAnsi="Times New Roman" w:cs="Times New Roman"/>
          <w:sz w:val="24"/>
          <w:lang w:eastAsia="zh-CN"/>
        </w:rPr>
        <w:t xml:space="preserve">This scenario involves the purchase of </w:t>
      </w:r>
      <w:proofErr w:type="spellStart"/>
      <w:r w:rsidR="00506738">
        <w:rPr>
          <w:rFonts w:ascii="Times New Roman" w:hAnsi="Times New Roman" w:cs="Times New Roman"/>
          <w:sz w:val="24"/>
          <w:lang w:eastAsia="zh-CN"/>
        </w:rPr>
        <w:t>SKC</w:t>
      </w:r>
      <w:proofErr w:type="spellEnd"/>
      <w:r w:rsidR="00506738">
        <w:rPr>
          <w:rFonts w:ascii="Times New Roman" w:hAnsi="Times New Roman" w:cs="Times New Roman"/>
          <w:sz w:val="24"/>
          <w:lang w:eastAsia="zh-CN"/>
        </w:rPr>
        <w:t xml:space="preserve"> in 2016 </w:t>
      </w:r>
      <w:r w:rsidR="00D476E1" w:rsidRPr="00A727ED">
        <w:rPr>
          <w:rFonts w:ascii="Times New Roman" w:hAnsi="Times New Roman" w:cs="Times New Roman"/>
          <w:sz w:val="24"/>
          <w:lang w:eastAsia="zh-CN"/>
        </w:rPr>
        <w:t>for $30 million</w:t>
      </w:r>
      <w:r w:rsidR="00D476E1">
        <w:rPr>
          <w:rFonts w:ascii="Times New Roman" w:hAnsi="Times New Roman" w:cs="Times New Roman"/>
          <w:sz w:val="24"/>
          <w:lang w:eastAsia="zh-CN"/>
        </w:rPr>
        <w:t xml:space="preserve"> </w:t>
      </w:r>
      <w:r w:rsidR="00506738">
        <w:rPr>
          <w:rFonts w:ascii="Times New Roman" w:hAnsi="Times New Roman" w:cs="Times New Roman"/>
          <w:sz w:val="24"/>
          <w:lang w:eastAsia="zh-CN"/>
        </w:rPr>
        <w:t>and</w:t>
      </w:r>
      <w:r w:rsidR="005E0778">
        <w:rPr>
          <w:rFonts w:ascii="Times New Roman" w:hAnsi="Times New Roman" w:cs="Times New Roman"/>
          <w:sz w:val="24"/>
          <w:lang w:eastAsia="zh-CN"/>
        </w:rPr>
        <w:t xml:space="preserve"> continued operation along with future investments based on age, condition and performance of the </w:t>
      </w:r>
      <w:proofErr w:type="spellStart"/>
      <w:r w:rsidR="005E0778">
        <w:rPr>
          <w:rFonts w:ascii="Times New Roman" w:hAnsi="Times New Roman" w:cs="Times New Roman"/>
          <w:sz w:val="24"/>
          <w:lang w:eastAsia="zh-CN"/>
        </w:rPr>
        <w:t>SKC</w:t>
      </w:r>
      <w:proofErr w:type="spellEnd"/>
      <w:r w:rsidR="005E0778">
        <w:rPr>
          <w:rFonts w:ascii="Times New Roman" w:hAnsi="Times New Roman" w:cs="Times New Roman"/>
          <w:sz w:val="24"/>
          <w:lang w:eastAsia="zh-CN"/>
        </w:rPr>
        <w:t xml:space="preserve"> assets.</w:t>
      </w:r>
      <w:r w:rsidR="00506738">
        <w:rPr>
          <w:rFonts w:ascii="Times New Roman" w:hAnsi="Times New Roman" w:cs="Times New Roman"/>
          <w:sz w:val="24"/>
          <w:lang w:eastAsia="zh-CN"/>
        </w:rPr>
        <w:t xml:space="preserve"> </w:t>
      </w:r>
    </w:p>
    <w:p w:rsidR="00F13AB0" w:rsidRPr="005E0778" w:rsidRDefault="00F13AB0" w:rsidP="00CF1AE3">
      <w:pPr>
        <w:pStyle w:val="ListParagraph"/>
        <w:numPr>
          <w:ilvl w:val="0"/>
          <w:numId w:val="13"/>
        </w:numPr>
        <w:spacing w:before="120" w:after="120" w:line="480" w:lineRule="auto"/>
        <w:rPr>
          <w:rFonts w:ascii="Times New Roman" w:hAnsi="Times New Roman" w:cs="Times New Roman"/>
          <w:b/>
          <w:sz w:val="24"/>
          <w:lang w:eastAsia="zh-CN"/>
        </w:rPr>
      </w:pPr>
      <w:r w:rsidRPr="005E0778">
        <w:rPr>
          <w:rFonts w:ascii="Times New Roman" w:hAnsi="Times New Roman" w:cs="Times New Roman"/>
          <w:b/>
          <w:sz w:val="24"/>
          <w:lang w:eastAsia="zh-CN"/>
        </w:rPr>
        <w:t xml:space="preserve">Build and own alternative property </w:t>
      </w:r>
      <w:r w:rsidR="00540B73" w:rsidRPr="005E0778">
        <w:rPr>
          <w:rFonts w:ascii="Times New Roman" w:hAnsi="Times New Roman" w:cs="Times New Roman"/>
          <w:b/>
          <w:sz w:val="24"/>
          <w:lang w:eastAsia="zh-CN"/>
        </w:rPr>
        <w:t xml:space="preserve">for relocation </w:t>
      </w:r>
      <w:r w:rsidRPr="005E0778">
        <w:rPr>
          <w:rFonts w:ascii="Times New Roman" w:hAnsi="Times New Roman" w:cs="Times New Roman"/>
          <w:b/>
          <w:sz w:val="24"/>
          <w:lang w:eastAsia="zh-CN"/>
        </w:rPr>
        <w:t>in 2019</w:t>
      </w:r>
      <w:r w:rsidR="005E0778" w:rsidRPr="005E0778">
        <w:rPr>
          <w:rFonts w:ascii="Times New Roman" w:hAnsi="Times New Roman" w:cs="Times New Roman"/>
          <w:b/>
          <w:sz w:val="24"/>
          <w:lang w:eastAsia="zh-CN"/>
        </w:rPr>
        <w:t>:</w:t>
      </w:r>
      <w:r w:rsidR="005E0778">
        <w:rPr>
          <w:rFonts w:ascii="Times New Roman" w:hAnsi="Times New Roman" w:cs="Times New Roman"/>
          <w:sz w:val="24"/>
          <w:lang w:eastAsia="zh-CN"/>
        </w:rPr>
        <w:t xml:space="preserve"> </w:t>
      </w:r>
      <w:r w:rsidR="00872650">
        <w:rPr>
          <w:rFonts w:ascii="Times New Roman" w:hAnsi="Times New Roman" w:cs="Times New Roman"/>
          <w:sz w:val="24"/>
          <w:lang w:eastAsia="zh-CN"/>
        </w:rPr>
        <w:t xml:space="preserve"> </w:t>
      </w:r>
      <w:r w:rsidR="005E0778">
        <w:rPr>
          <w:rFonts w:ascii="Times New Roman" w:hAnsi="Times New Roman" w:cs="Times New Roman"/>
          <w:sz w:val="24"/>
          <w:lang w:eastAsia="zh-CN"/>
        </w:rPr>
        <w:t>This scenario involves the acquisition, design, permitting and construction of an alternative location c</w:t>
      </w:r>
      <w:r w:rsidR="00EB3A85">
        <w:rPr>
          <w:rFonts w:ascii="Times New Roman" w:hAnsi="Times New Roman" w:cs="Times New Roman"/>
          <w:sz w:val="24"/>
          <w:lang w:eastAsia="zh-CN"/>
        </w:rPr>
        <w:t>omparable</w:t>
      </w:r>
      <w:r w:rsidR="005E0778">
        <w:rPr>
          <w:rFonts w:ascii="Times New Roman" w:hAnsi="Times New Roman" w:cs="Times New Roman"/>
          <w:sz w:val="24"/>
          <w:lang w:eastAsia="zh-CN"/>
        </w:rPr>
        <w:t xml:space="preserve"> to PSE’s current </w:t>
      </w:r>
      <w:proofErr w:type="spellStart"/>
      <w:r w:rsidR="005E0778">
        <w:rPr>
          <w:rFonts w:ascii="Times New Roman" w:hAnsi="Times New Roman" w:cs="Times New Roman"/>
          <w:sz w:val="24"/>
          <w:lang w:eastAsia="zh-CN"/>
        </w:rPr>
        <w:t>SKC</w:t>
      </w:r>
      <w:proofErr w:type="spellEnd"/>
      <w:r w:rsidR="005E0778">
        <w:rPr>
          <w:rFonts w:ascii="Times New Roman" w:hAnsi="Times New Roman" w:cs="Times New Roman"/>
          <w:sz w:val="24"/>
          <w:lang w:eastAsia="zh-CN"/>
        </w:rPr>
        <w:t xml:space="preserve"> operation</w:t>
      </w:r>
      <w:r w:rsidR="0076073D">
        <w:rPr>
          <w:rFonts w:ascii="Times New Roman" w:hAnsi="Times New Roman" w:cs="Times New Roman"/>
          <w:sz w:val="24"/>
          <w:lang w:eastAsia="zh-CN"/>
        </w:rPr>
        <w:t>.</w:t>
      </w:r>
      <w:r w:rsidR="00872650">
        <w:rPr>
          <w:rFonts w:ascii="Times New Roman" w:hAnsi="Times New Roman" w:cs="Times New Roman"/>
          <w:sz w:val="24"/>
          <w:lang w:eastAsia="zh-CN"/>
        </w:rPr>
        <w:t xml:space="preserve"> </w:t>
      </w:r>
      <w:r w:rsidR="0076073D">
        <w:rPr>
          <w:rFonts w:ascii="Times New Roman" w:hAnsi="Times New Roman" w:cs="Times New Roman"/>
          <w:sz w:val="24"/>
          <w:lang w:eastAsia="zh-CN"/>
        </w:rPr>
        <w:t xml:space="preserve"> Investment and devel</w:t>
      </w:r>
      <w:r w:rsidR="00D617CE">
        <w:rPr>
          <w:rFonts w:ascii="Times New Roman" w:hAnsi="Times New Roman" w:cs="Times New Roman"/>
          <w:sz w:val="24"/>
          <w:lang w:eastAsia="zh-CN"/>
        </w:rPr>
        <w:t>opment activities would begin</w:t>
      </w:r>
      <w:r w:rsidR="0076073D">
        <w:rPr>
          <w:rFonts w:ascii="Times New Roman" w:hAnsi="Times New Roman" w:cs="Times New Roman"/>
          <w:sz w:val="24"/>
          <w:lang w:eastAsia="zh-CN"/>
        </w:rPr>
        <w:t xml:space="preserve"> in 2017 in order to deliver the asset upon </w:t>
      </w:r>
      <w:proofErr w:type="spellStart"/>
      <w:r w:rsidR="0076073D">
        <w:rPr>
          <w:rFonts w:ascii="Times New Roman" w:hAnsi="Times New Roman" w:cs="Times New Roman"/>
          <w:sz w:val="24"/>
          <w:lang w:eastAsia="zh-CN"/>
        </w:rPr>
        <w:t>SKC</w:t>
      </w:r>
      <w:proofErr w:type="spellEnd"/>
      <w:r w:rsidR="0076073D">
        <w:rPr>
          <w:rFonts w:ascii="Times New Roman" w:hAnsi="Times New Roman" w:cs="Times New Roman"/>
          <w:sz w:val="24"/>
          <w:lang w:eastAsia="zh-CN"/>
        </w:rPr>
        <w:t xml:space="preserve"> lease expiration in 2019.</w:t>
      </w:r>
    </w:p>
    <w:p w:rsidR="00F13AB0" w:rsidRPr="0076073D" w:rsidRDefault="00F13AB0" w:rsidP="00CF1AE3">
      <w:pPr>
        <w:pStyle w:val="ListParagraph"/>
        <w:numPr>
          <w:ilvl w:val="0"/>
          <w:numId w:val="13"/>
        </w:numPr>
        <w:spacing w:before="120" w:after="120"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76073D">
        <w:rPr>
          <w:rFonts w:ascii="Times New Roman" w:hAnsi="Times New Roman" w:cs="Times New Roman"/>
          <w:b/>
          <w:sz w:val="24"/>
          <w:lang w:eastAsia="zh-CN"/>
        </w:rPr>
        <w:t xml:space="preserve">Purchase </w:t>
      </w:r>
      <w:proofErr w:type="spellStart"/>
      <w:r w:rsidR="00540B73" w:rsidRPr="0076073D">
        <w:rPr>
          <w:rFonts w:ascii="Times New Roman" w:hAnsi="Times New Roman" w:cs="Times New Roman"/>
          <w:b/>
          <w:sz w:val="24"/>
          <w:lang w:eastAsia="zh-CN"/>
        </w:rPr>
        <w:t>SKC</w:t>
      </w:r>
      <w:proofErr w:type="spellEnd"/>
      <w:r w:rsidR="00540B73" w:rsidRPr="0076073D">
        <w:rPr>
          <w:rFonts w:ascii="Times New Roman" w:hAnsi="Times New Roman" w:cs="Times New Roman"/>
          <w:b/>
          <w:sz w:val="24"/>
          <w:lang w:eastAsia="zh-CN"/>
        </w:rPr>
        <w:t xml:space="preserve"> </w:t>
      </w:r>
      <w:r w:rsidRPr="0076073D">
        <w:rPr>
          <w:rFonts w:ascii="Times New Roman" w:hAnsi="Times New Roman" w:cs="Times New Roman"/>
          <w:b/>
          <w:sz w:val="24"/>
          <w:lang w:eastAsia="zh-CN"/>
        </w:rPr>
        <w:t>at end of lease options in 2029</w:t>
      </w:r>
      <w:r w:rsidR="0076073D" w:rsidRPr="0076073D">
        <w:rPr>
          <w:rFonts w:ascii="Times New Roman" w:hAnsi="Times New Roman" w:cs="Times New Roman"/>
          <w:b/>
          <w:sz w:val="24"/>
          <w:lang w:eastAsia="zh-CN"/>
        </w:rPr>
        <w:t>:</w:t>
      </w:r>
      <w:r w:rsidR="00A84043">
        <w:rPr>
          <w:rFonts w:ascii="Times New Roman" w:hAnsi="Times New Roman" w:cs="Times New Roman"/>
          <w:b/>
          <w:sz w:val="24"/>
          <w:lang w:eastAsia="zh-CN"/>
        </w:rPr>
        <w:t xml:space="preserve"> </w:t>
      </w:r>
      <w:r w:rsidR="000F31EF">
        <w:rPr>
          <w:rFonts w:ascii="Times New Roman" w:hAnsi="Times New Roman" w:cs="Times New Roman"/>
          <w:sz w:val="24"/>
          <w:lang w:eastAsia="zh-CN"/>
        </w:rPr>
        <w:t xml:space="preserve"> This scenario defers until</w:t>
      </w:r>
      <w:r w:rsidR="0076073D">
        <w:rPr>
          <w:rFonts w:ascii="Times New Roman" w:hAnsi="Times New Roman" w:cs="Times New Roman"/>
          <w:sz w:val="24"/>
          <w:lang w:eastAsia="zh-CN"/>
        </w:rPr>
        <w:t xml:space="preserve"> 2029 the purchase of </w:t>
      </w:r>
      <w:proofErr w:type="spellStart"/>
      <w:r w:rsidR="0076073D">
        <w:rPr>
          <w:rFonts w:ascii="Times New Roman" w:hAnsi="Times New Roman" w:cs="Times New Roman"/>
          <w:sz w:val="24"/>
          <w:lang w:eastAsia="zh-CN"/>
        </w:rPr>
        <w:t>SKC</w:t>
      </w:r>
      <w:proofErr w:type="spellEnd"/>
      <w:r w:rsidR="0076073D">
        <w:rPr>
          <w:rFonts w:ascii="Times New Roman" w:hAnsi="Times New Roman" w:cs="Times New Roman"/>
          <w:sz w:val="24"/>
          <w:lang w:eastAsia="zh-CN"/>
        </w:rPr>
        <w:t xml:space="preserve"> from Ranch Associates</w:t>
      </w:r>
      <w:r w:rsidR="00D60D7D">
        <w:rPr>
          <w:rFonts w:ascii="Times New Roman" w:hAnsi="Times New Roman" w:cs="Times New Roman"/>
          <w:sz w:val="24"/>
          <w:lang w:eastAsia="zh-CN"/>
        </w:rPr>
        <w:t>, presuming its availability as currently purposed</w:t>
      </w:r>
      <w:r w:rsidR="0076073D">
        <w:rPr>
          <w:rFonts w:ascii="Times New Roman" w:hAnsi="Times New Roman" w:cs="Times New Roman"/>
          <w:sz w:val="24"/>
          <w:lang w:eastAsia="zh-CN"/>
        </w:rPr>
        <w:t xml:space="preserve">. </w:t>
      </w:r>
      <w:r w:rsidR="0076073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F31EF">
        <w:rPr>
          <w:rFonts w:ascii="Times New Roman" w:hAnsi="Times New Roman" w:cs="Times New Roman"/>
          <w:snapToGrid w:val="0"/>
          <w:sz w:val="24"/>
          <w:szCs w:val="24"/>
        </w:rPr>
        <w:t xml:space="preserve">Neither PSE nor </w:t>
      </w:r>
      <w:proofErr w:type="spellStart"/>
      <w:r w:rsidR="000F31EF">
        <w:rPr>
          <w:rFonts w:ascii="Times New Roman" w:hAnsi="Times New Roman" w:cs="Times New Roman"/>
          <w:snapToGrid w:val="0"/>
          <w:sz w:val="24"/>
          <w:szCs w:val="24"/>
        </w:rPr>
        <w:t>CBRE</w:t>
      </w:r>
      <w:proofErr w:type="spellEnd"/>
      <w:r w:rsidR="000F31EF">
        <w:rPr>
          <w:rFonts w:ascii="Times New Roman" w:hAnsi="Times New Roman" w:cs="Times New Roman"/>
          <w:snapToGrid w:val="0"/>
          <w:sz w:val="24"/>
          <w:szCs w:val="24"/>
        </w:rPr>
        <w:t xml:space="preserve"> believe this is a valid assumption given Ranch Associates’ </w:t>
      </w:r>
      <w:r w:rsidR="00F32E76">
        <w:rPr>
          <w:rFonts w:ascii="Times New Roman" w:hAnsi="Times New Roman" w:cs="Times New Roman"/>
          <w:snapToGrid w:val="0"/>
          <w:sz w:val="24"/>
          <w:szCs w:val="24"/>
        </w:rPr>
        <w:t xml:space="preserve">stated </w:t>
      </w:r>
      <w:r w:rsidR="000F31EF">
        <w:rPr>
          <w:rFonts w:ascii="Times New Roman" w:hAnsi="Times New Roman" w:cs="Times New Roman"/>
          <w:snapToGrid w:val="0"/>
          <w:sz w:val="24"/>
          <w:szCs w:val="24"/>
        </w:rPr>
        <w:t xml:space="preserve">intent to sell the property; however, this </w:t>
      </w:r>
      <w:r w:rsidR="000F31EF">
        <w:rPr>
          <w:rFonts w:ascii="Times New Roman" w:hAnsi="Times New Roman" w:cs="Times New Roman"/>
          <w:snapToGrid w:val="0"/>
          <w:sz w:val="24"/>
          <w:szCs w:val="24"/>
        </w:rPr>
        <w:lastRenderedPageBreak/>
        <w:t>scenario is included to ensure evaluation of PSE’s current lease rights against alternative scenarios.</w:t>
      </w:r>
    </w:p>
    <w:p w:rsidR="00F13AB0" w:rsidRPr="001B4B62" w:rsidRDefault="00F13AB0" w:rsidP="00CF1AE3">
      <w:pPr>
        <w:pStyle w:val="ListParagraph"/>
        <w:numPr>
          <w:ilvl w:val="0"/>
          <w:numId w:val="13"/>
        </w:numPr>
        <w:spacing w:before="120" w:after="120" w:line="480" w:lineRule="auto"/>
        <w:rPr>
          <w:rFonts w:ascii="Times New Roman" w:hAnsi="Times New Roman" w:cs="Times New Roman"/>
          <w:sz w:val="24"/>
          <w:lang w:eastAsia="zh-CN"/>
        </w:rPr>
      </w:pPr>
      <w:r w:rsidRPr="00D60D7D">
        <w:rPr>
          <w:rFonts w:ascii="Times New Roman" w:hAnsi="Times New Roman" w:cs="Times New Roman"/>
          <w:b/>
          <w:sz w:val="24"/>
          <w:lang w:eastAsia="zh-CN"/>
        </w:rPr>
        <w:t xml:space="preserve">Build and own alternative property </w:t>
      </w:r>
      <w:r w:rsidR="00540B73" w:rsidRPr="00D60D7D">
        <w:rPr>
          <w:rFonts w:ascii="Times New Roman" w:hAnsi="Times New Roman" w:cs="Times New Roman"/>
          <w:b/>
          <w:sz w:val="24"/>
          <w:lang w:eastAsia="zh-CN"/>
        </w:rPr>
        <w:t xml:space="preserve">for relocation </w:t>
      </w:r>
      <w:r w:rsidRPr="00D60D7D">
        <w:rPr>
          <w:rFonts w:ascii="Times New Roman" w:hAnsi="Times New Roman" w:cs="Times New Roman"/>
          <w:b/>
          <w:sz w:val="24"/>
          <w:lang w:eastAsia="zh-CN"/>
        </w:rPr>
        <w:t>in 2029</w:t>
      </w:r>
      <w:r w:rsidR="00D60D7D">
        <w:rPr>
          <w:rFonts w:ascii="Times New Roman" w:hAnsi="Times New Roman" w:cs="Times New Roman"/>
          <w:b/>
          <w:sz w:val="24"/>
          <w:lang w:eastAsia="zh-CN"/>
        </w:rPr>
        <w:t>:</w:t>
      </w:r>
      <w:r w:rsidR="00D60D7D">
        <w:rPr>
          <w:rFonts w:ascii="Times New Roman" w:hAnsi="Times New Roman" w:cs="Times New Roman"/>
          <w:sz w:val="24"/>
          <w:lang w:eastAsia="zh-CN"/>
        </w:rPr>
        <w:t xml:space="preserve"> </w:t>
      </w:r>
      <w:r w:rsidR="00A84043">
        <w:rPr>
          <w:rFonts w:ascii="Times New Roman" w:hAnsi="Times New Roman" w:cs="Times New Roman"/>
          <w:sz w:val="24"/>
          <w:lang w:eastAsia="zh-CN"/>
        </w:rPr>
        <w:t xml:space="preserve"> </w:t>
      </w:r>
      <w:r w:rsidR="00D60D7D">
        <w:rPr>
          <w:rFonts w:ascii="Times New Roman" w:hAnsi="Times New Roman" w:cs="Times New Roman"/>
          <w:sz w:val="24"/>
          <w:lang w:eastAsia="zh-CN"/>
        </w:rPr>
        <w:t xml:space="preserve">This scenario defers the acquisition, design, permitting and construction of an alternative location </w:t>
      </w:r>
      <w:r w:rsidR="00EB3A85">
        <w:rPr>
          <w:rFonts w:ascii="Times New Roman" w:hAnsi="Times New Roman" w:cs="Times New Roman"/>
          <w:sz w:val="24"/>
          <w:lang w:eastAsia="zh-CN"/>
        </w:rPr>
        <w:t>comparable</w:t>
      </w:r>
      <w:r w:rsidR="00D60D7D">
        <w:rPr>
          <w:rFonts w:ascii="Times New Roman" w:hAnsi="Times New Roman" w:cs="Times New Roman"/>
          <w:sz w:val="24"/>
          <w:lang w:eastAsia="zh-CN"/>
        </w:rPr>
        <w:t xml:space="preserve"> to PSE’s current </w:t>
      </w:r>
      <w:proofErr w:type="spellStart"/>
      <w:r w:rsidR="00D60D7D">
        <w:rPr>
          <w:rFonts w:ascii="Times New Roman" w:hAnsi="Times New Roman" w:cs="Times New Roman"/>
          <w:sz w:val="24"/>
          <w:lang w:eastAsia="zh-CN"/>
        </w:rPr>
        <w:t>SKC</w:t>
      </w:r>
      <w:proofErr w:type="spellEnd"/>
      <w:r w:rsidR="00D60D7D">
        <w:rPr>
          <w:rFonts w:ascii="Times New Roman" w:hAnsi="Times New Roman" w:cs="Times New Roman"/>
          <w:sz w:val="24"/>
          <w:lang w:eastAsia="zh-CN"/>
        </w:rPr>
        <w:t xml:space="preserve"> operation to 2029. </w:t>
      </w:r>
      <w:r w:rsidR="00A84043">
        <w:rPr>
          <w:rFonts w:ascii="Times New Roman" w:hAnsi="Times New Roman" w:cs="Times New Roman"/>
          <w:sz w:val="24"/>
          <w:lang w:eastAsia="zh-CN"/>
        </w:rPr>
        <w:t xml:space="preserve"> </w:t>
      </w:r>
      <w:r w:rsidR="00D60D7D">
        <w:rPr>
          <w:rFonts w:ascii="Times New Roman" w:hAnsi="Times New Roman" w:cs="Times New Roman"/>
          <w:sz w:val="24"/>
          <w:lang w:eastAsia="zh-CN"/>
        </w:rPr>
        <w:t xml:space="preserve">Investment and development activities would </w:t>
      </w:r>
      <w:r w:rsidR="00D617CE">
        <w:rPr>
          <w:rFonts w:ascii="Times New Roman" w:hAnsi="Times New Roman" w:cs="Times New Roman"/>
          <w:sz w:val="24"/>
          <w:lang w:eastAsia="zh-CN"/>
        </w:rPr>
        <w:t>begin no later than</w:t>
      </w:r>
      <w:r w:rsidR="00D60D7D">
        <w:rPr>
          <w:rFonts w:ascii="Times New Roman" w:hAnsi="Times New Roman" w:cs="Times New Roman"/>
          <w:sz w:val="24"/>
          <w:lang w:eastAsia="zh-CN"/>
        </w:rPr>
        <w:t xml:space="preserve"> 2027 in order to deliver the asset upon </w:t>
      </w:r>
      <w:proofErr w:type="spellStart"/>
      <w:r w:rsidR="00D60D7D">
        <w:rPr>
          <w:rFonts w:ascii="Times New Roman" w:hAnsi="Times New Roman" w:cs="Times New Roman"/>
          <w:sz w:val="24"/>
          <w:lang w:eastAsia="zh-CN"/>
        </w:rPr>
        <w:t>SKC</w:t>
      </w:r>
      <w:proofErr w:type="spellEnd"/>
      <w:r w:rsidR="00D60D7D">
        <w:rPr>
          <w:rFonts w:ascii="Times New Roman" w:hAnsi="Times New Roman" w:cs="Times New Roman"/>
          <w:sz w:val="24"/>
          <w:lang w:eastAsia="zh-CN"/>
        </w:rPr>
        <w:t xml:space="preserve"> lease expiration in 2029. </w:t>
      </w:r>
      <w:r w:rsidR="00A84043">
        <w:rPr>
          <w:rFonts w:ascii="Times New Roman" w:hAnsi="Times New Roman" w:cs="Times New Roman"/>
          <w:sz w:val="24"/>
          <w:lang w:eastAsia="zh-CN"/>
        </w:rPr>
        <w:t xml:space="preserve"> </w:t>
      </w:r>
      <w:r w:rsidR="00D60D7D">
        <w:rPr>
          <w:rFonts w:ascii="Times New Roman" w:hAnsi="Times New Roman" w:cs="Times New Roman"/>
          <w:sz w:val="24"/>
          <w:lang w:eastAsia="zh-CN"/>
        </w:rPr>
        <w:t>However, land acquisition may occur in the interim based on identification of</w:t>
      </w:r>
      <w:r w:rsidR="00DE60F6">
        <w:rPr>
          <w:rFonts w:ascii="Times New Roman" w:hAnsi="Times New Roman" w:cs="Times New Roman"/>
          <w:sz w:val="24"/>
          <w:lang w:eastAsia="zh-CN"/>
        </w:rPr>
        <w:t>,</w:t>
      </w:r>
      <w:r w:rsidR="00D60D7D">
        <w:rPr>
          <w:rFonts w:ascii="Times New Roman" w:hAnsi="Times New Roman" w:cs="Times New Roman"/>
          <w:sz w:val="24"/>
          <w:lang w:eastAsia="zh-CN"/>
        </w:rPr>
        <w:t xml:space="preserve"> and opportunity to purchase</w:t>
      </w:r>
      <w:r w:rsidR="00DE60F6">
        <w:rPr>
          <w:rFonts w:ascii="Times New Roman" w:hAnsi="Times New Roman" w:cs="Times New Roman"/>
          <w:sz w:val="24"/>
          <w:lang w:eastAsia="zh-CN"/>
        </w:rPr>
        <w:t>,</w:t>
      </w:r>
      <w:r w:rsidR="00D60D7D">
        <w:rPr>
          <w:rFonts w:ascii="Times New Roman" w:hAnsi="Times New Roman" w:cs="Times New Roman"/>
          <w:sz w:val="24"/>
          <w:lang w:eastAsia="zh-CN"/>
        </w:rPr>
        <w:t xml:space="preserve"> suitable property to be held for future use.</w:t>
      </w:r>
    </w:p>
    <w:p w:rsidR="00F13AB0" w:rsidRPr="00D60D7D" w:rsidRDefault="00F13AB0" w:rsidP="00CF1AE3">
      <w:pPr>
        <w:pStyle w:val="ListParagraph"/>
        <w:numPr>
          <w:ilvl w:val="0"/>
          <w:numId w:val="13"/>
        </w:numPr>
        <w:spacing w:before="120" w:after="120" w:line="480" w:lineRule="auto"/>
        <w:rPr>
          <w:b/>
          <w:lang w:eastAsia="zh-CN"/>
        </w:rPr>
      </w:pPr>
      <w:r w:rsidRPr="00D60D7D">
        <w:rPr>
          <w:rFonts w:ascii="Times New Roman" w:hAnsi="Times New Roman" w:cs="Times New Roman"/>
          <w:b/>
          <w:sz w:val="24"/>
          <w:lang w:eastAsia="zh-CN"/>
        </w:rPr>
        <w:t>Lease alternative property in 2029</w:t>
      </w:r>
      <w:r w:rsidR="00D60D7D" w:rsidRPr="00D60D7D">
        <w:rPr>
          <w:rFonts w:ascii="Times New Roman" w:hAnsi="Times New Roman" w:cs="Times New Roman"/>
          <w:b/>
          <w:sz w:val="24"/>
          <w:lang w:eastAsia="zh-CN"/>
        </w:rPr>
        <w:t xml:space="preserve">: </w:t>
      </w:r>
      <w:r w:rsidR="00A84043">
        <w:rPr>
          <w:rFonts w:ascii="Times New Roman" w:hAnsi="Times New Roman" w:cs="Times New Roman"/>
          <w:b/>
          <w:sz w:val="24"/>
          <w:lang w:eastAsia="zh-CN"/>
        </w:rPr>
        <w:t xml:space="preserve"> </w:t>
      </w:r>
      <w:r w:rsidR="00D60D7D">
        <w:rPr>
          <w:rFonts w:ascii="Times New Roman" w:hAnsi="Times New Roman" w:cs="Times New Roman"/>
          <w:sz w:val="24"/>
          <w:lang w:eastAsia="zh-CN"/>
        </w:rPr>
        <w:t>This</w:t>
      </w:r>
      <w:r w:rsidR="00F32E76">
        <w:rPr>
          <w:rFonts w:ascii="Times New Roman" w:hAnsi="Times New Roman" w:cs="Times New Roman"/>
          <w:sz w:val="24"/>
          <w:lang w:eastAsia="zh-CN"/>
        </w:rPr>
        <w:t xml:space="preserve"> scenario involves relocation </w:t>
      </w:r>
      <w:r w:rsidR="00DE60F6">
        <w:rPr>
          <w:rFonts w:ascii="Times New Roman" w:hAnsi="Times New Roman" w:cs="Times New Roman"/>
          <w:sz w:val="24"/>
          <w:lang w:eastAsia="zh-CN"/>
        </w:rPr>
        <w:t xml:space="preserve">in </w:t>
      </w:r>
      <w:r w:rsidR="00D60D7D">
        <w:rPr>
          <w:rFonts w:ascii="Times New Roman" w:hAnsi="Times New Roman" w:cs="Times New Roman"/>
          <w:sz w:val="24"/>
          <w:lang w:eastAsia="zh-CN"/>
        </w:rPr>
        <w:t>2029 t</w:t>
      </w:r>
      <w:r w:rsidR="00F32E76">
        <w:rPr>
          <w:rFonts w:ascii="Times New Roman" w:hAnsi="Times New Roman" w:cs="Times New Roman"/>
          <w:sz w:val="24"/>
          <w:lang w:eastAsia="zh-CN"/>
        </w:rPr>
        <w:t>o an alternative leased site</w:t>
      </w:r>
      <w:r w:rsidR="00D60D7D">
        <w:rPr>
          <w:rFonts w:ascii="Times New Roman" w:hAnsi="Times New Roman" w:cs="Times New Roman"/>
          <w:sz w:val="24"/>
          <w:lang w:eastAsia="zh-CN"/>
        </w:rPr>
        <w:t xml:space="preserve"> </w:t>
      </w:r>
      <w:r w:rsidR="00F32E76">
        <w:rPr>
          <w:rFonts w:ascii="Times New Roman" w:hAnsi="Times New Roman" w:cs="Times New Roman"/>
          <w:sz w:val="24"/>
          <w:lang w:eastAsia="zh-CN"/>
        </w:rPr>
        <w:t>equivalent</w:t>
      </w:r>
      <w:r w:rsidR="00D60D7D">
        <w:rPr>
          <w:rFonts w:ascii="Times New Roman" w:hAnsi="Times New Roman" w:cs="Times New Roman"/>
          <w:sz w:val="24"/>
          <w:lang w:eastAsia="zh-CN"/>
        </w:rPr>
        <w:t xml:space="preserve"> to PSE’s current </w:t>
      </w:r>
      <w:proofErr w:type="spellStart"/>
      <w:r w:rsidR="00D60D7D">
        <w:rPr>
          <w:rFonts w:ascii="Times New Roman" w:hAnsi="Times New Roman" w:cs="Times New Roman"/>
          <w:sz w:val="24"/>
          <w:lang w:eastAsia="zh-CN"/>
        </w:rPr>
        <w:t>SKC</w:t>
      </w:r>
      <w:proofErr w:type="spellEnd"/>
      <w:r w:rsidR="00D60D7D">
        <w:rPr>
          <w:rFonts w:ascii="Times New Roman" w:hAnsi="Times New Roman" w:cs="Times New Roman"/>
          <w:sz w:val="24"/>
          <w:lang w:eastAsia="zh-CN"/>
        </w:rPr>
        <w:t xml:space="preserve"> operation.</w:t>
      </w:r>
    </w:p>
    <w:p w:rsidR="00F13AB0" w:rsidRPr="00F13AB0" w:rsidRDefault="00F13AB0" w:rsidP="00F13AB0">
      <w:pPr>
        <w:spacing w:before="240" w:after="120" w:line="480" w:lineRule="auto"/>
        <w:ind w:left="720" w:hanging="720"/>
        <w:rPr>
          <w:b/>
          <w:lang w:eastAsia="zh-CN"/>
        </w:rPr>
      </w:pPr>
      <w:r>
        <w:rPr>
          <w:b/>
          <w:lang w:eastAsia="zh-CN"/>
        </w:rPr>
        <w:t>Q.</w:t>
      </w:r>
      <w:r>
        <w:rPr>
          <w:b/>
          <w:lang w:eastAsia="zh-CN"/>
        </w:rPr>
        <w:tab/>
      </w:r>
      <w:r w:rsidRPr="00F13AB0">
        <w:rPr>
          <w:b/>
          <w:lang w:eastAsia="zh-CN"/>
        </w:rPr>
        <w:t>Desc</w:t>
      </w:r>
      <w:r w:rsidR="00DE15B1">
        <w:rPr>
          <w:b/>
          <w:lang w:eastAsia="zh-CN"/>
        </w:rPr>
        <w:t>ribe the key factors and considerations involved in t</w:t>
      </w:r>
      <w:r w:rsidRPr="00F13AB0">
        <w:rPr>
          <w:b/>
          <w:lang w:eastAsia="zh-CN"/>
        </w:rPr>
        <w:t xml:space="preserve">he </w:t>
      </w:r>
      <w:r w:rsidR="00DE15B1">
        <w:rPr>
          <w:b/>
          <w:lang w:eastAsia="zh-CN"/>
        </w:rPr>
        <w:t xml:space="preserve">lease versus purchase </w:t>
      </w:r>
      <w:r w:rsidRPr="00F13AB0">
        <w:rPr>
          <w:b/>
          <w:lang w:eastAsia="zh-CN"/>
        </w:rPr>
        <w:t>analysis.</w:t>
      </w:r>
    </w:p>
    <w:p w:rsidR="00F13AB0" w:rsidRPr="001B4B62" w:rsidRDefault="00F13AB0" w:rsidP="00CF1AE3">
      <w:pPr>
        <w:spacing w:before="120" w:after="120" w:line="480" w:lineRule="auto"/>
        <w:ind w:left="720" w:hanging="720"/>
        <w:rPr>
          <w:lang w:eastAsia="zh-CN"/>
        </w:rPr>
      </w:pPr>
      <w:r w:rsidRPr="001B4B62">
        <w:rPr>
          <w:lang w:eastAsia="zh-CN"/>
        </w:rPr>
        <w:t>A.</w:t>
      </w:r>
      <w:r w:rsidRPr="001B4B62">
        <w:rPr>
          <w:lang w:eastAsia="zh-CN"/>
        </w:rPr>
        <w:tab/>
      </w:r>
      <w:r w:rsidR="00707BC6">
        <w:rPr>
          <w:lang w:eastAsia="zh-CN"/>
        </w:rPr>
        <w:t xml:space="preserve">The following key </w:t>
      </w:r>
      <w:r w:rsidR="000569E1">
        <w:rPr>
          <w:lang w:eastAsia="zh-CN"/>
        </w:rPr>
        <w:t xml:space="preserve">factors </w:t>
      </w:r>
      <w:r w:rsidR="00CC501C">
        <w:rPr>
          <w:lang w:eastAsia="zh-CN"/>
        </w:rPr>
        <w:t xml:space="preserve">and considerations </w:t>
      </w:r>
      <w:r w:rsidR="000569E1">
        <w:rPr>
          <w:lang w:eastAsia="zh-CN"/>
        </w:rPr>
        <w:t>contribute</w:t>
      </w:r>
      <w:r w:rsidR="00707BC6">
        <w:rPr>
          <w:lang w:eastAsia="zh-CN"/>
        </w:rPr>
        <w:t xml:space="preserve">d to the </w:t>
      </w:r>
      <w:proofErr w:type="spellStart"/>
      <w:r w:rsidR="00707BC6">
        <w:rPr>
          <w:lang w:eastAsia="zh-CN"/>
        </w:rPr>
        <w:t>SKC</w:t>
      </w:r>
      <w:proofErr w:type="spellEnd"/>
      <w:r w:rsidR="00707BC6">
        <w:rPr>
          <w:lang w:eastAsia="zh-CN"/>
        </w:rPr>
        <w:t xml:space="preserve"> analysis</w:t>
      </w:r>
      <w:r w:rsidR="00EF5F5B">
        <w:rPr>
          <w:lang w:eastAsia="zh-CN"/>
        </w:rPr>
        <w:t xml:space="preserve"> and are further described in Exhibit No. </w:t>
      </w:r>
      <w:r w:rsidR="00A84043">
        <w:rPr>
          <w:lang w:eastAsia="zh-CN"/>
        </w:rPr>
        <w:t>___</w:t>
      </w:r>
      <w:r w:rsidR="00EF5F5B">
        <w:rPr>
          <w:lang w:eastAsia="zh-CN"/>
        </w:rPr>
        <w:t>(JLM-</w:t>
      </w:r>
      <w:r w:rsidR="00A84043">
        <w:rPr>
          <w:lang w:eastAsia="zh-CN"/>
        </w:rPr>
        <w:t>3</w:t>
      </w:r>
      <w:r w:rsidR="00EF5F5B">
        <w:rPr>
          <w:lang w:eastAsia="zh-CN"/>
        </w:rPr>
        <w:t>)</w:t>
      </w:r>
      <w:r w:rsidR="000569E1">
        <w:rPr>
          <w:lang w:eastAsia="zh-CN"/>
        </w:rPr>
        <w:t>; specifically:</w:t>
      </w:r>
    </w:p>
    <w:p w:rsidR="00F25371" w:rsidRPr="00F25371" w:rsidRDefault="00F25371" w:rsidP="002F4438">
      <w:pPr>
        <w:pStyle w:val="ListParagraph"/>
        <w:numPr>
          <w:ilvl w:val="0"/>
          <w:numId w:val="14"/>
        </w:numPr>
        <w:spacing w:before="120" w:after="120" w:line="480" w:lineRule="auto"/>
        <w:contextualSpacing w:val="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2537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Viability of long-term lease extension at </w:t>
      </w:r>
      <w:proofErr w:type="spellStart"/>
      <w:r w:rsidRPr="00F25371">
        <w:rPr>
          <w:rFonts w:ascii="Times New Roman" w:hAnsi="Times New Roman" w:cs="Times New Roman"/>
          <w:b/>
          <w:sz w:val="24"/>
          <w:szCs w:val="24"/>
          <w:lang w:eastAsia="zh-CN"/>
        </w:rPr>
        <w:t>SKC</w:t>
      </w:r>
      <w:proofErr w:type="spellEnd"/>
      <w:r w:rsidRPr="00F2537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: </w:t>
      </w:r>
      <w:r w:rsidR="00A84043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D10071">
        <w:rPr>
          <w:rFonts w:ascii="Times New Roman" w:hAnsi="Times New Roman" w:cs="Times New Roman"/>
          <w:sz w:val="24"/>
          <w:szCs w:val="24"/>
          <w:lang w:eastAsia="zh-CN"/>
        </w:rPr>
        <w:t xml:space="preserve">As previously discussed, neither PSE nor </w:t>
      </w:r>
      <w:proofErr w:type="spellStart"/>
      <w:r w:rsidR="00D10071">
        <w:rPr>
          <w:rFonts w:ascii="Times New Roman" w:hAnsi="Times New Roman" w:cs="Times New Roman"/>
          <w:sz w:val="24"/>
          <w:szCs w:val="24"/>
          <w:lang w:eastAsia="zh-CN"/>
        </w:rPr>
        <w:t>CBRE</w:t>
      </w:r>
      <w:proofErr w:type="spellEnd"/>
      <w:r w:rsidR="00D10071">
        <w:rPr>
          <w:rFonts w:ascii="Times New Roman" w:hAnsi="Times New Roman" w:cs="Times New Roman"/>
          <w:sz w:val="24"/>
          <w:szCs w:val="24"/>
          <w:lang w:eastAsia="zh-CN"/>
        </w:rPr>
        <w:t xml:space="preserve"> consider a long-term lease extension a viable alternati</w:t>
      </w:r>
      <w:r w:rsidR="00F32E76">
        <w:rPr>
          <w:rFonts w:ascii="Times New Roman" w:hAnsi="Times New Roman" w:cs="Times New Roman"/>
          <w:sz w:val="24"/>
          <w:szCs w:val="24"/>
          <w:lang w:eastAsia="zh-CN"/>
        </w:rPr>
        <w:t>ve based on Ranch Associates’ stated intent to sell the property</w:t>
      </w:r>
      <w:r w:rsidR="00EB3A85">
        <w:rPr>
          <w:rFonts w:ascii="Times New Roman" w:hAnsi="Times New Roman" w:cs="Times New Roman"/>
          <w:sz w:val="24"/>
          <w:szCs w:val="24"/>
          <w:lang w:eastAsia="zh-CN"/>
        </w:rPr>
        <w:t xml:space="preserve"> and the potential redevelopment of the site for densified warehousing and distribution.</w:t>
      </w:r>
    </w:p>
    <w:p w:rsidR="000569E1" w:rsidRDefault="00F25371" w:rsidP="002F4438">
      <w:pPr>
        <w:pStyle w:val="ListParagraph"/>
        <w:numPr>
          <w:ilvl w:val="0"/>
          <w:numId w:val="14"/>
        </w:numPr>
        <w:spacing w:before="120" w:after="120" w:line="480" w:lineRule="auto"/>
        <w:contextualSpacing w:val="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Scarcity</w:t>
      </w:r>
      <w:r w:rsidR="000569E1" w:rsidRPr="005220A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F13AB0" w:rsidRPr="005220A1">
        <w:rPr>
          <w:rFonts w:ascii="Times New Roman" w:hAnsi="Times New Roman" w:cs="Times New Roman"/>
          <w:b/>
          <w:sz w:val="24"/>
          <w:szCs w:val="24"/>
          <w:lang w:eastAsia="zh-CN"/>
        </w:rPr>
        <w:t>of al</w:t>
      </w:r>
      <w:r w:rsidR="000569E1" w:rsidRPr="005220A1">
        <w:rPr>
          <w:rFonts w:ascii="Times New Roman" w:hAnsi="Times New Roman" w:cs="Times New Roman"/>
          <w:b/>
          <w:sz w:val="24"/>
          <w:szCs w:val="24"/>
          <w:lang w:eastAsia="zh-CN"/>
        </w:rPr>
        <w:t>ternative properties that are zoned for utility use and outdoor storage:</w:t>
      </w:r>
      <w:r w:rsidR="000569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A8404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66852">
        <w:rPr>
          <w:rFonts w:ascii="Times New Roman" w:hAnsi="Times New Roman" w:cs="Times New Roman"/>
          <w:sz w:val="24"/>
          <w:szCs w:val="24"/>
          <w:lang w:eastAsia="zh-CN"/>
        </w:rPr>
        <w:t>CBRE</w:t>
      </w:r>
      <w:proofErr w:type="spellEnd"/>
      <w:r w:rsidR="002F4438">
        <w:rPr>
          <w:rFonts w:ascii="Times New Roman" w:hAnsi="Times New Roman" w:cs="Times New Roman"/>
          <w:sz w:val="24"/>
          <w:szCs w:val="24"/>
          <w:lang w:eastAsia="zh-CN"/>
        </w:rPr>
        <w:t xml:space="preserve"> evaluate</w:t>
      </w:r>
      <w:r w:rsidR="00866852">
        <w:rPr>
          <w:rFonts w:ascii="Times New Roman" w:hAnsi="Times New Roman" w:cs="Times New Roman"/>
          <w:sz w:val="24"/>
          <w:szCs w:val="24"/>
          <w:lang w:eastAsia="zh-CN"/>
        </w:rPr>
        <w:t>d</w:t>
      </w:r>
      <w:r w:rsidR="002F4438">
        <w:rPr>
          <w:rFonts w:ascii="Times New Roman" w:hAnsi="Times New Roman" w:cs="Times New Roman"/>
          <w:sz w:val="24"/>
          <w:szCs w:val="24"/>
          <w:lang w:eastAsia="zh-CN"/>
        </w:rPr>
        <w:t xml:space="preserve"> alternative properties that may be suitable to support </w:t>
      </w:r>
      <w:r w:rsidR="00BE06E1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the operational requirements</w:t>
      </w:r>
      <w:r w:rsidR="005E5210">
        <w:rPr>
          <w:rFonts w:ascii="Times New Roman" w:hAnsi="Times New Roman" w:cs="Times New Roman"/>
          <w:sz w:val="24"/>
          <w:szCs w:val="24"/>
          <w:lang w:eastAsia="zh-CN"/>
        </w:rPr>
        <w:t xml:space="preserve"> that </w:t>
      </w:r>
      <w:proofErr w:type="spellStart"/>
      <w:r w:rsidR="002F4438">
        <w:rPr>
          <w:rFonts w:ascii="Times New Roman" w:hAnsi="Times New Roman" w:cs="Times New Roman"/>
          <w:sz w:val="24"/>
          <w:szCs w:val="24"/>
          <w:lang w:eastAsia="zh-CN"/>
        </w:rPr>
        <w:t>SKC</w:t>
      </w:r>
      <w:proofErr w:type="spellEnd"/>
      <w:r w:rsidR="005E5210">
        <w:rPr>
          <w:rFonts w:ascii="Times New Roman" w:hAnsi="Times New Roman" w:cs="Times New Roman"/>
          <w:sz w:val="24"/>
          <w:szCs w:val="24"/>
          <w:lang w:eastAsia="zh-CN"/>
        </w:rPr>
        <w:t xml:space="preserve"> currently supports</w:t>
      </w:r>
      <w:r w:rsidR="002F4438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6F5D00">
        <w:rPr>
          <w:rFonts w:ascii="Times New Roman" w:hAnsi="Times New Roman" w:cs="Times New Roman"/>
          <w:sz w:val="24"/>
          <w:szCs w:val="24"/>
          <w:lang w:eastAsia="zh-CN"/>
        </w:rPr>
        <w:t xml:space="preserve">  Equivalent land of similar</w:t>
      </w:r>
      <w:r w:rsidR="002F4438" w:rsidRPr="002F4438">
        <w:rPr>
          <w:rFonts w:ascii="Times New Roman" w:hAnsi="Times New Roman" w:cs="Times New Roman"/>
          <w:sz w:val="24"/>
          <w:szCs w:val="24"/>
          <w:lang w:eastAsia="zh-CN"/>
        </w:rPr>
        <w:t xml:space="preserve"> size </w:t>
      </w:r>
      <w:r w:rsidR="006F5D00">
        <w:rPr>
          <w:rFonts w:ascii="Times New Roman" w:hAnsi="Times New Roman" w:cs="Times New Roman"/>
          <w:sz w:val="24"/>
          <w:szCs w:val="24"/>
          <w:lang w:eastAsia="zh-CN"/>
        </w:rPr>
        <w:t xml:space="preserve">that </w:t>
      </w:r>
      <w:r w:rsidR="00066E7C">
        <w:rPr>
          <w:rFonts w:ascii="Times New Roman" w:hAnsi="Times New Roman" w:cs="Times New Roman"/>
          <w:sz w:val="24"/>
          <w:szCs w:val="24"/>
          <w:lang w:eastAsia="zh-CN"/>
        </w:rPr>
        <w:t xml:space="preserve">would </w:t>
      </w:r>
      <w:r w:rsidR="002F4438" w:rsidRPr="002F4438">
        <w:rPr>
          <w:rFonts w:ascii="Times New Roman" w:hAnsi="Times New Roman" w:cs="Times New Roman"/>
          <w:sz w:val="24"/>
          <w:szCs w:val="24"/>
          <w:lang w:eastAsia="zh-CN"/>
        </w:rPr>
        <w:t xml:space="preserve">accommodate </w:t>
      </w:r>
      <w:r w:rsidR="00066E7C">
        <w:rPr>
          <w:rFonts w:ascii="Times New Roman" w:hAnsi="Times New Roman" w:cs="Times New Roman"/>
          <w:sz w:val="24"/>
          <w:szCs w:val="24"/>
          <w:lang w:eastAsia="zh-CN"/>
        </w:rPr>
        <w:t>PSE’s needs</w:t>
      </w:r>
      <w:r w:rsidR="00F32E76">
        <w:rPr>
          <w:rFonts w:ascii="Times New Roman" w:hAnsi="Times New Roman" w:cs="Times New Roman"/>
          <w:sz w:val="24"/>
          <w:szCs w:val="24"/>
          <w:lang w:eastAsia="zh-CN"/>
        </w:rPr>
        <w:t xml:space="preserve"> (i.e., by proper zoning)</w:t>
      </w:r>
      <w:r w:rsidR="006F5D00">
        <w:rPr>
          <w:rFonts w:ascii="Times New Roman" w:hAnsi="Times New Roman" w:cs="Times New Roman"/>
          <w:sz w:val="24"/>
          <w:szCs w:val="24"/>
          <w:lang w:eastAsia="zh-CN"/>
        </w:rPr>
        <w:t xml:space="preserve"> was available in sparse quantity and</w:t>
      </w:r>
      <w:r w:rsidR="00066E7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6F5D00">
        <w:rPr>
          <w:rFonts w:ascii="Times New Roman" w:hAnsi="Times New Roman" w:cs="Times New Roman"/>
          <w:sz w:val="24"/>
          <w:szCs w:val="24"/>
          <w:lang w:eastAsia="zh-CN"/>
        </w:rPr>
        <w:t>no utility-specific rep</w:t>
      </w:r>
      <w:r w:rsidR="00CC501C">
        <w:rPr>
          <w:rFonts w:ascii="Times New Roman" w:hAnsi="Times New Roman" w:cs="Times New Roman"/>
          <w:sz w:val="24"/>
          <w:szCs w:val="24"/>
          <w:lang w:eastAsia="zh-CN"/>
        </w:rPr>
        <w:t xml:space="preserve">lacement assets were identified. </w:t>
      </w:r>
      <w:r w:rsidR="00A8404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C501C">
        <w:rPr>
          <w:rFonts w:ascii="Times New Roman" w:hAnsi="Times New Roman" w:cs="Times New Roman"/>
          <w:sz w:val="24"/>
          <w:szCs w:val="24"/>
          <w:lang w:eastAsia="zh-CN"/>
        </w:rPr>
        <w:t>Were replacement land to be identified and acquired in the future, new construction or significant</w:t>
      </w:r>
      <w:r w:rsidR="006F5D00">
        <w:rPr>
          <w:rFonts w:ascii="Times New Roman" w:hAnsi="Times New Roman" w:cs="Times New Roman"/>
          <w:sz w:val="24"/>
          <w:szCs w:val="24"/>
          <w:lang w:eastAsia="zh-CN"/>
        </w:rPr>
        <w:t xml:space="preserve"> site retrofitting would be required in advance of </w:t>
      </w:r>
      <w:r w:rsidR="000755E5">
        <w:rPr>
          <w:rFonts w:ascii="Times New Roman" w:hAnsi="Times New Roman" w:cs="Times New Roman"/>
          <w:sz w:val="24"/>
          <w:szCs w:val="24"/>
          <w:lang w:eastAsia="zh-CN"/>
        </w:rPr>
        <w:t>any potential relocation</w:t>
      </w:r>
      <w:r w:rsidR="002F4438" w:rsidRPr="002F4438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0755E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A8404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0755E5">
        <w:rPr>
          <w:rFonts w:ascii="Times New Roman" w:hAnsi="Times New Roman" w:cs="Times New Roman"/>
          <w:sz w:val="24"/>
          <w:szCs w:val="24"/>
          <w:lang w:eastAsia="zh-CN"/>
        </w:rPr>
        <w:t>CBRE’s</w:t>
      </w:r>
      <w:proofErr w:type="spellEnd"/>
      <w:r w:rsidR="000755E5">
        <w:rPr>
          <w:rFonts w:ascii="Times New Roman" w:hAnsi="Times New Roman" w:cs="Times New Roman"/>
          <w:sz w:val="24"/>
          <w:szCs w:val="24"/>
          <w:lang w:eastAsia="zh-CN"/>
        </w:rPr>
        <w:t xml:space="preserve"> analysis of replacement properties </w:t>
      </w:r>
      <w:r w:rsidR="000755E5">
        <w:rPr>
          <w:rFonts w:ascii="Times New Roman" w:hAnsi="Times New Roman" w:cs="Times New Roman"/>
          <w:snapToGrid w:val="0"/>
          <w:sz w:val="24"/>
          <w:szCs w:val="24"/>
        </w:rPr>
        <w:t xml:space="preserve">indicated that PSE would </w:t>
      </w:r>
      <w:r w:rsidR="00A557F9">
        <w:rPr>
          <w:rFonts w:ascii="Times New Roman" w:hAnsi="Times New Roman" w:cs="Times New Roman"/>
          <w:snapToGrid w:val="0"/>
          <w:sz w:val="24"/>
          <w:szCs w:val="24"/>
        </w:rPr>
        <w:t>pay</w:t>
      </w:r>
      <w:r w:rsidR="000755E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C501C">
        <w:rPr>
          <w:rFonts w:ascii="Times New Roman" w:hAnsi="Times New Roman" w:cs="Times New Roman"/>
          <w:snapToGrid w:val="0"/>
          <w:sz w:val="24"/>
          <w:szCs w:val="24"/>
        </w:rPr>
        <w:t xml:space="preserve">approximately </w:t>
      </w:r>
      <w:r w:rsidR="000755E5">
        <w:rPr>
          <w:rFonts w:ascii="Times New Roman" w:hAnsi="Times New Roman" w:cs="Times New Roman"/>
          <w:snapToGrid w:val="0"/>
          <w:sz w:val="24"/>
          <w:szCs w:val="24"/>
        </w:rPr>
        <w:t>$</w:t>
      </w:r>
      <w:r w:rsidR="00A557F9">
        <w:rPr>
          <w:rFonts w:ascii="Times New Roman" w:hAnsi="Times New Roman" w:cs="Times New Roman"/>
          <w:snapToGrid w:val="0"/>
          <w:sz w:val="24"/>
          <w:szCs w:val="24"/>
        </w:rPr>
        <w:t>23.1</w:t>
      </w:r>
      <w:r w:rsidR="000755E5">
        <w:rPr>
          <w:rFonts w:ascii="Times New Roman" w:hAnsi="Times New Roman" w:cs="Times New Roman"/>
          <w:snapToGrid w:val="0"/>
          <w:sz w:val="24"/>
          <w:szCs w:val="24"/>
        </w:rPr>
        <w:t xml:space="preserve"> million</w:t>
      </w:r>
      <w:r w:rsidR="00C9703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602C3">
        <w:rPr>
          <w:rFonts w:ascii="Times New Roman" w:hAnsi="Times New Roman" w:cs="Times New Roman"/>
          <w:snapToGrid w:val="0"/>
          <w:sz w:val="24"/>
          <w:szCs w:val="24"/>
        </w:rPr>
        <w:t xml:space="preserve">or higher </w:t>
      </w:r>
      <w:r w:rsidR="00C9703B">
        <w:rPr>
          <w:rFonts w:ascii="Times New Roman" w:hAnsi="Times New Roman" w:cs="Times New Roman"/>
          <w:snapToGrid w:val="0"/>
          <w:sz w:val="24"/>
          <w:szCs w:val="24"/>
        </w:rPr>
        <w:t>in land alone</w:t>
      </w:r>
      <w:r w:rsidR="000755E5">
        <w:rPr>
          <w:rFonts w:ascii="Times New Roman" w:hAnsi="Times New Roman" w:cs="Times New Roman"/>
          <w:snapToGrid w:val="0"/>
          <w:sz w:val="24"/>
          <w:szCs w:val="24"/>
        </w:rPr>
        <w:t xml:space="preserve"> based on the current market price per acre</w:t>
      </w:r>
      <w:r w:rsidR="00C9703B">
        <w:rPr>
          <w:rFonts w:ascii="Times New Roman" w:hAnsi="Times New Roman" w:cs="Times New Roman"/>
          <w:snapToGrid w:val="0"/>
          <w:sz w:val="24"/>
          <w:szCs w:val="24"/>
        </w:rPr>
        <w:t xml:space="preserve"> for available land</w:t>
      </w:r>
      <w:r w:rsidR="000755E5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FA2414" w:rsidRPr="00A557F9" w:rsidRDefault="000569E1" w:rsidP="000755E5">
      <w:pPr>
        <w:pStyle w:val="ListParagraph"/>
        <w:numPr>
          <w:ilvl w:val="0"/>
          <w:numId w:val="14"/>
        </w:numPr>
        <w:spacing w:before="120" w:after="120" w:line="480" w:lineRule="auto"/>
        <w:contextualSpacing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5220A1">
        <w:rPr>
          <w:rFonts w:ascii="Times New Roman" w:hAnsi="Times New Roman" w:cs="Times New Roman"/>
          <w:b/>
          <w:sz w:val="24"/>
          <w:szCs w:val="24"/>
          <w:lang w:eastAsia="zh-CN"/>
        </w:rPr>
        <w:t>Replacement site development costs: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A8404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5220A1">
        <w:rPr>
          <w:rFonts w:ascii="Times New Roman" w:hAnsi="Times New Roman" w:cs="Times New Roman"/>
          <w:sz w:val="24"/>
          <w:szCs w:val="24"/>
          <w:lang w:eastAsia="zh-CN"/>
        </w:rPr>
        <w:t>Through</w:t>
      </w:r>
      <w:r w:rsidR="00A8404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220A1">
        <w:rPr>
          <w:rFonts w:ascii="Times New Roman" w:hAnsi="Times New Roman" w:cs="Times New Roman"/>
          <w:sz w:val="24"/>
          <w:szCs w:val="24"/>
          <w:lang w:eastAsia="zh-CN"/>
        </w:rPr>
        <w:t>CBRE</w:t>
      </w:r>
      <w:r w:rsidR="00CC501C">
        <w:rPr>
          <w:rFonts w:ascii="Times New Roman" w:hAnsi="Times New Roman" w:cs="Times New Roman"/>
          <w:sz w:val="24"/>
          <w:szCs w:val="24"/>
          <w:lang w:eastAsia="zh-CN"/>
        </w:rPr>
        <w:t>’s</w:t>
      </w:r>
      <w:proofErr w:type="spellEnd"/>
      <w:r w:rsidR="00CC501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853B89">
        <w:rPr>
          <w:rFonts w:ascii="Times New Roman" w:hAnsi="Times New Roman" w:cs="Times New Roman"/>
          <w:sz w:val="24"/>
          <w:szCs w:val="24"/>
          <w:lang w:eastAsia="zh-CN"/>
        </w:rPr>
        <w:t xml:space="preserve">independently operated </w:t>
      </w:r>
      <w:r w:rsidR="00CC501C">
        <w:rPr>
          <w:rFonts w:ascii="Times New Roman" w:hAnsi="Times New Roman" w:cs="Times New Roman"/>
          <w:sz w:val="24"/>
          <w:szCs w:val="24"/>
          <w:lang w:eastAsia="zh-CN"/>
        </w:rPr>
        <w:t xml:space="preserve">subsidiary construction company, </w:t>
      </w:r>
      <w:r w:rsidR="00A84043">
        <w:rPr>
          <w:rFonts w:ascii="Times New Roman" w:hAnsi="Times New Roman" w:cs="Times New Roman"/>
          <w:sz w:val="24"/>
          <w:szCs w:val="24"/>
          <w:lang w:eastAsia="zh-CN"/>
        </w:rPr>
        <w:t xml:space="preserve">the Trammel Crow Company, </w:t>
      </w:r>
      <w:proofErr w:type="spellStart"/>
      <w:r w:rsidR="00CC501C">
        <w:rPr>
          <w:rFonts w:ascii="Times New Roman" w:hAnsi="Times New Roman" w:cs="Times New Roman"/>
          <w:sz w:val="24"/>
          <w:szCs w:val="24"/>
          <w:lang w:eastAsia="zh-CN"/>
        </w:rPr>
        <w:t>CBRE</w:t>
      </w:r>
      <w:proofErr w:type="spellEnd"/>
      <w:r w:rsidR="00CC501C">
        <w:rPr>
          <w:rFonts w:ascii="Times New Roman" w:hAnsi="Times New Roman" w:cs="Times New Roman"/>
          <w:sz w:val="24"/>
          <w:szCs w:val="24"/>
          <w:lang w:eastAsia="zh-CN"/>
        </w:rPr>
        <w:t xml:space="preserve"> coordinated the </w:t>
      </w:r>
      <w:r w:rsidR="005220A1">
        <w:rPr>
          <w:rFonts w:ascii="Times New Roman" w:hAnsi="Times New Roman" w:cs="Times New Roman"/>
          <w:sz w:val="24"/>
          <w:szCs w:val="24"/>
          <w:lang w:eastAsia="zh-CN"/>
        </w:rPr>
        <w:t xml:space="preserve">development of design, permitting and construction costs for replacement grounds and facilities for all applicable scenarios. </w:t>
      </w:r>
      <w:r w:rsidR="00A8404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5220A1">
        <w:rPr>
          <w:rFonts w:ascii="Times New Roman" w:hAnsi="Times New Roman" w:cs="Times New Roman"/>
          <w:sz w:val="24"/>
          <w:szCs w:val="24"/>
          <w:lang w:eastAsia="zh-CN"/>
        </w:rPr>
        <w:t xml:space="preserve">PSE </w:t>
      </w:r>
      <w:r w:rsidR="007E3DBE">
        <w:rPr>
          <w:rFonts w:ascii="Times New Roman" w:hAnsi="Times New Roman" w:cs="Times New Roman"/>
          <w:sz w:val="24"/>
          <w:szCs w:val="24"/>
          <w:lang w:eastAsia="zh-CN"/>
        </w:rPr>
        <w:t xml:space="preserve">contributed to this estimate by providing the cost of furniture, fixtures and equipment based on recent installation </w:t>
      </w:r>
      <w:r w:rsidR="00866852">
        <w:rPr>
          <w:rFonts w:ascii="Times New Roman" w:hAnsi="Times New Roman" w:cs="Times New Roman"/>
          <w:sz w:val="24"/>
          <w:szCs w:val="24"/>
          <w:lang w:eastAsia="zh-CN"/>
        </w:rPr>
        <w:t xml:space="preserve">experience and </w:t>
      </w:r>
      <w:r w:rsidR="007E3DBE">
        <w:rPr>
          <w:rFonts w:ascii="Times New Roman" w:hAnsi="Times New Roman" w:cs="Times New Roman"/>
          <w:sz w:val="24"/>
          <w:szCs w:val="24"/>
          <w:lang w:eastAsia="zh-CN"/>
        </w:rPr>
        <w:t>costs</w:t>
      </w:r>
      <w:r w:rsidR="007E3DBE" w:rsidRPr="00A557F9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A8404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E3DBE" w:rsidRPr="00A557F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0755E5" w:rsidRPr="00A557F9">
        <w:rPr>
          <w:rFonts w:ascii="Times New Roman" w:hAnsi="Times New Roman" w:cs="Times New Roman"/>
          <w:sz w:val="24"/>
          <w:szCs w:val="24"/>
          <w:lang w:eastAsia="zh-CN"/>
        </w:rPr>
        <w:t>T</w:t>
      </w:r>
      <w:r w:rsidR="000755E5" w:rsidRPr="00A557F9">
        <w:rPr>
          <w:rFonts w:ascii="Times New Roman" w:hAnsi="Times New Roman" w:cs="Times New Roman"/>
          <w:snapToGrid w:val="0"/>
          <w:sz w:val="24"/>
          <w:szCs w:val="24"/>
        </w:rPr>
        <w:t>he cost of improvements, utility and relocation expense was estimated at $</w:t>
      </w:r>
      <w:r w:rsidR="00A557F9" w:rsidRPr="00A557F9">
        <w:rPr>
          <w:rFonts w:ascii="Times New Roman" w:hAnsi="Times New Roman" w:cs="Times New Roman"/>
          <w:snapToGrid w:val="0"/>
          <w:sz w:val="24"/>
          <w:szCs w:val="24"/>
        </w:rPr>
        <w:t>69.8 million</w:t>
      </w:r>
      <w:r w:rsidR="00C9703B" w:rsidRPr="00A557F9">
        <w:rPr>
          <w:rFonts w:ascii="Times New Roman" w:hAnsi="Times New Roman" w:cs="Times New Roman"/>
          <w:snapToGrid w:val="0"/>
          <w:sz w:val="24"/>
          <w:szCs w:val="24"/>
        </w:rPr>
        <w:t xml:space="preserve">, resulting in a total </w:t>
      </w:r>
      <w:r w:rsidR="000755E5" w:rsidRPr="00A557F9">
        <w:rPr>
          <w:rFonts w:ascii="Times New Roman" w:hAnsi="Times New Roman" w:cs="Times New Roman"/>
          <w:snapToGrid w:val="0"/>
          <w:sz w:val="24"/>
          <w:szCs w:val="24"/>
        </w:rPr>
        <w:t xml:space="preserve">replacement </w:t>
      </w:r>
      <w:r w:rsidR="00C9703B" w:rsidRPr="00A557F9">
        <w:rPr>
          <w:rFonts w:ascii="Times New Roman" w:hAnsi="Times New Roman" w:cs="Times New Roman"/>
          <w:snapToGrid w:val="0"/>
          <w:sz w:val="24"/>
          <w:szCs w:val="24"/>
        </w:rPr>
        <w:t>cost</w:t>
      </w:r>
      <w:r w:rsidR="00A84043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C9703B" w:rsidRPr="00A557F9">
        <w:rPr>
          <w:rFonts w:ascii="Times New Roman" w:hAnsi="Times New Roman" w:cs="Times New Roman"/>
          <w:snapToGrid w:val="0"/>
          <w:sz w:val="24"/>
          <w:szCs w:val="24"/>
        </w:rPr>
        <w:t xml:space="preserve"> including land</w:t>
      </w:r>
      <w:r w:rsidR="00A84043">
        <w:rPr>
          <w:rFonts w:ascii="Times New Roman" w:hAnsi="Times New Roman" w:cs="Times New Roman"/>
          <w:snapToGrid w:val="0"/>
          <w:sz w:val="24"/>
          <w:szCs w:val="24"/>
        </w:rPr>
        <w:t xml:space="preserve"> acquisition,</w:t>
      </w:r>
      <w:r w:rsidR="00C9703B" w:rsidRPr="00A557F9">
        <w:rPr>
          <w:rFonts w:ascii="Times New Roman" w:hAnsi="Times New Roman" w:cs="Times New Roman"/>
          <w:snapToGrid w:val="0"/>
          <w:sz w:val="24"/>
          <w:szCs w:val="24"/>
        </w:rPr>
        <w:t xml:space="preserve"> of approximately</w:t>
      </w:r>
      <w:r w:rsidR="000755E5" w:rsidRPr="00A557F9">
        <w:rPr>
          <w:rFonts w:ascii="Times New Roman" w:hAnsi="Times New Roman" w:cs="Times New Roman"/>
          <w:snapToGrid w:val="0"/>
          <w:sz w:val="24"/>
          <w:szCs w:val="24"/>
        </w:rPr>
        <w:t xml:space="preserve"> $</w:t>
      </w:r>
      <w:r w:rsidR="00A557F9" w:rsidRPr="00A557F9">
        <w:rPr>
          <w:rFonts w:ascii="Times New Roman" w:hAnsi="Times New Roman" w:cs="Times New Roman"/>
          <w:snapToGrid w:val="0"/>
          <w:sz w:val="24"/>
          <w:szCs w:val="24"/>
        </w:rPr>
        <w:t>83.9 million</w:t>
      </w:r>
      <w:r w:rsidR="00C9703B" w:rsidRPr="00A557F9">
        <w:rPr>
          <w:rFonts w:ascii="Times New Roman" w:hAnsi="Times New Roman" w:cs="Times New Roman"/>
          <w:snapToGrid w:val="0"/>
          <w:sz w:val="24"/>
          <w:szCs w:val="24"/>
        </w:rPr>
        <w:t xml:space="preserve"> in 2016 dollars</w:t>
      </w:r>
      <w:r w:rsidR="000755E5" w:rsidRPr="00A557F9">
        <w:rPr>
          <w:rFonts w:ascii="Times New Roman" w:hAnsi="Times New Roman" w:cs="Times New Roman"/>
          <w:snapToGrid w:val="0"/>
          <w:sz w:val="24"/>
          <w:szCs w:val="24"/>
        </w:rPr>
        <w:t xml:space="preserve">.  </w:t>
      </w:r>
      <w:proofErr w:type="spellStart"/>
      <w:r w:rsidR="00C9703B" w:rsidRPr="00A557F9">
        <w:rPr>
          <w:rFonts w:ascii="Times New Roman" w:hAnsi="Times New Roman" w:cs="Times New Roman"/>
          <w:snapToGrid w:val="0"/>
          <w:sz w:val="24"/>
          <w:szCs w:val="24"/>
        </w:rPr>
        <w:t>CBRE</w:t>
      </w:r>
      <w:proofErr w:type="spellEnd"/>
      <w:r w:rsidR="00C9703B" w:rsidRPr="00A557F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A2414" w:rsidRPr="00A557F9">
        <w:rPr>
          <w:rFonts w:ascii="Times New Roman" w:hAnsi="Times New Roman" w:cs="Times New Roman"/>
          <w:snapToGrid w:val="0"/>
          <w:sz w:val="24"/>
          <w:szCs w:val="24"/>
        </w:rPr>
        <w:t xml:space="preserve">escalated </w:t>
      </w:r>
      <w:r w:rsidR="00C9703B" w:rsidRPr="00A557F9">
        <w:rPr>
          <w:rFonts w:ascii="Times New Roman" w:hAnsi="Times New Roman" w:cs="Times New Roman"/>
          <w:snapToGrid w:val="0"/>
          <w:sz w:val="24"/>
          <w:szCs w:val="24"/>
        </w:rPr>
        <w:t xml:space="preserve">these costs </w:t>
      </w:r>
      <w:r w:rsidR="00FA2414" w:rsidRPr="00A557F9">
        <w:rPr>
          <w:rFonts w:ascii="Times New Roman" w:hAnsi="Times New Roman" w:cs="Times New Roman"/>
          <w:snapToGrid w:val="0"/>
          <w:sz w:val="24"/>
          <w:szCs w:val="24"/>
        </w:rPr>
        <w:t xml:space="preserve">at </w:t>
      </w:r>
      <w:r w:rsidR="00C9703B" w:rsidRPr="00A557F9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FA2414" w:rsidRPr="00A557F9">
        <w:rPr>
          <w:rFonts w:ascii="Times New Roman" w:hAnsi="Times New Roman" w:cs="Times New Roman"/>
          <w:snapToGrid w:val="0"/>
          <w:sz w:val="24"/>
          <w:szCs w:val="24"/>
        </w:rPr>
        <w:t xml:space="preserve">% per year </w:t>
      </w:r>
      <w:r w:rsidR="00C9703B" w:rsidRPr="00A557F9">
        <w:rPr>
          <w:rFonts w:ascii="Times New Roman" w:hAnsi="Times New Roman" w:cs="Times New Roman"/>
          <w:snapToGrid w:val="0"/>
          <w:sz w:val="24"/>
          <w:szCs w:val="24"/>
        </w:rPr>
        <w:t xml:space="preserve">to coincide with the </w:t>
      </w:r>
      <w:r w:rsidR="00FA2414" w:rsidRPr="00A557F9">
        <w:rPr>
          <w:rFonts w:ascii="Times New Roman" w:hAnsi="Times New Roman" w:cs="Times New Roman"/>
          <w:snapToGrid w:val="0"/>
          <w:sz w:val="24"/>
          <w:szCs w:val="24"/>
        </w:rPr>
        <w:t>timing of each lease/purchase scenario.</w:t>
      </w:r>
    </w:p>
    <w:p w:rsidR="000569E1" w:rsidRPr="007E3DBE" w:rsidRDefault="00EB3A85" w:rsidP="00FA2414">
      <w:pPr>
        <w:pStyle w:val="ListParagraph"/>
        <w:spacing w:before="120" w:after="120" w:line="480" w:lineRule="auto"/>
        <w:ind w:left="1080"/>
        <w:contextualSpacing w:val="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The magnitude of this </w:t>
      </w:r>
      <w:r w:rsidR="000755E5">
        <w:rPr>
          <w:rFonts w:ascii="Times New Roman" w:hAnsi="Times New Roman" w:cs="Times New Roman"/>
          <w:snapToGrid w:val="0"/>
          <w:sz w:val="24"/>
          <w:szCs w:val="24"/>
        </w:rPr>
        <w:t xml:space="preserve">estimate was </w:t>
      </w:r>
      <w:r w:rsidR="00866852">
        <w:rPr>
          <w:rFonts w:ascii="Times New Roman" w:hAnsi="Times New Roman" w:cs="Times New Roman"/>
          <w:snapToGrid w:val="0"/>
          <w:sz w:val="24"/>
          <w:szCs w:val="24"/>
        </w:rPr>
        <w:t xml:space="preserve">independently </w:t>
      </w:r>
      <w:r w:rsidR="000755E5">
        <w:rPr>
          <w:rFonts w:ascii="Times New Roman" w:hAnsi="Times New Roman" w:cs="Times New Roman"/>
          <w:snapToGrid w:val="0"/>
          <w:sz w:val="24"/>
          <w:szCs w:val="24"/>
        </w:rPr>
        <w:t xml:space="preserve">corroborated by MENG as part of its </w:t>
      </w:r>
      <w:r w:rsidR="000755E5" w:rsidRPr="000755E5">
        <w:rPr>
          <w:rFonts w:ascii="Times New Roman" w:hAnsi="Times New Roman" w:cs="Times New Roman"/>
          <w:snapToGrid w:val="0"/>
          <w:sz w:val="24"/>
          <w:szCs w:val="24"/>
        </w:rPr>
        <w:t>Facility Condition Assessment Report</w:t>
      </w:r>
      <w:r w:rsidR="000755E5">
        <w:rPr>
          <w:rFonts w:ascii="Times New Roman" w:hAnsi="Times New Roman" w:cs="Times New Roman"/>
          <w:snapToGrid w:val="0"/>
          <w:sz w:val="24"/>
          <w:szCs w:val="24"/>
        </w:rPr>
        <w:t>, wherein MENG indicated a</w:t>
      </w:r>
      <w:r w:rsidR="00866852">
        <w:rPr>
          <w:rFonts w:ascii="Times New Roman" w:hAnsi="Times New Roman" w:cs="Times New Roman"/>
          <w:snapToGrid w:val="0"/>
          <w:sz w:val="24"/>
          <w:szCs w:val="24"/>
        </w:rPr>
        <w:t xml:space="preserve">n all-in replacement cost of </w:t>
      </w:r>
      <w:r w:rsidR="00A557F9">
        <w:rPr>
          <w:rFonts w:ascii="Times New Roman" w:hAnsi="Times New Roman" w:cs="Times New Roman"/>
          <w:snapToGrid w:val="0"/>
          <w:sz w:val="24"/>
          <w:szCs w:val="24"/>
        </w:rPr>
        <w:t>$92.7</w:t>
      </w:r>
      <w:r w:rsidR="000755E5">
        <w:rPr>
          <w:rFonts w:ascii="Times New Roman" w:hAnsi="Times New Roman" w:cs="Times New Roman"/>
          <w:snapToGrid w:val="0"/>
          <w:sz w:val="24"/>
          <w:szCs w:val="24"/>
        </w:rPr>
        <w:t xml:space="preserve"> million</w:t>
      </w:r>
      <w:r w:rsidR="00A557F9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FA2414" w:rsidRPr="00FA2414" w:rsidRDefault="00FA2414" w:rsidP="00D643A7">
      <w:pPr>
        <w:pStyle w:val="ListParagraph"/>
        <w:numPr>
          <w:ilvl w:val="0"/>
          <w:numId w:val="14"/>
        </w:numPr>
        <w:spacing w:before="120" w:after="120" w:line="480" w:lineRule="auto"/>
        <w:contextualSpacing w:val="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 xml:space="preserve">Lessor cost-modeling and rate of return expectations: </w:t>
      </w:r>
      <w:r w:rsidR="00A84043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="00F32E76">
        <w:rPr>
          <w:rFonts w:ascii="Times New Roman" w:hAnsi="Times New Roman" w:cs="Times New Roman"/>
          <w:sz w:val="24"/>
          <w:szCs w:val="24"/>
          <w:lang w:eastAsia="zh-CN"/>
        </w:rPr>
        <w:t>CBRE</w:t>
      </w:r>
      <w:proofErr w:type="spellEnd"/>
      <w:r w:rsidR="00F32E76">
        <w:rPr>
          <w:rFonts w:ascii="Times New Roman" w:hAnsi="Times New Roman" w:cs="Times New Roman"/>
          <w:sz w:val="24"/>
          <w:szCs w:val="24"/>
          <w:lang w:eastAsia="zh-CN"/>
        </w:rPr>
        <w:t xml:space="preserve"> developed the</w:t>
      </w:r>
      <w:r w:rsidR="00F2537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D10071">
        <w:rPr>
          <w:rFonts w:ascii="Times New Roman" w:hAnsi="Times New Roman" w:cs="Times New Roman"/>
          <w:sz w:val="24"/>
          <w:szCs w:val="24"/>
          <w:lang w:eastAsia="zh-CN"/>
        </w:rPr>
        <w:t xml:space="preserve">2029 </w:t>
      </w:r>
      <w:proofErr w:type="spellStart"/>
      <w:r w:rsidR="00D10071">
        <w:rPr>
          <w:rFonts w:ascii="Times New Roman" w:hAnsi="Times New Roman" w:cs="Times New Roman"/>
          <w:sz w:val="24"/>
          <w:szCs w:val="24"/>
          <w:lang w:eastAsia="zh-CN"/>
        </w:rPr>
        <w:t>SKC</w:t>
      </w:r>
      <w:proofErr w:type="spellEnd"/>
      <w:r w:rsidR="00D10071">
        <w:rPr>
          <w:rFonts w:ascii="Times New Roman" w:hAnsi="Times New Roman" w:cs="Times New Roman"/>
          <w:sz w:val="24"/>
          <w:szCs w:val="24"/>
          <w:lang w:eastAsia="zh-CN"/>
        </w:rPr>
        <w:t xml:space="preserve"> replacement site </w:t>
      </w:r>
      <w:r w:rsidR="00F32E76">
        <w:rPr>
          <w:rFonts w:ascii="Times New Roman" w:hAnsi="Times New Roman" w:cs="Times New Roman"/>
          <w:sz w:val="24"/>
          <w:szCs w:val="24"/>
          <w:lang w:eastAsia="zh-CN"/>
        </w:rPr>
        <w:t xml:space="preserve">cost </w:t>
      </w:r>
      <w:r w:rsidR="00D10071">
        <w:rPr>
          <w:rFonts w:ascii="Times New Roman" w:hAnsi="Times New Roman" w:cs="Times New Roman"/>
          <w:sz w:val="24"/>
          <w:szCs w:val="24"/>
          <w:lang w:eastAsia="zh-CN"/>
        </w:rPr>
        <w:t xml:space="preserve">by </w:t>
      </w:r>
      <w:r w:rsidR="00D643A7" w:rsidRPr="00D643A7">
        <w:rPr>
          <w:rFonts w:ascii="Times New Roman" w:hAnsi="Times New Roman" w:cs="Times New Roman"/>
          <w:sz w:val="24"/>
          <w:szCs w:val="24"/>
          <w:lang w:eastAsia="zh-CN"/>
        </w:rPr>
        <w:t>escalat</w:t>
      </w:r>
      <w:r w:rsidR="00D10071">
        <w:rPr>
          <w:rFonts w:ascii="Times New Roman" w:hAnsi="Times New Roman" w:cs="Times New Roman"/>
          <w:sz w:val="24"/>
          <w:szCs w:val="24"/>
          <w:lang w:eastAsia="zh-CN"/>
        </w:rPr>
        <w:t>ing the 2016</w:t>
      </w:r>
      <w:r w:rsidR="00D643A7" w:rsidRPr="00D643A7">
        <w:rPr>
          <w:rFonts w:ascii="Times New Roman" w:hAnsi="Times New Roman" w:cs="Times New Roman"/>
          <w:sz w:val="24"/>
          <w:szCs w:val="24"/>
          <w:lang w:eastAsia="zh-CN"/>
        </w:rPr>
        <w:t xml:space="preserve"> estimated value</w:t>
      </w:r>
      <w:r w:rsidR="00D643A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D10071">
        <w:rPr>
          <w:rFonts w:ascii="Times New Roman" w:hAnsi="Times New Roman" w:cs="Times New Roman"/>
          <w:sz w:val="24"/>
          <w:szCs w:val="24"/>
          <w:lang w:eastAsia="zh-CN"/>
        </w:rPr>
        <w:t>using</w:t>
      </w:r>
      <w:r w:rsidR="00D643A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D10071">
        <w:rPr>
          <w:rFonts w:ascii="Times New Roman" w:hAnsi="Times New Roman" w:cs="Times New Roman"/>
          <w:sz w:val="24"/>
          <w:szCs w:val="24"/>
          <w:lang w:eastAsia="zh-CN"/>
        </w:rPr>
        <w:t>the</w:t>
      </w:r>
      <w:r w:rsidR="00D643A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D10071">
        <w:rPr>
          <w:rFonts w:ascii="Times New Roman" w:hAnsi="Times New Roman" w:cs="Times New Roman"/>
          <w:sz w:val="24"/>
          <w:szCs w:val="24"/>
          <w:lang w:eastAsia="zh-CN"/>
        </w:rPr>
        <w:t>historic</w:t>
      </w:r>
      <w:r w:rsidR="00D643A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D10071">
        <w:rPr>
          <w:rFonts w:ascii="Times New Roman" w:hAnsi="Times New Roman" w:cs="Times New Roman"/>
          <w:sz w:val="24"/>
          <w:szCs w:val="24"/>
          <w:lang w:eastAsia="zh-CN"/>
        </w:rPr>
        <w:t>SKC</w:t>
      </w:r>
      <w:proofErr w:type="spellEnd"/>
      <w:r w:rsidR="00D10071">
        <w:rPr>
          <w:rFonts w:ascii="Times New Roman" w:hAnsi="Times New Roman" w:cs="Times New Roman"/>
          <w:sz w:val="24"/>
          <w:szCs w:val="24"/>
          <w:lang w:eastAsia="zh-CN"/>
        </w:rPr>
        <w:t xml:space="preserve"> growth rate </w:t>
      </w:r>
      <w:r w:rsidR="00F32E76">
        <w:rPr>
          <w:rFonts w:ascii="Times New Roman" w:hAnsi="Times New Roman" w:cs="Times New Roman"/>
          <w:sz w:val="24"/>
          <w:szCs w:val="24"/>
          <w:lang w:eastAsia="zh-CN"/>
        </w:rPr>
        <w:t>as well as</w:t>
      </w:r>
      <w:r w:rsidR="00D643A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D10071">
        <w:rPr>
          <w:rFonts w:ascii="Times New Roman" w:hAnsi="Times New Roman" w:cs="Times New Roman"/>
          <w:sz w:val="24"/>
          <w:szCs w:val="24"/>
          <w:lang w:eastAsia="zh-CN"/>
        </w:rPr>
        <w:t xml:space="preserve">a more </w:t>
      </w:r>
      <w:r w:rsidR="00D643A7">
        <w:rPr>
          <w:rFonts w:ascii="Times New Roman" w:hAnsi="Times New Roman" w:cs="Times New Roman"/>
          <w:sz w:val="24"/>
          <w:szCs w:val="24"/>
          <w:lang w:eastAsia="zh-CN"/>
        </w:rPr>
        <w:t>conservative annual growth rate</w:t>
      </w:r>
      <w:r w:rsidR="00D10071">
        <w:rPr>
          <w:rFonts w:ascii="Times New Roman" w:hAnsi="Times New Roman" w:cs="Times New Roman"/>
          <w:sz w:val="24"/>
          <w:szCs w:val="24"/>
          <w:lang w:eastAsia="zh-CN"/>
        </w:rPr>
        <w:t xml:space="preserve"> to </w:t>
      </w:r>
      <w:r w:rsidR="00F32E76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D10071">
        <w:rPr>
          <w:rFonts w:ascii="Times New Roman" w:hAnsi="Times New Roman" w:cs="Times New Roman"/>
          <w:sz w:val="24"/>
          <w:szCs w:val="24"/>
          <w:lang w:eastAsia="zh-CN"/>
        </w:rPr>
        <w:t>book-end</w:t>
      </w:r>
      <w:r w:rsidR="00F32E76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="00D10071">
        <w:rPr>
          <w:rFonts w:ascii="Times New Roman" w:hAnsi="Times New Roman" w:cs="Times New Roman"/>
          <w:sz w:val="24"/>
          <w:szCs w:val="24"/>
          <w:lang w:eastAsia="zh-CN"/>
        </w:rPr>
        <w:t xml:space="preserve"> the analysis</w:t>
      </w:r>
      <w:r w:rsidR="00D643A7" w:rsidRPr="00D643A7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D643A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3C4F2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F32E76">
        <w:rPr>
          <w:rFonts w:ascii="Times New Roman" w:hAnsi="Times New Roman" w:cs="Times New Roman"/>
          <w:sz w:val="24"/>
          <w:szCs w:val="24"/>
          <w:lang w:eastAsia="zh-CN"/>
        </w:rPr>
        <w:t xml:space="preserve">In addition, </w:t>
      </w:r>
      <w:proofErr w:type="spellStart"/>
      <w:r w:rsidR="00F32E76">
        <w:rPr>
          <w:rFonts w:ascii="Times New Roman" w:hAnsi="Times New Roman" w:cs="Times New Roman"/>
          <w:sz w:val="24"/>
          <w:szCs w:val="24"/>
          <w:lang w:eastAsia="zh-CN"/>
        </w:rPr>
        <w:t>CBRE</w:t>
      </w:r>
      <w:proofErr w:type="spellEnd"/>
      <w:r w:rsidR="00F32E76">
        <w:rPr>
          <w:rFonts w:ascii="Times New Roman" w:hAnsi="Times New Roman" w:cs="Times New Roman"/>
          <w:sz w:val="24"/>
          <w:szCs w:val="24"/>
          <w:lang w:eastAsia="zh-CN"/>
        </w:rPr>
        <w:t xml:space="preserve"> provided a capitalization rate estimate of 6.75% based on </w:t>
      </w:r>
      <w:r w:rsidR="008D7466">
        <w:rPr>
          <w:rFonts w:ascii="Times New Roman" w:hAnsi="Times New Roman" w:cs="Times New Roman"/>
          <w:sz w:val="24"/>
          <w:szCs w:val="24"/>
          <w:lang w:eastAsia="zh-CN"/>
        </w:rPr>
        <w:t xml:space="preserve">current </w:t>
      </w:r>
      <w:r w:rsidR="00F32E76">
        <w:rPr>
          <w:rFonts w:ascii="Times New Roman" w:hAnsi="Times New Roman" w:cs="Times New Roman"/>
          <w:sz w:val="24"/>
          <w:szCs w:val="24"/>
          <w:lang w:eastAsia="zh-CN"/>
        </w:rPr>
        <w:t xml:space="preserve">investor return expectations for </w:t>
      </w:r>
      <w:r w:rsidR="008D7466">
        <w:rPr>
          <w:rFonts w:ascii="Times New Roman" w:hAnsi="Times New Roman" w:cs="Times New Roman"/>
          <w:sz w:val="24"/>
          <w:szCs w:val="24"/>
          <w:lang w:eastAsia="zh-CN"/>
        </w:rPr>
        <w:t xml:space="preserve">development of similar assets within geographic proximity of </w:t>
      </w:r>
      <w:proofErr w:type="spellStart"/>
      <w:r w:rsidR="008D7466">
        <w:rPr>
          <w:rFonts w:ascii="Times New Roman" w:hAnsi="Times New Roman" w:cs="Times New Roman"/>
          <w:sz w:val="24"/>
          <w:szCs w:val="24"/>
          <w:lang w:eastAsia="zh-CN"/>
        </w:rPr>
        <w:t>SKC</w:t>
      </w:r>
      <w:proofErr w:type="spellEnd"/>
      <w:r w:rsidR="008D7466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3C4F2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8D7466">
        <w:rPr>
          <w:rFonts w:ascii="Times New Roman" w:hAnsi="Times New Roman" w:cs="Times New Roman"/>
          <w:sz w:val="24"/>
          <w:szCs w:val="24"/>
          <w:lang w:eastAsia="zh-CN"/>
        </w:rPr>
        <w:t>This c</w:t>
      </w:r>
      <w:r w:rsidR="00D10071">
        <w:rPr>
          <w:rFonts w:ascii="Times New Roman" w:hAnsi="Times New Roman" w:cs="Times New Roman"/>
          <w:sz w:val="24"/>
          <w:szCs w:val="24"/>
          <w:lang w:eastAsia="zh-CN"/>
        </w:rPr>
        <w:t>api</w:t>
      </w:r>
      <w:r w:rsidR="00D643A7">
        <w:rPr>
          <w:rFonts w:ascii="Times New Roman" w:hAnsi="Times New Roman" w:cs="Times New Roman"/>
          <w:sz w:val="24"/>
          <w:szCs w:val="24"/>
          <w:lang w:eastAsia="zh-CN"/>
        </w:rPr>
        <w:t>talization rate</w:t>
      </w:r>
      <w:r w:rsidR="0030450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D10071">
        <w:rPr>
          <w:rFonts w:ascii="Times New Roman" w:hAnsi="Times New Roman" w:cs="Times New Roman"/>
          <w:sz w:val="24"/>
          <w:szCs w:val="24"/>
          <w:lang w:eastAsia="zh-CN"/>
        </w:rPr>
        <w:t xml:space="preserve">was </w:t>
      </w:r>
      <w:r w:rsidR="00304502">
        <w:rPr>
          <w:rFonts w:ascii="Times New Roman" w:hAnsi="Times New Roman" w:cs="Times New Roman"/>
          <w:sz w:val="24"/>
          <w:szCs w:val="24"/>
          <w:lang w:eastAsia="zh-CN"/>
        </w:rPr>
        <w:t xml:space="preserve">multiplied </w:t>
      </w:r>
      <w:r w:rsidR="00D10071">
        <w:rPr>
          <w:rFonts w:ascii="Times New Roman" w:hAnsi="Times New Roman" w:cs="Times New Roman"/>
          <w:sz w:val="24"/>
          <w:szCs w:val="24"/>
          <w:lang w:eastAsia="zh-CN"/>
        </w:rPr>
        <w:t xml:space="preserve">against </w:t>
      </w:r>
      <w:r w:rsidR="00304502">
        <w:rPr>
          <w:rFonts w:ascii="Times New Roman" w:hAnsi="Times New Roman" w:cs="Times New Roman"/>
          <w:sz w:val="24"/>
          <w:szCs w:val="24"/>
          <w:lang w:eastAsia="zh-CN"/>
        </w:rPr>
        <w:t xml:space="preserve">the total cost to </w:t>
      </w:r>
      <w:r w:rsidR="00C9703B">
        <w:rPr>
          <w:rFonts w:ascii="Times New Roman" w:hAnsi="Times New Roman" w:cs="Times New Roman"/>
          <w:sz w:val="24"/>
          <w:szCs w:val="24"/>
          <w:lang w:eastAsia="zh-CN"/>
        </w:rPr>
        <w:t xml:space="preserve">acquire and develop </w:t>
      </w:r>
      <w:r w:rsidR="00304502">
        <w:rPr>
          <w:rFonts w:ascii="Times New Roman" w:hAnsi="Times New Roman" w:cs="Times New Roman"/>
          <w:sz w:val="24"/>
          <w:szCs w:val="24"/>
          <w:lang w:eastAsia="zh-CN"/>
        </w:rPr>
        <w:t>the property</w:t>
      </w:r>
      <w:r w:rsidR="00D10071">
        <w:rPr>
          <w:rFonts w:ascii="Times New Roman" w:hAnsi="Times New Roman" w:cs="Times New Roman"/>
          <w:sz w:val="24"/>
          <w:szCs w:val="24"/>
          <w:lang w:eastAsia="zh-CN"/>
        </w:rPr>
        <w:t xml:space="preserve"> in order</w:t>
      </w:r>
      <w:r w:rsidR="00304502">
        <w:rPr>
          <w:rFonts w:ascii="Times New Roman" w:hAnsi="Times New Roman" w:cs="Times New Roman"/>
          <w:sz w:val="24"/>
          <w:szCs w:val="24"/>
          <w:lang w:eastAsia="zh-CN"/>
        </w:rPr>
        <w:t xml:space="preserve"> to determine the annual rent</w:t>
      </w:r>
      <w:r w:rsidR="00D10071">
        <w:rPr>
          <w:rFonts w:ascii="Times New Roman" w:hAnsi="Times New Roman" w:cs="Times New Roman"/>
          <w:sz w:val="24"/>
          <w:szCs w:val="24"/>
          <w:lang w:eastAsia="zh-CN"/>
        </w:rPr>
        <w:t xml:space="preserve"> for cash flow modeling purposes</w:t>
      </w:r>
      <w:r w:rsidR="00304502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D1007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0569E1" w:rsidRDefault="000755E5" w:rsidP="000755E5">
      <w:pPr>
        <w:pStyle w:val="ListParagraph"/>
        <w:numPr>
          <w:ilvl w:val="0"/>
          <w:numId w:val="14"/>
        </w:numPr>
        <w:spacing w:before="120" w:after="120" w:line="480" w:lineRule="auto"/>
        <w:contextualSpacing w:val="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Location/logistical and permitting c</w:t>
      </w:r>
      <w:r w:rsidR="000569E1" w:rsidRPr="005220A1">
        <w:rPr>
          <w:rFonts w:ascii="Times New Roman" w:hAnsi="Times New Roman" w:cs="Times New Roman"/>
          <w:b/>
          <w:sz w:val="24"/>
          <w:szCs w:val="24"/>
          <w:lang w:eastAsia="zh-CN"/>
        </w:rPr>
        <w:t>onsiderations:</w:t>
      </w:r>
      <w:r w:rsidR="000569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3C4F2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SKC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is c</w:t>
      </w:r>
      <w:r w:rsidRPr="000755E5">
        <w:rPr>
          <w:rFonts w:ascii="Times New Roman" w:hAnsi="Times New Roman" w:cs="Times New Roman"/>
          <w:sz w:val="24"/>
          <w:szCs w:val="24"/>
          <w:lang w:eastAsia="zh-CN"/>
        </w:rPr>
        <w:t xml:space="preserve">entrally located with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very </w:t>
      </w:r>
      <w:r w:rsidRPr="000755E5">
        <w:rPr>
          <w:rFonts w:ascii="Times New Roman" w:hAnsi="Times New Roman" w:cs="Times New Roman"/>
          <w:sz w:val="24"/>
          <w:szCs w:val="24"/>
          <w:lang w:eastAsia="zh-CN"/>
        </w:rPr>
        <w:t xml:space="preserve">good access to major highways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connecting PSE’s </w:t>
      </w:r>
      <w:r w:rsidR="00C6188C">
        <w:rPr>
          <w:rFonts w:ascii="Times New Roman" w:hAnsi="Times New Roman" w:cs="Times New Roman"/>
          <w:sz w:val="24"/>
          <w:szCs w:val="24"/>
          <w:lang w:eastAsia="zh-CN"/>
        </w:rPr>
        <w:t>service territory and, as previously discussed, similar</w:t>
      </w:r>
      <w:r w:rsidR="00FE3B6D">
        <w:rPr>
          <w:rFonts w:ascii="Times New Roman" w:hAnsi="Times New Roman" w:cs="Times New Roman"/>
          <w:sz w:val="24"/>
          <w:szCs w:val="24"/>
          <w:lang w:eastAsia="zh-CN"/>
        </w:rPr>
        <w:t>ly located/configured</w:t>
      </w:r>
      <w:r w:rsidR="00C6188C">
        <w:rPr>
          <w:rFonts w:ascii="Times New Roman" w:hAnsi="Times New Roman" w:cs="Times New Roman"/>
          <w:sz w:val="24"/>
          <w:szCs w:val="24"/>
          <w:lang w:eastAsia="zh-CN"/>
        </w:rPr>
        <w:t xml:space="preserve"> replacement properties are not readily available.</w:t>
      </w:r>
      <w:r w:rsidR="003C4F2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6188C">
        <w:rPr>
          <w:rFonts w:ascii="Times New Roman" w:hAnsi="Times New Roman" w:cs="Times New Roman"/>
          <w:sz w:val="24"/>
          <w:szCs w:val="24"/>
          <w:lang w:eastAsia="zh-CN"/>
        </w:rPr>
        <w:t xml:space="preserve"> In addition, </w:t>
      </w:r>
      <w:proofErr w:type="spellStart"/>
      <w:r w:rsidRPr="000755E5">
        <w:rPr>
          <w:rFonts w:ascii="Times New Roman" w:hAnsi="Times New Roman" w:cs="Times New Roman"/>
          <w:sz w:val="24"/>
          <w:szCs w:val="24"/>
          <w:lang w:eastAsia="zh-CN"/>
        </w:rPr>
        <w:t>SKC</w:t>
      </w:r>
      <w:proofErr w:type="spellEnd"/>
      <w:r w:rsidR="00C6188C">
        <w:rPr>
          <w:rFonts w:ascii="Times New Roman" w:hAnsi="Times New Roman" w:cs="Times New Roman"/>
          <w:sz w:val="24"/>
          <w:szCs w:val="24"/>
          <w:lang w:eastAsia="zh-CN"/>
        </w:rPr>
        <w:t xml:space="preserve"> is </w:t>
      </w:r>
      <w:r w:rsidR="008D7466">
        <w:rPr>
          <w:rFonts w:ascii="Times New Roman" w:hAnsi="Times New Roman" w:cs="Times New Roman"/>
          <w:sz w:val="24"/>
          <w:szCs w:val="24"/>
          <w:lang w:eastAsia="zh-CN"/>
        </w:rPr>
        <w:t xml:space="preserve">zoned for outdoor equipment storage and </w:t>
      </w:r>
      <w:r w:rsidR="00C6188C">
        <w:rPr>
          <w:rFonts w:ascii="Times New Roman" w:hAnsi="Times New Roman" w:cs="Times New Roman"/>
          <w:sz w:val="24"/>
          <w:szCs w:val="24"/>
          <w:lang w:eastAsia="zh-CN"/>
        </w:rPr>
        <w:t>permitted and</w:t>
      </w:r>
      <w:r w:rsidRPr="000755E5">
        <w:rPr>
          <w:rFonts w:ascii="Times New Roman" w:hAnsi="Times New Roman" w:cs="Times New Roman"/>
          <w:sz w:val="24"/>
          <w:szCs w:val="24"/>
          <w:lang w:eastAsia="zh-CN"/>
        </w:rPr>
        <w:t xml:space="preserve"> equipped</w:t>
      </w:r>
      <w:r w:rsidR="00C6188C">
        <w:rPr>
          <w:rFonts w:ascii="Times New Roman" w:hAnsi="Times New Roman" w:cs="Times New Roman"/>
          <w:sz w:val="24"/>
          <w:szCs w:val="24"/>
          <w:lang w:eastAsia="zh-CN"/>
        </w:rPr>
        <w:t xml:space="preserve"> to accommodate hazardous materials in connection with certain electrical and mechanical equipment</w:t>
      </w:r>
      <w:r w:rsidRPr="000755E5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3C4F2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A402D1">
        <w:rPr>
          <w:rFonts w:ascii="Times New Roman" w:hAnsi="Times New Roman" w:cs="Times New Roman"/>
          <w:sz w:val="24"/>
          <w:szCs w:val="24"/>
          <w:lang w:eastAsia="zh-CN"/>
        </w:rPr>
        <w:t xml:space="preserve">PSE’s </w:t>
      </w:r>
      <w:r w:rsidR="00FE3B6D" w:rsidRPr="002E3E2E">
        <w:rPr>
          <w:rFonts w:ascii="Times New Roman" w:hAnsi="Times New Roman" w:cs="Times New Roman"/>
          <w:sz w:val="24"/>
          <w:szCs w:val="24"/>
        </w:rPr>
        <w:t>Moderate Risk Waste Handling Facility</w:t>
      </w:r>
      <w:r w:rsidR="00A402D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755E5">
        <w:rPr>
          <w:rFonts w:ascii="Times New Roman" w:hAnsi="Times New Roman" w:cs="Times New Roman"/>
          <w:sz w:val="24"/>
          <w:szCs w:val="24"/>
          <w:lang w:eastAsia="zh-CN"/>
        </w:rPr>
        <w:t xml:space="preserve">was constructed by PSE </w:t>
      </w:r>
      <w:r w:rsidR="00A402D1">
        <w:rPr>
          <w:rFonts w:ascii="Times New Roman" w:hAnsi="Times New Roman" w:cs="Times New Roman"/>
          <w:sz w:val="24"/>
          <w:szCs w:val="24"/>
          <w:lang w:eastAsia="zh-CN"/>
        </w:rPr>
        <w:t xml:space="preserve">at the property </w:t>
      </w:r>
      <w:r w:rsidRPr="000755E5">
        <w:rPr>
          <w:rFonts w:ascii="Times New Roman" w:hAnsi="Times New Roman" w:cs="Times New Roman"/>
          <w:sz w:val="24"/>
          <w:szCs w:val="24"/>
          <w:lang w:eastAsia="zh-CN"/>
        </w:rPr>
        <w:t xml:space="preserve">in 1997 </w:t>
      </w:r>
      <w:r w:rsidR="00C6188C">
        <w:rPr>
          <w:rFonts w:ascii="Times New Roman" w:hAnsi="Times New Roman" w:cs="Times New Roman"/>
          <w:sz w:val="24"/>
          <w:szCs w:val="24"/>
          <w:lang w:eastAsia="zh-CN"/>
        </w:rPr>
        <w:t xml:space="preserve">and PSE maintains Spill Prevention, Containment and Countermeasure plans and processes in compliance with all local, state and federal jurisdictions. </w:t>
      </w:r>
    </w:p>
    <w:p w:rsidR="00EF5F5B" w:rsidRPr="00EF5F5B" w:rsidRDefault="00EF5F5B" w:rsidP="00EF5F5B">
      <w:pPr>
        <w:pStyle w:val="ListParagraph"/>
        <w:numPr>
          <w:ilvl w:val="0"/>
          <w:numId w:val="14"/>
        </w:numPr>
        <w:spacing w:before="120" w:after="120" w:line="480" w:lineRule="auto"/>
        <w:contextualSpacing w:val="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Pre-purchase facilities c</w:t>
      </w:r>
      <w:r w:rsidRPr="002A5268">
        <w:rPr>
          <w:rFonts w:ascii="Times New Roman" w:hAnsi="Times New Roman" w:cs="Times New Roman"/>
          <w:b/>
          <w:sz w:val="24"/>
          <w:szCs w:val="24"/>
          <w:lang w:eastAsia="zh-CN"/>
        </w:rPr>
        <w:t>ondition assessment and need for incremental improvements:</w:t>
      </w:r>
      <w:r w:rsidRPr="002A526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3C4F2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A5268">
        <w:rPr>
          <w:rFonts w:ascii="Times New Roman" w:hAnsi="Times New Roman" w:cs="Times New Roman"/>
          <w:sz w:val="24"/>
          <w:szCs w:val="24"/>
          <w:lang w:eastAsia="zh-CN"/>
        </w:rPr>
        <w:t xml:space="preserve">As part of pre-purchase due diligence, PSE retained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MENG </w:t>
      </w:r>
      <w:r w:rsidRPr="002A5268">
        <w:rPr>
          <w:rFonts w:ascii="Times New Roman" w:hAnsi="Times New Roman" w:cs="Times New Roman"/>
          <w:sz w:val="24"/>
          <w:szCs w:val="24"/>
          <w:lang w:eastAsia="zh-CN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perform </w:t>
      </w:r>
      <w:r w:rsidRPr="002A5268">
        <w:rPr>
          <w:rFonts w:ascii="Times New Roman" w:hAnsi="Times New Roman" w:cs="Times New Roman"/>
          <w:sz w:val="24"/>
          <w:szCs w:val="24"/>
          <w:lang w:eastAsia="zh-CN"/>
        </w:rPr>
        <w:t>a facilities condition assessment (“</w:t>
      </w:r>
      <w:proofErr w:type="spellStart"/>
      <w:r w:rsidRPr="002A5268">
        <w:rPr>
          <w:rFonts w:ascii="Times New Roman" w:hAnsi="Times New Roman" w:cs="Times New Roman"/>
          <w:sz w:val="24"/>
          <w:szCs w:val="24"/>
          <w:lang w:eastAsia="zh-CN"/>
        </w:rPr>
        <w:t>FCA</w:t>
      </w:r>
      <w:proofErr w:type="spellEnd"/>
      <w:r w:rsidRPr="002A5268">
        <w:rPr>
          <w:rFonts w:ascii="Times New Roman" w:hAnsi="Times New Roman" w:cs="Times New Roman"/>
          <w:sz w:val="24"/>
          <w:szCs w:val="24"/>
          <w:lang w:eastAsia="zh-CN"/>
        </w:rPr>
        <w:t xml:space="preserve">”). </w:t>
      </w:r>
      <w:r w:rsidR="003C4F2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A5268">
        <w:rPr>
          <w:rFonts w:ascii="Times New Roman" w:hAnsi="Times New Roman" w:cs="Times New Roman"/>
          <w:sz w:val="24"/>
          <w:szCs w:val="24"/>
          <w:lang w:eastAsia="zh-CN"/>
        </w:rPr>
        <w:t xml:space="preserve">The </w:t>
      </w:r>
      <w:proofErr w:type="spellStart"/>
      <w:r w:rsidRPr="002A5268">
        <w:rPr>
          <w:rFonts w:ascii="Times New Roman" w:hAnsi="Times New Roman" w:cs="Times New Roman"/>
          <w:sz w:val="24"/>
          <w:szCs w:val="24"/>
          <w:lang w:eastAsia="zh-CN"/>
        </w:rPr>
        <w:t>FCA</w:t>
      </w:r>
      <w:proofErr w:type="spellEnd"/>
      <w:r w:rsidRPr="002A5268">
        <w:rPr>
          <w:rFonts w:ascii="Times New Roman" w:hAnsi="Times New Roman" w:cs="Times New Roman"/>
          <w:sz w:val="24"/>
          <w:szCs w:val="24"/>
          <w:lang w:eastAsia="zh-CN"/>
        </w:rPr>
        <w:t xml:space="preserve"> addressed mechanical, electrical and building envelop</w:t>
      </w:r>
      <w:r>
        <w:rPr>
          <w:rFonts w:ascii="Times New Roman" w:hAnsi="Times New Roman" w:cs="Times New Roman"/>
          <w:sz w:val="24"/>
          <w:szCs w:val="24"/>
          <w:lang w:eastAsia="zh-CN"/>
        </w:rPr>
        <w:t>e</w:t>
      </w:r>
      <w:r w:rsidRPr="002A5268">
        <w:rPr>
          <w:rFonts w:ascii="Times New Roman" w:hAnsi="Times New Roman" w:cs="Times New Roman"/>
          <w:sz w:val="24"/>
          <w:szCs w:val="24"/>
          <w:lang w:eastAsia="zh-CN"/>
        </w:rPr>
        <w:t xml:space="preserve"> aspects of </w:t>
      </w:r>
      <w:proofErr w:type="spellStart"/>
      <w:r w:rsidRPr="002A5268">
        <w:rPr>
          <w:rFonts w:ascii="Times New Roman" w:hAnsi="Times New Roman" w:cs="Times New Roman"/>
          <w:sz w:val="24"/>
          <w:szCs w:val="24"/>
          <w:lang w:eastAsia="zh-CN"/>
        </w:rPr>
        <w:t>SKC</w:t>
      </w:r>
      <w:proofErr w:type="spellEnd"/>
      <w:r w:rsidRPr="002A5268">
        <w:rPr>
          <w:rFonts w:ascii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3C4F2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A5268">
        <w:rPr>
          <w:rFonts w:ascii="Times New Roman" w:hAnsi="Times New Roman" w:cs="Times New Roman"/>
          <w:sz w:val="24"/>
          <w:szCs w:val="24"/>
          <w:lang w:eastAsia="zh-CN"/>
        </w:rPr>
        <w:t xml:space="preserve">In addition, </w:t>
      </w:r>
      <w:r w:rsidR="00FE3B6D">
        <w:rPr>
          <w:rFonts w:ascii="Times New Roman" w:hAnsi="Times New Roman" w:cs="Times New Roman"/>
          <w:sz w:val="24"/>
          <w:szCs w:val="24"/>
          <w:lang w:eastAsia="zh-CN"/>
        </w:rPr>
        <w:t xml:space="preserve">MENG subcontracted </w:t>
      </w:r>
      <w:r w:rsidRPr="002A5268">
        <w:rPr>
          <w:rFonts w:ascii="Times New Roman" w:hAnsi="Times New Roman" w:cs="Times New Roman"/>
          <w:sz w:val="24"/>
          <w:szCs w:val="24"/>
          <w:lang w:eastAsia="zh-CN"/>
        </w:rPr>
        <w:t xml:space="preserve">the services of PCS to </w:t>
      </w:r>
      <w:r>
        <w:rPr>
          <w:rFonts w:ascii="Times New Roman" w:hAnsi="Times New Roman" w:cs="Times New Roman"/>
          <w:sz w:val="24"/>
          <w:szCs w:val="24"/>
          <w:lang w:eastAsia="zh-CN"/>
        </w:rPr>
        <w:t>perform</w:t>
      </w:r>
      <w:r w:rsidRPr="002A5268">
        <w:rPr>
          <w:rFonts w:ascii="Times New Roman" w:hAnsi="Times New Roman" w:cs="Times New Roman"/>
          <w:sz w:val="24"/>
          <w:szCs w:val="24"/>
          <w:lang w:eastAsia="zh-CN"/>
        </w:rPr>
        <w:t xml:space="preserve"> a structural assessment of </w:t>
      </w:r>
      <w:proofErr w:type="spellStart"/>
      <w:r w:rsidRPr="002A5268">
        <w:rPr>
          <w:rFonts w:ascii="Times New Roman" w:hAnsi="Times New Roman" w:cs="Times New Roman"/>
          <w:sz w:val="24"/>
          <w:szCs w:val="24"/>
          <w:lang w:eastAsia="zh-CN"/>
        </w:rPr>
        <w:t>SKC</w:t>
      </w:r>
      <w:proofErr w:type="spellEnd"/>
      <w:r w:rsidRPr="002A5268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3C4F2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A5268">
        <w:rPr>
          <w:rFonts w:ascii="Times New Roman" w:hAnsi="Times New Roman" w:cs="Times New Roman"/>
          <w:sz w:val="24"/>
          <w:szCs w:val="24"/>
          <w:lang w:eastAsia="zh-CN"/>
        </w:rPr>
        <w:t xml:space="preserve">Both the MENG and PCS analyses identified current deficiencies and opportunities for future improvements consistent with buildings similar in age and operating use. </w:t>
      </w:r>
      <w:r w:rsidR="003C4F2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A5268">
        <w:rPr>
          <w:rFonts w:ascii="Times New Roman" w:hAnsi="Times New Roman" w:cs="Times New Roman"/>
          <w:sz w:val="24"/>
          <w:szCs w:val="24"/>
          <w:lang w:eastAsia="zh-CN"/>
        </w:rPr>
        <w:t>These improvements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ranged from $30-45 million and were recommended irrespective of lease or ownership in order to ensure the safe and effective performance of the asset. </w:t>
      </w:r>
      <w:r w:rsidR="003C4F2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FE3B6D">
        <w:rPr>
          <w:rFonts w:ascii="Times New Roman" w:hAnsi="Times New Roman" w:cs="Times New Roman"/>
          <w:sz w:val="24"/>
          <w:szCs w:val="24"/>
          <w:lang w:eastAsia="zh-CN"/>
        </w:rPr>
        <w:t>These potential c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osts </w:t>
      </w:r>
      <w:r w:rsidRPr="002A5268">
        <w:rPr>
          <w:rFonts w:ascii="Times New Roman" w:hAnsi="Times New Roman" w:cs="Times New Roman"/>
          <w:sz w:val="24"/>
          <w:szCs w:val="24"/>
          <w:lang w:eastAsia="zh-CN"/>
        </w:rPr>
        <w:t xml:space="preserve">are incorporated in the </w:t>
      </w:r>
      <w:r w:rsidR="0061707E">
        <w:rPr>
          <w:rFonts w:ascii="Times New Roman" w:hAnsi="Times New Roman" w:cs="Times New Roman"/>
          <w:sz w:val="24"/>
          <w:szCs w:val="24"/>
          <w:lang w:eastAsia="zh-CN"/>
        </w:rPr>
        <w:t>cost/benefit</w:t>
      </w:r>
      <w:r w:rsidRPr="002A5268">
        <w:rPr>
          <w:rFonts w:ascii="Times New Roman" w:hAnsi="Times New Roman" w:cs="Times New Roman"/>
          <w:sz w:val="24"/>
          <w:szCs w:val="24"/>
          <w:lang w:eastAsia="zh-CN"/>
        </w:rPr>
        <w:t xml:space="preserve"> analysis </w:t>
      </w:r>
      <w:r>
        <w:rPr>
          <w:rFonts w:ascii="Times New Roman" w:hAnsi="Times New Roman" w:cs="Times New Roman"/>
          <w:sz w:val="24"/>
          <w:szCs w:val="24"/>
          <w:lang w:eastAsia="zh-CN"/>
        </w:rPr>
        <w:t>d</w:t>
      </w:r>
      <w:r w:rsidR="00F40A9D">
        <w:rPr>
          <w:rFonts w:ascii="Times New Roman" w:hAnsi="Times New Roman" w:cs="Times New Roman"/>
          <w:sz w:val="24"/>
          <w:szCs w:val="24"/>
          <w:lang w:eastAsia="zh-CN"/>
        </w:rPr>
        <w:t>iscussed later in my testimony</w:t>
      </w:r>
      <w:r w:rsidRPr="002A5268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C67A9E" w:rsidRPr="00EF5F5B" w:rsidRDefault="00F13AB0" w:rsidP="00EF5F5B">
      <w:pPr>
        <w:pStyle w:val="ListParagraph"/>
        <w:numPr>
          <w:ilvl w:val="0"/>
          <w:numId w:val="14"/>
        </w:numPr>
        <w:spacing w:before="120" w:after="120" w:line="480" w:lineRule="auto"/>
        <w:contextualSpacing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5220A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Pre-purchase </w:t>
      </w:r>
      <w:r w:rsidR="00A1069E" w:rsidRPr="005220A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environmental </w:t>
      </w:r>
      <w:r w:rsidRPr="005220A1">
        <w:rPr>
          <w:rFonts w:ascii="Times New Roman" w:hAnsi="Times New Roman" w:cs="Times New Roman"/>
          <w:b/>
          <w:sz w:val="24"/>
          <w:szCs w:val="24"/>
          <w:lang w:eastAsia="zh-CN"/>
        </w:rPr>
        <w:t>due-diligence</w:t>
      </w:r>
      <w:r w:rsidR="00A1069E" w:rsidRPr="005220A1">
        <w:rPr>
          <w:rFonts w:ascii="Times New Roman" w:hAnsi="Times New Roman" w:cs="Times New Roman"/>
          <w:b/>
          <w:sz w:val="24"/>
          <w:szCs w:val="24"/>
          <w:lang w:eastAsia="zh-CN"/>
        </w:rPr>
        <w:t>:</w:t>
      </w:r>
      <w:r w:rsidR="00A1069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3C4F2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E3DBE">
        <w:rPr>
          <w:rFonts w:ascii="Times New Roman" w:hAnsi="Times New Roman" w:cs="Times New Roman"/>
          <w:sz w:val="24"/>
          <w:szCs w:val="24"/>
          <w:lang w:eastAsia="zh-CN"/>
        </w:rPr>
        <w:t xml:space="preserve">As a precondition to executing the purchase and sales agreement with Ranch and Associates, PSE </w:t>
      </w:r>
      <w:r w:rsidR="00C6188C">
        <w:rPr>
          <w:rFonts w:ascii="Times New Roman" w:hAnsi="Times New Roman" w:cs="Times New Roman"/>
          <w:sz w:val="24"/>
          <w:szCs w:val="24"/>
          <w:lang w:eastAsia="zh-CN"/>
        </w:rPr>
        <w:t xml:space="preserve">retained </w:t>
      </w:r>
      <w:proofErr w:type="spellStart"/>
      <w:r w:rsidR="00C6188C">
        <w:rPr>
          <w:rFonts w:ascii="Times New Roman" w:hAnsi="Times New Roman" w:cs="Times New Roman"/>
          <w:sz w:val="24"/>
          <w:szCs w:val="24"/>
          <w:lang w:eastAsia="zh-CN"/>
        </w:rPr>
        <w:t>GeoEngineers</w:t>
      </w:r>
      <w:proofErr w:type="spellEnd"/>
      <w:r w:rsidR="00C6188C">
        <w:rPr>
          <w:rFonts w:ascii="Times New Roman" w:hAnsi="Times New Roman" w:cs="Times New Roman"/>
          <w:sz w:val="24"/>
          <w:szCs w:val="24"/>
          <w:lang w:eastAsia="zh-CN"/>
        </w:rPr>
        <w:t xml:space="preserve"> to </w:t>
      </w:r>
      <w:r w:rsidR="00866852">
        <w:rPr>
          <w:rFonts w:ascii="Times New Roman" w:hAnsi="Times New Roman" w:cs="Times New Roman"/>
          <w:sz w:val="24"/>
          <w:szCs w:val="24"/>
          <w:lang w:eastAsia="zh-CN"/>
        </w:rPr>
        <w:t>perform</w:t>
      </w:r>
      <w:r w:rsidR="007E3DBE">
        <w:rPr>
          <w:rFonts w:ascii="Times New Roman" w:hAnsi="Times New Roman" w:cs="Times New Roman"/>
          <w:sz w:val="24"/>
          <w:szCs w:val="24"/>
          <w:lang w:eastAsia="zh-CN"/>
        </w:rPr>
        <w:t xml:space="preserve"> a comprehensive Phase 1 and 2 environmental assessment of the </w:t>
      </w:r>
      <w:proofErr w:type="spellStart"/>
      <w:r w:rsidR="007E3DBE">
        <w:rPr>
          <w:rFonts w:ascii="Times New Roman" w:hAnsi="Times New Roman" w:cs="Times New Roman"/>
          <w:sz w:val="24"/>
          <w:szCs w:val="24"/>
          <w:lang w:eastAsia="zh-CN"/>
        </w:rPr>
        <w:t>SKC</w:t>
      </w:r>
      <w:proofErr w:type="spellEnd"/>
      <w:r w:rsidR="007E3DBE">
        <w:rPr>
          <w:rFonts w:ascii="Times New Roman" w:hAnsi="Times New Roman" w:cs="Times New Roman"/>
          <w:sz w:val="24"/>
          <w:szCs w:val="24"/>
          <w:lang w:eastAsia="zh-CN"/>
        </w:rPr>
        <w:t xml:space="preserve"> property in order to understand and account for potential environmental clean-up exposure preceding PSE’s operating history at the </w:t>
      </w:r>
      <w:proofErr w:type="spellStart"/>
      <w:r w:rsidR="007E3DBE">
        <w:rPr>
          <w:rFonts w:ascii="Times New Roman" w:hAnsi="Times New Roman" w:cs="Times New Roman"/>
          <w:sz w:val="24"/>
          <w:szCs w:val="24"/>
          <w:lang w:eastAsia="zh-CN"/>
        </w:rPr>
        <w:t>SKC</w:t>
      </w:r>
      <w:proofErr w:type="spellEnd"/>
      <w:r w:rsidR="007E3DBE">
        <w:rPr>
          <w:rFonts w:ascii="Times New Roman" w:hAnsi="Times New Roman" w:cs="Times New Roman"/>
          <w:sz w:val="24"/>
          <w:szCs w:val="24"/>
          <w:lang w:eastAsia="zh-CN"/>
        </w:rPr>
        <w:t xml:space="preserve"> site. </w:t>
      </w:r>
      <w:r w:rsidR="003C4F2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C6188C" w:rsidRPr="00C6188C">
        <w:rPr>
          <w:rFonts w:ascii="Times New Roman" w:hAnsi="Times New Roman" w:cs="Times New Roman"/>
          <w:sz w:val="24"/>
          <w:szCs w:val="24"/>
          <w:lang w:eastAsia="zh-CN"/>
        </w:rPr>
        <w:t>GeoEngineers</w:t>
      </w:r>
      <w:proofErr w:type="spellEnd"/>
      <w:r w:rsidR="00C6188C" w:rsidRPr="00C6188C">
        <w:rPr>
          <w:rFonts w:ascii="Times New Roman" w:hAnsi="Times New Roman" w:cs="Times New Roman"/>
          <w:sz w:val="24"/>
          <w:szCs w:val="24"/>
          <w:lang w:eastAsia="zh-CN"/>
        </w:rPr>
        <w:t xml:space="preserve"> found no contaminants in the soil or groundwater during exploration activities conducted at the South King Facility in 2016</w:t>
      </w:r>
      <w:r w:rsidR="007E3DBE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434909" w:rsidRPr="00EF5F5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F7256E">
        <w:rPr>
          <w:lang w:eastAsia="zh-CN"/>
        </w:rPr>
        <w:t xml:space="preserve"> </w:t>
      </w:r>
    </w:p>
    <w:p w:rsidR="00650532" w:rsidRPr="001B4B62" w:rsidRDefault="00F13AB0" w:rsidP="00380CC7">
      <w:pPr>
        <w:pStyle w:val="question"/>
      </w:pPr>
      <w:r w:rsidRPr="001B4B62">
        <w:t>Q.</w:t>
      </w:r>
      <w:r w:rsidRPr="001B4B62">
        <w:tab/>
      </w:r>
      <w:r w:rsidR="001B4B62" w:rsidRPr="001B4B62">
        <w:t>Describe the results of the financial analysis.</w:t>
      </w:r>
    </w:p>
    <w:p w:rsidR="00FD10AE" w:rsidRDefault="00FD10AE" w:rsidP="00BE06E1">
      <w:pPr>
        <w:pStyle w:val="answer"/>
      </w:pPr>
      <w:r>
        <w:t>A.</w:t>
      </w:r>
      <w:r>
        <w:tab/>
      </w:r>
      <w:proofErr w:type="spellStart"/>
      <w:r w:rsidR="00866852">
        <w:t>CBRE</w:t>
      </w:r>
      <w:proofErr w:type="spellEnd"/>
      <w:r w:rsidR="00866852">
        <w:t xml:space="preserve"> performed a GAAP-based</w:t>
      </w:r>
      <w:r>
        <w:t xml:space="preserve"> cash flow analysis of the alternative scenari</w:t>
      </w:r>
      <w:r w:rsidR="00866852">
        <w:t>os</w:t>
      </w:r>
      <w:r>
        <w:t>, the modeling and results of which are documented as part of Exhibit No.</w:t>
      </w:r>
      <w:r w:rsidR="00EF5F5B">
        <w:t xml:space="preserve"> </w:t>
      </w:r>
      <w:r w:rsidR="003C4F25">
        <w:t>___</w:t>
      </w:r>
      <w:r>
        <w:t>(JLM-</w:t>
      </w:r>
      <w:r w:rsidR="003C4F25">
        <w:t>3</w:t>
      </w:r>
      <w:r>
        <w:t xml:space="preserve">). </w:t>
      </w:r>
      <w:r w:rsidR="003C4F25">
        <w:t xml:space="preserve"> </w:t>
      </w:r>
      <w:r>
        <w:t xml:space="preserve">In its report, </w:t>
      </w:r>
      <w:proofErr w:type="spellStart"/>
      <w:r>
        <w:t>CBRE</w:t>
      </w:r>
      <w:proofErr w:type="spellEnd"/>
      <w:r>
        <w:t xml:space="preserve"> states the following:</w:t>
      </w:r>
    </w:p>
    <w:p w:rsidR="00650532" w:rsidRPr="00255B9F" w:rsidRDefault="00FD10AE" w:rsidP="00255B9F">
      <w:pPr>
        <w:spacing w:after="240"/>
        <w:ind w:left="1440" w:right="907"/>
        <w:rPr>
          <w:lang w:eastAsia="zh-CN"/>
        </w:rPr>
      </w:pPr>
      <w:r w:rsidRPr="00255B9F">
        <w:rPr>
          <w:lang w:eastAsia="zh-CN"/>
        </w:rPr>
        <w:lastRenderedPageBreak/>
        <w:t xml:space="preserve">Based on modeled inputs and assumptions, purchasing </w:t>
      </w:r>
      <w:proofErr w:type="spellStart"/>
      <w:r w:rsidRPr="00255B9F">
        <w:rPr>
          <w:lang w:eastAsia="zh-CN"/>
        </w:rPr>
        <w:t>SKC</w:t>
      </w:r>
      <w:proofErr w:type="spellEnd"/>
      <w:r w:rsidRPr="00255B9F">
        <w:rPr>
          <w:lang w:eastAsia="zh-CN"/>
        </w:rPr>
        <w:t xml:space="preserve">, or an alternative property, in the near term has the best cash </w:t>
      </w:r>
      <w:proofErr w:type="spellStart"/>
      <w:r w:rsidRPr="00255B9F">
        <w:rPr>
          <w:lang w:eastAsia="zh-CN"/>
        </w:rPr>
        <w:t>NPV</w:t>
      </w:r>
      <w:proofErr w:type="spellEnd"/>
      <w:r w:rsidRPr="00255B9F">
        <w:rPr>
          <w:lang w:eastAsia="zh-CN"/>
        </w:rPr>
        <w:t xml:space="preserve"> and GAAP benefit in relation to all other scenarios analyzed</w:t>
      </w:r>
      <w:r w:rsidR="00D16472" w:rsidRPr="00255B9F">
        <w:rPr>
          <w:lang w:eastAsia="zh-CN"/>
        </w:rPr>
        <w:t>.</w:t>
      </w:r>
    </w:p>
    <w:p w:rsidR="00FD10AE" w:rsidRDefault="00FD10AE" w:rsidP="00380CC7">
      <w:pPr>
        <w:spacing w:before="120" w:after="120" w:line="480" w:lineRule="auto"/>
        <w:ind w:left="720"/>
        <w:rPr>
          <w:lang w:eastAsia="zh-CN"/>
        </w:rPr>
      </w:pPr>
      <w:r>
        <w:rPr>
          <w:lang w:eastAsia="zh-CN"/>
        </w:rPr>
        <w:t xml:space="preserve">PSE then modeled the </w:t>
      </w:r>
      <w:proofErr w:type="spellStart"/>
      <w:r>
        <w:rPr>
          <w:lang w:eastAsia="zh-CN"/>
        </w:rPr>
        <w:t>SKC</w:t>
      </w:r>
      <w:proofErr w:type="spellEnd"/>
      <w:r>
        <w:rPr>
          <w:lang w:eastAsia="zh-CN"/>
        </w:rPr>
        <w:t xml:space="preserve"> cash flows </w:t>
      </w:r>
      <w:r w:rsidR="00866852">
        <w:rPr>
          <w:lang w:eastAsia="zh-CN"/>
        </w:rPr>
        <w:t xml:space="preserve">developed by </w:t>
      </w:r>
      <w:proofErr w:type="spellStart"/>
      <w:r w:rsidR="00866852">
        <w:rPr>
          <w:lang w:eastAsia="zh-CN"/>
        </w:rPr>
        <w:t>CBRE</w:t>
      </w:r>
      <w:proofErr w:type="spellEnd"/>
      <w:r w:rsidR="00866852">
        <w:rPr>
          <w:lang w:eastAsia="zh-CN"/>
        </w:rPr>
        <w:t xml:space="preserve"> </w:t>
      </w:r>
      <w:r>
        <w:rPr>
          <w:lang w:eastAsia="zh-CN"/>
        </w:rPr>
        <w:t>to reflect the cost of each scenario to its customers, the results of which are depicted in Table 1 below and further documented as part of Exhibit No.</w:t>
      </w:r>
      <w:r w:rsidR="00EF5F5B">
        <w:rPr>
          <w:lang w:eastAsia="zh-CN"/>
        </w:rPr>
        <w:t xml:space="preserve"> </w:t>
      </w:r>
      <w:r w:rsidR="003C4F25">
        <w:rPr>
          <w:lang w:eastAsia="zh-CN"/>
        </w:rPr>
        <w:t>___</w:t>
      </w:r>
      <w:r>
        <w:rPr>
          <w:lang w:eastAsia="zh-CN"/>
        </w:rPr>
        <w:t>(JLM-</w:t>
      </w:r>
      <w:r w:rsidR="00F40A9D">
        <w:rPr>
          <w:lang w:eastAsia="zh-CN"/>
        </w:rPr>
        <w:t>4</w:t>
      </w:r>
      <w:r>
        <w:rPr>
          <w:lang w:eastAsia="zh-CN"/>
        </w:rPr>
        <w:t>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72"/>
        <w:gridCol w:w="2772"/>
        <w:gridCol w:w="2772"/>
      </w:tblGrid>
      <w:tr w:rsidR="008B54C5" w:rsidTr="00032173">
        <w:trPr>
          <w:tblHeader/>
        </w:trPr>
        <w:tc>
          <w:tcPr>
            <w:tcW w:w="8316" w:type="dxa"/>
            <w:gridSpan w:val="3"/>
          </w:tcPr>
          <w:p w:rsidR="008B54C5" w:rsidRDefault="008B54C5" w:rsidP="00032173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TABLE 1</w:t>
            </w:r>
          </w:p>
        </w:tc>
      </w:tr>
      <w:tr w:rsidR="008B54C5" w:rsidTr="00032173">
        <w:trPr>
          <w:tblHeader/>
        </w:trPr>
        <w:tc>
          <w:tcPr>
            <w:tcW w:w="2772" w:type="dxa"/>
            <w:vAlign w:val="center"/>
          </w:tcPr>
          <w:p w:rsidR="008B54C5" w:rsidRPr="009A0FEE" w:rsidRDefault="008B54C5" w:rsidP="00032173">
            <w:pPr>
              <w:spacing w:before="30" w:after="30" w:line="240" w:lineRule="auto"/>
              <w:ind w:firstLine="0"/>
              <w:rPr>
                <w:b/>
                <w:sz w:val="18"/>
                <w:lang w:eastAsia="zh-CN"/>
              </w:rPr>
            </w:pPr>
            <w:r>
              <w:rPr>
                <w:b/>
                <w:sz w:val="18"/>
                <w:lang w:eastAsia="zh-CN"/>
              </w:rPr>
              <w:t>Scenario</w:t>
            </w:r>
          </w:p>
        </w:tc>
        <w:tc>
          <w:tcPr>
            <w:tcW w:w="2772" w:type="dxa"/>
            <w:vAlign w:val="center"/>
          </w:tcPr>
          <w:p w:rsidR="008B54C5" w:rsidRDefault="008B54C5" w:rsidP="00032173">
            <w:pPr>
              <w:spacing w:before="30" w:after="30" w:line="240" w:lineRule="auto"/>
              <w:ind w:firstLine="0"/>
              <w:jc w:val="center"/>
              <w:rPr>
                <w:b/>
                <w:sz w:val="18"/>
                <w:lang w:eastAsia="zh-CN"/>
              </w:rPr>
            </w:pPr>
            <w:r>
              <w:rPr>
                <w:b/>
                <w:sz w:val="18"/>
                <w:lang w:eastAsia="zh-CN"/>
              </w:rPr>
              <w:t xml:space="preserve">35 Year </w:t>
            </w:r>
            <w:proofErr w:type="spellStart"/>
            <w:r>
              <w:rPr>
                <w:b/>
                <w:sz w:val="18"/>
                <w:lang w:eastAsia="zh-CN"/>
              </w:rPr>
              <w:t>NPV</w:t>
            </w:r>
            <w:proofErr w:type="spellEnd"/>
          </w:p>
          <w:p w:rsidR="008B54C5" w:rsidRPr="009A0FEE" w:rsidRDefault="008B54C5" w:rsidP="00032173">
            <w:pPr>
              <w:spacing w:before="30" w:after="30" w:line="240" w:lineRule="auto"/>
              <w:ind w:firstLine="0"/>
              <w:jc w:val="center"/>
              <w:rPr>
                <w:b/>
                <w:sz w:val="18"/>
                <w:lang w:eastAsia="zh-CN"/>
              </w:rPr>
            </w:pPr>
            <w:r w:rsidRPr="009A0FEE">
              <w:rPr>
                <w:b/>
                <w:sz w:val="18"/>
                <w:lang w:eastAsia="zh-CN"/>
              </w:rPr>
              <w:t>Revenue Requirement</w:t>
            </w:r>
          </w:p>
        </w:tc>
        <w:tc>
          <w:tcPr>
            <w:tcW w:w="2772" w:type="dxa"/>
            <w:vAlign w:val="center"/>
          </w:tcPr>
          <w:p w:rsidR="008B54C5" w:rsidRDefault="008B54C5" w:rsidP="00032173">
            <w:pPr>
              <w:spacing w:before="30" w:after="30" w:line="240" w:lineRule="auto"/>
              <w:ind w:firstLine="0"/>
              <w:jc w:val="center"/>
              <w:rPr>
                <w:b/>
                <w:sz w:val="18"/>
                <w:lang w:eastAsia="zh-CN"/>
              </w:rPr>
            </w:pPr>
            <w:proofErr w:type="spellStart"/>
            <w:r>
              <w:rPr>
                <w:b/>
                <w:sz w:val="18"/>
                <w:lang w:eastAsia="zh-CN"/>
              </w:rPr>
              <w:t>NPV</w:t>
            </w:r>
            <w:proofErr w:type="spellEnd"/>
          </w:p>
          <w:p w:rsidR="008B54C5" w:rsidRPr="009A0FEE" w:rsidRDefault="008B54C5" w:rsidP="00032173">
            <w:pPr>
              <w:spacing w:before="30" w:after="30" w:line="240" w:lineRule="auto"/>
              <w:ind w:firstLine="0"/>
              <w:jc w:val="center"/>
              <w:rPr>
                <w:b/>
                <w:sz w:val="18"/>
                <w:lang w:eastAsia="zh-CN"/>
              </w:rPr>
            </w:pPr>
            <w:r w:rsidRPr="009A0FEE">
              <w:rPr>
                <w:b/>
                <w:sz w:val="18"/>
                <w:lang w:eastAsia="zh-CN"/>
              </w:rPr>
              <w:t>Customer Savings</w:t>
            </w:r>
          </w:p>
        </w:tc>
      </w:tr>
      <w:tr w:rsidR="008B54C5" w:rsidTr="00032173">
        <w:tc>
          <w:tcPr>
            <w:tcW w:w="2772" w:type="dxa"/>
          </w:tcPr>
          <w:p w:rsidR="008B54C5" w:rsidRPr="009A0FEE" w:rsidRDefault="008B54C5" w:rsidP="00032173">
            <w:pPr>
              <w:tabs>
                <w:tab w:val="left" w:pos="201"/>
              </w:tabs>
              <w:spacing w:before="30" w:after="30" w:line="240" w:lineRule="auto"/>
              <w:ind w:left="180" w:hanging="180"/>
              <w:rPr>
                <w:sz w:val="18"/>
                <w:lang w:eastAsia="zh-CN"/>
              </w:rPr>
            </w:pPr>
            <w:r w:rsidRPr="009A0FEE">
              <w:rPr>
                <w:b/>
                <w:sz w:val="18"/>
                <w:lang w:eastAsia="zh-CN"/>
              </w:rPr>
              <w:t>1)</w:t>
            </w:r>
            <w:r>
              <w:rPr>
                <w:sz w:val="18"/>
                <w:lang w:eastAsia="zh-CN"/>
              </w:rPr>
              <w:tab/>
            </w:r>
            <w:r w:rsidRPr="009A0FEE">
              <w:rPr>
                <w:sz w:val="18"/>
                <w:lang w:eastAsia="zh-CN"/>
              </w:rPr>
              <w:t xml:space="preserve">Purchase </w:t>
            </w:r>
            <w:proofErr w:type="spellStart"/>
            <w:r w:rsidRPr="009A0FEE">
              <w:rPr>
                <w:sz w:val="18"/>
                <w:lang w:eastAsia="zh-CN"/>
              </w:rPr>
              <w:t>SKC</w:t>
            </w:r>
            <w:proofErr w:type="spellEnd"/>
            <w:r w:rsidRPr="009A0FEE">
              <w:rPr>
                <w:sz w:val="18"/>
                <w:lang w:eastAsia="zh-CN"/>
              </w:rPr>
              <w:t xml:space="preserve"> in 2016</w:t>
            </w:r>
          </w:p>
        </w:tc>
        <w:tc>
          <w:tcPr>
            <w:tcW w:w="2772" w:type="dxa"/>
            <w:vAlign w:val="center"/>
          </w:tcPr>
          <w:p w:rsidR="008B54C5" w:rsidRPr="009A0FEE" w:rsidRDefault="008B54C5" w:rsidP="00032173">
            <w:pPr>
              <w:spacing w:before="30" w:after="30" w:line="240" w:lineRule="auto"/>
              <w:jc w:val="center"/>
              <w:rPr>
                <w:sz w:val="18"/>
                <w:szCs w:val="20"/>
              </w:rPr>
            </w:pPr>
            <w:r w:rsidRPr="009A0FEE">
              <w:rPr>
                <w:sz w:val="18"/>
                <w:szCs w:val="20"/>
              </w:rPr>
              <w:t>($</w:t>
            </w:r>
            <w:r>
              <w:rPr>
                <w:sz w:val="18"/>
                <w:szCs w:val="20"/>
              </w:rPr>
              <w:t>67,841,000</w:t>
            </w:r>
            <w:r w:rsidRPr="009A0FEE">
              <w:rPr>
                <w:sz w:val="18"/>
                <w:szCs w:val="20"/>
              </w:rPr>
              <w:t>)</w:t>
            </w:r>
          </w:p>
        </w:tc>
        <w:tc>
          <w:tcPr>
            <w:tcW w:w="2772" w:type="dxa"/>
          </w:tcPr>
          <w:p w:rsidR="008B54C5" w:rsidRPr="009A0FEE" w:rsidRDefault="008B54C5" w:rsidP="00032173">
            <w:pPr>
              <w:spacing w:line="240" w:lineRule="auto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ab/>
              <w:t>--</w:t>
            </w:r>
          </w:p>
        </w:tc>
      </w:tr>
      <w:tr w:rsidR="008B54C5" w:rsidTr="00032173">
        <w:tc>
          <w:tcPr>
            <w:tcW w:w="2772" w:type="dxa"/>
          </w:tcPr>
          <w:p w:rsidR="008B54C5" w:rsidRPr="009A0FEE" w:rsidRDefault="008B54C5" w:rsidP="00032173">
            <w:pPr>
              <w:tabs>
                <w:tab w:val="left" w:pos="201"/>
              </w:tabs>
              <w:spacing w:before="30" w:after="30" w:line="240" w:lineRule="auto"/>
              <w:ind w:left="180" w:hanging="180"/>
              <w:rPr>
                <w:sz w:val="18"/>
                <w:lang w:eastAsia="zh-CN"/>
              </w:rPr>
            </w:pPr>
            <w:r>
              <w:rPr>
                <w:b/>
                <w:sz w:val="18"/>
                <w:lang w:eastAsia="zh-CN"/>
              </w:rPr>
              <w:t>2</w:t>
            </w:r>
            <w:r w:rsidRPr="009A0FEE">
              <w:rPr>
                <w:b/>
                <w:sz w:val="18"/>
                <w:lang w:eastAsia="zh-CN"/>
              </w:rPr>
              <w:t>)</w:t>
            </w:r>
            <w:r>
              <w:rPr>
                <w:sz w:val="18"/>
                <w:lang w:eastAsia="zh-CN"/>
              </w:rPr>
              <w:tab/>
            </w:r>
            <w:r w:rsidRPr="009A0FEE">
              <w:rPr>
                <w:sz w:val="18"/>
                <w:lang w:eastAsia="zh-CN"/>
              </w:rPr>
              <w:t>Build and own alternative property for relocation in 2019</w:t>
            </w:r>
          </w:p>
        </w:tc>
        <w:tc>
          <w:tcPr>
            <w:tcW w:w="2772" w:type="dxa"/>
            <w:vAlign w:val="center"/>
          </w:tcPr>
          <w:p w:rsidR="008B54C5" w:rsidRPr="009A0FEE" w:rsidRDefault="008B54C5" w:rsidP="00032173">
            <w:pPr>
              <w:spacing w:before="30" w:after="30" w:line="240" w:lineRule="auto"/>
              <w:jc w:val="center"/>
              <w:rPr>
                <w:sz w:val="18"/>
                <w:szCs w:val="20"/>
              </w:rPr>
            </w:pPr>
            <w:r w:rsidRPr="009A0FEE">
              <w:rPr>
                <w:sz w:val="18"/>
                <w:szCs w:val="20"/>
              </w:rPr>
              <w:t>($87,131,000)</w:t>
            </w:r>
          </w:p>
        </w:tc>
        <w:tc>
          <w:tcPr>
            <w:tcW w:w="2772" w:type="dxa"/>
            <w:vAlign w:val="center"/>
          </w:tcPr>
          <w:p w:rsidR="008B54C5" w:rsidRPr="009A0FEE" w:rsidRDefault="008B54C5" w:rsidP="00032173">
            <w:pPr>
              <w:spacing w:line="240" w:lineRule="auto"/>
              <w:jc w:val="center"/>
              <w:rPr>
                <w:sz w:val="18"/>
                <w:lang w:eastAsia="zh-CN"/>
              </w:rPr>
            </w:pPr>
            <w:r w:rsidRPr="009A0FEE">
              <w:rPr>
                <w:sz w:val="18"/>
                <w:lang w:eastAsia="zh-CN"/>
              </w:rPr>
              <w:t>$</w:t>
            </w:r>
            <w:r>
              <w:rPr>
                <w:sz w:val="18"/>
                <w:lang w:eastAsia="zh-CN"/>
              </w:rPr>
              <w:t>19,290,000</w:t>
            </w:r>
          </w:p>
        </w:tc>
      </w:tr>
      <w:tr w:rsidR="008B54C5" w:rsidTr="00032173">
        <w:tc>
          <w:tcPr>
            <w:tcW w:w="2772" w:type="dxa"/>
          </w:tcPr>
          <w:p w:rsidR="008B54C5" w:rsidRPr="009A0FEE" w:rsidRDefault="008B54C5" w:rsidP="00032173">
            <w:pPr>
              <w:tabs>
                <w:tab w:val="left" w:pos="201"/>
              </w:tabs>
              <w:spacing w:before="30" w:after="30" w:line="240" w:lineRule="auto"/>
              <w:ind w:left="180" w:hanging="180"/>
              <w:rPr>
                <w:sz w:val="18"/>
                <w:lang w:eastAsia="zh-CN"/>
              </w:rPr>
            </w:pPr>
            <w:r w:rsidRPr="009A0FEE">
              <w:rPr>
                <w:b/>
                <w:sz w:val="18"/>
                <w:lang w:eastAsia="zh-CN"/>
              </w:rPr>
              <w:t>3)</w:t>
            </w:r>
            <w:r>
              <w:rPr>
                <w:sz w:val="18"/>
                <w:lang w:eastAsia="zh-CN"/>
              </w:rPr>
              <w:t xml:space="preserve"> </w:t>
            </w:r>
            <w:r w:rsidRPr="009A0FEE">
              <w:rPr>
                <w:sz w:val="18"/>
                <w:lang w:eastAsia="zh-CN"/>
              </w:rPr>
              <w:t xml:space="preserve">Purchase </w:t>
            </w:r>
            <w:proofErr w:type="spellStart"/>
            <w:r w:rsidRPr="009A0FEE">
              <w:rPr>
                <w:sz w:val="18"/>
                <w:lang w:eastAsia="zh-CN"/>
              </w:rPr>
              <w:t>SKC</w:t>
            </w:r>
            <w:proofErr w:type="spellEnd"/>
            <w:r w:rsidRPr="009A0FEE">
              <w:rPr>
                <w:sz w:val="18"/>
                <w:lang w:eastAsia="zh-CN"/>
              </w:rPr>
              <w:t xml:space="preserve"> at end of lease options in 2029</w:t>
            </w:r>
          </w:p>
        </w:tc>
        <w:tc>
          <w:tcPr>
            <w:tcW w:w="2772" w:type="dxa"/>
            <w:vAlign w:val="center"/>
          </w:tcPr>
          <w:p w:rsidR="008B54C5" w:rsidRPr="009A0FEE" w:rsidRDefault="008B54C5" w:rsidP="00032173">
            <w:pPr>
              <w:spacing w:before="30" w:after="30" w:line="240" w:lineRule="auto"/>
              <w:jc w:val="center"/>
              <w:rPr>
                <w:sz w:val="18"/>
                <w:szCs w:val="20"/>
              </w:rPr>
            </w:pPr>
            <w:r w:rsidRPr="009A0FEE">
              <w:rPr>
                <w:sz w:val="18"/>
                <w:szCs w:val="20"/>
              </w:rPr>
              <w:t>($6</w:t>
            </w:r>
            <w:r>
              <w:rPr>
                <w:sz w:val="18"/>
                <w:szCs w:val="20"/>
              </w:rPr>
              <w:t>9,986,000</w:t>
            </w:r>
            <w:r w:rsidRPr="009A0FEE">
              <w:rPr>
                <w:sz w:val="18"/>
                <w:szCs w:val="20"/>
              </w:rPr>
              <w:t>)</w:t>
            </w:r>
          </w:p>
        </w:tc>
        <w:tc>
          <w:tcPr>
            <w:tcW w:w="2772" w:type="dxa"/>
            <w:vAlign w:val="center"/>
          </w:tcPr>
          <w:p w:rsidR="008B54C5" w:rsidRPr="00900B17" w:rsidRDefault="008B54C5" w:rsidP="0003217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00B17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2,145,000</w:t>
            </w:r>
          </w:p>
        </w:tc>
      </w:tr>
      <w:tr w:rsidR="008B54C5" w:rsidTr="00032173">
        <w:tc>
          <w:tcPr>
            <w:tcW w:w="2772" w:type="dxa"/>
          </w:tcPr>
          <w:p w:rsidR="008B54C5" w:rsidRPr="009A0FEE" w:rsidRDefault="008B54C5" w:rsidP="00032173">
            <w:pPr>
              <w:tabs>
                <w:tab w:val="left" w:pos="201"/>
              </w:tabs>
              <w:spacing w:before="30" w:after="30" w:line="240" w:lineRule="auto"/>
              <w:ind w:left="180" w:hanging="180"/>
              <w:rPr>
                <w:sz w:val="18"/>
                <w:lang w:eastAsia="zh-CN"/>
              </w:rPr>
            </w:pPr>
            <w:r w:rsidRPr="009A0FEE">
              <w:rPr>
                <w:b/>
                <w:sz w:val="18"/>
                <w:lang w:eastAsia="zh-CN"/>
              </w:rPr>
              <w:t>4)</w:t>
            </w:r>
            <w:r>
              <w:rPr>
                <w:sz w:val="18"/>
                <w:lang w:eastAsia="zh-CN"/>
              </w:rPr>
              <w:t xml:space="preserve"> </w:t>
            </w:r>
            <w:r w:rsidRPr="009A0FEE">
              <w:rPr>
                <w:sz w:val="18"/>
                <w:lang w:eastAsia="zh-CN"/>
              </w:rPr>
              <w:t>Build and own alternative property for relocation in 2029</w:t>
            </w:r>
          </w:p>
        </w:tc>
        <w:tc>
          <w:tcPr>
            <w:tcW w:w="2772" w:type="dxa"/>
            <w:vAlign w:val="center"/>
          </w:tcPr>
          <w:p w:rsidR="008B54C5" w:rsidRPr="009A0FEE" w:rsidRDefault="008B54C5" w:rsidP="00032173">
            <w:pPr>
              <w:spacing w:before="30" w:after="30" w:line="240" w:lineRule="auto"/>
              <w:jc w:val="center"/>
              <w:rPr>
                <w:sz w:val="18"/>
                <w:szCs w:val="20"/>
              </w:rPr>
            </w:pPr>
            <w:r w:rsidRPr="009A0FEE">
              <w:rPr>
                <w:sz w:val="18"/>
                <w:szCs w:val="20"/>
              </w:rPr>
              <w:t>($9</w:t>
            </w:r>
            <w:r>
              <w:rPr>
                <w:sz w:val="18"/>
                <w:szCs w:val="20"/>
              </w:rPr>
              <w:t>7</w:t>
            </w:r>
            <w:r w:rsidRPr="009A0FEE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397</w:t>
            </w:r>
            <w:r w:rsidRPr="009A0FEE">
              <w:rPr>
                <w:sz w:val="18"/>
                <w:szCs w:val="20"/>
              </w:rPr>
              <w:t>,000)</w:t>
            </w:r>
          </w:p>
        </w:tc>
        <w:tc>
          <w:tcPr>
            <w:tcW w:w="2772" w:type="dxa"/>
            <w:vAlign w:val="center"/>
          </w:tcPr>
          <w:p w:rsidR="008B54C5" w:rsidRPr="00900B17" w:rsidRDefault="008B54C5" w:rsidP="0003217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00B17">
              <w:rPr>
                <w:sz w:val="18"/>
                <w:szCs w:val="18"/>
              </w:rPr>
              <w:t>$29,</w:t>
            </w:r>
            <w:r>
              <w:rPr>
                <w:sz w:val="18"/>
                <w:szCs w:val="18"/>
              </w:rPr>
              <w:t>556,000</w:t>
            </w:r>
          </w:p>
        </w:tc>
      </w:tr>
      <w:tr w:rsidR="008B54C5" w:rsidTr="00032173">
        <w:tc>
          <w:tcPr>
            <w:tcW w:w="2772" w:type="dxa"/>
          </w:tcPr>
          <w:p w:rsidR="008B54C5" w:rsidRPr="009A0FEE" w:rsidRDefault="008B54C5" w:rsidP="00032173">
            <w:pPr>
              <w:tabs>
                <w:tab w:val="left" w:pos="201"/>
              </w:tabs>
              <w:spacing w:before="30" w:after="30" w:line="240" w:lineRule="auto"/>
              <w:ind w:left="180" w:hanging="180"/>
              <w:rPr>
                <w:sz w:val="18"/>
                <w:lang w:eastAsia="zh-CN"/>
              </w:rPr>
            </w:pPr>
            <w:r w:rsidRPr="009A0FEE">
              <w:rPr>
                <w:b/>
                <w:sz w:val="18"/>
                <w:lang w:eastAsia="zh-CN"/>
              </w:rPr>
              <w:t>5)</w:t>
            </w:r>
            <w:r>
              <w:rPr>
                <w:sz w:val="18"/>
                <w:lang w:eastAsia="zh-CN"/>
              </w:rPr>
              <w:t xml:space="preserve"> </w:t>
            </w:r>
            <w:r w:rsidRPr="009A0FEE">
              <w:rPr>
                <w:sz w:val="18"/>
                <w:lang w:eastAsia="zh-CN"/>
              </w:rPr>
              <w:t>Lease alternative property in 2029</w:t>
            </w:r>
          </w:p>
        </w:tc>
        <w:tc>
          <w:tcPr>
            <w:tcW w:w="2772" w:type="dxa"/>
            <w:vAlign w:val="center"/>
          </w:tcPr>
          <w:p w:rsidR="008B54C5" w:rsidRPr="009A0FEE" w:rsidRDefault="008B54C5" w:rsidP="00032173">
            <w:pPr>
              <w:spacing w:before="30" w:after="30" w:line="240" w:lineRule="auto"/>
              <w:jc w:val="center"/>
              <w:rPr>
                <w:sz w:val="18"/>
                <w:szCs w:val="20"/>
              </w:rPr>
            </w:pPr>
            <w:r w:rsidRPr="009A0FEE">
              <w:rPr>
                <w:sz w:val="18"/>
                <w:szCs w:val="20"/>
              </w:rPr>
              <w:t>($8</w:t>
            </w:r>
            <w:r>
              <w:rPr>
                <w:sz w:val="18"/>
                <w:szCs w:val="20"/>
              </w:rPr>
              <w:t>8</w:t>
            </w:r>
            <w:r w:rsidRPr="009A0FEE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933</w:t>
            </w:r>
            <w:r w:rsidRPr="009A0FEE">
              <w:rPr>
                <w:sz w:val="18"/>
                <w:szCs w:val="20"/>
              </w:rPr>
              <w:t>,000)</w:t>
            </w:r>
          </w:p>
        </w:tc>
        <w:tc>
          <w:tcPr>
            <w:tcW w:w="2772" w:type="dxa"/>
            <w:vAlign w:val="center"/>
          </w:tcPr>
          <w:p w:rsidR="008B54C5" w:rsidRPr="00900B17" w:rsidRDefault="008B54C5" w:rsidP="0003217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00B17">
              <w:rPr>
                <w:sz w:val="18"/>
                <w:szCs w:val="18"/>
              </w:rPr>
              <w:t>$21,</w:t>
            </w:r>
            <w:r>
              <w:rPr>
                <w:sz w:val="18"/>
                <w:szCs w:val="18"/>
              </w:rPr>
              <w:t>092</w:t>
            </w:r>
            <w:r w:rsidRPr="00900B17">
              <w:rPr>
                <w:sz w:val="18"/>
                <w:szCs w:val="18"/>
              </w:rPr>
              <w:t>,000</w:t>
            </w:r>
          </w:p>
        </w:tc>
      </w:tr>
    </w:tbl>
    <w:p w:rsidR="00C03EEC" w:rsidRDefault="00C770B4" w:rsidP="008B54C5">
      <w:pPr>
        <w:spacing w:before="360" w:after="120" w:line="480" w:lineRule="auto"/>
        <w:ind w:left="720"/>
        <w:rPr>
          <w:lang w:eastAsia="zh-CN"/>
        </w:rPr>
      </w:pPr>
      <w:r>
        <w:rPr>
          <w:lang w:eastAsia="zh-CN"/>
        </w:rPr>
        <w:t xml:space="preserve">As Table 1 depicts, </w:t>
      </w:r>
      <w:r w:rsidRPr="00D118DB">
        <w:rPr>
          <w:lang w:eastAsia="zh-CN"/>
        </w:rPr>
        <w:t xml:space="preserve">Scenario 1) Purchase </w:t>
      </w:r>
      <w:proofErr w:type="spellStart"/>
      <w:r w:rsidRPr="00D118DB">
        <w:rPr>
          <w:lang w:eastAsia="zh-CN"/>
        </w:rPr>
        <w:t>SKC</w:t>
      </w:r>
      <w:proofErr w:type="spellEnd"/>
      <w:r w:rsidRPr="00D118DB">
        <w:rPr>
          <w:lang w:eastAsia="zh-CN"/>
        </w:rPr>
        <w:t xml:space="preserve"> </w:t>
      </w:r>
      <w:r w:rsidR="008D7466" w:rsidRPr="00D118DB">
        <w:rPr>
          <w:lang w:eastAsia="zh-CN"/>
        </w:rPr>
        <w:t>in</w:t>
      </w:r>
      <w:r w:rsidRPr="00D118DB">
        <w:rPr>
          <w:lang w:eastAsia="zh-CN"/>
        </w:rPr>
        <w:t xml:space="preserve"> 2016</w:t>
      </w:r>
      <w:r w:rsidR="00317EB0">
        <w:rPr>
          <w:lang w:eastAsia="zh-CN"/>
        </w:rPr>
        <w:t xml:space="preserve">, </w:t>
      </w:r>
      <w:r>
        <w:rPr>
          <w:lang w:eastAsia="zh-CN"/>
        </w:rPr>
        <w:t>achieves the lowest cost outcome and best business value to PSE’s customers</w:t>
      </w:r>
      <w:r w:rsidR="00FE3B6D">
        <w:rPr>
          <w:lang w:eastAsia="zh-CN"/>
        </w:rPr>
        <w:t xml:space="preserve">, reflecting the acquisition of </w:t>
      </w:r>
      <w:proofErr w:type="spellStart"/>
      <w:r w:rsidR="00FE3B6D">
        <w:rPr>
          <w:lang w:eastAsia="zh-CN"/>
        </w:rPr>
        <w:t>SKC</w:t>
      </w:r>
      <w:proofErr w:type="spellEnd"/>
      <w:r w:rsidR="00FE3B6D">
        <w:rPr>
          <w:lang w:eastAsia="zh-CN"/>
        </w:rPr>
        <w:t xml:space="preserve"> in 2016 for a purchase price of $30 million and the future operating and capital cost estimates provided by MENG and PCS</w:t>
      </w:r>
      <w:r w:rsidR="006B51DC">
        <w:rPr>
          <w:lang w:eastAsia="zh-CN"/>
        </w:rPr>
        <w:t xml:space="preserve">.  </w:t>
      </w:r>
    </w:p>
    <w:p w:rsidR="006B51DC" w:rsidRDefault="00A325C2" w:rsidP="006B51DC">
      <w:pPr>
        <w:spacing w:before="360" w:after="120" w:line="480" w:lineRule="auto"/>
        <w:ind w:left="720"/>
        <w:rPr>
          <w:lang w:eastAsia="zh-CN"/>
        </w:rPr>
      </w:pPr>
      <w:r>
        <w:rPr>
          <w:lang w:eastAsia="zh-CN"/>
        </w:rPr>
        <w:t>P</w:t>
      </w:r>
      <w:r w:rsidR="006B51DC">
        <w:rPr>
          <w:lang w:eastAsia="zh-CN"/>
        </w:rPr>
        <w:t>ur</w:t>
      </w:r>
      <w:r w:rsidR="00C03EEC">
        <w:rPr>
          <w:lang w:eastAsia="zh-CN"/>
        </w:rPr>
        <w:t xml:space="preserve">chasing </w:t>
      </w:r>
      <w:proofErr w:type="spellStart"/>
      <w:r w:rsidR="00C03EEC">
        <w:rPr>
          <w:lang w:eastAsia="zh-CN"/>
        </w:rPr>
        <w:t>SKC</w:t>
      </w:r>
      <w:proofErr w:type="spellEnd"/>
      <w:r w:rsidR="00C03EEC">
        <w:rPr>
          <w:lang w:eastAsia="zh-CN"/>
        </w:rPr>
        <w:t xml:space="preserve"> </w:t>
      </w:r>
      <w:r w:rsidR="00CB6049">
        <w:rPr>
          <w:lang w:eastAsia="zh-CN"/>
        </w:rPr>
        <w:t xml:space="preserve">was approved </w:t>
      </w:r>
      <w:r>
        <w:rPr>
          <w:lang w:eastAsia="zh-CN"/>
        </w:rPr>
        <w:t xml:space="preserve">by PSE senior management </w:t>
      </w:r>
      <w:r w:rsidR="006B51DC">
        <w:rPr>
          <w:lang w:eastAsia="zh-CN"/>
        </w:rPr>
        <w:t>based on the following:</w:t>
      </w:r>
    </w:p>
    <w:p w:rsidR="00C03EEC" w:rsidRDefault="006B51DC" w:rsidP="00CB6049">
      <w:pPr>
        <w:pStyle w:val="ListParagraph"/>
        <w:numPr>
          <w:ilvl w:val="0"/>
          <w:numId w:val="16"/>
        </w:numPr>
        <w:spacing w:before="120" w:after="120" w:line="480" w:lineRule="auto"/>
        <w:contextualSpacing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C03EEC">
        <w:rPr>
          <w:rFonts w:ascii="Times New Roman" w:hAnsi="Times New Roman" w:cs="Times New Roman"/>
          <w:sz w:val="24"/>
          <w:szCs w:val="24"/>
          <w:lang w:eastAsia="zh-CN"/>
        </w:rPr>
        <w:t>Financial benefits of ownersh</w:t>
      </w:r>
      <w:r w:rsidR="00C03EEC">
        <w:rPr>
          <w:rFonts w:ascii="Times New Roman" w:hAnsi="Times New Roman" w:cs="Times New Roman"/>
          <w:sz w:val="24"/>
          <w:szCs w:val="24"/>
          <w:lang w:eastAsia="zh-CN"/>
        </w:rPr>
        <w:t xml:space="preserve">ip versus leasing on a cash, </w:t>
      </w:r>
      <w:r w:rsidRPr="00C03EEC">
        <w:rPr>
          <w:rFonts w:ascii="Times New Roman" w:hAnsi="Times New Roman" w:cs="Times New Roman"/>
          <w:sz w:val="24"/>
          <w:szCs w:val="24"/>
          <w:lang w:eastAsia="zh-CN"/>
        </w:rPr>
        <w:t xml:space="preserve">GAAP </w:t>
      </w:r>
      <w:r w:rsidR="00826207">
        <w:rPr>
          <w:rFonts w:ascii="Times New Roman" w:hAnsi="Times New Roman" w:cs="Times New Roman"/>
          <w:sz w:val="24"/>
          <w:szCs w:val="24"/>
          <w:lang w:eastAsia="zh-CN"/>
        </w:rPr>
        <w:t>basis</w:t>
      </w:r>
      <w:r w:rsidR="00C03EEC">
        <w:rPr>
          <w:rFonts w:ascii="Times New Roman" w:hAnsi="Times New Roman" w:cs="Times New Roman"/>
          <w:sz w:val="24"/>
          <w:szCs w:val="24"/>
          <w:lang w:eastAsia="zh-CN"/>
        </w:rPr>
        <w:t xml:space="preserve"> and regulated revenue requirement</w:t>
      </w:r>
      <w:r w:rsidRPr="00C03EEC">
        <w:rPr>
          <w:rFonts w:ascii="Times New Roman" w:hAnsi="Times New Roman" w:cs="Times New Roman"/>
          <w:sz w:val="24"/>
          <w:szCs w:val="24"/>
          <w:lang w:eastAsia="zh-CN"/>
        </w:rPr>
        <w:t xml:space="preserve"> basis;</w:t>
      </w:r>
    </w:p>
    <w:p w:rsidR="00C03EEC" w:rsidRPr="00C03EEC" w:rsidRDefault="006B51DC" w:rsidP="00CB6049">
      <w:pPr>
        <w:pStyle w:val="ListParagraph"/>
        <w:numPr>
          <w:ilvl w:val="0"/>
          <w:numId w:val="16"/>
        </w:numPr>
        <w:spacing w:before="120" w:after="120" w:line="480" w:lineRule="auto"/>
        <w:contextualSpacing w:val="0"/>
        <w:rPr>
          <w:rFonts w:ascii="Times New Roman" w:hAnsi="Times New Roman" w:cs="Times New Roman"/>
          <w:sz w:val="28"/>
          <w:szCs w:val="24"/>
          <w:lang w:eastAsia="zh-CN"/>
        </w:rPr>
      </w:pPr>
      <w:r w:rsidRPr="00C03EEC">
        <w:rPr>
          <w:rFonts w:ascii="Times New Roman" w:hAnsi="Times New Roman" w:cs="Times New Roman"/>
          <w:sz w:val="24"/>
          <w:lang w:eastAsia="zh-CN"/>
        </w:rPr>
        <w:t xml:space="preserve">Lack of viability of a continued long-term lease at the current </w:t>
      </w:r>
      <w:proofErr w:type="spellStart"/>
      <w:r w:rsidRPr="00C03EEC">
        <w:rPr>
          <w:rFonts w:ascii="Times New Roman" w:hAnsi="Times New Roman" w:cs="Times New Roman"/>
          <w:sz w:val="24"/>
          <w:lang w:eastAsia="zh-CN"/>
        </w:rPr>
        <w:t>SKC</w:t>
      </w:r>
      <w:proofErr w:type="spellEnd"/>
      <w:r w:rsidRPr="00C03EEC">
        <w:rPr>
          <w:rFonts w:ascii="Times New Roman" w:hAnsi="Times New Roman" w:cs="Times New Roman"/>
          <w:sz w:val="24"/>
          <w:lang w:eastAsia="zh-CN"/>
        </w:rPr>
        <w:t xml:space="preserve"> location based on the probable sale of </w:t>
      </w:r>
      <w:proofErr w:type="spellStart"/>
      <w:r w:rsidRPr="00C03EEC">
        <w:rPr>
          <w:rFonts w:ascii="Times New Roman" w:hAnsi="Times New Roman" w:cs="Times New Roman"/>
          <w:sz w:val="24"/>
          <w:lang w:eastAsia="zh-CN"/>
        </w:rPr>
        <w:t>SKC</w:t>
      </w:r>
      <w:proofErr w:type="spellEnd"/>
      <w:r w:rsidRPr="00C03EEC">
        <w:rPr>
          <w:rFonts w:ascii="Times New Roman" w:hAnsi="Times New Roman" w:cs="Times New Roman"/>
          <w:sz w:val="24"/>
          <w:lang w:eastAsia="zh-CN"/>
        </w:rPr>
        <w:t xml:space="preserve"> to a third party for the purpose of site redevelopment;</w:t>
      </w:r>
    </w:p>
    <w:p w:rsidR="00C03EEC" w:rsidRPr="00C03EEC" w:rsidRDefault="006B51DC" w:rsidP="00CB6049">
      <w:pPr>
        <w:pStyle w:val="ListParagraph"/>
        <w:numPr>
          <w:ilvl w:val="0"/>
          <w:numId w:val="16"/>
        </w:numPr>
        <w:spacing w:before="120" w:after="120" w:line="480" w:lineRule="auto"/>
        <w:contextualSpacing w:val="0"/>
        <w:rPr>
          <w:rFonts w:ascii="Times New Roman" w:hAnsi="Times New Roman" w:cs="Times New Roman"/>
          <w:sz w:val="32"/>
          <w:szCs w:val="24"/>
          <w:lang w:eastAsia="zh-CN"/>
        </w:rPr>
      </w:pPr>
      <w:r w:rsidRPr="00C03EEC">
        <w:rPr>
          <w:rFonts w:ascii="Times New Roman" w:hAnsi="Times New Roman" w:cs="Times New Roman"/>
          <w:sz w:val="24"/>
          <w:lang w:eastAsia="zh-CN"/>
        </w:rPr>
        <w:lastRenderedPageBreak/>
        <w:t>Scarcity of comparable industrial land in the area to accommodate PSE’s relocation; and</w:t>
      </w:r>
    </w:p>
    <w:p w:rsidR="00EB3A85" w:rsidRDefault="006B51DC" w:rsidP="00EB3A85">
      <w:pPr>
        <w:pStyle w:val="ListParagraph"/>
        <w:numPr>
          <w:ilvl w:val="0"/>
          <w:numId w:val="16"/>
        </w:numPr>
        <w:spacing w:before="120" w:after="120" w:line="480" w:lineRule="auto"/>
        <w:contextualSpacing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C03EEC">
        <w:rPr>
          <w:rFonts w:ascii="Times New Roman" w:hAnsi="Times New Roman" w:cs="Times New Roman"/>
          <w:sz w:val="24"/>
          <w:szCs w:val="24"/>
          <w:lang w:eastAsia="zh-CN"/>
        </w:rPr>
        <w:t>Cost to replicate the South King Complex and relocate all PSE employees, material and equipment.</w:t>
      </w:r>
      <w:bookmarkStart w:id="13" w:name="_Toc293498708"/>
    </w:p>
    <w:p w:rsidR="000B09F9" w:rsidRDefault="000B09F9" w:rsidP="00380CC7">
      <w:pPr>
        <w:pStyle w:val="question"/>
      </w:pPr>
      <w:r>
        <w:t>Q.</w:t>
      </w:r>
      <w:r>
        <w:tab/>
        <w:t xml:space="preserve">Has PSE completed the purchase of </w:t>
      </w:r>
      <w:proofErr w:type="spellStart"/>
      <w:r>
        <w:t>SKC</w:t>
      </w:r>
      <w:proofErr w:type="spellEnd"/>
      <w:r>
        <w:t>?</w:t>
      </w:r>
    </w:p>
    <w:p w:rsidR="000B09F9" w:rsidRPr="000B09F9" w:rsidRDefault="000B09F9" w:rsidP="00BE06E1">
      <w:pPr>
        <w:pStyle w:val="answer"/>
      </w:pPr>
      <w:r>
        <w:t>A.</w:t>
      </w:r>
      <w:r>
        <w:tab/>
        <w:t>Y</w:t>
      </w:r>
      <w:r w:rsidR="00554AE1">
        <w:t>es, PSE closed on the purchase o</w:t>
      </w:r>
      <w:r>
        <w:t>n</w:t>
      </w:r>
      <w:r w:rsidR="002A4602">
        <w:t xml:space="preserve"> August 31,</w:t>
      </w:r>
      <w:r>
        <w:t xml:space="preserve"> 2016.  </w:t>
      </w:r>
    </w:p>
    <w:p w:rsidR="00452E22" w:rsidRDefault="00452E22" w:rsidP="00380CC7">
      <w:pPr>
        <w:pStyle w:val="Heading1"/>
      </w:pPr>
      <w:bookmarkStart w:id="14" w:name="_Toc471304192"/>
      <w:r>
        <w:t>III.</w:t>
      </w:r>
      <w:r>
        <w:tab/>
        <w:t>CONCLUSION</w:t>
      </w:r>
      <w:bookmarkEnd w:id="13"/>
      <w:bookmarkEnd w:id="14"/>
    </w:p>
    <w:p w:rsidR="00452E22" w:rsidRDefault="00452E22" w:rsidP="00380CC7">
      <w:pPr>
        <w:pStyle w:val="question"/>
      </w:pPr>
      <w:r>
        <w:t>Q.</w:t>
      </w:r>
      <w:r>
        <w:tab/>
        <w:t>Does this conclude your testimony?</w:t>
      </w:r>
    </w:p>
    <w:p w:rsidR="002A4602" w:rsidRDefault="00452E22" w:rsidP="00317EB0">
      <w:pPr>
        <w:pStyle w:val="answer"/>
      </w:pPr>
      <w:r>
        <w:t>A.</w:t>
      </w:r>
      <w:r>
        <w:tab/>
        <w:t>Yes, it does.</w:t>
      </w:r>
    </w:p>
    <w:sectPr w:rsidR="002A4602">
      <w:headerReference w:type="even" r:id="rId11"/>
      <w:footerReference w:type="default" r:id="rId12"/>
      <w:footerReference w:type="first" r:id="rId13"/>
      <w:pgSz w:w="12240" w:h="15840" w:code="1"/>
      <w:pgMar w:top="1440" w:right="1260" w:bottom="2250" w:left="2160" w:header="864" w:footer="576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69F" w:rsidRDefault="00B2169F">
      <w:r>
        <w:separator/>
      </w:r>
    </w:p>
    <w:p w:rsidR="00B2169F" w:rsidRDefault="00B2169F"/>
  </w:endnote>
  <w:endnote w:type="continuationSeparator" w:id="0">
    <w:p w:rsidR="00B2169F" w:rsidRDefault="00B2169F">
      <w:r>
        <w:continuationSeparator/>
      </w:r>
    </w:p>
    <w:p w:rsidR="00B2169F" w:rsidRDefault="00B2169F"/>
    <w:p w:rsidR="00B2169F" w:rsidRDefault="00B2169F">
      <w:pPr>
        <w:pStyle w:val="Head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510EF1C0-D7F5-4C29-A7B8-17753F3084DA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CE" w:rsidRDefault="00C900CE">
    <w:pPr>
      <w:pStyle w:val="Footer"/>
      <w:tabs>
        <w:tab w:val="clear" w:pos="4507"/>
        <w:tab w:val="clear" w:pos="9000"/>
        <w:tab w:val="right" w:pos="8730"/>
      </w:tabs>
      <w:spacing w:line="240" w:lineRule="auto"/>
      <w:ind w:right="-90"/>
      <w:rPr>
        <w:b/>
        <w:sz w:val="20"/>
        <w:u w:val="single"/>
      </w:rPr>
    </w:pPr>
    <w:r>
      <w:rPr>
        <w:b/>
        <w:sz w:val="20"/>
        <w:u w:val="single"/>
      </w:rPr>
      <w:t>______________________________________________________________________________________</w:t>
    </w:r>
  </w:p>
  <w:p w:rsidR="00C900CE" w:rsidRDefault="00C900CE">
    <w:pPr>
      <w:pStyle w:val="Footer"/>
      <w:tabs>
        <w:tab w:val="clear" w:pos="4507"/>
        <w:tab w:val="clear" w:pos="9000"/>
        <w:tab w:val="right" w:pos="8640"/>
      </w:tabs>
    </w:pPr>
    <w:proofErr w:type="spellStart"/>
    <w:r>
      <w:t>Prefiled</w:t>
    </w:r>
    <w:proofErr w:type="spellEnd"/>
    <w:r>
      <w:t xml:space="preserve"> </w:t>
    </w:r>
    <w:r w:rsidR="00447E27">
      <w:t>Direct Testimony</w:t>
    </w:r>
    <w:r w:rsidR="00447E27">
      <w:tab/>
      <w:t>Exhibit No. </w:t>
    </w:r>
    <w:r w:rsidR="00EF271C">
      <w:t>___(</w:t>
    </w:r>
    <w:r w:rsidR="00447E27">
      <w:t>J</w:t>
    </w:r>
    <w:r w:rsidR="00CF1AE3">
      <w:t>L</w:t>
    </w:r>
    <w:r w:rsidR="00447E27">
      <w:t>M</w:t>
    </w:r>
    <w:r>
      <w:t>-1T</w:t>
    </w:r>
    <w:r w:rsidR="00EF271C">
      <w:t>)</w:t>
    </w:r>
  </w:p>
  <w:p w:rsidR="00C900CE" w:rsidRDefault="00C900CE">
    <w:pPr>
      <w:pStyle w:val="Footer"/>
      <w:tabs>
        <w:tab w:val="clear" w:pos="4507"/>
        <w:tab w:val="clear" w:pos="9000"/>
        <w:tab w:val="right" w:pos="8640"/>
      </w:tabs>
      <w:rPr>
        <w:rStyle w:val="PageNumber"/>
      </w:rPr>
    </w:pPr>
    <w:r>
      <w:t>(</w:t>
    </w:r>
    <w:proofErr w:type="spellStart"/>
    <w:r>
      <w:t>Nonconfidential</w:t>
    </w:r>
    <w:proofErr w:type="spellEnd"/>
    <w:r>
      <w:t>) of</w:t>
    </w:r>
    <w:r>
      <w:tab/>
      <w:t>Page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5407">
      <w:rPr>
        <w:rStyle w:val="PageNumber"/>
        <w:noProof/>
      </w:rPr>
      <w:t>i</w:t>
    </w:r>
    <w:r>
      <w:rPr>
        <w:rStyle w:val="PageNumber"/>
      </w:rPr>
      <w:fldChar w:fldCharType="end"/>
    </w:r>
    <w:r>
      <w:rPr>
        <w:rStyle w:val="PageNumber"/>
      </w:rPr>
      <w:t xml:space="preserve"> of i</w:t>
    </w:r>
  </w:p>
  <w:p w:rsidR="00C900CE" w:rsidRDefault="00447E27">
    <w:pPr>
      <w:pStyle w:val="Footer"/>
      <w:tabs>
        <w:tab w:val="clear" w:pos="4507"/>
        <w:tab w:val="clear" w:pos="9000"/>
        <w:tab w:val="right" w:pos="8640"/>
      </w:tabs>
      <w:ind w:hanging="4"/>
    </w:pPr>
    <w:r>
      <w:t xml:space="preserve">Joel </w:t>
    </w:r>
    <w:r w:rsidR="00B95684">
      <w:t>L</w:t>
    </w:r>
    <w:r>
      <w:t>. Molander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CE" w:rsidRDefault="00C900CE">
    <w:pPr>
      <w:pStyle w:val="Footer"/>
      <w:tabs>
        <w:tab w:val="clear" w:pos="4507"/>
        <w:tab w:val="clear" w:pos="9000"/>
        <w:tab w:val="right" w:pos="8730"/>
      </w:tabs>
      <w:spacing w:line="240" w:lineRule="auto"/>
      <w:ind w:right="-90"/>
      <w:rPr>
        <w:b/>
        <w:sz w:val="20"/>
        <w:u w:val="single"/>
      </w:rPr>
    </w:pPr>
    <w:r>
      <w:rPr>
        <w:b/>
        <w:sz w:val="20"/>
        <w:u w:val="single"/>
      </w:rPr>
      <w:t>______________________________________________________________________________________</w:t>
    </w:r>
  </w:p>
  <w:p w:rsidR="00C900CE" w:rsidRDefault="00C900CE">
    <w:pPr>
      <w:pStyle w:val="Footer"/>
      <w:tabs>
        <w:tab w:val="clear" w:pos="4507"/>
        <w:tab w:val="clear" w:pos="9000"/>
        <w:tab w:val="right" w:pos="8640"/>
      </w:tabs>
      <w:spacing w:line="240" w:lineRule="auto"/>
      <w:ind w:right="0"/>
      <w:rPr>
        <w:sz w:val="10"/>
      </w:rPr>
    </w:pPr>
  </w:p>
  <w:p w:rsidR="00C900CE" w:rsidRDefault="00C900CE">
    <w:pPr>
      <w:pStyle w:val="Footer"/>
      <w:tabs>
        <w:tab w:val="clear" w:pos="4507"/>
        <w:tab w:val="clear" w:pos="9000"/>
        <w:tab w:val="right" w:pos="8640"/>
      </w:tabs>
    </w:pPr>
    <w:proofErr w:type="spellStart"/>
    <w:r>
      <w:t>Prefiled</w:t>
    </w:r>
    <w:proofErr w:type="spellEnd"/>
    <w:r>
      <w:t xml:space="preserve"> </w:t>
    </w:r>
    <w:r w:rsidR="00447E27">
      <w:t>Direct Testimony</w:t>
    </w:r>
    <w:r w:rsidR="00447E27">
      <w:tab/>
      <w:t>Exhibit No. </w:t>
    </w:r>
    <w:r w:rsidR="00EF271C">
      <w:t>___(</w:t>
    </w:r>
    <w:r w:rsidR="00447E27">
      <w:t>J</w:t>
    </w:r>
    <w:r w:rsidR="00AE6E1A">
      <w:t>L</w:t>
    </w:r>
    <w:r w:rsidR="00447E27">
      <w:t>M</w:t>
    </w:r>
    <w:r>
      <w:t>-1T</w:t>
    </w:r>
    <w:r w:rsidR="00EF271C">
      <w:t>)</w:t>
    </w:r>
  </w:p>
  <w:p w:rsidR="00C900CE" w:rsidRDefault="00C900CE">
    <w:pPr>
      <w:pStyle w:val="Footer"/>
      <w:tabs>
        <w:tab w:val="clear" w:pos="4507"/>
        <w:tab w:val="clear" w:pos="9000"/>
        <w:tab w:val="right" w:pos="8640"/>
      </w:tabs>
      <w:rPr>
        <w:rStyle w:val="PageNumber"/>
      </w:rPr>
    </w:pPr>
    <w:r>
      <w:t>(</w:t>
    </w:r>
    <w:proofErr w:type="spellStart"/>
    <w:r>
      <w:t>Nonconfidential</w:t>
    </w:r>
    <w:proofErr w:type="spellEnd"/>
    <w:r>
      <w:t>) of</w:t>
    </w:r>
    <w:r>
      <w:tab/>
      <w:t>Page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5407">
      <w:rPr>
        <w:rStyle w:val="PageNumber"/>
        <w:noProof/>
      </w:rPr>
      <w:t>13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SECTIONPAGES  \* Arabic  \* MERGEFORMAT </w:instrText>
    </w:r>
    <w:r>
      <w:rPr>
        <w:rStyle w:val="PageNumber"/>
      </w:rPr>
      <w:fldChar w:fldCharType="separate"/>
    </w:r>
    <w:r w:rsidR="00605407">
      <w:rPr>
        <w:rStyle w:val="PageNumber"/>
        <w:noProof/>
      </w:rPr>
      <w:t>13</w:t>
    </w:r>
    <w:r>
      <w:rPr>
        <w:rStyle w:val="PageNumber"/>
      </w:rPr>
      <w:fldChar w:fldCharType="end"/>
    </w:r>
  </w:p>
  <w:p w:rsidR="00C900CE" w:rsidRDefault="00447E27">
    <w:pPr>
      <w:pStyle w:val="Footer"/>
      <w:tabs>
        <w:tab w:val="clear" w:pos="4507"/>
        <w:tab w:val="clear" w:pos="9000"/>
        <w:tab w:val="right" w:pos="8640"/>
      </w:tabs>
    </w:pPr>
    <w:r>
      <w:t xml:space="preserve">Joel </w:t>
    </w:r>
    <w:r w:rsidR="00B95684">
      <w:t>L</w:t>
    </w:r>
    <w:r>
      <w:t>. Molander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CE" w:rsidRDefault="00C90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69F" w:rsidRDefault="00B2169F">
      <w:r>
        <w:separator/>
      </w:r>
    </w:p>
  </w:footnote>
  <w:footnote w:type="continuationSeparator" w:id="0">
    <w:p w:rsidR="00B2169F" w:rsidRDefault="00B2169F">
      <w:r>
        <w:continuationSeparator/>
      </w:r>
    </w:p>
  </w:footnote>
  <w:footnote w:type="continuationNotice" w:id="1">
    <w:p w:rsidR="00B2169F" w:rsidRDefault="00B216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OLE_LINK1"/>
  <w:bookmarkStart w:id="2" w:name="OLE_LINK2"/>
  <w:bookmarkStart w:id="3" w:name="_Hlk125911586"/>
  <w:p w:rsidR="00C900CE" w:rsidRDefault="000918C8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68A520D" wp14:editId="237A86E7">
              <wp:simplePos x="0" y="0"/>
              <wp:positionH relativeFrom="column">
                <wp:posOffset>-177165</wp:posOffset>
              </wp:positionH>
              <wp:positionV relativeFrom="paragraph">
                <wp:posOffset>-88900</wp:posOffset>
              </wp:positionV>
              <wp:extent cx="0" cy="92583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-7pt" to="-13.95pt,7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MIGgIAADQEAAAOAAAAZHJzL2Uyb0RvYy54bWysU8uu2jAQ3VfqP1jeQxLIpR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" o:allowincell="f" strokeweight="3pt">
              <v:stroke linestyle="thinThin"/>
            </v:line>
          </w:pict>
        </mc:Fallback>
      </mc:AlternateContent>
    </w:r>
    <w:bookmarkEnd w:id="1"/>
    <w:bookmarkEnd w:id="2"/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CE" w:rsidRDefault="00C900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2F92FFC"/>
    <w:multiLevelType w:val="hybridMultilevel"/>
    <w:tmpl w:val="252A06EC"/>
    <w:lvl w:ilvl="0" w:tplc="0AE66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1F73A2"/>
    <w:multiLevelType w:val="hybridMultilevel"/>
    <w:tmpl w:val="EF088B74"/>
    <w:lvl w:ilvl="0" w:tplc="06FC51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846E95"/>
    <w:multiLevelType w:val="hybridMultilevel"/>
    <w:tmpl w:val="CB482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016D66"/>
    <w:multiLevelType w:val="hybridMultilevel"/>
    <w:tmpl w:val="780AA6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01379"/>
    <w:multiLevelType w:val="hybridMultilevel"/>
    <w:tmpl w:val="B0B45F76"/>
    <w:lvl w:ilvl="0" w:tplc="8EE0D37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5"/>
  </w:num>
  <w:num w:numId="14">
    <w:abstractNumId w:val="12"/>
  </w:num>
  <w:num w:numId="15">
    <w:abstractNumId w:val="13"/>
  </w:num>
  <w:num w:numId="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None/Remove"/>
    <w:docVar w:name="85TrailerTime" w:val="0"/>
    <w:docVar w:name="85TrailerType" w:val="102"/>
    <w:docVar w:name="MPDocID" w:val="07771-0045/134050217.2"/>
    <w:docVar w:name="MPDocIDTemplate" w:val="%c-|%m/|%n|.%v"/>
    <w:docVar w:name="MPDocIDTemplateDefault" w:val="%c-|%m/|%n|.%v"/>
    <w:docVar w:name="NewDocStampType" w:val="1"/>
  </w:docVars>
  <w:rsids>
    <w:rsidRoot w:val="00D63589"/>
    <w:rsid w:val="00002529"/>
    <w:rsid w:val="00017C39"/>
    <w:rsid w:val="0002716D"/>
    <w:rsid w:val="000274A3"/>
    <w:rsid w:val="00036C8B"/>
    <w:rsid w:val="00041AC0"/>
    <w:rsid w:val="00053D90"/>
    <w:rsid w:val="000569E1"/>
    <w:rsid w:val="00066E7C"/>
    <w:rsid w:val="000716B8"/>
    <w:rsid w:val="000755E5"/>
    <w:rsid w:val="00076028"/>
    <w:rsid w:val="000830F4"/>
    <w:rsid w:val="00083716"/>
    <w:rsid w:val="00086349"/>
    <w:rsid w:val="000918C8"/>
    <w:rsid w:val="0009460D"/>
    <w:rsid w:val="000B09F9"/>
    <w:rsid w:val="000B5847"/>
    <w:rsid w:val="000C5F8B"/>
    <w:rsid w:val="000F31EF"/>
    <w:rsid w:val="0010209B"/>
    <w:rsid w:val="00111E3C"/>
    <w:rsid w:val="001150D1"/>
    <w:rsid w:val="00123FAC"/>
    <w:rsid w:val="001241AB"/>
    <w:rsid w:val="00134FE9"/>
    <w:rsid w:val="00135E12"/>
    <w:rsid w:val="00137D57"/>
    <w:rsid w:val="00153FD0"/>
    <w:rsid w:val="00157EC8"/>
    <w:rsid w:val="0016166D"/>
    <w:rsid w:val="00166A97"/>
    <w:rsid w:val="0018207D"/>
    <w:rsid w:val="001857A5"/>
    <w:rsid w:val="00185DE6"/>
    <w:rsid w:val="001A3771"/>
    <w:rsid w:val="001B4B62"/>
    <w:rsid w:val="001F7C5E"/>
    <w:rsid w:val="00204852"/>
    <w:rsid w:val="00212AD7"/>
    <w:rsid w:val="002145F6"/>
    <w:rsid w:val="00220AFD"/>
    <w:rsid w:val="002418F6"/>
    <w:rsid w:val="0024482F"/>
    <w:rsid w:val="00247325"/>
    <w:rsid w:val="00247907"/>
    <w:rsid w:val="002520A0"/>
    <w:rsid w:val="00255B9F"/>
    <w:rsid w:val="00261842"/>
    <w:rsid w:val="002667E9"/>
    <w:rsid w:val="0028017D"/>
    <w:rsid w:val="00282481"/>
    <w:rsid w:val="0029294B"/>
    <w:rsid w:val="002A0A86"/>
    <w:rsid w:val="002A4602"/>
    <w:rsid w:val="002A5268"/>
    <w:rsid w:val="002B212B"/>
    <w:rsid w:val="002B540E"/>
    <w:rsid w:val="002B787C"/>
    <w:rsid w:val="002C135F"/>
    <w:rsid w:val="002C32DA"/>
    <w:rsid w:val="002D1880"/>
    <w:rsid w:val="002D1C4B"/>
    <w:rsid w:val="002E3E2E"/>
    <w:rsid w:val="002F260F"/>
    <w:rsid w:val="002F4438"/>
    <w:rsid w:val="003006DA"/>
    <w:rsid w:val="00304502"/>
    <w:rsid w:val="00307FED"/>
    <w:rsid w:val="00317EB0"/>
    <w:rsid w:val="003465A0"/>
    <w:rsid w:val="00361DCE"/>
    <w:rsid w:val="0036645F"/>
    <w:rsid w:val="00370D93"/>
    <w:rsid w:val="003732BE"/>
    <w:rsid w:val="00376CEA"/>
    <w:rsid w:val="0038015F"/>
    <w:rsid w:val="00380CC7"/>
    <w:rsid w:val="00386793"/>
    <w:rsid w:val="00395A6D"/>
    <w:rsid w:val="003A08D4"/>
    <w:rsid w:val="003A1F26"/>
    <w:rsid w:val="003A340C"/>
    <w:rsid w:val="003B7A40"/>
    <w:rsid w:val="003C0ECB"/>
    <w:rsid w:val="003C4F25"/>
    <w:rsid w:val="003C7D08"/>
    <w:rsid w:val="003D304F"/>
    <w:rsid w:val="003F0F59"/>
    <w:rsid w:val="003F72AE"/>
    <w:rsid w:val="00431F99"/>
    <w:rsid w:val="00434909"/>
    <w:rsid w:val="00444522"/>
    <w:rsid w:val="00447E27"/>
    <w:rsid w:val="00452E22"/>
    <w:rsid w:val="004570C1"/>
    <w:rsid w:val="00491AA9"/>
    <w:rsid w:val="004B158A"/>
    <w:rsid w:val="004D4358"/>
    <w:rsid w:val="004E1CFF"/>
    <w:rsid w:val="004E3362"/>
    <w:rsid w:val="005017CB"/>
    <w:rsid w:val="00506738"/>
    <w:rsid w:val="00512185"/>
    <w:rsid w:val="00517217"/>
    <w:rsid w:val="005220A1"/>
    <w:rsid w:val="00523504"/>
    <w:rsid w:val="00530C6E"/>
    <w:rsid w:val="00531DAA"/>
    <w:rsid w:val="00540B73"/>
    <w:rsid w:val="00554AE1"/>
    <w:rsid w:val="005672C0"/>
    <w:rsid w:val="00571D31"/>
    <w:rsid w:val="00582D56"/>
    <w:rsid w:val="00584D36"/>
    <w:rsid w:val="00592B93"/>
    <w:rsid w:val="005A0981"/>
    <w:rsid w:val="005B1501"/>
    <w:rsid w:val="005B27D5"/>
    <w:rsid w:val="005B30BF"/>
    <w:rsid w:val="005B371D"/>
    <w:rsid w:val="005B37C0"/>
    <w:rsid w:val="005C5694"/>
    <w:rsid w:val="005D4E07"/>
    <w:rsid w:val="005D7C6F"/>
    <w:rsid w:val="005E0778"/>
    <w:rsid w:val="005E5210"/>
    <w:rsid w:val="005F45E5"/>
    <w:rsid w:val="00601C8E"/>
    <w:rsid w:val="00605407"/>
    <w:rsid w:val="00614901"/>
    <w:rsid w:val="0061707E"/>
    <w:rsid w:val="00623FEE"/>
    <w:rsid w:val="00626FDF"/>
    <w:rsid w:val="0063004F"/>
    <w:rsid w:val="006342D2"/>
    <w:rsid w:val="006457ED"/>
    <w:rsid w:val="00650532"/>
    <w:rsid w:val="00654C23"/>
    <w:rsid w:val="00657E1D"/>
    <w:rsid w:val="006654DE"/>
    <w:rsid w:val="0069115B"/>
    <w:rsid w:val="00692198"/>
    <w:rsid w:val="006B51DC"/>
    <w:rsid w:val="006B607B"/>
    <w:rsid w:val="006B69BE"/>
    <w:rsid w:val="006C322E"/>
    <w:rsid w:val="006C494B"/>
    <w:rsid w:val="006D0A2F"/>
    <w:rsid w:val="006D3943"/>
    <w:rsid w:val="006E27B7"/>
    <w:rsid w:val="006E54DC"/>
    <w:rsid w:val="006E7BF6"/>
    <w:rsid w:val="006F5D00"/>
    <w:rsid w:val="0070099D"/>
    <w:rsid w:val="00707BC6"/>
    <w:rsid w:val="00717FE6"/>
    <w:rsid w:val="00726BAF"/>
    <w:rsid w:val="00743B35"/>
    <w:rsid w:val="00751503"/>
    <w:rsid w:val="0076073D"/>
    <w:rsid w:val="00762C36"/>
    <w:rsid w:val="00767CF8"/>
    <w:rsid w:val="00791BFD"/>
    <w:rsid w:val="007957C5"/>
    <w:rsid w:val="00795EB1"/>
    <w:rsid w:val="007A3E94"/>
    <w:rsid w:val="007A72B9"/>
    <w:rsid w:val="007B0278"/>
    <w:rsid w:val="007B5C9B"/>
    <w:rsid w:val="007C352E"/>
    <w:rsid w:val="007C7209"/>
    <w:rsid w:val="007D69CD"/>
    <w:rsid w:val="007E3DBE"/>
    <w:rsid w:val="007E75CD"/>
    <w:rsid w:val="007F4ED3"/>
    <w:rsid w:val="008007D4"/>
    <w:rsid w:val="00810101"/>
    <w:rsid w:val="00826207"/>
    <w:rsid w:val="00830B11"/>
    <w:rsid w:val="00831C67"/>
    <w:rsid w:val="00834317"/>
    <w:rsid w:val="0084048D"/>
    <w:rsid w:val="008427BA"/>
    <w:rsid w:val="0084595B"/>
    <w:rsid w:val="0085030B"/>
    <w:rsid w:val="008528DA"/>
    <w:rsid w:val="00853B89"/>
    <w:rsid w:val="00866852"/>
    <w:rsid w:val="00872650"/>
    <w:rsid w:val="00880DB8"/>
    <w:rsid w:val="00886E9C"/>
    <w:rsid w:val="008A4B84"/>
    <w:rsid w:val="008B1A71"/>
    <w:rsid w:val="008B54C5"/>
    <w:rsid w:val="008B5BDE"/>
    <w:rsid w:val="008B6842"/>
    <w:rsid w:val="008C034B"/>
    <w:rsid w:val="008C46CD"/>
    <w:rsid w:val="008D486E"/>
    <w:rsid w:val="008D7466"/>
    <w:rsid w:val="008E4479"/>
    <w:rsid w:val="008F1E51"/>
    <w:rsid w:val="008F3839"/>
    <w:rsid w:val="00900B17"/>
    <w:rsid w:val="00901D7F"/>
    <w:rsid w:val="00913F2B"/>
    <w:rsid w:val="00922AB3"/>
    <w:rsid w:val="00944B95"/>
    <w:rsid w:val="00964379"/>
    <w:rsid w:val="009655A6"/>
    <w:rsid w:val="00976138"/>
    <w:rsid w:val="00976C71"/>
    <w:rsid w:val="0098047D"/>
    <w:rsid w:val="009A0FEE"/>
    <w:rsid w:val="009A4BF1"/>
    <w:rsid w:val="009B0082"/>
    <w:rsid w:val="009B173E"/>
    <w:rsid w:val="00A004D3"/>
    <w:rsid w:val="00A07BD7"/>
    <w:rsid w:val="00A1069E"/>
    <w:rsid w:val="00A13DF8"/>
    <w:rsid w:val="00A22BDF"/>
    <w:rsid w:val="00A2749F"/>
    <w:rsid w:val="00A31BC5"/>
    <w:rsid w:val="00A32059"/>
    <w:rsid w:val="00A325C2"/>
    <w:rsid w:val="00A33F90"/>
    <w:rsid w:val="00A35BDA"/>
    <w:rsid w:val="00A402D1"/>
    <w:rsid w:val="00A44EB7"/>
    <w:rsid w:val="00A46705"/>
    <w:rsid w:val="00A501ED"/>
    <w:rsid w:val="00A557F9"/>
    <w:rsid w:val="00A558DC"/>
    <w:rsid w:val="00A62BA4"/>
    <w:rsid w:val="00A727ED"/>
    <w:rsid w:val="00A73B34"/>
    <w:rsid w:val="00A84043"/>
    <w:rsid w:val="00A9005F"/>
    <w:rsid w:val="00AA2EE7"/>
    <w:rsid w:val="00AA4217"/>
    <w:rsid w:val="00AB4832"/>
    <w:rsid w:val="00AC459D"/>
    <w:rsid w:val="00AC4890"/>
    <w:rsid w:val="00AE6E1A"/>
    <w:rsid w:val="00AE700E"/>
    <w:rsid w:val="00AF535C"/>
    <w:rsid w:val="00B04F33"/>
    <w:rsid w:val="00B0505F"/>
    <w:rsid w:val="00B13D91"/>
    <w:rsid w:val="00B168A6"/>
    <w:rsid w:val="00B2169F"/>
    <w:rsid w:val="00B22A16"/>
    <w:rsid w:val="00B24B4D"/>
    <w:rsid w:val="00B36C07"/>
    <w:rsid w:val="00B50D8E"/>
    <w:rsid w:val="00B552CE"/>
    <w:rsid w:val="00B92D65"/>
    <w:rsid w:val="00B95684"/>
    <w:rsid w:val="00BA7CBB"/>
    <w:rsid w:val="00BE06E1"/>
    <w:rsid w:val="00BE193C"/>
    <w:rsid w:val="00BF4FC5"/>
    <w:rsid w:val="00C03EEC"/>
    <w:rsid w:val="00C1434D"/>
    <w:rsid w:val="00C1760F"/>
    <w:rsid w:val="00C2029C"/>
    <w:rsid w:val="00C22914"/>
    <w:rsid w:val="00C46351"/>
    <w:rsid w:val="00C514CA"/>
    <w:rsid w:val="00C6188C"/>
    <w:rsid w:val="00C67A0F"/>
    <w:rsid w:val="00C67A9E"/>
    <w:rsid w:val="00C714B5"/>
    <w:rsid w:val="00C770B4"/>
    <w:rsid w:val="00C7760B"/>
    <w:rsid w:val="00C8452B"/>
    <w:rsid w:val="00C85B7D"/>
    <w:rsid w:val="00C900CE"/>
    <w:rsid w:val="00C91128"/>
    <w:rsid w:val="00C949DF"/>
    <w:rsid w:val="00C9527A"/>
    <w:rsid w:val="00C9703B"/>
    <w:rsid w:val="00CA7233"/>
    <w:rsid w:val="00CB13B5"/>
    <w:rsid w:val="00CB6049"/>
    <w:rsid w:val="00CC2E49"/>
    <w:rsid w:val="00CC501C"/>
    <w:rsid w:val="00CD05C4"/>
    <w:rsid w:val="00CE2478"/>
    <w:rsid w:val="00CE2794"/>
    <w:rsid w:val="00CE6006"/>
    <w:rsid w:val="00CF1AE3"/>
    <w:rsid w:val="00D003C3"/>
    <w:rsid w:val="00D10071"/>
    <w:rsid w:val="00D118DB"/>
    <w:rsid w:val="00D16472"/>
    <w:rsid w:val="00D43B7D"/>
    <w:rsid w:val="00D476E1"/>
    <w:rsid w:val="00D47878"/>
    <w:rsid w:val="00D602C3"/>
    <w:rsid w:val="00D60D7D"/>
    <w:rsid w:val="00D617CE"/>
    <w:rsid w:val="00D63589"/>
    <w:rsid w:val="00D643A7"/>
    <w:rsid w:val="00D71C36"/>
    <w:rsid w:val="00D82368"/>
    <w:rsid w:val="00D82C32"/>
    <w:rsid w:val="00D834B4"/>
    <w:rsid w:val="00DA19CC"/>
    <w:rsid w:val="00DB5B6B"/>
    <w:rsid w:val="00DC53F0"/>
    <w:rsid w:val="00DD619D"/>
    <w:rsid w:val="00DE15B1"/>
    <w:rsid w:val="00DE1E36"/>
    <w:rsid w:val="00DE60F6"/>
    <w:rsid w:val="00DF20AE"/>
    <w:rsid w:val="00DF31D3"/>
    <w:rsid w:val="00DF62E3"/>
    <w:rsid w:val="00E112AD"/>
    <w:rsid w:val="00E123D9"/>
    <w:rsid w:val="00E13787"/>
    <w:rsid w:val="00E33193"/>
    <w:rsid w:val="00E350C8"/>
    <w:rsid w:val="00E440D0"/>
    <w:rsid w:val="00E54484"/>
    <w:rsid w:val="00E632B2"/>
    <w:rsid w:val="00E63422"/>
    <w:rsid w:val="00E81C64"/>
    <w:rsid w:val="00E81F04"/>
    <w:rsid w:val="00E83026"/>
    <w:rsid w:val="00E93BC1"/>
    <w:rsid w:val="00E96717"/>
    <w:rsid w:val="00EB3A85"/>
    <w:rsid w:val="00EB6EF6"/>
    <w:rsid w:val="00EC4866"/>
    <w:rsid w:val="00ED1ECF"/>
    <w:rsid w:val="00EE3E01"/>
    <w:rsid w:val="00EE458D"/>
    <w:rsid w:val="00EF271C"/>
    <w:rsid w:val="00EF5F5B"/>
    <w:rsid w:val="00EF78BA"/>
    <w:rsid w:val="00F046B8"/>
    <w:rsid w:val="00F10A0A"/>
    <w:rsid w:val="00F13AB0"/>
    <w:rsid w:val="00F20632"/>
    <w:rsid w:val="00F21B50"/>
    <w:rsid w:val="00F237EC"/>
    <w:rsid w:val="00F24C56"/>
    <w:rsid w:val="00F25371"/>
    <w:rsid w:val="00F32E76"/>
    <w:rsid w:val="00F40A9D"/>
    <w:rsid w:val="00F40B9D"/>
    <w:rsid w:val="00F43C3F"/>
    <w:rsid w:val="00F5303A"/>
    <w:rsid w:val="00F604AB"/>
    <w:rsid w:val="00F613B0"/>
    <w:rsid w:val="00F62AFF"/>
    <w:rsid w:val="00F7256E"/>
    <w:rsid w:val="00F8399F"/>
    <w:rsid w:val="00F91628"/>
    <w:rsid w:val="00FA2414"/>
    <w:rsid w:val="00FA5BE5"/>
    <w:rsid w:val="00FC051B"/>
    <w:rsid w:val="00FC42BD"/>
    <w:rsid w:val="00FC649D"/>
    <w:rsid w:val="00FD10AE"/>
    <w:rsid w:val="00FE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qFormat/>
    <w:rsid w:val="00380CC7"/>
    <w:pPr>
      <w:keepNext/>
      <w:keepLines/>
      <w:spacing w:after="320"/>
      <w:ind w:left="720" w:right="720" w:firstLine="0"/>
      <w:jc w:val="center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qFormat/>
    <w:pPr>
      <w:spacing w:before="360" w:after="360" w:line="240" w:lineRule="auto"/>
      <w:ind w:hanging="720"/>
      <w:jc w:val="left"/>
      <w:outlineLvl w:val="1"/>
    </w:pPr>
    <w:rPr>
      <w:szCs w:val="24"/>
      <w:u w:val="single"/>
    </w:rPr>
  </w:style>
  <w:style w:type="paragraph" w:styleId="Heading3">
    <w:name w:val="heading 3"/>
    <w:aliases w:val="h3"/>
    <w:basedOn w:val="Heading2"/>
    <w:next w:val="Normal"/>
    <w:qFormat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semiHidden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semiHidden/>
  </w:style>
  <w:style w:type="paragraph" w:styleId="FootnoteText">
    <w:name w:val="footnote text"/>
    <w:basedOn w:val="single"/>
    <w:link w:val="FootnoteTextChar"/>
    <w:semiHidden/>
    <w:rPr>
      <w:sz w:val="22"/>
    </w:rPr>
  </w:style>
  <w:style w:type="paragraph" w:styleId="TOC7">
    <w:name w:val="toc 7"/>
    <w:basedOn w:val="Normal"/>
    <w:next w:val="Normal"/>
    <w:semiHidden/>
    <w:pPr>
      <w:keepLines/>
      <w:tabs>
        <w:tab w:val="right" w:leader="dot" w:pos="8568"/>
      </w:tabs>
      <w:spacing w:after="120"/>
      <w:ind w:left="5040" w:right="720" w:hanging="720"/>
    </w:pPr>
    <w:rPr>
      <w:szCs w:val="20"/>
    </w:rPr>
  </w:style>
  <w:style w:type="paragraph" w:styleId="TOC4">
    <w:name w:val="toc 4"/>
    <w:basedOn w:val="Normal"/>
    <w:next w:val="Normal"/>
    <w:semiHidden/>
    <w:pPr>
      <w:keepLines/>
      <w:tabs>
        <w:tab w:val="right" w:leader="dot" w:pos="8568"/>
      </w:tabs>
      <w:spacing w:after="120"/>
      <w:ind w:left="2880" w:right="720" w:hanging="720"/>
    </w:pPr>
    <w:rPr>
      <w:szCs w:val="20"/>
    </w:rPr>
  </w:style>
  <w:style w:type="paragraph" w:styleId="TOC3">
    <w:name w:val="toc 3"/>
    <w:basedOn w:val="Normal"/>
    <w:next w:val="Normal"/>
    <w:semiHidden/>
    <w:pPr>
      <w:keepLines/>
      <w:tabs>
        <w:tab w:val="right" w:leader="dot" w:pos="8568"/>
      </w:tabs>
      <w:spacing w:after="120"/>
      <w:ind w:left="2160" w:right="720" w:hanging="720"/>
    </w:pPr>
    <w:rPr>
      <w:szCs w:val="20"/>
    </w:rPr>
  </w:style>
  <w:style w:type="paragraph" w:styleId="TOC2">
    <w:name w:val="toc 2"/>
    <w:basedOn w:val="Normal"/>
    <w:next w:val="Normal"/>
    <w:uiPriority w:val="39"/>
    <w:pPr>
      <w:keepLines/>
      <w:tabs>
        <w:tab w:val="right" w:leader="dot" w:pos="8568"/>
      </w:tabs>
      <w:spacing w:after="120"/>
      <w:ind w:left="1440" w:right="720" w:hanging="720"/>
    </w:pPr>
    <w:rPr>
      <w:szCs w:val="20"/>
    </w:rPr>
  </w:style>
  <w:style w:type="paragraph" w:styleId="TOC1">
    <w:name w:val="toc 1"/>
    <w:basedOn w:val="Normal"/>
    <w:next w:val="Normal"/>
    <w:uiPriority w:val="39"/>
    <w:pPr>
      <w:keepLines/>
      <w:tabs>
        <w:tab w:val="right" w:leader="dot" w:pos="8568"/>
      </w:tabs>
      <w:spacing w:after="120"/>
      <w:ind w:left="720" w:right="720" w:hanging="720"/>
    </w:pPr>
    <w:rPr>
      <w:caps/>
      <w:szCs w:val="20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pPr>
      <w:ind w:firstLine="0"/>
    </w:pPr>
  </w:style>
  <w:style w:type="paragraph" w:styleId="TOC6">
    <w:name w:val="toc 6"/>
    <w:basedOn w:val="Normal"/>
    <w:next w:val="Normal"/>
    <w:semiHidden/>
    <w:pPr>
      <w:keepLines/>
      <w:tabs>
        <w:tab w:val="right" w:leader="dot" w:pos="8568"/>
      </w:tabs>
      <w:spacing w:after="120"/>
      <w:ind w:left="4320" w:right="720" w:hanging="720"/>
    </w:pPr>
    <w:rPr>
      <w:szCs w:val="20"/>
    </w:rPr>
  </w:style>
  <w:style w:type="paragraph" w:styleId="TOC5">
    <w:name w:val="toc 5"/>
    <w:basedOn w:val="Normal"/>
    <w:next w:val="Normal"/>
    <w:semiHidden/>
    <w:pPr>
      <w:keepLines/>
      <w:tabs>
        <w:tab w:val="right" w:leader="dot" w:pos="8568"/>
      </w:tabs>
      <w:spacing w:after="120"/>
      <w:ind w:left="3600" w:right="720" w:hanging="720"/>
    </w:pPr>
    <w:rPr>
      <w:szCs w:val="20"/>
    </w:r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pPr>
      <w:spacing w:before="0"/>
    </w:pPr>
  </w:style>
  <w:style w:type="paragraph" w:styleId="Header">
    <w:name w:val="header"/>
    <w:basedOn w:val="plain"/>
    <w:link w:val="HeaderChar"/>
    <w:pPr>
      <w:tabs>
        <w:tab w:val="center" w:pos="4507"/>
        <w:tab w:val="right" w:pos="900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NormalIndent">
    <w:name w:val="Normal Indent"/>
    <w:basedOn w:val="singleblock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pPr>
      <w:ind w:left="720" w:hanging="720"/>
    </w:pPr>
  </w:style>
  <w:style w:type="paragraph" w:customStyle="1" w:styleId="righthalf">
    <w:name w:val="right half"/>
    <w:basedOn w:val="unjustifiedblock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8568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rPr>
      <w:rFonts w:ascii="Arial" w:hAnsi="Arial"/>
      <w:sz w:val="22"/>
    </w:rPr>
  </w:style>
  <w:style w:type="paragraph" w:styleId="BodyText">
    <w:name w:val="Body Text"/>
    <w:aliases w:val="bt"/>
    <w:basedOn w:val="Normal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380CC7"/>
    <w:pPr>
      <w:keepNext/>
      <w:keepLines/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1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</w:style>
  <w:style w:type="paragraph" w:customStyle="1" w:styleId="BulletSS">
    <w:name w:val="Bullet SS"/>
    <w:basedOn w:val="Normal"/>
    <w:pPr>
      <w:tabs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tabs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tabs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tabs>
        <w:tab w:val="num" w:pos="360"/>
        <w:tab w:val="left" w:pos="547"/>
        <w:tab w:val="left" w:pos="878"/>
      </w:tabs>
      <w:ind w:left="360" w:hanging="360"/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tabs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tabs>
        <w:tab w:val="num" w:pos="360"/>
        <w:tab w:val="left" w:pos="547"/>
        <w:tab w:val="left" w:pos="878"/>
      </w:tabs>
      <w:spacing w:after="260"/>
      <w:ind w:left="360" w:hanging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tabs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tabs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tabs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tabs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8568"/>
      </w:tabs>
      <w:spacing w:after="12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8568"/>
      </w:tabs>
      <w:spacing w:after="120"/>
      <w:ind w:left="6480" w:right="720" w:hanging="720"/>
    </w:pPr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semiHidden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"/>
      </w:numPr>
      <w:spacing w:after="120"/>
      <w:ind w:right="1440"/>
    </w:pPr>
  </w:style>
  <w:style w:type="character" w:styleId="Strong">
    <w:name w:val="Strong"/>
    <w:qFormat/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rPr>
      <w:noProof w:val="0"/>
      <w:sz w:val="24"/>
      <w:lang w:val="en-US" w:eastAsia="zh-CN" w:bidi="ar-SA"/>
    </w:rPr>
  </w:style>
  <w:style w:type="character" w:customStyle="1" w:styleId="h1CharChar">
    <w:name w:val="h1 Char 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odyTextFirstIndent">
    <w:name w:val="Body Text First Indent"/>
    <w:basedOn w:val="BodyText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pPr>
      <w:ind w:left="4320"/>
    </w:pPr>
  </w:style>
  <w:style w:type="paragraph" w:styleId="CommentSubject">
    <w:name w:val="annotation subject"/>
    <w:basedOn w:val="CommentText"/>
    <w:next w:val="CommentText"/>
    <w:semiHidden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character" w:styleId="HTMLCode">
    <w:name w:val="HTML Code"/>
    <w:rPr>
      <w:rFonts w:ascii="Courier New" w:hAnsi="Courier New" w:cs="Tahoma"/>
      <w:sz w:val="20"/>
      <w:szCs w:val="20"/>
    </w:rPr>
  </w:style>
  <w:style w:type="character" w:customStyle="1" w:styleId="h1CharChar1">
    <w:name w:val="h1 Char Char1"/>
    <w:rPr>
      <w:b/>
      <w:noProof w:val="0"/>
      <w:sz w:val="24"/>
      <w:lang w:val="en-US" w:eastAsia="zh-CN" w:bidi="ar-SA"/>
    </w:rPr>
  </w:style>
  <w:style w:type="character" w:customStyle="1" w:styleId="h2CharChar1">
    <w:name w:val="h2 Char Char1"/>
    <w:rPr>
      <w:b/>
      <w:noProof w:val="0"/>
      <w:sz w:val="24"/>
      <w:u w:val="single"/>
      <w:lang w:val="en-US" w:eastAsia="zh-CN" w:bidi="ar-SA"/>
    </w:rPr>
  </w:style>
  <w:style w:type="paragraph" w:customStyle="1" w:styleId="Notes">
    <w:name w:val="Notes"/>
    <w:basedOn w:val="Normal"/>
    <w:pPr>
      <w:ind w:left="2160" w:hanging="2160"/>
    </w:pPr>
  </w:style>
  <w:style w:type="character" w:customStyle="1" w:styleId="zzmpTrailerItem">
    <w:name w:val="zzmpTrailerItem"/>
    <w:rsid w:val="00CC2E49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answerChar">
    <w:name w:val="answer Char"/>
    <w:rPr>
      <w:rFonts w:eastAsia="SimSun"/>
      <w:noProof w:val="0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</w:style>
  <w:style w:type="character" w:customStyle="1" w:styleId="HeaderChar">
    <w:name w:val="Header Char"/>
    <w:link w:val="Header"/>
    <w:rPr>
      <w:rFonts w:ascii="Times New Roman" w:eastAsia="SimSun" w:hAnsi="Times New Roman"/>
      <w:sz w:val="24"/>
      <w:szCs w:val="24"/>
      <w:lang w:eastAsia="zh-CN"/>
    </w:rPr>
  </w:style>
  <w:style w:type="character" w:customStyle="1" w:styleId="answerChar1">
    <w:name w:val="answer Char1"/>
    <w:link w:val="answer"/>
    <w:rPr>
      <w:rFonts w:eastAsia="SimSun"/>
      <w:sz w:val="24"/>
      <w:szCs w:val="24"/>
      <w:lang w:val="en-US" w:eastAsia="zh-CN" w:bidi="ar-SA"/>
    </w:rPr>
  </w:style>
  <w:style w:type="table" w:styleId="TableGrid">
    <w:name w:val="Table Grid"/>
    <w:basedOn w:val="TableNormal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estionChar">
    <w:name w:val="question Char"/>
    <w:link w:val="question"/>
    <w:rsid w:val="00380CC7"/>
    <w:rPr>
      <w:rFonts w:ascii="Times New Roman" w:eastAsia="SimSun" w:hAnsi="Times New Roman"/>
      <w:b/>
      <w:bCs/>
      <w:sz w:val="24"/>
      <w:szCs w:val="24"/>
      <w:lang w:eastAsia="zh-CN"/>
    </w:rPr>
  </w:style>
  <w:style w:type="character" w:customStyle="1" w:styleId="FootnoteTextChar">
    <w:name w:val="Footnote Text Char"/>
    <w:link w:val="FootnoteText"/>
    <w:semiHidden/>
    <w:rPr>
      <w:rFonts w:eastAsia="SimSun"/>
      <w:sz w:val="22"/>
      <w:szCs w:val="24"/>
      <w:lang w:val="en-US" w:eastAsia="zh-CN" w:bidi="ar-SA"/>
    </w:rPr>
  </w:style>
  <w:style w:type="character" w:styleId="PlaceholderText">
    <w:name w:val="Placeholder Text"/>
    <w:uiPriority w:val="99"/>
    <w:semiHidden/>
    <w:rsid w:val="00C8452B"/>
    <w:rPr>
      <w:vanish w:val="0"/>
      <w:color w:val="808080"/>
    </w:rPr>
  </w:style>
  <w:style w:type="paragraph" w:styleId="ListParagraph">
    <w:name w:val="List Paragraph"/>
    <w:basedOn w:val="Normal"/>
    <w:uiPriority w:val="34"/>
    <w:qFormat/>
    <w:rsid w:val="00F13A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qFormat/>
    <w:rsid w:val="002448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qFormat/>
    <w:rsid w:val="00380CC7"/>
    <w:pPr>
      <w:keepNext/>
      <w:keepLines/>
      <w:spacing w:after="320"/>
      <w:ind w:left="720" w:right="720" w:firstLine="0"/>
      <w:jc w:val="center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qFormat/>
    <w:pPr>
      <w:spacing w:before="360" w:after="360" w:line="240" w:lineRule="auto"/>
      <w:ind w:hanging="720"/>
      <w:jc w:val="left"/>
      <w:outlineLvl w:val="1"/>
    </w:pPr>
    <w:rPr>
      <w:szCs w:val="24"/>
      <w:u w:val="single"/>
    </w:rPr>
  </w:style>
  <w:style w:type="paragraph" w:styleId="Heading3">
    <w:name w:val="heading 3"/>
    <w:aliases w:val="h3"/>
    <w:basedOn w:val="Heading2"/>
    <w:next w:val="Normal"/>
    <w:qFormat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semiHidden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semiHidden/>
  </w:style>
  <w:style w:type="paragraph" w:styleId="FootnoteText">
    <w:name w:val="footnote text"/>
    <w:basedOn w:val="single"/>
    <w:link w:val="FootnoteTextChar"/>
    <w:semiHidden/>
    <w:rPr>
      <w:sz w:val="22"/>
    </w:rPr>
  </w:style>
  <w:style w:type="paragraph" w:styleId="TOC7">
    <w:name w:val="toc 7"/>
    <w:basedOn w:val="Normal"/>
    <w:next w:val="Normal"/>
    <w:semiHidden/>
    <w:pPr>
      <w:keepLines/>
      <w:tabs>
        <w:tab w:val="right" w:leader="dot" w:pos="8568"/>
      </w:tabs>
      <w:spacing w:after="120"/>
      <w:ind w:left="5040" w:right="720" w:hanging="720"/>
    </w:pPr>
    <w:rPr>
      <w:szCs w:val="20"/>
    </w:rPr>
  </w:style>
  <w:style w:type="paragraph" w:styleId="TOC4">
    <w:name w:val="toc 4"/>
    <w:basedOn w:val="Normal"/>
    <w:next w:val="Normal"/>
    <w:semiHidden/>
    <w:pPr>
      <w:keepLines/>
      <w:tabs>
        <w:tab w:val="right" w:leader="dot" w:pos="8568"/>
      </w:tabs>
      <w:spacing w:after="120"/>
      <w:ind w:left="2880" w:right="720" w:hanging="720"/>
    </w:pPr>
    <w:rPr>
      <w:szCs w:val="20"/>
    </w:rPr>
  </w:style>
  <w:style w:type="paragraph" w:styleId="TOC3">
    <w:name w:val="toc 3"/>
    <w:basedOn w:val="Normal"/>
    <w:next w:val="Normal"/>
    <w:semiHidden/>
    <w:pPr>
      <w:keepLines/>
      <w:tabs>
        <w:tab w:val="right" w:leader="dot" w:pos="8568"/>
      </w:tabs>
      <w:spacing w:after="120"/>
      <w:ind w:left="2160" w:right="720" w:hanging="720"/>
    </w:pPr>
    <w:rPr>
      <w:szCs w:val="20"/>
    </w:rPr>
  </w:style>
  <w:style w:type="paragraph" w:styleId="TOC2">
    <w:name w:val="toc 2"/>
    <w:basedOn w:val="Normal"/>
    <w:next w:val="Normal"/>
    <w:uiPriority w:val="39"/>
    <w:pPr>
      <w:keepLines/>
      <w:tabs>
        <w:tab w:val="right" w:leader="dot" w:pos="8568"/>
      </w:tabs>
      <w:spacing w:after="120"/>
      <w:ind w:left="1440" w:right="720" w:hanging="720"/>
    </w:pPr>
    <w:rPr>
      <w:szCs w:val="20"/>
    </w:rPr>
  </w:style>
  <w:style w:type="paragraph" w:styleId="TOC1">
    <w:name w:val="toc 1"/>
    <w:basedOn w:val="Normal"/>
    <w:next w:val="Normal"/>
    <w:uiPriority w:val="39"/>
    <w:pPr>
      <w:keepLines/>
      <w:tabs>
        <w:tab w:val="right" w:leader="dot" w:pos="8568"/>
      </w:tabs>
      <w:spacing w:after="120"/>
      <w:ind w:left="720" w:right="720" w:hanging="720"/>
    </w:pPr>
    <w:rPr>
      <w:caps/>
      <w:szCs w:val="20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pPr>
      <w:ind w:firstLine="0"/>
    </w:pPr>
  </w:style>
  <w:style w:type="paragraph" w:styleId="TOC6">
    <w:name w:val="toc 6"/>
    <w:basedOn w:val="Normal"/>
    <w:next w:val="Normal"/>
    <w:semiHidden/>
    <w:pPr>
      <w:keepLines/>
      <w:tabs>
        <w:tab w:val="right" w:leader="dot" w:pos="8568"/>
      </w:tabs>
      <w:spacing w:after="120"/>
      <w:ind w:left="4320" w:right="720" w:hanging="720"/>
    </w:pPr>
    <w:rPr>
      <w:szCs w:val="20"/>
    </w:rPr>
  </w:style>
  <w:style w:type="paragraph" w:styleId="TOC5">
    <w:name w:val="toc 5"/>
    <w:basedOn w:val="Normal"/>
    <w:next w:val="Normal"/>
    <w:semiHidden/>
    <w:pPr>
      <w:keepLines/>
      <w:tabs>
        <w:tab w:val="right" w:leader="dot" w:pos="8568"/>
      </w:tabs>
      <w:spacing w:after="120"/>
      <w:ind w:left="3600" w:right="720" w:hanging="720"/>
    </w:pPr>
    <w:rPr>
      <w:szCs w:val="20"/>
    </w:r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pPr>
      <w:spacing w:before="0"/>
    </w:pPr>
  </w:style>
  <w:style w:type="paragraph" w:styleId="Header">
    <w:name w:val="header"/>
    <w:basedOn w:val="plain"/>
    <w:link w:val="HeaderChar"/>
    <w:pPr>
      <w:tabs>
        <w:tab w:val="center" w:pos="4507"/>
        <w:tab w:val="right" w:pos="900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NormalIndent">
    <w:name w:val="Normal Indent"/>
    <w:basedOn w:val="singleblock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pPr>
      <w:ind w:left="720" w:hanging="720"/>
    </w:pPr>
  </w:style>
  <w:style w:type="paragraph" w:customStyle="1" w:styleId="righthalf">
    <w:name w:val="right half"/>
    <w:basedOn w:val="unjustifiedblock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8568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rPr>
      <w:rFonts w:ascii="Arial" w:hAnsi="Arial"/>
      <w:sz w:val="22"/>
    </w:rPr>
  </w:style>
  <w:style w:type="paragraph" w:styleId="BodyText">
    <w:name w:val="Body Text"/>
    <w:aliases w:val="bt"/>
    <w:basedOn w:val="Normal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380CC7"/>
    <w:pPr>
      <w:keepNext/>
      <w:keepLines/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1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</w:style>
  <w:style w:type="paragraph" w:customStyle="1" w:styleId="BulletSS">
    <w:name w:val="Bullet SS"/>
    <w:basedOn w:val="Normal"/>
    <w:pPr>
      <w:tabs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tabs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tabs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tabs>
        <w:tab w:val="num" w:pos="360"/>
        <w:tab w:val="left" w:pos="547"/>
        <w:tab w:val="left" w:pos="878"/>
      </w:tabs>
      <w:ind w:left="360" w:hanging="360"/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tabs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tabs>
        <w:tab w:val="num" w:pos="360"/>
        <w:tab w:val="left" w:pos="547"/>
        <w:tab w:val="left" w:pos="878"/>
      </w:tabs>
      <w:spacing w:after="260"/>
      <w:ind w:left="360" w:hanging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tabs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tabs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tabs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tabs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8568"/>
      </w:tabs>
      <w:spacing w:after="12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8568"/>
      </w:tabs>
      <w:spacing w:after="120"/>
      <w:ind w:left="6480" w:right="720" w:hanging="720"/>
    </w:pPr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semiHidden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"/>
      </w:numPr>
      <w:spacing w:after="120"/>
      <w:ind w:right="1440"/>
    </w:pPr>
  </w:style>
  <w:style w:type="character" w:styleId="Strong">
    <w:name w:val="Strong"/>
    <w:qFormat/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rPr>
      <w:noProof w:val="0"/>
      <w:sz w:val="24"/>
      <w:lang w:val="en-US" w:eastAsia="zh-CN" w:bidi="ar-SA"/>
    </w:rPr>
  </w:style>
  <w:style w:type="character" w:customStyle="1" w:styleId="h1CharChar">
    <w:name w:val="h1 Char 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odyTextFirstIndent">
    <w:name w:val="Body Text First Indent"/>
    <w:basedOn w:val="BodyText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pPr>
      <w:ind w:left="4320"/>
    </w:pPr>
  </w:style>
  <w:style w:type="paragraph" w:styleId="CommentSubject">
    <w:name w:val="annotation subject"/>
    <w:basedOn w:val="CommentText"/>
    <w:next w:val="CommentText"/>
    <w:semiHidden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character" w:styleId="HTMLCode">
    <w:name w:val="HTML Code"/>
    <w:rPr>
      <w:rFonts w:ascii="Courier New" w:hAnsi="Courier New" w:cs="Tahoma"/>
      <w:sz w:val="20"/>
      <w:szCs w:val="20"/>
    </w:rPr>
  </w:style>
  <w:style w:type="character" w:customStyle="1" w:styleId="h1CharChar1">
    <w:name w:val="h1 Char Char1"/>
    <w:rPr>
      <w:b/>
      <w:noProof w:val="0"/>
      <w:sz w:val="24"/>
      <w:lang w:val="en-US" w:eastAsia="zh-CN" w:bidi="ar-SA"/>
    </w:rPr>
  </w:style>
  <w:style w:type="character" w:customStyle="1" w:styleId="h2CharChar1">
    <w:name w:val="h2 Char Char1"/>
    <w:rPr>
      <w:b/>
      <w:noProof w:val="0"/>
      <w:sz w:val="24"/>
      <w:u w:val="single"/>
      <w:lang w:val="en-US" w:eastAsia="zh-CN" w:bidi="ar-SA"/>
    </w:rPr>
  </w:style>
  <w:style w:type="paragraph" w:customStyle="1" w:styleId="Notes">
    <w:name w:val="Notes"/>
    <w:basedOn w:val="Normal"/>
    <w:pPr>
      <w:ind w:left="2160" w:hanging="2160"/>
    </w:pPr>
  </w:style>
  <w:style w:type="character" w:customStyle="1" w:styleId="zzmpTrailerItem">
    <w:name w:val="zzmpTrailerItem"/>
    <w:rsid w:val="00CC2E49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answerChar">
    <w:name w:val="answer Char"/>
    <w:rPr>
      <w:rFonts w:eastAsia="SimSun"/>
      <w:noProof w:val="0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</w:style>
  <w:style w:type="character" w:customStyle="1" w:styleId="HeaderChar">
    <w:name w:val="Header Char"/>
    <w:link w:val="Header"/>
    <w:rPr>
      <w:rFonts w:ascii="Times New Roman" w:eastAsia="SimSun" w:hAnsi="Times New Roman"/>
      <w:sz w:val="24"/>
      <w:szCs w:val="24"/>
      <w:lang w:eastAsia="zh-CN"/>
    </w:rPr>
  </w:style>
  <w:style w:type="character" w:customStyle="1" w:styleId="answerChar1">
    <w:name w:val="answer Char1"/>
    <w:link w:val="answer"/>
    <w:rPr>
      <w:rFonts w:eastAsia="SimSun"/>
      <w:sz w:val="24"/>
      <w:szCs w:val="24"/>
      <w:lang w:val="en-US" w:eastAsia="zh-CN" w:bidi="ar-SA"/>
    </w:rPr>
  </w:style>
  <w:style w:type="table" w:styleId="TableGrid">
    <w:name w:val="Table Grid"/>
    <w:basedOn w:val="TableNormal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estionChar">
    <w:name w:val="question Char"/>
    <w:link w:val="question"/>
    <w:rsid w:val="00380CC7"/>
    <w:rPr>
      <w:rFonts w:ascii="Times New Roman" w:eastAsia="SimSun" w:hAnsi="Times New Roman"/>
      <w:b/>
      <w:bCs/>
      <w:sz w:val="24"/>
      <w:szCs w:val="24"/>
      <w:lang w:eastAsia="zh-CN"/>
    </w:rPr>
  </w:style>
  <w:style w:type="character" w:customStyle="1" w:styleId="FootnoteTextChar">
    <w:name w:val="Footnote Text Char"/>
    <w:link w:val="FootnoteText"/>
    <w:semiHidden/>
    <w:rPr>
      <w:rFonts w:eastAsia="SimSun"/>
      <w:sz w:val="22"/>
      <w:szCs w:val="24"/>
      <w:lang w:val="en-US" w:eastAsia="zh-CN" w:bidi="ar-SA"/>
    </w:rPr>
  </w:style>
  <w:style w:type="character" w:styleId="PlaceholderText">
    <w:name w:val="Placeholder Text"/>
    <w:uiPriority w:val="99"/>
    <w:semiHidden/>
    <w:rsid w:val="00C8452B"/>
    <w:rPr>
      <w:vanish w:val="0"/>
      <w:color w:val="808080"/>
    </w:rPr>
  </w:style>
  <w:style w:type="paragraph" w:styleId="ListParagraph">
    <w:name w:val="List Paragraph"/>
    <w:basedOn w:val="Normal"/>
    <w:uiPriority w:val="34"/>
    <w:qFormat/>
    <w:rsid w:val="00F13A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qFormat/>
    <w:rsid w:val="002448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2017-01-13T08:00:00+00:00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C695EF8-21E3-4380-A30C-68BD177500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7A41CC-4521-44E7-9E71-E524F472A237}"/>
</file>

<file path=customXml/itemProps3.xml><?xml version="1.0" encoding="utf-8"?>
<ds:datastoreItem xmlns:ds="http://schemas.openxmlformats.org/officeDocument/2006/customXml" ds:itemID="{2CE817DD-8B65-41AD-8B01-BC822CB4BB52}"/>
</file>

<file path=customXml/itemProps4.xml><?xml version="1.0" encoding="utf-8"?>
<ds:datastoreItem xmlns:ds="http://schemas.openxmlformats.org/officeDocument/2006/customXml" ds:itemID="{31707C81-2B0D-48AA-9E6C-A34DD687B11C}"/>
</file>

<file path=customXml/itemProps5.xml><?xml version="1.0" encoding="utf-8"?>
<ds:datastoreItem xmlns:ds="http://schemas.openxmlformats.org/officeDocument/2006/customXml" ds:itemID="{E9E2B830-81B8-421A-8A4C-8B7EEB456C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2785</Words>
  <Characters>15878</Characters>
  <Application>Microsoft Office Word</Application>
  <DocSecurity>0</DocSecurity>
  <PresentationFormat/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18626</CharactersWithSpaces>
  <SharedDoc>false</SharedDoc>
  <HyperlinkBase/>
  <HLinks>
    <vt:vector size="12" baseType="variant"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_Toc445803755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_Toc445803745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Barnard, Katherine</dc:creator>
  <cp:lastModifiedBy>No Name</cp:lastModifiedBy>
  <cp:revision>9</cp:revision>
  <cp:lastPrinted>2017-01-06T19:15:00Z</cp:lastPrinted>
  <dcterms:created xsi:type="dcterms:W3CDTF">2017-01-05T18:57:00Z</dcterms:created>
  <dcterms:modified xsi:type="dcterms:W3CDTF">2017-01-06T19:15:00Z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UFAAkxpNJwTxbIAZN4AzSmBD4F+fdVeIJ51ZPm4Aovdkw9eZW3tY8YrMg5KCiiI1TutDGnZmT22ZWg2m_x000d_
vJRkoIqGvOrnt/noNNZKConfPU8GR3fB7XSNg60KJHO5Q/iOy27P11ZhZuzHZi5rFUyz5HDaUh4N_x000d_
yHX6HKbIBLwJNMDveNQtF2Imtk+GAO8QiCevg7YIETt1QoNBdHxf/q4UGPTVdD8y5v8zO916/bL/_x000d_
Vzu7oWBZJoXRwcUXb</vt:lpwstr>
  </property>
  <property fmtid="{D5CDD505-2E9C-101B-9397-08002B2CF9AE}" pid="3" name="RESPONSE_SENDER_NAME">
    <vt:lpwstr>ABAAdnH19QYq2YW/s5oM5ZEhoVd7cH/41mWDX5VxjLCoXusmbqwiEm3eVVHvJK9ZqDPl</vt:lpwstr>
  </property>
  <property fmtid="{D5CDD505-2E9C-101B-9397-08002B2CF9AE}" pid="4" name="EMAIL_OWNER_ADDRESS">
    <vt:lpwstr>4AAAMz5NUQ6P8J9XUz8WFMz6Yj6pLkwm7t9XgkUzmXkLlKfYB/HoHF0y1Q==</vt:lpwstr>
  </property>
  <property fmtid="{D5CDD505-2E9C-101B-9397-08002B2CF9AE}" pid="5" name="MAIL_MSG_ID2">
    <vt:lpwstr>ItSaFeDamo6+ao1YGuSHEKvMx1Wq0Jz+DTwhm/Ml8xZpd52lwmoOupXsBpp_x000d_
v36fwW5+RnZpyAa3cL93VlfTAMo=</vt:lpwstr>
  </property>
  <property fmtid="{D5CDD505-2E9C-101B-9397-08002B2CF9AE}" pid="6" name="ContentTypeId">
    <vt:lpwstr>0x0101006E56B4D1795A2E4DB2F0B01679ED314A00718D2FBB09848246B6FD4A5A815592E3</vt:lpwstr>
  </property>
  <property fmtid="{D5CDD505-2E9C-101B-9397-08002B2CF9AE}" pid="7" name="_docset_NoMedatataSyncRequired">
    <vt:lpwstr>False</vt:lpwstr>
  </property>
  <property fmtid="{D5CDD505-2E9C-101B-9397-08002B2CF9AE}" pid="8" name="IsEFSEC">
    <vt:bool>false</vt:bool>
  </property>
</Properties>
</file>