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75776CF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36B4C">
        <w:rPr>
          <w:rFonts w:ascii="Times New Roman" w:hAnsi="Times New Roman"/>
          <w:sz w:val="24"/>
        </w:rPr>
        <w:t>Response of Commission Staff to Motion of Ride the Ducks of Seattle to Expedite Hearing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2F9CFAB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36B4C">
        <w:rPr>
          <w:rFonts w:ascii="Times New Roman" w:hAnsi="Times New Roman"/>
          <w:sz w:val="24"/>
        </w:rPr>
        <w:t>9</w:t>
      </w:r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36B4C">
        <w:rPr>
          <w:rFonts w:ascii="Times New Roman" w:hAnsi="Times New Roman"/>
          <w:sz w:val="24"/>
        </w:rPr>
        <w:t>November,</w:t>
      </w:r>
      <w:r>
        <w:rPr>
          <w:rFonts w:ascii="Times New Roman" w:hAnsi="Times New Roman"/>
          <w:sz w:val="24"/>
        </w:rPr>
        <w:t xml:space="preserve"> 20</w:t>
      </w:r>
      <w:r w:rsidR="000C388E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4094F8E2" w:rsidR="00DE387D" w:rsidRDefault="00136B4C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136B4C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136B4C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579A4A39" w14:textId="77777777" w:rsidR="000C388E" w:rsidRPr="00150D53" w:rsidRDefault="000C388E" w:rsidP="00DE387D">
      <w:pPr>
        <w:rPr>
          <w:rFonts w:ascii="Times New Roman" w:hAnsi="Times New Roman"/>
          <w:sz w:val="24"/>
        </w:rPr>
      </w:pPr>
    </w:p>
    <w:sectPr w:rsidR="000C388E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136B4C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36B4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0C388E"/>
    <w:rsid w:val="00136B4C"/>
    <w:rsid w:val="003370E9"/>
    <w:rsid w:val="00366392"/>
    <w:rsid w:val="0039343F"/>
    <w:rsid w:val="003C423D"/>
    <w:rsid w:val="004A0849"/>
    <w:rsid w:val="004A12D5"/>
    <w:rsid w:val="00A305E3"/>
    <w:rsid w:val="00AB106C"/>
    <w:rsid w:val="00C0665B"/>
    <w:rsid w:val="00DE387D"/>
    <w:rsid w:val="00E64B00"/>
    <w:rsid w:val="00F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2015-11-10T01:00:07+00:00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413E63-4ED3-46FE-A415-96F8C2C6E704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59512A57-25C5-4840-8E90-AB45750F7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dcterms:created xsi:type="dcterms:W3CDTF">2015-11-09T22:53:00Z</dcterms:created>
  <dcterms:modified xsi:type="dcterms:W3CDTF">2015-11-09T22:54:00Z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