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627B5" w14:textId="77777777" w:rsidR="00115C17" w:rsidRDefault="00115C17" w:rsidP="00115C17">
      <w:pPr>
        <w:pStyle w:val="NoSpacing"/>
        <w:jc w:val="center"/>
        <w:rPr>
          <w:sz w:val="14"/>
        </w:rPr>
      </w:pPr>
      <w:r>
        <w:rPr>
          <w:noProof/>
        </w:rPr>
        <w:drawing>
          <wp:inline distT="0" distB="0" distL="0" distR="0" wp14:anchorId="5C5AF146" wp14:editId="27E6E77E">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bookmarkStart w:id="0" w:name="_GoBack"/>
      <w:bookmarkEnd w:id="0"/>
    </w:p>
    <w:p w14:paraId="1D4E1E9A" w14:textId="77777777" w:rsidR="00115C17" w:rsidRDefault="00115C17" w:rsidP="00115C17">
      <w:pPr>
        <w:pStyle w:val="NoSpacing"/>
        <w:jc w:val="center"/>
        <w:rPr>
          <w:rFonts w:ascii="Arial" w:hAnsi="Arial"/>
          <w:b/>
          <w:color w:val="008000"/>
          <w:sz w:val="18"/>
        </w:rPr>
      </w:pPr>
    </w:p>
    <w:p w14:paraId="58F8B73C" w14:textId="77777777" w:rsidR="00115C17" w:rsidRDefault="00115C17" w:rsidP="00115C17">
      <w:pPr>
        <w:pStyle w:val="NoSpacing"/>
        <w:spacing w:after="80"/>
        <w:jc w:val="center"/>
        <w:rPr>
          <w:rFonts w:ascii="Arial" w:hAnsi="Arial"/>
          <w:b/>
          <w:color w:val="008000"/>
          <w:sz w:val="18"/>
        </w:rPr>
      </w:pPr>
      <w:r>
        <w:rPr>
          <w:rFonts w:ascii="Arial" w:hAnsi="Arial"/>
          <w:b/>
          <w:color w:val="008000"/>
          <w:sz w:val="18"/>
        </w:rPr>
        <w:t>STATE OF WASHINGTON</w:t>
      </w:r>
    </w:p>
    <w:p w14:paraId="589A68F7" w14:textId="77777777" w:rsidR="00115C17" w:rsidRDefault="00115C17" w:rsidP="00115C17">
      <w:pPr>
        <w:pStyle w:val="NoSpacing"/>
        <w:spacing w:after="80"/>
        <w:jc w:val="center"/>
        <w:rPr>
          <w:rFonts w:ascii="Arial" w:hAnsi="Arial"/>
          <w:color w:val="008000"/>
          <w:sz w:val="28"/>
        </w:rPr>
      </w:pPr>
      <w:r>
        <w:rPr>
          <w:rFonts w:ascii="Arial" w:hAnsi="Arial"/>
          <w:color w:val="008000"/>
          <w:sz w:val="28"/>
        </w:rPr>
        <w:t>UTILITIES AND TRANSPORTATION COMMISSION</w:t>
      </w:r>
    </w:p>
    <w:p w14:paraId="36B9A259" w14:textId="77777777" w:rsidR="00115C17" w:rsidRDefault="00115C17" w:rsidP="00115C17">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0A960947" w14:textId="77777777" w:rsidR="00115C17" w:rsidRDefault="00115C17" w:rsidP="00115C17">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32AC0EBC" w14:textId="68F5CA65" w:rsidR="00115C17" w:rsidRDefault="00194AD9" w:rsidP="00115C17">
      <w:pPr>
        <w:pStyle w:val="NoSpacing"/>
        <w:spacing w:line="264" w:lineRule="auto"/>
        <w:jc w:val="center"/>
        <w:rPr>
          <w:rFonts w:ascii="Times New Roman" w:hAnsi="Times New Roman"/>
          <w:sz w:val="25"/>
          <w:szCs w:val="25"/>
        </w:rPr>
      </w:pPr>
      <w:r>
        <w:rPr>
          <w:rFonts w:ascii="Times New Roman" w:hAnsi="Times New Roman"/>
          <w:sz w:val="25"/>
          <w:szCs w:val="25"/>
        </w:rPr>
        <w:t>February 3</w:t>
      </w:r>
      <w:r w:rsidR="008F2DF1">
        <w:rPr>
          <w:rFonts w:ascii="Times New Roman" w:hAnsi="Times New Roman"/>
          <w:sz w:val="25"/>
          <w:szCs w:val="25"/>
        </w:rPr>
        <w:t>, 2015</w:t>
      </w:r>
    </w:p>
    <w:p w14:paraId="6EDABDEC" w14:textId="77777777" w:rsidR="00040EE6" w:rsidRDefault="00040EE6" w:rsidP="00115C17">
      <w:pPr>
        <w:pStyle w:val="NoSpacing"/>
        <w:spacing w:line="264" w:lineRule="auto"/>
        <w:jc w:val="center"/>
        <w:rPr>
          <w:rFonts w:ascii="Times New Roman" w:hAnsi="Times New Roman"/>
          <w:sz w:val="25"/>
          <w:szCs w:val="25"/>
        </w:rPr>
      </w:pPr>
    </w:p>
    <w:p w14:paraId="0934C876" w14:textId="77777777" w:rsidR="0040733E" w:rsidRDefault="0040733E" w:rsidP="00115C17">
      <w:pPr>
        <w:pStyle w:val="NoSpacing"/>
        <w:spacing w:line="264" w:lineRule="auto"/>
        <w:jc w:val="center"/>
        <w:rPr>
          <w:rFonts w:ascii="Times New Roman" w:hAnsi="Times New Roman"/>
          <w:sz w:val="25"/>
          <w:szCs w:val="25"/>
        </w:rPr>
      </w:pPr>
    </w:p>
    <w:p w14:paraId="4EE03831" w14:textId="72126D6D" w:rsidR="00115C17" w:rsidRPr="00115C17" w:rsidRDefault="00115C17" w:rsidP="00115C17">
      <w:pPr>
        <w:pStyle w:val="NoSpacing"/>
        <w:spacing w:line="264" w:lineRule="auto"/>
        <w:jc w:val="center"/>
        <w:rPr>
          <w:rFonts w:ascii="Times New Roman" w:hAnsi="Times New Roman"/>
          <w:b/>
          <w:sz w:val="25"/>
          <w:szCs w:val="25"/>
        </w:rPr>
      </w:pPr>
      <w:r w:rsidRPr="00115C17">
        <w:rPr>
          <w:rFonts w:ascii="Times New Roman" w:hAnsi="Times New Roman"/>
          <w:b/>
          <w:sz w:val="25"/>
          <w:szCs w:val="25"/>
        </w:rPr>
        <w:t xml:space="preserve">NOTICE OF </w:t>
      </w:r>
      <w:r w:rsidR="00D36FA3">
        <w:rPr>
          <w:rFonts w:ascii="Times New Roman" w:hAnsi="Times New Roman"/>
          <w:b/>
          <w:sz w:val="25"/>
          <w:szCs w:val="25"/>
        </w:rPr>
        <w:t>HEARING ON SETTLEMENT AGREEMENT</w:t>
      </w:r>
    </w:p>
    <w:p w14:paraId="0AD88CDE" w14:textId="2086E05E" w:rsidR="00115C17" w:rsidRPr="00115C17" w:rsidRDefault="00115C17" w:rsidP="00115C17">
      <w:pPr>
        <w:pStyle w:val="NoSpacing"/>
        <w:spacing w:line="264" w:lineRule="auto"/>
        <w:jc w:val="center"/>
        <w:rPr>
          <w:rFonts w:ascii="Times New Roman" w:hAnsi="Times New Roman"/>
          <w:b/>
          <w:sz w:val="25"/>
          <w:szCs w:val="25"/>
        </w:rPr>
      </w:pPr>
      <w:r w:rsidRPr="00115C17">
        <w:rPr>
          <w:rFonts w:ascii="Times New Roman" w:hAnsi="Times New Roman"/>
          <w:b/>
          <w:sz w:val="25"/>
          <w:szCs w:val="25"/>
        </w:rPr>
        <w:t>(</w:t>
      </w:r>
      <w:r w:rsidR="00E01488">
        <w:rPr>
          <w:rFonts w:ascii="Times New Roman" w:hAnsi="Times New Roman"/>
          <w:b/>
          <w:sz w:val="25"/>
          <w:szCs w:val="25"/>
        </w:rPr>
        <w:t>Wednesday</w:t>
      </w:r>
      <w:r w:rsidR="00D36FA3">
        <w:rPr>
          <w:rFonts w:ascii="Times New Roman" w:hAnsi="Times New Roman"/>
          <w:b/>
          <w:sz w:val="25"/>
          <w:szCs w:val="25"/>
        </w:rPr>
        <w:t xml:space="preserve">, </w:t>
      </w:r>
      <w:r w:rsidR="008F2DF1">
        <w:rPr>
          <w:rFonts w:ascii="Times New Roman" w:hAnsi="Times New Roman"/>
          <w:b/>
          <w:sz w:val="25"/>
          <w:szCs w:val="25"/>
        </w:rPr>
        <w:t xml:space="preserve">February </w:t>
      </w:r>
      <w:r w:rsidR="00E01488">
        <w:rPr>
          <w:rFonts w:ascii="Times New Roman" w:hAnsi="Times New Roman"/>
          <w:b/>
          <w:sz w:val="25"/>
          <w:szCs w:val="25"/>
        </w:rPr>
        <w:t>11</w:t>
      </w:r>
      <w:r w:rsidRPr="00115C17">
        <w:rPr>
          <w:rFonts w:ascii="Times New Roman" w:hAnsi="Times New Roman"/>
          <w:b/>
          <w:sz w:val="25"/>
          <w:szCs w:val="25"/>
        </w:rPr>
        <w:t>, 2015</w:t>
      </w:r>
      <w:r w:rsidR="00E01488">
        <w:rPr>
          <w:rFonts w:ascii="Times New Roman" w:hAnsi="Times New Roman"/>
          <w:b/>
          <w:sz w:val="25"/>
          <w:szCs w:val="25"/>
        </w:rPr>
        <w:t>, at 2:00 p.m.</w:t>
      </w:r>
      <w:r w:rsidRPr="00115C17">
        <w:rPr>
          <w:rFonts w:ascii="Times New Roman" w:hAnsi="Times New Roman"/>
          <w:b/>
          <w:sz w:val="25"/>
          <w:szCs w:val="25"/>
        </w:rPr>
        <w:t>)</w:t>
      </w:r>
    </w:p>
    <w:p w14:paraId="38D16293" w14:textId="77777777" w:rsidR="00E85E52" w:rsidRDefault="00E85E52" w:rsidP="00115C17">
      <w:pPr>
        <w:pStyle w:val="NoSpacing"/>
        <w:spacing w:line="264" w:lineRule="auto"/>
        <w:jc w:val="center"/>
        <w:rPr>
          <w:rFonts w:ascii="Times New Roman" w:hAnsi="Times New Roman"/>
          <w:sz w:val="25"/>
          <w:szCs w:val="25"/>
        </w:rPr>
      </w:pPr>
    </w:p>
    <w:p w14:paraId="48FB16EE" w14:textId="77777777" w:rsidR="0040733E" w:rsidRDefault="0040733E" w:rsidP="00115C17">
      <w:pPr>
        <w:pStyle w:val="NoSpacing"/>
        <w:spacing w:line="264" w:lineRule="auto"/>
        <w:jc w:val="center"/>
        <w:rPr>
          <w:rFonts w:ascii="Times New Roman" w:hAnsi="Times New Roman"/>
          <w:sz w:val="25"/>
          <w:szCs w:val="25"/>
        </w:rPr>
      </w:pPr>
    </w:p>
    <w:p w14:paraId="22A67BF1" w14:textId="5D569D2F" w:rsidR="00115C17" w:rsidRDefault="00115C17" w:rsidP="00115C17">
      <w:pPr>
        <w:spacing w:line="264" w:lineRule="auto"/>
        <w:ind w:left="720" w:hanging="720"/>
        <w:rPr>
          <w:szCs w:val="25"/>
        </w:rPr>
      </w:pPr>
      <w:r>
        <w:rPr>
          <w:szCs w:val="25"/>
        </w:rPr>
        <w:t>RE:</w:t>
      </w:r>
      <w:r>
        <w:rPr>
          <w:szCs w:val="25"/>
        </w:rPr>
        <w:tab/>
      </w:r>
      <w:r w:rsidRPr="00CB519A">
        <w:rPr>
          <w:i/>
          <w:szCs w:val="25"/>
        </w:rPr>
        <w:t xml:space="preserve">Washington Utilities and Transportation Commission v. </w:t>
      </w:r>
      <w:r w:rsidR="008F2DF1">
        <w:rPr>
          <w:i/>
          <w:szCs w:val="25"/>
        </w:rPr>
        <w:t>Olympic Moving and Storage, Inc., d/b/a Olympic Movers</w:t>
      </w:r>
      <w:r>
        <w:rPr>
          <w:szCs w:val="25"/>
        </w:rPr>
        <w:t>, Docket</w:t>
      </w:r>
      <w:r w:rsidR="008F2DF1">
        <w:rPr>
          <w:szCs w:val="25"/>
        </w:rPr>
        <w:t xml:space="preserve"> TV-122004</w:t>
      </w:r>
    </w:p>
    <w:p w14:paraId="67ED8485" w14:textId="77777777" w:rsidR="00115C17" w:rsidRDefault="00115C17" w:rsidP="00115C17">
      <w:pPr>
        <w:pStyle w:val="NoSpacing"/>
        <w:spacing w:line="264" w:lineRule="auto"/>
        <w:rPr>
          <w:rFonts w:ascii="Times New Roman" w:hAnsi="Times New Roman"/>
          <w:sz w:val="25"/>
          <w:szCs w:val="25"/>
        </w:rPr>
      </w:pPr>
    </w:p>
    <w:p w14:paraId="38626161" w14:textId="48C6E580" w:rsidR="00194AD9" w:rsidRDefault="00194AD9" w:rsidP="00115C17">
      <w:pPr>
        <w:pStyle w:val="NoSpacing"/>
        <w:spacing w:line="264" w:lineRule="auto"/>
        <w:rPr>
          <w:rFonts w:ascii="Times New Roman" w:hAnsi="Times New Roman"/>
          <w:sz w:val="25"/>
          <w:szCs w:val="25"/>
        </w:rPr>
      </w:pPr>
      <w:r>
        <w:rPr>
          <w:rFonts w:ascii="Times New Roman" w:hAnsi="Times New Roman"/>
          <w:sz w:val="25"/>
          <w:szCs w:val="25"/>
        </w:rPr>
        <w:t>TO ALL PARTIES:</w:t>
      </w:r>
    </w:p>
    <w:p w14:paraId="313E942A" w14:textId="77777777" w:rsidR="00194AD9" w:rsidRDefault="00194AD9" w:rsidP="00115C17">
      <w:pPr>
        <w:pStyle w:val="NoSpacing"/>
        <w:spacing w:line="264" w:lineRule="auto"/>
        <w:rPr>
          <w:rFonts w:ascii="Times New Roman" w:hAnsi="Times New Roman"/>
          <w:sz w:val="25"/>
          <w:szCs w:val="25"/>
        </w:rPr>
      </w:pPr>
    </w:p>
    <w:p w14:paraId="3A14988F" w14:textId="50DE5068" w:rsidR="000B2838" w:rsidRPr="000B2838" w:rsidRDefault="000B2838" w:rsidP="008066D5">
      <w:pPr>
        <w:pStyle w:val="NoSpacing"/>
        <w:rPr>
          <w:rFonts w:ascii="Times New Roman" w:hAnsi="Times New Roman"/>
          <w:sz w:val="25"/>
          <w:szCs w:val="25"/>
        </w:rPr>
      </w:pPr>
      <w:r w:rsidRPr="000B2838">
        <w:rPr>
          <w:rFonts w:ascii="Times New Roman" w:hAnsi="Times New Roman"/>
          <w:sz w:val="25"/>
          <w:szCs w:val="25"/>
        </w:rPr>
        <w:t xml:space="preserve">On July 3, 2014, the Washington Utilities and Transportation Commission (Commission) through its regulatory Staff (Staff) filed a complaint against Olympic Moving &amp; Storage, Inc., d/b/a Olympic Movers (Olympic Movers or Company).  The complaint alleges that Olympic Movers committed 320 violations of </w:t>
      </w:r>
      <w:r w:rsidR="003210C7">
        <w:rPr>
          <w:rFonts w:ascii="Times New Roman" w:hAnsi="Times New Roman"/>
          <w:sz w:val="25"/>
          <w:szCs w:val="25"/>
        </w:rPr>
        <w:t xml:space="preserve">state statutes, </w:t>
      </w:r>
      <w:r w:rsidRPr="000B2838">
        <w:rPr>
          <w:rFonts w:ascii="Times New Roman" w:hAnsi="Times New Roman"/>
          <w:sz w:val="25"/>
          <w:szCs w:val="25"/>
        </w:rPr>
        <w:t>Commission rules</w:t>
      </w:r>
      <w:r w:rsidR="003210C7">
        <w:rPr>
          <w:rFonts w:ascii="Times New Roman" w:hAnsi="Times New Roman"/>
          <w:sz w:val="25"/>
          <w:szCs w:val="25"/>
        </w:rPr>
        <w:t>,</w:t>
      </w:r>
      <w:r w:rsidRPr="000B2838">
        <w:rPr>
          <w:rFonts w:ascii="Times New Roman" w:hAnsi="Times New Roman"/>
          <w:sz w:val="25"/>
          <w:szCs w:val="25"/>
        </w:rPr>
        <w:t xml:space="preserve"> and </w:t>
      </w:r>
      <w:r w:rsidR="003210C7">
        <w:rPr>
          <w:rFonts w:ascii="Times New Roman" w:hAnsi="Times New Roman"/>
          <w:sz w:val="25"/>
          <w:szCs w:val="25"/>
        </w:rPr>
        <w:t>the tariff applicable to all household goods carriers</w:t>
      </w:r>
      <w:r w:rsidRPr="000B2838">
        <w:rPr>
          <w:rFonts w:ascii="Times New Roman" w:hAnsi="Times New Roman"/>
          <w:sz w:val="25"/>
          <w:szCs w:val="25"/>
        </w:rPr>
        <w:t xml:space="preserve">.  </w:t>
      </w:r>
    </w:p>
    <w:p w14:paraId="432D6809" w14:textId="77777777" w:rsidR="000B2838" w:rsidRPr="000B2838" w:rsidRDefault="000B2838" w:rsidP="008066D5">
      <w:pPr>
        <w:pStyle w:val="NoSpacing"/>
        <w:rPr>
          <w:rFonts w:ascii="Times New Roman" w:hAnsi="Times New Roman"/>
          <w:sz w:val="25"/>
          <w:szCs w:val="25"/>
        </w:rPr>
      </w:pPr>
    </w:p>
    <w:p w14:paraId="4FE6B207" w14:textId="77777777" w:rsidR="00040EE6" w:rsidRDefault="00BA472F" w:rsidP="008066D5">
      <w:pPr>
        <w:pStyle w:val="NoSpacing"/>
        <w:rPr>
          <w:rFonts w:ascii="Times New Roman" w:hAnsi="Times New Roman"/>
          <w:sz w:val="25"/>
          <w:szCs w:val="25"/>
        </w:rPr>
      </w:pPr>
      <w:r w:rsidRPr="00BA472F">
        <w:rPr>
          <w:rFonts w:ascii="Times New Roman" w:hAnsi="Times New Roman"/>
          <w:sz w:val="25"/>
          <w:szCs w:val="25"/>
        </w:rPr>
        <w:t xml:space="preserve">On January 23, 2015, </w:t>
      </w:r>
      <w:r>
        <w:rPr>
          <w:rFonts w:ascii="Times New Roman" w:hAnsi="Times New Roman"/>
          <w:sz w:val="25"/>
          <w:szCs w:val="25"/>
        </w:rPr>
        <w:t xml:space="preserve">Staff </w:t>
      </w:r>
      <w:r w:rsidRPr="00BA472F">
        <w:rPr>
          <w:rFonts w:ascii="Times New Roman" w:hAnsi="Times New Roman"/>
          <w:sz w:val="25"/>
          <w:szCs w:val="25"/>
        </w:rPr>
        <w:t xml:space="preserve">filed a Settlement Agreement </w:t>
      </w:r>
      <w:r>
        <w:rPr>
          <w:rFonts w:ascii="Times New Roman" w:hAnsi="Times New Roman"/>
          <w:sz w:val="25"/>
          <w:szCs w:val="25"/>
        </w:rPr>
        <w:t xml:space="preserve">(Settlement) </w:t>
      </w:r>
      <w:r w:rsidR="000B2838">
        <w:rPr>
          <w:rFonts w:ascii="Times New Roman" w:hAnsi="Times New Roman"/>
          <w:sz w:val="25"/>
          <w:szCs w:val="25"/>
        </w:rPr>
        <w:t xml:space="preserve">between Staff and the Company </w:t>
      </w:r>
      <w:r w:rsidRPr="00BA472F">
        <w:rPr>
          <w:rFonts w:ascii="Times New Roman" w:hAnsi="Times New Roman"/>
          <w:sz w:val="25"/>
          <w:szCs w:val="25"/>
        </w:rPr>
        <w:t>on behalf of the parties</w:t>
      </w:r>
      <w:r w:rsidR="008066D5" w:rsidRPr="00BA472F">
        <w:rPr>
          <w:rFonts w:ascii="Times New Roman" w:hAnsi="Times New Roman"/>
          <w:sz w:val="25"/>
          <w:szCs w:val="25"/>
        </w:rPr>
        <w:t>.</w:t>
      </w:r>
      <w:r>
        <w:rPr>
          <w:rFonts w:ascii="Times New Roman" w:hAnsi="Times New Roman"/>
          <w:sz w:val="25"/>
          <w:szCs w:val="25"/>
        </w:rPr>
        <w:t xml:space="preserve">  T</w:t>
      </w:r>
      <w:r w:rsidR="00040EE6">
        <w:rPr>
          <w:rFonts w:ascii="Times New Roman" w:hAnsi="Times New Roman"/>
          <w:sz w:val="25"/>
          <w:szCs w:val="25"/>
        </w:rPr>
        <w:t>he Commission needs additional information t</w:t>
      </w:r>
      <w:r w:rsidR="00D36FA3">
        <w:rPr>
          <w:rFonts w:ascii="Times New Roman" w:hAnsi="Times New Roman"/>
          <w:sz w:val="25"/>
          <w:szCs w:val="25"/>
        </w:rPr>
        <w:t>o determine whether the Settlement is in the public interest</w:t>
      </w:r>
      <w:r w:rsidR="00040EE6">
        <w:rPr>
          <w:rFonts w:ascii="Times New Roman" w:hAnsi="Times New Roman"/>
          <w:sz w:val="25"/>
          <w:szCs w:val="25"/>
        </w:rPr>
        <w:t xml:space="preserve"> and should be approved and adopted as the final resolution of the disputed issues in this proceeding</w:t>
      </w:r>
      <w:r w:rsidR="00D36FA3">
        <w:rPr>
          <w:rFonts w:ascii="Times New Roman" w:hAnsi="Times New Roman"/>
          <w:sz w:val="25"/>
          <w:szCs w:val="25"/>
        </w:rPr>
        <w:t>.</w:t>
      </w:r>
      <w:r w:rsidR="000B2838">
        <w:rPr>
          <w:rFonts w:ascii="Times New Roman" w:hAnsi="Times New Roman"/>
          <w:sz w:val="25"/>
          <w:szCs w:val="25"/>
        </w:rPr>
        <w:t xml:space="preserve">  </w:t>
      </w:r>
    </w:p>
    <w:p w14:paraId="59428382" w14:textId="77777777" w:rsidR="00040EE6" w:rsidRDefault="00040EE6" w:rsidP="008066D5">
      <w:pPr>
        <w:pStyle w:val="NoSpacing"/>
        <w:rPr>
          <w:rFonts w:ascii="Times New Roman" w:hAnsi="Times New Roman"/>
          <w:sz w:val="25"/>
          <w:szCs w:val="25"/>
        </w:rPr>
      </w:pPr>
    </w:p>
    <w:p w14:paraId="6BCDA98D" w14:textId="604885D1" w:rsidR="00D36FA3" w:rsidRPr="00BA472F" w:rsidRDefault="00D36FA3" w:rsidP="008066D5">
      <w:pPr>
        <w:pStyle w:val="NoSpacing"/>
        <w:rPr>
          <w:rFonts w:ascii="Times New Roman" w:hAnsi="Times New Roman"/>
          <w:sz w:val="25"/>
          <w:szCs w:val="25"/>
        </w:rPr>
      </w:pPr>
      <w:r>
        <w:rPr>
          <w:rFonts w:ascii="Times New Roman" w:hAnsi="Times New Roman"/>
          <w:sz w:val="25"/>
          <w:szCs w:val="25"/>
        </w:rPr>
        <w:t xml:space="preserve">Accordingly, the Commission will conduct a hearing on the Settlement on </w:t>
      </w:r>
      <w:r w:rsidR="00C258BC">
        <w:rPr>
          <w:rFonts w:ascii="Times New Roman" w:hAnsi="Times New Roman"/>
          <w:sz w:val="25"/>
          <w:szCs w:val="25"/>
        </w:rPr>
        <w:t>February __, 2015</w:t>
      </w:r>
      <w:r>
        <w:rPr>
          <w:rFonts w:ascii="Times New Roman" w:hAnsi="Times New Roman"/>
          <w:sz w:val="25"/>
          <w:szCs w:val="25"/>
        </w:rPr>
        <w:t xml:space="preserve">.  Each party must present a witness </w:t>
      </w:r>
      <w:r w:rsidR="00C258BC">
        <w:rPr>
          <w:rFonts w:ascii="Times New Roman" w:hAnsi="Times New Roman"/>
          <w:sz w:val="25"/>
          <w:szCs w:val="25"/>
        </w:rPr>
        <w:t>to testify about the Settlement</w:t>
      </w:r>
      <w:r>
        <w:rPr>
          <w:rFonts w:ascii="Times New Roman" w:hAnsi="Times New Roman"/>
          <w:sz w:val="25"/>
          <w:szCs w:val="25"/>
        </w:rPr>
        <w:t xml:space="preserve">.  </w:t>
      </w:r>
      <w:r w:rsidR="00156A85">
        <w:rPr>
          <w:rFonts w:ascii="Times New Roman" w:hAnsi="Times New Roman"/>
          <w:sz w:val="25"/>
          <w:szCs w:val="25"/>
        </w:rPr>
        <w:t xml:space="preserve">The issues </w:t>
      </w:r>
      <w:r w:rsidR="008C133E">
        <w:rPr>
          <w:rFonts w:ascii="Times New Roman" w:hAnsi="Times New Roman"/>
          <w:sz w:val="25"/>
          <w:szCs w:val="25"/>
        </w:rPr>
        <w:t>t</w:t>
      </w:r>
      <w:r>
        <w:rPr>
          <w:rFonts w:ascii="Times New Roman" w:hAnsi="Times New Roman"/>
          <w:sz w:val="25"/>
          <w:szCs w:val="25"/>
        </w:rPr>
        <w:t xml:space="preserve">he </w:t>
      </w:r>
      <w:r w:rsidR="008C133E">
        <w:rPr>
          <w:rFonts w:ascii="Times New Roman" w:hAnsi="Times New Roman"/>
          <w:sz w:val="25"/>
          <w:szCs w:val="25"/>
        </w:rPr>
        <w:t>parties should be prepared to</w:t>
      </w:r>
      <w:r>
        <w:rPr>
          <w:rFonts w:ascii="Times New Roman" w:hAnsi="Times New Roman"/>
          <w:sz w:val="25"/>
          <w:szCs w:val="25"/>
        </w:rPr>
        <w:t xml:space="preserve"> address </w:t>
      </w:r>
      <w:r w:rsidR="00156A85">
        <w:rPr>
          <w:rFonts w:ascii="Times New Roman" w:hAnsi="Times New Roman"/>
          <w:sz w:val="25"/>
          <w:szCs w:val="25"/>
        </w:rPr>
        <w:t xml:space="preserve">include, but are not necessarily limited to, </w:t>
      </w:r>
      <w:r w:rsidR="008C133E">
        <w:rPr>
          <w:rFonts w:ascii="Times New Roman" w:hAnsi="Times New Roman"/>
          <w:sz w:val="25"/>
          <w:szCs w:val="25"/>
        </w:rPr>
        <w:t>the following:</w:t>
      </w:r>
    </w:p>
    <w:p w14:paraId="002B9241" w14:textId="77777777" w:rsidR="008066D5" w:rsidRDefault="008066D5" w:rsidP="00115C17">
      <w:pPr>
        <w:pStyle w:val="NoSpacing"/>
        <w:spacing w:line="264" w:lineRule="auto"/>
        <w:rPr>
          <w:rFonts w:ascii="Times New Roman" w:hAnsi="Times New Roman"/>
          <w:sz w:val="25"/>
          <w:szCs w:val="25"/>
        </w:rPr>
      </w:pPr>
    </w:p>
    <w:p w14:paraId="0E22FE05" w14:textId="37C9E93F" w:rsidR="00BA472F" w:rsidRDefault="00D36FA3" w:rsidP="008066D5">
      <w:pPr>
        <w:pStyle w:val="NoSpacing"/>
        <w:spacing w:line="264" w:lineRule="auto"/>
        <w:rPr>
          <w:rFonts w:ascii="Times New Roman" w:hAnsi="Times New Roman"/>
          <w:sz w:val="25"/>
          <w:szCs w:val="25"/>
        </w:rPr>
      </w:pPr>
      <w:r>
        <w:rPr>
          <w:rFonts w:ascii="Times New Roman" w:hAnsi="Times New Roman"/>
          <w:b/>
          <w:sz w:val="25"/>
          <w:szCs w:val="25"/>
        </w:rPr>
        <w:t>Issue</w:t>
      </w:r>
      <w:r w:rsidR="008066D5" w:rsidRPr="008F2DF1">
        <w:rPr>
          <w:rFonts w:ascii="Times New Roman" w:hAnsi="Times New Roman"/>
          <w:b/>
          <w:sz w:val="25"/>
          <w:szCs w:val="25"/>
        </w:rPr>
        <w:t xml:space="preserve"> No. 1.</w:t>
      </w:r>
      <w:r w:rsidR="008066D5" w:rsidRPr="008066D5">
        <w:rPr>
          <w:rFonts w:ascii="Times New Roman" w:hAnsi="Times New Roman"/>
          <w:sz w:val="25"/>
          <w:szCs w:val="25"/>
        </w:rPr>
        <w:t xml:space="preserve">  </w:t>
      </w:r>
    </w:p>
    <w:p w14:paraId="5DBED2EB" w14:textId="77777777" w:rsidR="00BA472F" w:rsidRDefault="00BA472F" w:rsidP="008066D5">
      <w:pPr>
        <w:pStyle w:val="NoSpacing"/>
        <w:spacing w:line="264" w:lineRule="auto"/>
        <w:rPr>
          <w:rFonts w:ascii="Times New Roman" w:hAnsi="Times New Roman"/>
          <w:sz w:val="25"/>
          <w:szCs w:val="25"/>
        </w:rPr>
      </w:pPr>
    </w:p>
    <w:p w14:paraId="53426A66" w14:textId="1FE243AC" w:rsidR="00831BBA" w:rsidRDefault="00BA472F" w:rsidP="008066D5">
      <w:pPr>
        <w:pStyle w:val="NoSpacing"/>
        <w:spacing w:line="264" w:lineRule="auto"/>
        <w:rPr>
          <w:rFonts w:ascii="Times New Roman" w:hAnsi="Times New Roman"/>
          <w:sz w:val="25"/>
          <w:szCs w:val="25"/>
        </w:rPr>
      </w:pPr>
      <w:r w:rsidRPr="00BA472F">
        <w:rPr>
          <w:rFonts w:ascii="Times New Roman" w:eastAsia="Times New Roman" w:hAnsi="Times New Roman"/>
          <w:sz w:val="25"/>
          <w:szCs w:val="25"/>
        </w:rPr>
        <w:t xml:space="preserve">The </w:t>
      </w:r>
      <w:r>
        <w:rPr>
          <w:rFonts w:ascii="Times New Roman" w:eastAsia="Times New Roman" w:hAnsi="Times New Roman"/>
          <w:sz w:val="25"/>
          <w:szCs w:val="25"/>
        </w:rPr>
        <w:t>Settlement provides</w:t>
      </w:r>
      <w:r w:rsidR="00AB7E05">
        <w:rPr>
          <w:rFonts w:ascii="Times New Roman" w:eastAsia="Times New Roman" w:hAnsi="Times New Roman"/>
          <w:sz w:val="25"/>
          <w:szCs w:val="25"/>
        </w:rPr>
        <w:t xml:space="preserve"> that</w:t>
      </w:r>
      <w:r>
        <w:rPr>
          <w:rFonts w:ascii="Times New Roman" w:eastAsia="Times New Roman" w:hAnsi="Times New Roman"/>
          <w:sz w:val="25"/>
          <w:szCs w:val="25"/>
        </w:rPr>
        <w:t xml:space="preserve"> “</w:t>
      </w:r>
      <w:r w:rsidR="00AB7E05">
        <w:rPr>
          <w:rFonts w:ascii="Times New Roman" w:eastAsia="Times New Roman" w:hAnsi="Times New Roman"/>
          <w:sz w:val="25"/>
          <w:szCs w:val="25"/>
        </w:rPr>
        <w:t>this agreement reflects the settlement of all contested issues between [the parties] in this proceeding</w:t>
      </w:r>
      <w:r w:rsidRPr="00BA472F">
        <w:rPr>
          <w:rFonts w:ascii="Times New Roman" w:eastAsia="Times New Roman" w:hAnsi="Times New Roman"/>
          <w:sz w:val="25"/>
          <w:szCs w:val="25"/>
        </w:rPr>
        <w:t>,”</w:t>
      </w:r>
      <w:r w:rsidRPr="00BA472F">
        <w:rPr>
          <w:rFonts w:ascii="Times New Roman" w:eastAsia="Times New Roman" w:hAnsi="Times New Roman"/>
          <w:sz w:val="25"/>
          <w:szCs w:val="25"/>
          <w:vertAlign w:val="superscript"/>
        </w:rPr>
        <w:footnoteReference w:id="1"/>
      </w:r>
      <w:r w:rsidRPr="00BA472F">
        <w:rPr>
          <w:rFonts w:ascii="Times New Roman" w:eastAsia="Times New Roman" w:hAnsi="Times New Roman"/>
          <w:sz w:val="25"/>
          <w:szCs w:val="25"/>
        </w:rPr>
        <w:t xml:space="preserve"> but the document </w:t>
      </w:r>
      <w:r>
        <w:rPr>
          <w:rFonts w:ascii="Times New Roman" w:eastAsia="Times New Roman" w:hAnsi="Times New Roman"/>
          <w:sz w:val="25"/>
          <w:szCs w:val="25"/>
        </w:rPr>
        <w:t xml:space="preserve">specifically </w:t>
      </w:r>
      <w:r w:rsidRPr="00BA472F">
        <w:rPr>
          <w:rFonts w:ascii="Times New Roman" w:eastAsia="Times New Roman" w:hAnsi="Times New Roman"/>
          <w:sz w:val="25"/>
          <w:szCs w:val="25"/>
        </w:rPr>
        <w:t xml:space="preserve">addresses only the first three of the 21 causes of action alleged in the complaint.  </w:t>
      </w:r>
      <w:r w:rsidR="00D36FA3">
        <w:rPr>
          <w:rFonts w:ascii="Times New Roman" w:eastAsia="Times New Roman" w:hAnsi="Times New Roman"/>
          <w:sz w:val="25"/>
          <w:szCs w:val="25"/>
        </w:rPr>
        <w:t>How does</w:t>
      </w:r>
      <w:r>
        <w:rPr>
          <w:rFonts w:ascii="Times New Roman" w:eastAsia="Times New Roman" w:hAnsi="Times New Roman"/>
          <w:sz w:val="25"/>
          <w:szCs w:val="25"/>
        </w:rPr>
        <w:t xml:space="preserve"> the Settlement resolve the remaining 18 causes of action</w:t>
      </w:r>
      <w:r w:rsidR="00D36FA3">
        <w:rPr>
          <w:rFonts w:ascii="Times New Roman" w:eastAsia="Times New Roman" w:hAnsi="Times New Roman"/>
          <w:sz w:val="25"/>
          <w:szCs w:val="25"/>
        </w:rPr>
        <w:t>?</w:t>
      </w:r>
    </w:p>
    <w:p w14:paraId="35F89D7A" w14:textId="77777777" w:rsidR="00831BBA" w:rsidRDefault="00831BBA" w:rsidP="00831BBA">
      <w:pPr>
        <w:pStyle w:val="NoSpacing"/>
        <w:spacing w:line="264" w:lineRule="auto"/>
        <w:rPr>
          <w:rFonts w:ascii="Times New Roman" w:hAnsi="Times New Roman"/>
          <w:sz w:val="25"/>
          <w:szCs w:val="25"/>
        </w:rPr>
      </w:pPr>
    </w:p>
    <w:p w14:paraId="0EFCE2F4" w14:textId="3EFBD82E" w:rsidR="00AD1257" w:rsidRDefault="00D36FA3" w:rsidP="00AD1257">
      <w:pPr>
        <w:pStyle w:val="NoSpacing"/>
        <w:spacing w:line="264" w:lineRule="auto"/>
        <w:rPr>
          <w:rFonts w:ascii="Times New Roman" w:hAnsi="Times New Roman"/>
          <w:sz w:val="25"/>
          <w:szCs w:val="25"/>
        </w:rPr>
      </w:pPr>
      <w:r>
        <w:rPr>
          <w:rFonts w:ascii="Times New Roman" w:hAnsi="Times New Roman"/>
          <w:b/>
          <w:sz w:val="25"/>
          <w:szCs w:val="25"/>
        </w:rPr>
        <w:t>Issue</w:t>
      </w:r>
      <w:r w:rsidR="00AD1257">
        <w:rPr>
          <w:rFonts w:ascii="Times New Roman" w:hAnsi="Times New Roman"/>
          <w:b/>
          <w:sz w:val="25"/>
          <w:szCs w:val="25"/>
        </w:rPr>
        <w:t xml:space="preserve"> No. 2</w:t>
      </w:r>
      <w:r w:rsidR="00AD1257" w:rsidRPr="008F2DF1">
        <w:rPr>
          <w:rFonts w:ascii="Times New Roman" w:hAnsi="Times New Roman"/>
          <w:b/>
          <w:sz w:val="25"/>
          <w:szCs w:val="25"/>
        </w:rPr>
        <w:t>.</w:t>
      </w:r>
      <w:r w:rsidR="00AD1257" w:rsidRPr="008066D5">
        <w:rPr>
          <w:rFonts w:ascii="Times New Roman" w:hAnsi="Times New Roman"/>
          <w:sz w:val="25"/>
          <w:szCs w:val="25"/>
        </w:rPr>
        <w:t xml:space="preserve">  </w:t>
      </w:r>
    </w:p>
    <w:p w14:paraId="169B57E6" w14:textId="77777777" w:rsidR="00AD1257" w:rsidRDefault="00AD1257" w:rsidP="00AD1257">
      <w:pPr>
        <w:pStyle w:val="NoSpacing"/>
        <w:spacing w:line="264" w:lineRule="auto"/>
        <w:rPr>
          <w:rFonts w:ascii="Times New Roman" w:hAnsi="Times New Roman"/>
          <w:sz w:val="25"/>
          <w:szCs w:val="25"/>
        </w:rPr>
      </w:pPr>
    </w:p>
    <w:p w14:paraId="54745C11" w14:textId="4DB2CEC9" w:rsidR="00AD1257" w:rsidRDefault="00AD1257" w:rsidP="00AD1257">
      <w:pPr>
        <w:pStyle w:val="NoSpacing"/>
        <w:spacing w:line="264" w:lineRule="auto"/>
        <w:rPr>
          <w:rFonts w:ascii="Times New Roman" w:eastAsia="Times New Roman" w:hAnsi="Times New Roman"/>
          <w:sz w:val="25"/>
          <w:szCs w:val="25"/>
        </w:rPr>
      </w:pPr>
      <w:r w:rsidRPr="00BA472F">
        <w:rPr>
          <w:rFonts w:ascii="Times New Roman" w:eastAsia="Times New Roman" w:hAnsi="Times New Roman"/>
          <w:sz w:val="25"/>
          <w:szCs w:val="25"/>
        </w:rPr>
        <w:t xml:space="preserve">The </w:t>
      </w:r>
      <w:r>
        <w:rPr>
          <w:rFonts w:ascii="Times New Roman" w:eastAsia="Times New Roman" w:hAnsi="Times New Roman"/>
          <w:sz w:val="25"/>
          <w:szCs w:val="25"/>
        </w:rPr>
        <w:t>Settlement states that “Olympic Movers admits to violations of RCW 81.04.070, WAC 480-15, and Tariff 15-C”</w:t>
      </w:r>
      <w:r w:rsidRPr="00BA472F">
        <w:rPr>
          <w:rFonts w:ascii="Times New Roman" w:eastAsia="Times New Roman" w:hAnsi="Times New Roman"/>
          <w:sz w:val="25"/>
          <w:szCs w:val="25"/>
          <w:vertAlign w:val="superscript"/>
        </w:rPr>
        <w:footnoteReference w:id="2"/>
      </w:r>
      <w:r>
        <w:rPr>
          <w:rFonts w:ascii="Times New Roman" w:eastAsia="Times New Roman" w:hAnsi="Times New Roman"/>
          <w:sz w:val="25"/>
          <w:szCs w:val="25"/>
        </w:rPr>
        <w:t xml:space="preserve"> but does not specify those violations.  Does Olympic Movers admit to all of the violations alleged in the complaint?  If not, </w:t>
      </w:r>
      <w:r w:rsidR="008C133E">
        <w:rPr>
          <w:rFonts w:ascii="Times New Roman" w:eastAsia="Times New Roman" w:hAnsi="Times New Roman"/>
          <w:sz w:val="25"/>
          <w:szCs w:val="25"/>
        </w:rPr>
        <w:t xml:space="preserve">which </w:t>
      </w:r>
      <w:r>
        <w:rPr>
          <w:rFonts w:ascii="Times New Roman" w:eastAsia="Times New Roman" w:hAnsi="Times New Roman"/>
          <w:sz w:val="25"/>
          <w:szCs w:val="25"/>
        </w:rPr>
        <w:t xml:space="preserve">violations </w:t>
      </w:r>
      <w:r w:rsidR="008C133E">
        <w:rPr>
          <w:rFonts w:ascii="Times New Roman" w:eastAsia="Times New Roman" w:hAnsi="Times New Roman"/>
          <w:sz w:val="25"/>
          <w:szCs w:val="25"/>
        </w:rPr>
        <w:t>does the Company admit?</w:t>
      </w:r>
    </w:p>
    <w:p w14:paraId="57DB4381" w14:textId="77777777" w:rsidR="00AD1257" w:rsidRDefault="00AD1257" w:rsidP="00AD1257">
      <w:pPr>
        <w:pStyle w:val="NoSpacing"/>
        <w:spacing w:line="264" w:lineRule="auto"/>
        <w:rPr>
          <w:rFonts w:ascii="Times New Roman" w:hAnsi="Times New Roman"/>
          <w:sz w:val="25"/>
          <w:szCs w:val="25"/>
        </w:rPr>
      </w:pPr>
    </w:p>
    <w:p w14:paraId="1C78C879" w14:textId="67AAF4F4" w:rsidR="00BA472F" w:rsidRDefault="00156A85" w:rsidP="008066D5">
      <w:pPr>
        <w:pStyle w:val="NoSpacing"/>
        <w:spacing w:line="264" w:lineRule="auto"/>
        <w:rPr>
          <w:rFonts w:ascii="Times New Roman" w:hAnsi="Times New Roman"/>
          <w:sz w:val="25"/>
          <w:szCs w:val="25"/>
        </w:rPr>
      </w:pPr>
      <w:r>
        <w:rPr>
          <w:rFonts w:ascii="Times New Roman" w:hAnsi="Times New Roman"/>
          <w:b/>
          <w:sz w:val="25"/>
          <w:szCs w:val="25"/>
        </w:rPr>
        <w:t xml:space="preserve">Issue </w:t>
      </w:r>
      <w:r w:rsidR="008066D5" w:rsidRPr="008F2DF1">
        <w:rPr>
          <w:rFonts w:ascii="Times New Roman" w:hAnsi="Times New Roman"/>
          <w:b/>
          <w:sz w:val="25"/>
          <w:szCs w:val="25"/>
        </w:rPr>
        <w:t xml:space="preserve">No. </w:t>
      </w:r>
      <w:r w:rsidR="00AD1257">
        <w:rPr>
          <w:rFonts w:ascii="Times New Roman" w:hAnsi="Times New Roman"/>
          <w:b/>
          <w:sz w:val="25"/>
          <w:szCs w:val="25"/>
        </w:rPr>
        <w:t>3</w:t>
      </w:r>
      <w:r w:rsidR="008066D5" w:rsidRPr="008F2DF1">
        <w:rPr>
          <w:rFonts w:ascii="Times New Roman" w:hAnsi="Times New Roman"/>
          <w:b/>
          <w:sz w:val="25"/>
          <w:szCs w:val="25"/>
        </w:rPr>
        <w:t>.</w:t>
      </w:r>
      <w:r w:rsidR="008066D5" w:rsidRPr="008066D5">
        <w:rPr>
          <w:rFonts w:ascii="Times New Roman" w:hAnsi="Times New Roman"/>
          <w:sz w:val="25"/>
          <w:szCs w:val="25"/>
        </w:rPr>
        <w:t xml:space="preserve">  </w:t>
      </w:r>
    </w:p>
    <w:p w14:paraId="4AE6F4E8" w14:textId="77777777" w:rsidR="00BA472F" w:rsidRDefault="00BA472F" w:rsidP="008066D5">
      <w:pPr>
        <w:pStyle w:val="NoSpacing"/>
        <w:spacing w:line="264" w:lineRule="auto"/>
        <w:rPr>
          <w:rFonts w:ascii="Times New Roman" w:hAnsi="Times New Roman"/>
          <w:sz w:val="25"/>
          <w:szCs w:val="25"/>
        </w:rPr>
      </w:pPr>
    </w:p>
    <w:p w14:paraId="313F11FD" w14:textId="656B9601" w:rsidR="00F72718" w:rsidRDefault="00BA472F" w:rsidP="008066D5">
      <w:pPr>
        <w:pStyle w:val="NoSpacing"/>
        <w:spacing w:line="264" w:lineRule="auto"/>
        <w:rPr>
          <w:rFonts w:ascii="Times New Roman" w:eastAsia="Times New Roman" w:hAnsi="Times New Roman"/>
          <w:sz w:val="25"/>
          <w:szCs w:val="25"/>
        </w:rPr>
      </w:pPr>
      <w:r>
        <w:rPr>
          <w:rFonts w:ascii="Times New Roman" w:eastAsia="Times New Roman" w:hAnsi="Times New Roman"/>
          <w:sz w:val="25"/>
          <w:szCs w:val="25"/>
        </w:rPr>
        <w:t xml:space="preserve">In the Settlement, Olympic Movers </w:t>
      </w:r>
      <w:r w:rsidRPr="00BA472F">
        <w:rPr>
          <w:rFonts w:ascii="Times New Roman" w:eastAsia="Times New Roman" w:hAnsi="Times New Roman"/>
          <w:sz w:val="25"/>
          <w:szCs w:val="25"/>
        </w:rPr>
        <w:t>undertakes to “prepare and submit to the Commission a written compliance plan detailing the procedures the Company has implemented, or will implement, to prevent future violations of the type alleged in Staff’s investigation report</w:t>
      </w:r>
      <w:r w:rsidR="00F72718">
        <w:rPr>
          <w:rFonts w:ascii="Times New Roman" w:eastAsia="Times New Roman" w:hAnsi="Times New Roman"/>
          <w:sz w:val="25"/>
          <w:szCs w:val="25"/>
        </w:rPr>
        <w:t>.</w:t>
      </w:r>
      <w:r w:rsidRPr="00BA472F">
        <w:rPr>
          <w:rFonts w:ascii="Times New Roman" w:eastAsia="Times New Roman" w:hAnsi="Times New Roman"/>
          <w:sz w:val="25"/>
          <w:szCs w:val="25"/>
        </w:rPr>
        <w:t>”</w:t>
      </w:r>
      <w:r w:rsidRPr="00BA472F">
        <w:rPr>
          <w:rFonts w:ascii="Times New Roman" w:eastAsia="Times New Roman" w:hAnsi="Times New Roman"/>
          <w:sz w:val="25"/>
          <w:szCs w:val="25"/>
          <w:vertAlign w:val="superscript"/>
        </w:rPr>
        <w:footnoteReference w:id="3"/>
      </w:r>
      <w:r w:rsidRPr="00BA472F">
        <w:rPr>
          <w:rFonts w:ascii="Times New Roman" w:eastAsia="Times New Roman" w:hAnsi="Times New Roman"/>
          <w:sz w:val="25"/>
          <w:szCs w:val="25"/>
        </w:rPr>
        <w:t xml:space="preserve">   </w:t>
      </w:r>
    </w:p>
    <w:p w14:paraId="6EAF06A5" w14:textId="77777777" w:rsidR="00F72718" w:rsidRDefault="00F72718" w:rsidP="008066D5">
      <w:pPr>
        <w:pStyle w:val="NoSpacing"/>
        <w:spacing w:line="264" w:lineRule="auto"/>
        <w:rPr>
          <w:rFonts w:ascii="Times New Roman" w:eastAsia="Times New Roman" w:hAnsi="Times New Roman"/>
          <w:sz w:val="25"/>
          <w:szCs w:val="25"/>
        </w:rPr>
      </w:pPr>
    </w:p>
    <w:p w14:paraId="3A8A4232" w14:textId="7F58D2DD" w:rsidR="007F015C" w:rsidRDefault="00BA472F" w:rsidP="00F72718">
      <w:pPr>
        <w:pStyle w:val="NoSpacing"/>
        <w:numPr>
          <w:ilvl w:val="0"/>
          <w:numId w:val="19"/>
        </w:numPr>
        <w:spacing w:after="120" w:line="264" w:lineRule="auto"/>
        <w:rPr>
          <w:rFonts w:ascii="Times New Roman" w:hAnsi="Times New Roman"/>
          <w:sz w:val="25"/>
          <w:szCs w:val="25"/>
        </w:rPr>
      </w:pPr>
      <w:r>
        <w:rPr>
          <w:rFonts w:ascii="Times New Roman" w:eastAsia="Times New Roman" w:hAnsi="Times New Roman"/>
          <w:sz w:val="25"/>
          <w:szCs w:val="25"/>
        </w:rPr>
        <w:t>Please describe the distinction and any discrepancies between the violations alleged in Staff’s investigation report and the violations alleged in the complaint</w:t>
      </w:r>
      <w:r w:rsidR="007F015C" w:rsidRPr="00115C17">
        <w:rPr>
          <w:rFonts w:ascii="Times New Roman" w:hAnsi="Times New Roman"/>
          <w:sz w:val="25"/>
          <w:szCs w:val="25"/>
        </w:rPr>
        <w:t>.</w:t>
      </w:r>
    </w:p>
    <w:p w14:paraId="3E3C4ABC" w14:textId="5725BDD4" w:rsidR="00F72718" w:rsidRPr="00115C17" w:rsidRDefault="003D723F" w:rsidP="00F72718">
      <w:pPr>
        <w:pStyle w:val="NoSpacing"/>
        <w:numPr>
          <w:ilvl w:val="0"/>
          <w:numId w:val="19"/>
        </w:numPr>
        <w:spacing w:after="120" w:line="264" w:lineRule="auto"/>
        <w:rPr>
          <w:rFonts w:ascii="Times New Roman" w:hAnsi="Times New Roman"/>
          <w:sz w:val="25"/>
          <w:szCs w:val="25"/>
        </w:rPr>
      </w:pPr>
      <w:r>
        <w:rPr>
          <w:rFonts w:ascii="Times New Roman" w:hAnsi="Times New Roman"/>
          <w:sz w:val="25"/>
          <w:szCs w:val="25"/>
        </w:rPr>
        <w:t xml:space="preserve">Will </w:t>
      </w:r>
      <w:r w:rsidR="00F72718">
        <w:rPr>
          <w:rFonts w:ascii="Times New Roman" w:hAnsi="Times New Roman"/>
          <w:sz w:val="25"/>
          <w:szCs w:val="25"/>
        </w:rPr>
        <w:t xml:space="preserve">Staff </w:t>
      </w:r>
      <w:r>
        <w:rPr>
          <w:rFonts w:ascii="Times New Roman" w:hAnsi="Times New Roman"/>
          <w:sz w:val="25"/>
          <w:szCs w:val="25"/>
        </w:rPr>
        <w:t xml:space="preserve">determine </w:t>
      </w:r>
      <w:r w:rsidR="00F72718">
        <w:rPr>
          <w:rFonts w:ascii="Times New Roman" w:hAnsi="Times New Roman"/>
          <w:sz w:val="25"/>
          <w:szCs w:val="25"/>
        </w:rPr>
        <w:t xml:space="preserve">the sufficiency of the procedures in the </w:t>
      </w:r>
      <w:r>
        <w:rPr>
          <w:rFonts w:ascii="Times New Roman" w:hAnsi="Times New Roman"/>
          <w:sz w:val="25"/>
          <w:szCs w:val="25"/>
        </w:rPr>
        <w:t>Company’s compliance plan?  If so, how?  Will Staff’s assessment of the sufficiency of those procedures be part of Staff’s reinvestigation of Olympic Movers “within one year of the effective date of the agreement to determine the Company’s level of compliance”?</w:t>
      </w:r>
      <w:r w:rsidRPr="00BA472F">
        <w:rPr>
          <w:rFonts w:ascii="Times New Roman" w:eastAsia="Times New Roman" w:hAnsi="Times New Roman"/>
          <w:sz w:val="25"/>
          <w:szCs w:val="25"/>
          <w:vertAlign w:val="superscript"/>
        </w:rPr>
        <w:footnoteReference w:id="4"/>
      </w:r>
    </w:p>
    <w:p w14:paraId="651A5E5D" w14:textId="77777777" w:rsidR="00F86ADC" w:rsidRPr="00115C17" w:rsidRDefault="00F86ADC" w:rsidP="00115C17">
      <w:pPr>
        <w:pStyle w:val="NoSpacing"/>
        <w:spacing w:line="264" w:lineRule="auto"/>
        <w:rPr>
          <w:rFonts w:ascii="Times New Roman" w:hAnsi="Times New Roman"/>
          <w:sz w:val="25"/>
          <w:szCs w:val="25"/>
        </w:rPr>
      </w:pPr>
    </w:p>
    <w:p w14:paraId="630BFDF7" w14:textId="4ABC2EFE" w:rsidR="002B2FF8" w:rsidRDefault="00156A85" w:rsidP="008066D5">
      <w:pPr>
        <w:pStyle w:val="NoSpacing"/>
        <w:spacing w:line="264" w:lineRule="auto"/>
        <w:rPr>
          <w:rFonts w:ascii="Times New Roman" w:hAnsi="Times New Roman"/>
          <w:sz w:val="25"/>
          <w:szCs w:val="25"/>
        </w:rPr>
      </w:pPr>
      <w:r>
        <w:rPr>
          <w:rFonts w:ascii="Times New Roman" w:hAnsi="Times New Roman"/>
          <w:b/>
          <w:sz w:val="25"/>
          <w:szCs w:val="25"/>
        </w:rPr>
        <w:t>Issue</w:t>
      </w:r>
      <w:r w:rsidR="008066D5" w:rsidRPr="008F2DF1">
        <w:rPr>
          <w:rFonts w:ascii="Times New Roman" w:hAnsi="Times New Roman"/>
          <w:b/>
          <w:sz w:val="25"/>
          <w:szCs w:val="25"/>
        </w:rPr>
        <w:t xml:space="preserve"> No. </w:t>
      </w:r>
      <w:r w:rsidR="00AD1257">
        <w:rPr>
          <w:rFonts w:ascii="Times New Roman" w:hAnsi="Times New Roman"/>
          <w:b/>
          <w:sz w:val="25"/>
          <w:szCs w:val="25"/>
        </w:rPr>
        <w:t>4</w:t>
      </w:r>
      <w:r w:rsidR="008066D5" w:rsidRPr="008F2DF1">
        <w:rPr>
          <w:rFonts w:ascii="Times New Roman" w:hAnsi="Times New Roman"/>
          <w:b/>
          <w:sz w:val="25"/>
          <w:szCs w:val="25"/>
        </w:rPr>
        <w:t>.</w:t>
      </w:r>
      <w:r w:rsidR="008066D5" w:rsidRPr="008066D5">
        <w:rPr>
          <w:rFonts w:ascii="Times New Roman" w:hAnsi="Times New Roman"/>
          <w:sz w:val="25"/>
          <w:szCs w:val="25"/>
        </w:rPr>
        <w:t xml:space="preserve">  </w:t>
      </w:r>
    </w:p>
    <w:p w14:paraId="49A182C3" w14:textId="77777777" w:rsidR="002B2FF8" w:rsidRDefault="002B2FF8" w:rsidP="008066D5">
      <w:pPr>
        <w:pStyle w:val="NoSpacing"/>
        <w:spacing w:line="264" w:lineRule="auto"/>
        <w:rPr>
          <w:rFonts w:ascii="Times New Roman" w:hAnsi="Times New Roman"/>
          <w:sz w:val="25"/>
          <w:szCs w:val="25"/>
        </w:rPr>
      </w:pPr>
    </w:p>
    <w:p w14:paraId="22C44F14" w14:textId="47702199" w:rsidR="00F86ADC" w:rsidRDefault="002B2FF8" w:rsidP="008066D5">
      <w:pPr>
        <w:pStyle w:val="NoSpacing"/>
        <w:spacing w:line="264" w:lineRule="auto"/>
        <w:rPr>
          <w:rFonts w:ascii="Times New Roman" w:hAnsi="Times New Roman"/>
          <w:sz w:val="25"/>
          <w:szCs w:val="25"/>
        </w:rPr>
      </w:pPr>
      <w:r w:rsidRPr="002B2FF8">
        <w:rPr>
          <w:rFonts w:ascii="Times New Roman" w:hAnsi="Times New Roman"/>
          <w:sz w:val="25"/>
          <w:szCs w:val="25"/>
        </w:rPr>
        <w:t>The Settlement</w:t>
      </w:r>
      <w:r>
        <w:rPr>
          <w:rFonts w:ascii="Times New Roman" w:hAnsi="Times New Roman"/>
          <w:sz w:val="25"/>
          <w:szCs w:val="25"/>
        </w:rPr>
        <w:t xml:space="preserve"> includes the parties’ agreement to suspend $43,000</w:t>
      </w:r>
      <w:r w:rsidRPr="002B2FF8">
        <w:rPr>
          <w:rFonts w:ascii="Times New Roman" w:hAnsi="Times New Roman"/>
          <w:sz w:val="25"/>
          <w:szCs w:val="25"/>
        </w:rPr>
        <w:t xml:space="preserve"> of the total penalty</w:t>
      </w:r>
      <w:r w:rsidR="00547ED3">
        <w:rPr>
          <w:rFonts w:ascii="Times New Roman" w:hAnsi="Times New Roman"/>
          <w:sz w:val="25"/>
          <w:szCs w:val="25"/>
        </w:rPr>
        <w:t xml:space="preserve"> to be assessed</w:t>
      </w:r>
      <w:r w:rsidRPr="002B2FF8">
        <w:rPr>
          <w:rFonts w:ascii="Times New Roman" w:hAnsi="Times New Roman"/>
          <w:sz w:val="25"/>
          <w:szCs w:val="25"/>
        </w:rPr>
        <w:t xml:space="preserve"> “on the condition of future compliance with the terms of this agreement”</w:t>
      </w:r>
      <w:r w:rsidRPr="002B2FF8">
        <w:rPr>
          <w:rStyle w:val="FootnoteReference"/>
          <w:rFonts w:ascii="Times New Roman" w:hAnsi="Times New Roman"/>
          <w:sz w:val="25"/>
          <w:szCs w:val="25"/>
        </w:rPr>
        <w:footnoteReference w:id="5"/>
      </w:r>
      <w:r w:rsidRPr="002B2FF8">
        <w:rPr>
          <w:rFonts w:ascii="Times New Roman" w:hAnsi="Times New Roman"/>
          <w:sz w:val="25"/>
          <w:szCs w:val="25"/>
        </w:rPr>
        <w:t xml:space="preserve"> without specifying any time period</w:t>
      </w:r>
      <w:r>
        <w:rPr>
          <w:rFonts w:ascii="Times New Roman" w:hAnsi="Times New Roman"/>
          <w:sz w:val="25"/>
          <w:szCs w:val="25"/>
        </w:rPr>
        <w:t xml:space="preserve"> within which Olympi</w:t>
      </w:r>
      <w:r w:rsidR="0040733E">
        <w:rPr>
          <w:rFonts w:ascii="Times New Roman" w:hAnsi="Times New Roman"/>
          <w:sz w:val="25"/>
          <w:szCs w:val="25"/>
        </w:rPr>
        <w:t>c</w:t>
      </w:r>
      <w:r>
        <w:rPr>
          <w:rFonts w:ascii="Times New Roman" w:hAnsi="Times New Roman"/>
          <w:sz w:val="25"/>
          <w:szCs w:val="25"/>
        </w:rPr>
        <w:t xml:space="preserve"> Movers must comply with the agreement.  The Settlement</w:t>
      </w:r>
      <w:r w:rsidR="005508BA">
        <w:rPr>
          <w:rFonts w:ascii="Times New Roman" w:hAnsi="Times New Roman"/>
          <w:sz w:val="25"/>
          <w:szCs w:val="25"/>
        </w:rPr>
        <w:t>, however,</w:t>
      </w:r>
      <w:r>
        <w:rPr>
          <w:rFonts w:ascii="Times New Roman" w:hAnsi="Times New Roman"/>
          <w:sz w:val="25"/>
          <w:szCs w:val="25"/>
        </w:rPr>
        <w:t xml:space="preserve"> </w:t>
      </w:r>
      <w:r w:rsidR="00203DB1">
        <w:rPr>
          <w:rFonts w:ascii="Times New Roman" w:hAnsi="Times New Roman"/>
          <w:sz w:val="25"/>
          <w:szCs w:val="25"/>
        </w:rPr>
        <w:t>provides that</w:t>
      </w:r>
      <w:r>
        <w:rPr>
          <w:rFonts w:ascii="Times New Roman" w:hAnsi="Times New Roman"/>
          <w:sz w:val="25"/>
          <w:szCs w:val="25"/>
        </w:rPr>
        <w:t xml:space="preserve"> </w:t>
      </w:r>
      <w:r w:rsidRPr="002B2FF8">
        <w:rPr>
          <w:rFonts w:ascii="Times New Roman" w:hAnsi="Times New Roman"/>
          <w:sz w:val="25"/>
          <w:szCs w:val="25"/>
        </w:rPr>
        <w:t xml:space="preserve">Staff </w:t>
      </w:r>
      <w:r w:rsidR="00203DB1">
        <w:rPr>
          <w:rFonts w:ascii="Times New Roman" w:hAnsi="Times New Roman"/>
          <w:sz w:val="25"/>
          <w:szCs w:val="25"/>
        </w:rPr>
        <w:t>will</w:t>
      </w:r>
      <w:r w:rsidRPr="002B2FF8">
        <w:rPr>
          <w:rFonts w:ascii="Times New Roman" w:hAnsi="Times New Roman"/>
          <w:sz w:val="25"/>
          <w:szCs w:val="25"/>
        </w:rPr>
        <w:t xml:space="preserve"> reinvestigate the Company’s compliance within one year and recommend that the Commission either dismiss or impose the suspended penalty</w:t>
      </w:r>
      <w:r>
        <w:rPr>
          <w:rFonts w:ascii="Times New Roman" w:hAnsi="Times New Roman"/>
          <w:sz w:val="25"/>
          <w:szCs w:val="25"/>
        </w:rPr>
        <w:t>,</w:t>
      </w:r>
      <w:r w:rsidRPr="002B2FF8">
        <w:rPr>
          <w:rStyle w:val="FootnoteReference"/>
          <w:rFonts w:ascii="Times New Roman" w:hAnsi="Times New Roman"/>
          <w:sz w:val="25"/>
          <w:szCs w:val="25"/>
        </w:rPr>
        <w:footnoteReference w:id="6"/>
      </w:r>
      <w:r>
        <w:rPr>
          <w:rFonts w:ascii="Times New Roman" w:hAnsi="Times New Roman"/>
          <w:sz w:val="25"/>
          <w:szCs w:val="25"/>
        </w:rPr>
        <w:t xml:space="preserve"> but </w:t>
      </w:r>
      <w:r w:rsidRPr="002B2FF8">
        <w:rPr>
          <w:rFonts w:ascii="Times New Roman" w:hAnsi="Times New Roman"/>
          <w:sz w:val="25"/>
          <w:szCs w:val="25"/>
        </w:rPr>
        <w:t xml:space="preserve">at least one provision – the payment </w:t>
      </w:r>
      <w:r w:rsidRPr="002B2FF8">
        <w:rPr>
          <w:rFonts w:ascii="Times New Roman" w:hAnsi="Times New Roman"/>
          <w:sz w:val="25"/>
          <w:szCs w:val="25"/>
        </w:rPr>
        <w:lastRenderedPageBreak/>
        <w:t>schedule for the portion of the penalty that is not suspended</w:t>
      </w:r>
      <w:r w:rsidRPr="002B2FF8">
        <w:rPr>
          <w:rStyle w:val="FootnoteReference"/>
          <w:rFonts w:ascii="Times New Roman" w:hAnsi="Times New Roman"/>
          <w:sz w:val="25"/>
          <w:szCs w:val="25"/>
        </w:rPr>
        <w:footnoteReference w:id="7"/>
      </w:r>
      <w:r w:rsidRPr="002B2FF8">
        <w:rPr>
          <w:rFonts w:ascii="Times New Roman" w:hAnsi="Times New Roman"/>
          <w:sz w:val="25"/>
          <w:szCs w:val="25"/>
        </w:rPr>
        <w:t xml:space="preserve"> – requires </w:t>
      </w:r>
      <w:r w:rsidR="005508BA">
        <w:rPr>
          <w:rFonts w:ascii="Times New Roman" w:hAnsi="Times New Roman"/>
          <w:sz w:val="25"/>
          <w:szCs w:val="25"/>
        </w:rPr>
        <w:t>Olympic Movers to comply with the Settlement</w:t>
      </w:r>
      <w:r w:rsidRPr="002B2FF8">
        <w:rPr>
          <w:rFonts w:ascii="Times New Roman" w:hAnsi="Times New Roman"/>
          <w:sz w:val="25"/>
          <w:szCs w:val="25"/>
        </w:rPr>
        <w:t xml:space="preserve"> well beyond one year</w:t>
      </w:r>
      <w:r w:rsidR="00F86ADC" w:rsidRPr="002B2FF8">
        <w:rPr>
          <w:rFonts w:ascii="Times New Roman" w:hAnsi="Times New Roman"/>
          <w:sz w:val="25"/>
          <w:szCs w:val="25"/>
        </w:rPr>
        <w:t xml:space="preserve">. </w:t>
      </w:r>
      <w:r w:rsidR="00547ED3">
        <w:rPr>
          <w:rFonts w:ascii="Times New Roman" w:hAnsi="Times New Roman"/>
          <w:sz w:val="25"/>
          <w:szCs w:val="25"/>
        </w:rPr>
        <w:t xml:space="preserve"> </w:t>
      </w:r>
    </w:p>
    <w:p w14:paraId="53D0C175" w14:textId="77777777" w:rsidR="00547ED3" w:rsidRDefault="00547ED3" w:rsidP="008066D5">
      <w:pPr>
        <w:pStyle w:val="NoSpacing"/>
        <w:spacing w:line="264" w:lineRule="auto"/>
        <w:rPr>
          <w:rFonts w:ascii="Times New Roman" w:hAnsi="Times New Roman"/>
          <w:sz w:val="25"/>
          <w:szCs w:val="25"/>
        </w:rPr>
      </w:pPr>
    </w:p>
    <w:p w14:paraId="66A38727" w14:textId="29097D06" w:rsidR="00547ED3" w:rsidRDefault="00547ED3" w:rsidP="00A77B76">
      <w:pPr>
        <w:pStyle w:val="NoSpacing"/>
        <w:numPr>
          <w:ilvl w:val="0"/>
          <w:numId w:val="17"/>
        </w:numPr>
        <w:spacing w:after="120" w:line="264" w:lineRule="auto"/>
        <w:rPr>
          <w:rFonts w:ascii="Times New Roman" w:hAnsi="Times New Roman"/>
          <w:sz w:val="25"/>
          <w:szCs w:val="25"/>
        </w:rPr>
      </w:pPr>
      <w:r>
        <w:rPr>
          <w:rFonts w:ascii="Times New Roman" w:hAnsi="Times New Roman"/>
          <w:sz w:val="25"/>
          <w:szCs w:val="25"/>
        </w:rPr>
        <w:t xml:space="preserve">Does </w:t>
      </w:r>
      <w:r w:rsidR="00A77B76">
        <w:rPr>
          <w:rFonts w:ascii="Times New Roman" w:hAnsi="Times New Roman"/>
          <w:sz w:val="25"/>
          <w:szCs w:val="25"/>
        </w:rPr>
        <w:t xml:space="preserve">the term </w:t>
      </w:r>
      <w:r>
        <w:rPr>
          <w:rFonts w:ascii="Times New Roman" w:hAnsi="Times New Roman"/>
          <w:sz w:val="25"/>
          <w:szCs w:val="25"/>
        </w:rPr>
        <w:t>“compliance with the terms of this agreement”</w:t>
      </w:r>
      <w:r w:rsidR="00A77B76">
        <w:rPr>
          <w:rFonts w:ascii="Times New Roman" w:hAnsi="Times New Roman"/>
          <w:sz w:val="25"/>
          <w:szCs w:val="25"/>
        </w:rPr>
        <w:t xml:space="preserve"> as used in the Settlement</w:t>
      </w:r>
      <w:r>
        <w:rPr>
          <w:rFonts w:ascii="Times New Roman" w:hAnsi="Times New Roman"/>
          <w:sz w:val="25"/>
          <w:szCs w:val="25"/>
        </w:rPr>
        <w:t xml:space="preserve"> include compliance with </w:t>
      </w:r>
      <w:r w:rsidR="00A77B76">
        <w:rPr>
          <w:rFonts w:ascii="Times New Roman" w:hAnsi="Times New Roman"/>
          <w:sz w:val="25"/>
          <w:szCs w:val="25"/>
        </w:rPr>
        <w:t xml:space="preserve">the requirements of </w:t>
      </w:r>
      <w:r>
        <w:rPr>
          <w:rFonts w:ascii="Times New Roman" w:hAnsi="Times New Roman"/>
          <w:sz w:val="25"/>
          <w:szCs w:val="25"/>
        </w:rPr>
        <w:t>RCW 81.04.070</w:t>
      </w:r>
      <w:r w:rsidR="00A77B76">
        <w:rPr>
          <w:rFonts w:ascii="Times New Roman" w:hAnsi="Times New Roman"/>
          <w:sz w:val="25"/>
          <w:szCs w:val="25"/>
        </w:rPr>
        <w:t>, WAC 480-15, and Tariff 15-C that Olympic Movers admits to having violated?</w:t>
      </w:r>
    </w:p>
    <w:p w14:paraId="488168E0" w14:textId="1011FA7A" w:rsidR="00A77B76" w:rsidRPr="002B2FF8" w:rsidRDefault="00A77B76" w:rsidP="00A77B76">
      <w:pPr>
        <w:pStyle w:val="NoSpacing"/>
        <w:numPr>
          <w:ilvl w:val="0"/>
          <w:numId w:val="17"/>
        </w:numPr>
        <w:spacing w:after="120" w:line="264" w:lineRule="auto"/>
        <w:rPr>
          <w:rFonts w:ascii="Times New Roman" w:hAnsi="Times New Roman"/>
          <w:sz w:val="25"/>
          <w:szCs w:val="25"/>
        </w:rPr>
      </w:pPr>
      <w:r>
        <w:rPr>
          <w:rFonts w:ascii="Times New Roman" w:hAnsi="Times New Roman"/>
          <w:sz w:val="25"/>
          <w:szCs w:val="25"/>
        </w:rPr>
        <w:t>Does the term “compliance with the terms of this agreement” as used in the Settlement include timely payment of the 18 equal monthly installments Olympic Movers must pay to discharge its obligation to pay the portion of the penalty that would not be suspended?</w:t>
      </w:r>
      <w:r w:rsidR="005508BA">
        <w:rPr>
          <w:rFonts w:ascii="Times New Roman" w:hAnsi="Times New Roman"/>
          <w:sz w:val="25"/>
          <w:szCs w:val="25"/>
        </w:rPr>
        <w:t xml:space="preserve">  If so, does the Settlement authorize the Commission to impose the $43,000 suspended portion of the penalty if Olympic Movers fails to make timely installment payments that are due more than one year after the effective date of the Settlement?</w:t>
      </w:r>
    </w:p>
    <w:p w14:paraId="601A7879" w14:textId="77777777" w:rsidR="00115C17" w:rsidRPr="00115C17" w:rsidRDefault="00115C17" w:rsidP="00115C17">
      <w:pPr>
        <w:pStyle w:val="NoSpacing"/>
        <w:spacing w:line="264" w:lineRule="auto"/>
        <w:rPr>
          <w:rFonts w:ascii="Times New Roman" w:hAnsi="Times New Roman"/>
          <w:sz w:val="25"/>
          <w:szCs w:val="25"/>
        </w:rPr>
      </w:pPr>
    </w:p>
    <w:p w14:paraId="1406820C" w14:textId="6FF15027" w:rsidR="00AB7E05" w:rsidRDefault="00156A85" w:rsidP="008066D5">
      <w:pPr>
        <w:pStyle w:val="NoSpacing"/>
        <w:spacing w:line="264" w:lineRule="auto"/>
        <w:rPr>
          <w:rFonts w:ascii="Times New Roman" w:hAnsi="Times New Roman"/>
          <w:sz w:val="25"/>
          <w:szCs w:val="25"/>
        </w:rPr>
      </w:pPr>
      <w:r>
        <w:rPr>
          <w:rFonts w:ascii="Times New Roman" w:hAnsi="Times New Roman"/>
          <w:b/>
          <w:sz w:val="25"/>
          <w:szCs w:val="25"/>
        </w:rPr>
        <w:t>Issue</w:t>
      </w:r>
      <w:r w:rsidR="008066D5" w:rsidRPr="008F2DF1">
        <w:rPr>
          <w:rFonts w:ascii="Times New Roman" w:hAnsi="Times New Roman"/>
          <w:b/>
          <w:sz w:val="25"/>
          <w:szCs w:val="25"/>
        </w:rPr>
        <w:t xml:space="preserve"> No. </w:t>
      </w:r>
      <w:r w:rsidR="00AD1257">
        <w:rPr>
          <w:rFonts w:ascii="Times New Roman" w:hAnsi="Times New Roman"/>
          <w:b/>
          <w:sz w:val="25"/>
          <w:szCs w:val="25"/>
        </w:rPr>
        <w:t>5</w:t>
      </w:r>
      <w:r w:rsidR="008066D5" w:rsidRPr="008F2DF1">
        <w:rPr>
          <w:rFonts w:ascii="Times New Roman" w:hAnsi="Times New Roman"/>
          <w:b/>
          <w:sz w:val="25"/>
          <w:szCs w:val="25"/>
        </w:rPr>
        <w:t>.</w:t>
      </w:r>
      <w:r w:rsidR="008066D5" w:rsidRPr="008066D5">
        <w:rPr>
          <w:rFonts w:ascii="Times New Roman" w:hAnsi="Times New Roman"/>
          <w:sz w:val="25"/>
          <w:szCs w:val="25"/>
        </w:rPr>
        <w:t xml:space="preserve">  </w:t>
      </w:r>
    </w:p>
    <w:p w14:paraId="1A4D24D5" w14:textId="77777777" w:rsidR="00AB7E05" w:rsidRDefault="00AB7E05" w:rsidP="008066D5">
      <w:pPr>
        <w:pStyle w:val="NoSpacing"/>
        <w:spacing w:line="264" w:lineRule="auto"/>
        <w:rPr>
          <w:rFonts w:ascii="Times New Roman" w:hAnsi="Times New Roman"/>
          <w:sz w:val="25"/>
          <w:szCs w:val="25"/>
        </w:rPr>
      </w:pPr>
    </w:p>
    <w:p w14:paraId="728C9B5C" w14:textId="0B6AD971" w:rsidR="00F86ADC" w:rsidRDefault="00CD2342" w:rsidP="008066D5">
      <w:pPr>
        <w:pStyle w:val="NoSpacing"/>
        <w:spacing w:line="264" w:lineRule="auto"/>
        <w:rPr>
          <w:rFonts w:ascii="Times New Roman" w:hAnsi="Times New Roman"/>
          <w:sz w:val="25"/>
          <w:szCs w:val="25"/>
        </w:rPr>
      </w:pPr>
      <w:r>
        <w:rPr>
          <w:rFonts w:ascii="Times New Roman" w:hAnsi="Times New Roman"/>
          <w:sz w:val="25"/>
          <w:szCs w:val="25"/>
        </w:rPr>
        <w:t>Under the Settlement, “The parties agree to a payment plan under which the Company will pay the $45,000 penalty in equal monthly installments, for 18 successive periods, without interest, beginning the tenth day of the month starting with the first full month following the Commission’s approval of this agreement, consistent with payment instructions provided by Staff</w:t>
      </w:r>
      <w:r w:rsidR="00F86ADC" w:rsidRPr="00115C17">
        <w:rPr>
          <w:rFonts w:ascii="Times New Roman" w:hAnsi="Times New Roman"/>
          <w:sz w:val="25"/>
          <w:szCs w:val="25"/>
        </w:rPr>
        <w:t>.</w:t>
      </w:r>
      <w:r>
        <w:rPr>
          <w:rFonts w:ascii="Times New Roman" w:hAnsi="Times New Roman"/>
          <w:sz w:val="25"/>
          <w:szCs w:val="25"/>
        </w:rPr>
        <w:t>”</w:t>
      </w:r>
      <w:r w:rsidRPr="00BA472F">
        <w:rPr>
          <w:rFonts w:ascii="Times New Roman" w:eastAsia="Times New Roman" w:hAnsi="Times New Roman"/>
          <w:sz w:val="25"/>
          <w:szCs w:val="25"/>
          <w:vertAlign w:val="superscript"/>
        </w:rPr>
        <w:footnoteReference w:id="8"/>
      </w:r>
      <w:r>
        <w:rPr>
          <w:rFonts w:ascii="Times New Roman" w:hAnsi="Times New Roman"/>
          <w:sz w:val="25"/>
          <w:szCs w:val="25"/>
        </w:rPr>
        <w:t xml:space="preserve">  The Settlement further provides that Olympic Movers “may prepay all or part of any balance owed under this agreement at any time without any prepayment charge or penalty and fully discharge any remaining obligation, in whole or in part.”</w:t>
      </w:r>
      <w:r w:rsidRPr="00BA472F">
        <w:rPr>
          <w:rFonts w:ascii="Times New Roman" w:eastAsia="Times New Roman" w:hAnsi="Times New Roman"/>
          <w:sz w:val="25"/>
          <w:szCs w:val="25"/>
          <w:vertAlign w:val="superscript"/>
        </w:rPr>
        <w:footnoteReference w:id="9"/>
      </w:r>
    </w:p>
    <w:p w14:paraId="567156A1" w14:textId="77777777" w:rsidR="00CD2342" w:rsidRDefault="00CD2342" w:rsidP="008066D5">
      <w:pPr>
        <w:pStyle w:val="NoSpacing"/>
        <w:spacing w:line="264" w:lineRule="auto"/>
        <w:rPr>
          <w:rFonts w:ascii="Times New Roman" w:hAnsi="Times New Roman"/>
          <w:sz w:val="25"/>
          <w:szCs w:val="25"/>
        </w:rPr>
      </w:pPr>
    </w:p>
    <w:p w14:paraId="551539E6" w14:textId="404AD96F" w:rsidR="00CD2342" w:rsidRDefault="00CD2342" w:rsidP="00CD2342">
      <w:pPr>
        <w:pStyle w:val="NoSpacing"/>
        <w:numPr>
          <w:ilvl w:val="0"/>
          <w:numId w:val="18"/>
        </w:numPr>
        <w:spacing w:after="120" w:line="264" w:lineRule="auto"/>
        <w:rPr>
          <w:rFonts w:ascii="Times New Roman" w:hAnsi="Times New Roman"/>
          <w:sz w:val="25"/>
          <w:szCs w:val="25"/>
        </w:rPr>
      </w:pPr>
      <w:r>
        <w:rPr>
          <w:rFonts w:ascii="Times New Roman" w:hAnsi="Times New Roman"/>
          <w:sz w:val="25"/>
          <w:szCs w:val="25"/>
        </w:rPr>
        <w:t>What are the “payment instructions provided by Staff”?</w:t>
      </w:r>
    </w:p>
    <w:p w14:paraId="12243515" w14:textId="3CEB0AC9" w:rsidR="00F72718" w:rsidRDefault="00F72718" w:rsidP="00CD2342">
      <w:pPr>
        <w:pStyle w:val="NoSpacing"/>
        <w:numPr>
          <w:ilvl w:val="0"/>
          <w:numId w:val="18"/>
        </w:numPr>
        <w:spacing w:after="120" w:line="264" w:lineRule="auto"/>
        <w:rPr>
          <w:rFonts w:ascii="Times New Roman" w:hAnsi="Times New Roman"/>
          <w:sz w:val="25"/>
          <w:szCs w:val="25"/>
        </w:rPr>
      </w:pPr>
      <w:r>
        <w:rPr>
          <w:rFonts w:ascii="Times New Roman" w:hAnsi="Times New Roman"/>
          <w:sz w:val="25"/>
          <w:szCs w:val="25"/>
        </w:rPr>
        <w:t>Does the Settlement require the Company to pay the 18 installments on the 10</w:t>
      </w:r>
      <w:r w:rsidRPr="00F72718">
        <w:rPr>
          <w:rFonts w:ascii="Times New Roman" w:hAnsi="Times New Roman"/>
          <w:sz w:val="25"/>
          <w:szCs w:val="25"/>
          <w:vertAlign w:val="superscript"/>
        </w:rPr>
        <w:t>th</w:t>
      </w:r>
      <w:r>
        <w:rPr>
          <w:rFonts w:ascii="Times New Roman" w:hAnsi="Times New Roman"/>
          <w:sz w:val="25"/>
          <w:szCs w:val="25"/>
        </w:rPr>
        <w:t xml:space="preserve"> of each month or only the 10</w:t>
      </w:r>
      <w:r w:rsidRPr="00F72718">
        <w:rPr>
          <w:rFonts w:ascii="Times New Roman" w:hAnsi="Times New Roman"/>
          <w:sz w:val="25"/>
          <w:szCs w:val="25"/>
          <w:vertAlign w:val="superscript"/>
        </w:rPr>
        <w:t>th</w:t>
      </w:r>
      <w:r>
        <w:rPr>
          <w:rFonts w:ascii="Times New Roman" w:hAnsi="Times New Roman"/>
          <w:sz w:val="25"/>
          <w:szCs w:val="25"/>
        </w:rPr>
        <w:t xml:space="preserve"> of the first month?  If the latter, on what day of the month are subsequent installments due?</w:t>
      </w:r>
    </w:p>
    <w:p w14:paraId="771B442F" w14:textId="59BBBBE5" w:rsidR="00CD2342" w:rsidRDefault="00CD2342" w:rsidP="00CD2342">
      <w:pPr>
        <w:pStyle w:val="NoSpacing"/>
        <w:numPr>
          <w:ilvl w:val="0"/>
          <w:numId w:val="18"/>
        </w:numPr>
        <w:spacing w:after="120" w:line="264" w:lineRule="auto"/>
        <w:rPr>
          <w:rFonts w:ascii="Times New Roman" w:hAnsi="Times New Roman"/>
          <w:sz w:val="25"/>
          <w:szCs w:val="25"/>
        </w:rPr>
      </w:pPr>
      <w:r>
        <w:rPr>
          <w:rFonts w:ascii="Times New Roman" w:hAnsi="Times New Roman"/>
          <w:sz w:val="25"/>
          <w:szCs w:val="25"/>
        </w:rPr>
        <w:t xml:space="preserve">When will future installments be due if Olympic Movers prepays only a portion of the remaining balance to be paid?  For example, if the Company pays $5,000 </w:t>
      </w:r>
      <w:r w:rsidR="00F72718">
        <w:rPr>
          <w:rFonts w:ascii="Times New Roman" w:hAnsi="Times New Roman"/>
          <w:sz w:val="25"/>
          <w:szCs w:val="25"/>
        </w:rPr>
        <w:t>on April 10, rather than the $2,500 installment that is due, would the next installment be due May 10 or June 10?</w:t>
      </w:r>
    </w:p>
    <w:p w14:paraId="1A82C4AB" w14:textId="0CE8B3BE" w:rsidR="00CD2342" w:rsidRDefault="00CD2342" w:rsidP="00CD2342">
      <w:pPr>
        <w:pStyle w:val="NoSpacing"/>
        <w:numPr>
          <w:ilvl w:val="0"/>
          <w:numId w:val="18"/>
        </w:numPr>
        <w:spacing w:line="264" w:lineRule="auto"/>
        <w:rPr>
          <w:rFonts w:ascii="Times New Roman" w:hAnsi="Times New Roman"/>
          <w:sz w:val="25"/>
          <w:szCs w:val="25"/>
        </w:rPr>
      </w:pPr>
      <w:r>
        <w:rPr>
          <w:rFonts w:ascii="Times New Roman" w:hAnsi="Times New Roman"/>
          <w:sz w:val="25"/>
          <w:szCs w:val="25"/>
        </w:rPr>
        <w:lastRenderedPageBreak/>
        <w:t xml:space="preserve">What remedies are available under the Settlement if Olympic Movers fails to make an installment under the payment plan when </w:t>
      </w:r>
      <w:r w:rsidR="00F72718">
        <w:rPr>
          <w:rFonts w:ascii="Times New Roman" w:hAnsi="Times New Roman"/>
          <w:sz w:val="25"/>
          <w:szCs w:val="25"/>
        </w:rPr>
        <w:t>the installment</w:t>
      </w:r>
      <w:r>
        <w:rPr>
          <w:rFonts w:ascii="Times New Roman" w:hAnsi="Times New Roman"/>
          <w:sz w:val="25"/>
          <w:szCs w:val="25"/>
        </w:rPr>
        <w:t xml:space="preserve"> is due?</w:t>
      </w:r>
    </w:p>
    <w:p w14:paraId="141F75F9" w14:textId="77777777" w:rsidR="00DA580A" w:rsidRPr="00115C17" w:rsidRDefault="00DA580A" w:rsidP="00115C17">
      <w:pPr>
        <w:pStyle w:val="NoSpacing"/>
        <w:spacing w:line="264" w:lineRule="auto"/>
        <w:rPr>
          <w:rFonts w:ascii="Times New Roman" w:hAnsi="Times New Roman"/>
          <w:sz w:val="25"/>
          <w:szCs w:val="25"/>
        </w:rPr>
      </w:pPr>
    </w:p>
    <w:p w14:paraId="385CCD27" w14:textId="3F89C520" w:rsidR="00061586" w:rsidRDefault="000B2838" w:rsidP="00115C17">
      <w:pPr>
        <w:pStyle w:val="NoSpacing"/>
        <w:spacing w:line="264" w:lineRule="auto"/>
        <w:rPr>
          <w:rFonts w:ascii="Times New Roman" w:hAnsi="Times New Roman"/>
          <w:sz w:val="25"/>
          <w:szCs w:val="25"/>
        </w:rPr>
      </w:pPr>
      <w:r>
        <w:rPr>
          <w:rFonts w:ascii="Times New Roman" w:hAnsi="Times New Roman"/>
          <w:b/>
          <w:sz w:val="25"/>
          <w:szCs w:val="25"/>
        </w:rPr>
        <w:t xml:space="preserve">THE COMMISSION GIVES NOTICE that it will conduct a hearing on the Settlement Agreement </w:t>
      </w:r>
      <w:r w:rsidR="00194AD9">
        <w:rPr>
          <w:rFonts w:ascii="Times New Roman" w:hAnsi="Times New Roman"/>
          <w:b/>
          <w:sz w:val="25"/>
          <w:szCs w:val="25"/>
        </w:rPr>
        <w:t xml:space="preserve">at </w:t>
      </w:r>
      <w:r w:rsidR="00E01488">
        <w:rPr>
          <w:rFonts w:ascii="Times New Roman" w:hAnsi="Times New Roman"/>
          <w:b/>
          <w:sz w:val="25"/>
          <w:szCs w:val="25"/>
        </w:rPr>
        <w:t>2:00 p.m.</w:t>
      </w:r>
      <w:r w:rsidR="00194AD9">
        <w:rPr>
          <w:rFonts w:ascii="Times New Roman" w:hAnsi="Times New Roman"/>
          <w:b/>
          <w:sz w:val="25"/>
          <w:szCs w:val="25"/>
        </w:rPr>
        <w:t xml:space="preserve">, </w:t>
      </w:r>
      <w:r>
        <w:rPr>
          <w:rFonts w:ascii="Times New Roman" w:hAnsi="Times New Roman"/>
          <w:b/>
          <w:sz w:val="25"/>
          <w:szCs w:val="25"/>
        </w:rPr>
        <w:t xml:space="preserve">on </w:t>
      </w:r>
      <w:r w:rsidR="00E01488">
        <w:rPr>
          <w:rFonts w:ascii="Times New Roman" w:hAnsi="Times New Roman"/>
          <w:b/>
          <w:sz w:val="25"/>
          <w:szCs w:val="25"/>
        </w:rPr>
        <w:t>Wednesday</w:t>
      </w:r>
      <w:r>
        <w:rPr>
          <w:rFonts w:ascii="Times New Roman" w:hAnsi="Times New Roman"/>
          <w:b/>
          <w:sz w:val="25"/>
          <w:szCs w:val="25"/>
        </w:rPr>
        <w:t xml:space="preserve">, February </w:t>
      </w:r>
      <w:r w:rsidR="00E01488">
        <w:rPr>
          <w:rFonts w:ascii="Times New Roman" w:hAnsi="Times New Roman"/>
          <w:b/>
          <w:sz w:val="25"/>
          <w:szCs w:val="25"/>
        </w:rPr>
        <w:t>11</w:t>
      </w:r>
      <w:r>
        <w:rPr>
          <w:rFonts w:ascii="Times New Roman" w:hAnsi="Times New Roman"/>
          <w:b/>
          <w:sz w:val="25"/>
          <w:szCs w:val="25"/>
        </w:rPr>
        <w:t xml:space="preserve">, 2015, </w:t>
      </w:r>
      <w:r w:rsidR="00194AD9">
        <w:rPr>
          <w:rFonts w:ascii="Times New Roman" w:hAnsi="Times New Roman"/>
          <w:b/>
          <w:sz w:val="25"/>
          <w:szCs w:val="25"/>
        </w:rPr>
        <w:t xml:space="preserve">in the Commission’s Hearing Room, Second Floor, Richard </w:t>
      </w:r>
      <w:proofErr w:type="spellStart"/>
      <w:r w:rsidR="00194AD9">
        <w:rPr>
          <w:rFonts w:ascii="Times New Roman" w:hAnsi="Times New Roman"/>
          <w:b/>
          <w:sz w:val="25"/>
          <w:szCs w:val="25"/>
        </w:rPr>
        <w:t>Hemstad</w:t>
      </w:r>
      <w:proofErr w:type="spellEnd"/>
      <w:r w:rsidR="00194AD9">
        <w:rPr>
          <w:rFonts w:ascii="Times New Roman" w:hAnsi="Times New Roman"/>
          <w:b/>
          <w:sz w:val="25"/>
          <w:szCs w:val="25"/>
        </w:rPr>
        <w:t xml:space="preserve"> Building, 1300 S. Evergreen Park Drive S.W., Olympia, Washington.</w:t>
      </w:r>
    </w:p>
    <w:p w14:paraId="2080A54E" w14:textId="77777777" w:rsidR="007F3554" w:rsidRDefault="007F3554" w:rsidP="00115C17">
      <w:pPr>
        <w:pStyle w:val="NoSpacing"/>
        <w:spacing w:line="264" w:lineRule="auto"/>
        <w:rPr>
          <w:rFonts w:ascii="Times New Roman" w:hAnsi="Times New Roman"/>
          <w:sz w:val="25"/>
          <w:szCs w:val="25"/>
        </w:rPr>
      </w:pPr>
    </w:p>
    <w:p w14:paraId="14D53954" w14:textId="77777777" w:rsidR="00F40D3F" w:rsidRDefault="00F40D3F" w:rsidP="00115C17">
      <w:pPr>
        <w:pStyle w:val="NoSpacing"/>
        <w:spacing w:line="264" w:lineRule="auto"/>
        <w:rPr>
          <w:rFonts w:ascii="Times New Roman" w:hAnsi="Times New Roman"/>
          <w:sz w:val="25"/>
          <w:szCs w:val="25"/>
        </w:rPr>
      </w:pPr>
    </w:p>
    <w:p w14:paraId="02525258" w14:textId="77777777" w:rsidR="007F3554" w:rsidRDefault="007F3554" w:rsidP="00115C17">
      <w:pPr>
        <w:pStyle w:val="NoSpacing"/>
        <w:spacing w:line="264" w:lineRule="auto"/>
        <w:rPr>
          <w:rFonts w:ascii="Times New Roman" w:hAnsi="Times New Roman"/>
          <w:sz w:val="25"/>
          <w:szCs w:val="25"/>
        </w:rPr>
      </w:pPr>
    </w:p>
    <w:p w14:paraId="5B3734E5" w14:textId="3E0635B3" w:rsidR="00061586" w:rsidRDefault="008F2DF1" w:rsidP="00194AD9">
      <w:pPr>
        <w:pStyle w:val="NoSpacing"/>
        <w:spacing w:line="264" w:lineRule="auto"/>
        <w:rPr>
          <w:rFonts w:ascii="Times New Roman" w:hAnsi="Times New Roman"/>
          <w:sz w:val="25"/>
          <w:szCs w:val="25"/>
        </w:rPr>
      </w:pPr>
      <w:r>
        <w:rPr>
          <w:rFonts w:ascii="Times New Roman" w:hAnsi="Times New Roman"/>
          <w:sz w:val="25"/>
          <w:szCs w:val="25"/>
        </w:rPr>
        <w:t>GREGORY J. KOPTA</w:t>
      </w:r>
    </w:p>
    <w:p w14:paraId="46DE25E9" w14:textId="3DFB947B" w:rsidR="00B67ACE" w:rsidRPr="00115C17" w:rsidRDefault="00061586" w:rsidP="00115C17">
      <w:pPr>
        <w:pStyle w:val="NoSpacing"/>
        <w:spacing w:line="264" w:lineRule="auto"/>
        <w:rPr>
          <w:rFonts w:ascii="Times New Roman" w:hAnsi="Times New Roman"/>
          <w:sz w:val="25"/>
          <w:szCs w:val="25"/>
        </w:rPr>
      </w:pPr>
      <w:r>
        <w:rPr>
          <w:rFonts w:ascii="Times New Roman" w:hAnsi="Times New Roman"/>
          <w:sz w:val="25"/>
          <w:szCs w:val="25"/>
        </w:rPr>
        <w:t>Administrative Law Judge</w:t>
      </w:r>
    </w:p>
    <w:sectPr w:rsidR="00B67ACE" w:rsidRPr="00115C17" w:rsidSect="00480A14">
      <w:headerReference w:type="even" r:id="rId12"/>
      <w:headerReference w:type="default" r:id="rId13"/>
      <w:headerReference w:type="first" r:id="rId14"/>
      <w:footerReference w:type="first" r:id="rId15"/>
      <w:pgSz w:w="12240" w:h="15840"/>
      <w:pgMar w:top="720" w:right="1440" w:bottom="1440" w:left="1800"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67830" w14:textId="77777777" w:rsidR="00F246B4" w:rsidRDefault="00F246B4" w:rsidP="00E85E52">
      <w:pPr>
        <w:spacing w:line="240" w:lineRule="auto"/>
      </w:pPr>
      <w:r>
        <w:separator/>
      </w:r>
    </w:p>
  </w:endnote>
  <w:endnote w:type="continuationSeparator" w:id="0">
    <w:p w14:paraId="14FB93D8" w14:textId="77777777" w:rsidR="00F246B4" w:rsidRDefault="00F246B4" w:rsidP="00E85E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1D565" w14:textId="16BBF4E5" w:rsidR="00E01488" w:rsidRPr="00E01488" w:rsidRDefault="00E01488" w:rsidP="00E01488">
    <w:pPr>
      <w:pStyle w:val="NoSpacing"/>
      <w:spacing w:before="120"/>
      <w:jc w:val="center"/>
      <w:rPr>
        <w:rFonts w:ascii="Times New Roman" w:hAnsi="Times New Roman"/>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F67FE" w14:textId="77777777" w:rsidR="00F246B4" w:rsidRDefault="00F246B4" w:rsidP="00E85E52">
      <w:pPr>
        <w:spacing w:line="240" w:lineRule="auto"/>
      </w:pPr>
      <w:r>
        <w:separator/>
      </w:r>
    </w:p>
  </w:footnote>
  <w:footnote w:type="continuationSeparator" w:id="0">
    <w:p w14:paraId="73DA4438" w14:textId="77777777" w:rsidR="00F246B4" w:rsidRDefault="00F246B4" w:rsidP="00E85E52">
      <w:pPr>
        <w:spacing w:line="240" w:lineRule="auto"/>
      </w:pPr>
      <w:r>
        <w:continuationSeparator/>
      </w:r>
    </w:p>
  </w:footnote>
  <w:footnote w:id="1">
    <w:p w14:paraId="7F2AFF0D" w14:textId="5F704099" w:rsidR="00BA472F" w:rsidRPr="005D3919" w:rsidRDefault="00BA472F" w:rsidP="00BA472F">
      <w:pPr>
        <w:pStyle w:val="FootnoteText"/>
        <w:rPr>
          <w:szCs w:val="22"/>
        </w:rPr>
      </w:pPr>
      <w:r w:rsidRPr="005D3919">
        <w:rPr>
          <w:rStyle w:val="FootnoteReference"/>
          <w:szCs w:val="22"/>
        </w:rPr>
        <w:footnoteRef/>
      </w:r>
      <w:r w:rsidRPr="005D3919">
        <w:rPr>
          <w:szCs w:val="22"/>
        </w:rPr>
        <w:t xml:space="preserve"> Settlement </w:t>
      </w:r>
      <w:r>
        <w:rPr>
          <w:szCs w:val="22"/>
        </w:rPr>
        <w:t xml:space="preserve">¶ </w:t>
      </w:r>
      <w:r w:rsidR="00AB7E05">
        <w:rPr>
          <w:szCs w:val="22"/>
        </w:rPr>
        <w:t>1</w:t>
      </w:r>
      <w:r>
        <w:rPr>
          <w:szCs w:val="22"/>
        </w:rPr>
        <w:t>4.</w:t>
      </w:r>
    </w:p>
  </w:footnote>
  <w:footnote w:id="2">
    <w:p w14:paraId="74E68CD9" w14:textId="789903CC" w:rsidR="00AD1257" w:rsidRPr="005D3919" w:rsidRDefault="00AD1257" w:rsidP="00AD1257">
      <w:pPr>
        <w:pStyle w:val="FootnoteText"/>
        <w:rPr>
          <w:szCs w:val="22"/>
        </w:rPr>
      </w:pPr>
      <w:r w:rsidRPr="005D3919">
        <w:rPr>
          <w:rStyle w:val="FootnoteReference"/>
          <w:szCs w:val="22"/>
        </w:rPr>
        <w:footnoteRef/>
      </w:r>
      <w:r>
        <w:rPr>
          <w:szCs w:val="22"/>
        </w:rPr>
        <w:t xml:space="preserve"> </w:t>
      </w:r>
      <w:r w:rsidRPr="0048227E">
        <w:rPr>
          <w:i/>
          <w:szCs w:val="22"/>
        </w:rPr>
        <w:t>Id</w:t>
      </w:r>
      <w:r>
        <w:rPr>
          <w:szCs w:val="22"/>
        </w:rPr>
        <w:t>.</w:t>
      </w:r>
      <w:r w:rsidRPr="005D3919">
        <w:rPr>
          <w:szCs w:val="22"/>
        </w:rPr>
        <w:t xml:space="preserve"> </w:t>
      </w:r>
      <w:r>
        <w:rPr>
          <w:szCs w:val="22"/>
        </w:rPr>
        <w:t>¶ 5.</w:t>
      </w:r>
    </w:p>
  </w:footnote>
  <w:footnote w:id="3">
    <w:p w14:paraId="6C06023F" w14:textId="230046EE" w:rsidR="00BA472F" w:rsidRPr="005D3919" w:rsidRDefault="00BA472F" w:rsidP="00BA472F">
      <w:pPr>
        <w:pStyle w:val="FootnoteText"/>
        <w:rPr>
          <w:szCs w:val="22"/>
        </w:rPr>
      </w:pPr>
      <w:r w:rsidRPr="005D3919">
        <w:rPr>
          <w:rStyle w:val="FootnoteReference"/>
          <w:szCs w:val="22"/>
        </w:rPr>
        <w:footnoteRef/>
      </w:r>
      <w:r>
        <w:rPr>
          <w:szCs w:val="22"/>
        </w:rPr>
        <w:t xml:space="preserve"> </w:t>
      </w:r>
      <w:r w:rsidRPr="0048227E">
        <w:rPr>
          <w:i/>
          <w:szCs w:val="22"/>
        </w:rPr>
        <w:t>Id</w:t>
      </w:r>
      <w:r>
        <w:rPr>
          <w:szCs w:val="22"/>
        </w:rPr>
        <w:t>.</w:t>
      </w:r>
      <w:r w:rsidRPr="005D3919">
        <w:rPr>
          <w:szCs w:val="22"/>
        </w:rPr>
        <w:t xml:space="preserve"> </w:t>
      </w:r>
      <w:r>
        <w:rPr>
          <w:szCs w:val="22"/>
        </w:rPr>
        <w:t>¶ 10.</w:t>
      </w:r>
    </w:p>
  </w:footnote>
  <w:footnote w:id="4">
    <w:p w14:paraId="61651F37" w14:textId="65C7F0D1" w:rsidR="003D723F" w:rsidRPr="005D3919" w:rsidRDefault="003D723F" w:rsidP="003D723F">
      <w:pPr>
        <w:pStyle w:val="FootnoteText"/>
        <w:rPr>
          <w:szCs w:val="22"/>
        </w:rPr>
      </w:pPr>
      <w:r w:rsidRPr="005D3919">
        <w:rPr>
          <w:rStyle w:val="FootnoteReference"/>
          <w:szCs w:val="22"/>
        </w:rPr>
        <w:footnoteRef/>
      </w:r>
      <w:r>
        <w:rPr>
          <w:szCs w:val="22"/>
        </w:rPr>
        <w:t xml:space="preserve"> </w:t>
      </w:r>
      <w:r w:rsidRPr="0048227E">
        <w:rPr>
          <w:i/>
          <w:szCs w:val="22"/>
        </w:rPr>
        <w:t>Id</w:t>
      </w:r>
      <w:r>
        <w:rPr>
          <w:szCs w:val="22"/>
        </w:rPr>
        <w:t>.</w:t>
      </w:r>
      <w:r w:rsidRPr="005D3919">
        <w:rPr>
          <w:szCs w:val="22"/>
        </w:rPr>
        <w:t xml:space="preserve"> </w:t>
      </w:r>
      <w:r>
        <w:rPr>
          <w:szCs w:val="22"/>
        </w:rPr>
        <w:t>¶ 13.</w:t>
      </w:r>
    </w:p>
  </w:footnote>
  <w:footnote w:id="5">
    <w:p w14:paraId="45F53D94" w14:textId="77777777" w:rsidR="002B2FF8" w:rsidRPr="005D3919" w:rsidRDefault="002B2FF8" w:rsidP="002B2FF8">
      <w:pPr>
        <w:pStyle w:val="FootnoteText"/>
        <w:rPr>
          <w:szCs w:val="22"/>
        </w:rPr>
      </w:pPr>
      <w:r w:rsidRPr="005D3919">
        <w:rPr>
          <w:rStyle w:val="FootnoteReference"/>
          <w:szCs w:val="22"/>
        </w:rPr>
        <w:footnoteRef/>
      </w:r>
      <w:r>
        <w:rPr>
          <w:szCs w:val="22"/>
        </w:rPr>
        <w:t xml:space="preserve"> </w:t>
      </w:r>
      <w:r w:rsidRPr="0048227E">
        <w:rPr>
          <w:i/>
          <w:szCs w:val="22"/>
        </w:rPr>
        <w:t>Id</w:t>
      </w:r>
      <w:r>
        <w:rPr>
          <w:szCs w:val="22"/>
        </w:rPr>
        <w:t>.</w:t>
      </w:r>
      <w:r w:rsidRPr="005D3919">
        <w:rPr>
          <w:szCs w:val="22"/>
        </w:rPr>
        <w:t xml:space="preserve"> </w:t>
      </w:r>
      <w:r>
        <w:rPr>
          <w:szCs w:val="22"/>
        </w:rPr>
        <w:t>¶ 6.</w:t>
      </w:r>
    </w:p>
  </w:footnote>
  <w:footnote w:id="6">
    <w:p w14:paraId="5825ABDF" w14:textId="2D880723" w:rsidR="002B2FF8" w:rsidRPr="005D3919" w:rsidRDefault="002B2FF8" w:rsidP="002B2FF8">
      <w:pPr>
        <w:pStyle w:val="FootnoteText"/>
        <w:rPr>
          <w:szCs w:val="22"/>
        </w:rPr>
      </w:pPr>
      <w:r w:rsidRPr="005D3919">
        <w:rPr>
          <w:rStyle w:val="FootnoteReference"/>
          <w:szCs w:val="22"/>
        </w:rPr>
        <w:footnoteRef/>
      </w:r>
      <w:r>
        <w:rPr>
          <w:szCs w:val="22"/>
        </w:rPr>
        <w:t xml:space="preserve"> </w:t>
      </w:r>
      <w:r w:rsidRPr="0048227E">
        <w:rPr>
          <w:i/>
          <w:szCs w:val="22"/>
        </w:rPr>
        <w:t>Id</w:t>
      </w:r>
      <w:r>
        <w:rPr>
          <w:szCs w:val="22"/>
        </w:rPr>
        <w:t>.</w:t>
      </w:r>
      <w:r w:rsidRPr="005D3919">
        <w:rPr>
          <w:szCs w:val="22"/>
        </w:rPr>
        <w:t xml:space="preserve"> </w:t>
      </w:r>
      <w:r>
        <w:rPr>
          <w:szCs w:val="22"/>
        </w:rPr>
        <w:t>¶ 13.</w:t>
      </w:r>
    </w:p>
  </w:footnote>
  <w:footnote w:id="7">
    <w:p w14:paraId="2DC25CA9" w14:textId="32030627" w:rsidR="002B2FF8" w:rsidRPr="005D3919" w:rsidRDefault="002B2FF8" w:rsidP="002B2FF8">
      <w:pPr>
        <w:pStyle w:val="FootnoteText"/>
        <w:rPr>
          <w:szCs w:val="22"/>
        </w:rPr>
      </w:pPr>
      <w:r w:rsidRPr="005D3919">
        <w:rPr>
          <w:rStyle w:val="FootnoteReference"/>
          <w:szCs w:val="22"/>
        </w:rPr>
        <w:footnoteRef/>
      </w:r>
      <w:r>
        <w:rPr>
          <w:szCs w:val="22"/>
        </w:rPr>
        <w:t xml:space="preserve"> </w:t>
      </w:r>
      <w:r w:rsidRPr="0048227E">
        <w:rPr>
          <w:i/>
          <w:szCs w:val="22"/>
        </w:rPr>
        <w:t>Id</w:t>
      </w:r>
      <w:r>
        <w:rPr>
          <w:szCs w:val="22"/>
        </w:rPr>
        <w:t>.</w:t>
      </w:r>
      <w:r w:rsidRPr="005D3919">
        <w:rPr>
          <w:szCs w:val="22"/>
        </w:rPr>
        <w:t xml:space="preserve"> </w:t>
      </w:r>
      <w:r>
        <w:rPr>
          <w:szCs w:val="22"/>
        </w:rPr>
        <w:t>¶ 7.</w:t>
      </w:r>
    </w:p>
  </w:footnote>
  <w:footnote w:id="8">
    <w:p w14:paraId="0A86E264" w14:textId="79460013" w:rsidR="00CD2342" w:rsidRPr="005D3919" w:rsidRDefault="00CD2342" w:rsidP="00CD2342">
      <w:pPr>
        <w:pStyle w:val="FootnoteText"/>
        <w:rPr>
          <w:szCs w:val="22"/>
        </w:rPr>
      </w:pPr>
      <w:r w:rsidRPr="005D3919">
        <w:rPr>
          <w:rStyle w:val="FootnoteReference"/>
          <w:szCs w:val="22"/>
        </w:rPr>
        <w:footnoteRef/>
      </w:r>
      <w:r>
        <w:rPr>
          <w:szCs w:val="22"/>
        </w:rPr>
        <w:t xml:space="preserve"> </w:t>
      </w:r>
      <w:r w:rsidRPr="0048227E">
        <w:rPr>
          <w:i/>
          <w:szCs w:val="22"/>
        </w:rPr>
        <w:t>Id</w:t>
      </w:r>
      <w:r>
        <w:rPr>
          <w:szCs w:val="22"/>
        </w:rPr>
        <w:t>.</w:t>
      </w:r>
    </w:p>
  </w:footnote>
  <w:footnote w:id="9">
    <w:p w14:paraId="3ADA357F" w14:textId="1DBC28AE" w:rsidR="00CD2342" w:rsidRPr="005D3919" w:rsidRDefault="00CD2342" w:rsidP="00CD2342">
      <w:pPr>
        <w:pStyle w:val="FootnoteText"/>
        <w:rPr>
          <w:szCs w:val="22"/>
        </w:rPr>
      </w:pPr>
      <w:r w:rsidRPr="005D3919">
        <w:rPr>
          <w:rStyle w:val="FootnoteReference"/>
          <w:szCs w:val="22"/>
        </w:rPr>
        <w:footnoteRef/>
      </w:r>
      <w:r>
        <w:rPr>
          <w:szCs w:val="22"/>
        </w:rPr>
        <w:t xml:space="preserve"> </w:t>
      </w:r>
      <w:r w:rsidRPr="0048227E">
        <w:rPr>
          <w:i/>
          <w:szCs w:val="22"/>
        </w:rPr>
        <w:t>Id</w:t>
      </w:r>
      <w:r>
        <w:rPr>
          <w:szCs w:val="22"/>
        </w:rPr>
        <w:t>.</w:t>
      </w:r>
      <w:r w:rsidRPr="005D3919">
        <w:rPr>
          <w:szCs w:val="22"/>
        </w:rPr>
        <w:t xml:space="preserve"> </w:t>
      </w:r>
      <w:r>
        <w:rPr>
          <w:szCs w:val="22"/>
        </w:rPr>
        <w:t>¶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54DD2" w14:textId="1113A5B3" w:rsidR="00E85E52" w:rsidRPr="00E85E52" w:rsidRDefault="00E85E52" w:rsidP="00E85E52">
    <w:pPr>
      <w:pStyle w:val="Header"/>
      <w:tabs>
        <w:tab w:val="clear" w:pos="9360"/>
        <w:tab w:val="right" w:pos="8820"/>
      </w:tabs>
      <w:rPr>
        <w:b/>
        <w:noProof/>
        <w:sz w:val="20"/>
        <w:szCs w:val="20"/>
      </w:rPr>
    </w:pPr>
    <w:r w:rsidRPr="00E85E52">
      <w:rPr>
        <w:b/>
        <w:sz w:val="20"/>
        <w:szCs w:val="20"/>
      </w:rPr>
      <w:t>D</w:t>
    </w:r>
    <w:r w:rsidR="002B2FF8">
      <w:rPr>
        <w:b/>
        <w:sz w:val="20"/>
        <w:szCs w:val="20"/>
      </w:rPr>
      <w:t>OCKET TV-122004</w:t>
    </w:r>
    <w:r w:rsidRPr="00E85E52">
      <w:rPr>
        <w:b/>
        <w:sz w:val="20"/>
        <w:szCs w:val="20"/>
      </w:rPr>
      <w:tab/>
    </w:r>
    <w:r w:rsidR="002B2FF8">
      <w:rPr>
        <w:b/>
        <w:sz w:val="20"/>
        <w:szCs w:val="20"/>
      </w:rPr>
      <w:tab/>
    </w:r>
    <w:r w:rsidRPr="00E85E52">
      <w:rPr>
        <w:b/>
        <w:sz w:val="20"/>
        <w:szCs w:val="20"/>
      </w:rPr>
      <w:t xml:space="preserve">PAGE </w:t>
    </w:r>
    <w:r w:rsidRPr="00E85E52">
      <w:rPr>
        <w:b/>
        <w:sz w:val="20"/>
        <w:szCs w:val="20"/>
      </w:rPr>
      <w:fldChar w:fldCharType="begin"/>
    </w:r>
    <w:r w:rsidRPr="00E85E52">
      <w:rPr>
        <w:b/>
        <w:sz w:val="20"/>
        <w:szCs w:val="20"/>
      </w:rPr>
      <w:instrText xml:space="preserve"> PAGE   \* MERGEFORMAT </w:instrText>
    </w:r>
    <w:r w:rsidRPr="00E85E52">
      <w:rPr>
        <w:b/>
        <w:sz w:val="20"/>
        <w:szCs w:val="20"/>
      </w:rPr>
      <w:fldChar w:fldCharType="separate"/>
    </w:r>
    <w:r w:rsidR="00E46C46">
      <w:rPr>
        <w:b/>
        <w:noProof/>
        <w:sz w:val="20"/>
        <w:szCs w:val="20"/>
      </w:rPr>
      <w:t>4</w:t>
    </w:r>
    <w:r w:rsidRPr="00E85E52">
      <w:rPr>
        <w:b/>
        <w:noProof/>
        <w:sz w:val="20"/>
        <w:szCs w:val="20"/>
      </w:rPr>
      <w:fldChar w:fldCharType="end"/>
    </w:r>
  </w:p>
  <w:p w14:paraId="5EF0C0F2" w14:textId="77777777" w:rsidR="00E85E52" w:rsidRDefault="00E85E52" w:rsidP="00E85E52">
    <w:pPr>
      <w:pStyle w:val="Header"/>
      <w:tabs>
        <w:tab w:val="clear" w:pos="9360"/>
        <w:tab w:val="right" w:pos="88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8D7C5" w14:textId="4BDFA047" w:rsidR="00194AD9" w:rsidRPr="00194AD9" w:rsidRDefault="00194AD9" w:rsidP="00194AD9">
    <w:pPr>
      <w:pStyle w:val="Header"/>
      <w:tabs>
        <w:tab w:val="clear" w:pos="4680"/>
        <w:tab w:val="clear" w:pos="9360"/>
        <w:tab w:val="right" w:pos="8820"/>
      </w:tabs>
      <w:rPr>
        <w:b/>
        <w:noProof/>
        <w:sz w:val="20"/>
        <w:szCs w:val="20"/>
      </w:rPr>
    </w:pPr>
    <w:r w:rsidRPr="00194AD9">
      <w:rPr>
        <w:b/>
        <w:sz w:val="20"/>
        <w:szCs w:val="20"/>
      </w:rPr>
      <w:t>DOCKET TV-122004</w:t>
    </w:r>
    <w:r w:rsidRPr="00194AD9">
      <w:rPr>
        <w:b/>
        <w:sz w:val="20"/>
        <w:szCs w:val="20"/>
      </w:rPr>
      <w:tab/>
      <w:t xml:space="preserve">PAGE </w:t>
    </w:r>
    <w:r w:rsidRPr="00194AD9">
      <w:rPr>
        <w:b/>
        <w:sz w:val="20"/>
        <w:szCs w:val="20"/>
      </w:rPr>
      <w:fldChar w:fldCharType="begin"/>
    </w:r>
    <w:r w:rsidRPr="00194AD9">
      <w:rPr>
        <w:b/>
        <w:sz w:val="20"/>
        <w:szCs w:val="20"/>
      </w:rPr>
      <w:instrText xml:space="preserve"> PAGE   \* MERGEFORMAT </w:instrText>
    </w:r>
    <w:r w:rsidRPr="00194AD9">
      <w:rPr>
        <w:b/>
        <w:sz w:val="20"/>
        <w:szCs w:val="20"/>
      </w:rPr>
      <w:fldChar w:fldCharType="separate"/>
    </w:r>
    <w:r w:rsidR="00CF2606">
      <w:rPr>
        <w:b/>
        <w:noProof/>
        <w:sz w:val="20"/>
        <w:szCs w:val="20"/>
      </w:rPr>
      <w:t>4</w:t>
    </w:r>
    <w:r w:rsidRPr="00194AD9">
      <w:rPr>
        <w:b/>
        <w:noProof/>
        <w:sz w:val="20"/>
        <w:szCs w:val="20"/>
      </w:rPr>
      <w:fldChar w:fldCharType="end"/>
    </w:r>
  </w:p>
  <w:p w14:paraId="5D14A62C" w14:textId="77777777" w:rsidR="00194AD9" w:rsidRPr="00194AD9" w:rsidRDefault="00194AD9" w:rsidP="00194AD9">
    <w:pPr>
      <w:pStyle w:val="Header"/>
      <w:tabs>
        <w:tab w:val="clear" w:pos="4680"/>
        <w:tab w:val="clear" w:pos="9360"/>
        <w:tab w:val="right" w:pos="8820"/>
      </w:tabs>
      <w:rPr>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B6683" w14:textId="3997A036" w:rsidR="00480A14" w:rsidRPr="00480A14" w:rsidRDefault="00480A14" w:rsidP="00480A14">
    <w:pPr>
      <w:pStyle w:val="Header"/>
      <w:tabs>
        <w:tab w:val="clear" w:pos="4680"/>
      </w:tabs>
      <w:rPr>
        <w:b/>
        <w:sz w:val="20"/>
        <w:szCs w:val="20"/>
      </w:rPr>
    </w:pPr>
    <w:r>
      <w:tab/>
    </w:r>
    <w:r w:rsidRPr="00480A14">
      <w:rPr>
        <w:b/>
        <w:sz w:val="20"/>
        <w:szCs w:val="20"/>
      </w:rPr>
      <w:t>[Service Date February 3,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C2393"/>
    <w:multiLevelType w:val="hybridMultilevel"/>
    <w:tmpl w:val="4FA4B13E"/>
    <w:lvl w:ilvl="0" w:tplc="336895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9E11D8"/>
    <w:multiLevelType w:val="hybridMultilevel"/>
    <w:tmpl w:val="3BC2E596"/>
    <w:lvl w:ilvl="0" w:tplc="732A8164">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D652C5"/>
    <w:multiLevelType w:val="hybridMultilevel"/>
    <w:tmpl w:val="4DBCB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AF1669"/>
    <w:multiLevelType w:val="hybridMultilevel"/>
    <w:tmpl w:val="C924E364"/>
    <w:lvl w:ilvl="0" w:tplc="ACB4E21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ED0932"/>
    <w:multiLevelType w:val="hybridMultilevel"/>
    <w:tmpl w:val="E236D98E"/>
    <w:lvl w:ilvl="0" w:tplc="FBEE75E6">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714B01"/>
    <w:multiLevelType w:val="hybridMultilevel"/>
    <w:tmpl w:val="49942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3C47CE"/>
    <w:multiLevelType w:val="hybridMultilevel"/>
    <w:tmpl w:val="49A6D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4A2867"/>
    <w:multiLevelType w:val="hybridMultilevel"/>
    <w:tmpl w:val="61AA44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F00B07"/>
    <w:multiLevelType w:val="hybridMultilevel"/>
    <w:tmpl w:val="15FA8632"/>
    <w:lvl w:ilvl="0" w:tplc="0BDE954E">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0244D9"/>
    <w:multiLevelType w:val="hybridMultilevel"/>
    <w:tmpl w:val="37CA9792"/>
    <w:lvl w:ilvl="0" w:tplc="317845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AF43D69"/>
    <w:multiLevelType w:val="hybridMultilevel"/>
    <w:tmpl w:val="906039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CD25658"/>
    <w:multiLevelType w:val="hybridMultilevel"/>
    <w:tmpl w:val="510E0816"/>
    <w:lvl w:ilvl="0" w:tplc="3E7C9E18">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AA4BD7"/>
    <w:multiLevelType w:val="multilevel"/>
    <w:tmpl w:val="7C8C9A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6D2D2DC2"/>
    <w:multiLevelType w:val="hybridMultilevel"/>
    <w:tmpl w:val="0EE49B26"/>
    <w:lvl w:ilvl="0" w:tplc="A5F059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7B1906"/>
    <w:multiLevelType w:val="multilevel"/>
    <w:tmpl w:val="79F4EA64"/>
    <w:lvl w:ilvl="0">
      <w:start w:val="1"/>
      <w:numFmt w:val="decimal"/>
      <w:pStyle w:val="notestyleD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737B76A3"/>
    <w:multiLevelType w:val="hybridMultilevel"/>
    <w:tmpl w:val="5CF495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4824F4"/>
    <w:multiLevelType w:val="multilevel"/>
    <w:tmpl w:val="E24034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1"/>
  </w:num>
  <w:num w:numId="2">
    <w:abstractNumId w:val="8"/>
  </w:num>
  <w:num w:numId="3">
    <w:abstractNumId w:val="3"/>
  </w:num>
  <w:num w:numId="4">
    <w:abstractNumId w:val="1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4"/>
  </w:num>
  <w:num w:numId="9">
    <w:abstractNumId w:val="4"/>
  </w:num>
  <w:num w:numId="10">
    <w:abstractNumId w:val="1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5"/>
  </w:num>
  <w:num w:numId="14">
    <w:abstractNumId w:val="7"/>
  </w:num>
  <w:num w:numId="15">
    <w:abstractNumId w:val="5"/>
  </w:num>
  <w:num w:numId="16">
    <w:abstractNumId w:val="2"/>
  </w:num>
  <w:num w:numId="17">
    <w:abstractNumId w:val="0"/>
  </w:num>
  <w:num w:numId="18">
    <w:abstractNumId w:val="9"/>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15C"/>
    <w:rsid w:val="00040EE6"/>
    <w:rsid w:val="00061586"/>
    <w:rsid w:val="000B2838"/>
    <w:rsid w:val="00114082"/>
    <w:rsid w:val="00115C17"/>
    <w:rsid w:val="00156A85"/>
    <w:rsid w:val="00194AD9"/>
    <w:rsid w:val="001A4BB1"/>
    <w:rsid w:val="001F54C4"/>
    <w:rsid w:val="00203DB1"/>
    <w:rsid w:val="002A448F"/>
    <w:rsid w:val="002A7427"/>
    <w:rsid w:val="002B2FF8"/>
    <w:rsid w:val="002E31EF"/>
    <w:rsid w:val="002F0338"/>
    <w:rsid w:val="003210C7"/>
    <w:rsid w:val="003D723F"/>
    <w:rsid w:val="003E1670"/>
    <w:rsid w:val="0040733E"/>
    <w:rsid w:val="00441863"/>
    <w:rsid w:val="0046182A"/>
    <w:rsid w:val="00474656"/>
    <w:rsid w:val="00480A14"/>
    <w:rsid w:val="004942FE"/>
    <w:rsid w:val="0052479B"/>
    <w:rsid w:val="00525F66"/>
    <w:rsid w:val="00547ED3"/>
    <w:rsid w:val="005508BA"/>
    <w:rsid w:val="0058435C"/>
    <w:rsid w:val="005D1320"/>
    <w:rsid w:val="005F4084"/>
    <w:rsid w:val="00682F77"/>
    <w:rsid w:val="00685C43"/>
    <w:rsid w:val="006A3121"/>
    <w:rsid w:val="006D2CEE"/>
    <w:rsid w:val="007D5A19"/>
    <w:rsid w:val="007F015C"/>
    <w:rsid w:val="007F3554"/>
    <w:rsid w:val="008034D6"/>
    <w:rsid w:val="008066D5"/>
    <w:rsid w:val="008133B9"/>
    <w:rsid w:val="00831BBA"/>
    <w:rsid w:val="00895740"/>
    <w:rsid w:val="008C133E"/>
    <w:rsid w:val="008F2DF1"/>
    <w:rsid w:val="00920929"/>
    <w:rsid w:val="009807C3"/>
    <w:rsid w:val="00A77B76"/>
    <w:rsid w:val="00AB7E05"/>
    <w:rsid w:val="00AD1257"/>
    <w:rsid w:val="00B72C05"/>
    <w:rsid w:val="00BA472F"/>
    <w:rsid w:val="00BA49EB"/>
    <w:rsid w:val="00C258BC"/>
    <w:rsid w:val="00CC3A3C"/>
    <w:rsid w:val="00CD2342"/>
    <w:rsid w:val="00CE6C54"/>
    <w:rsid w:val="00CF2606"/>
    <w:rsid w:val="00D36FA3"/>
    <w:rsid w:val="00D46D36"/>
    <w:rsid w:val="00DA580A"/>
    <w:rsid w:val="00DD7E75"/>
    <w:rsid w:val="00DF0A28"/>
    <w:rsid w:val="00E01488"/>
    <w:rsid w:val="00E46C46"/>
    <w:rsid w:val="00E74127"/>
    <w:rsid w:val="00E85E52"/>
    <w:rsid w:val="00EE5838"/>
    <w:rsid w:val="00F1493C"/>
    <w:rsid w:val="00F246B4"/>
    <w:rsid w:val="00F40D3F"/>
    <w:rsid w:val="00F461CF"/>
    <w:rsid w:val="00F72718"/>
    <w:rsid w:val="00F82447"/>
    <w:rsid w:val="00F86ADC"/>
    <w:rsid w:val="00FA7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F381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3B9"/>
    <w:pPr>
      <w:spacing w:line="360" w:lineRule="auto"/>
    </w:pPr>
    <w:rPr>
      <w:sz w:val="25"/>
      <w:szCs w:val="26"/>
    </w:rPr>
  </w:style>
  <w:style w:type="paragraph" w:styleId="Heading1">
    <w:name w:val="heading 1"/>
    <w:basedOn w:val="Normal"/>
    <w:next w:val="Normal"/>
    <w:link w:val="Heading1Char"/>
    <w:qFormat/>
    <w:rsid w:val="00F1493C"/>
    <w:pPr>
      <w:keepNext/>
      <w:spacing w:before="120" w:after="240" w:line="240" w:lineRule="auto"/>
      <w:jc w:val="center"/>
      <w:outlineLvl w:val="0"/>
    </w:pPr>
    <w:rPr>
      <w:rFonts w:cs="Arial"/>
      <w:b/>
      <w:bCs/>
      <w:kern w:val="32"/>
      <w:szCs w:val="32"/>
      <w:u w:val="single"/>
    </w:rPr>
  </w:style>
  <w:style w:type="paragraph" w:styleId="Heading2">
    <w:name w:val="heading 2"/>
    <w:basedOn w:val="Normal"/>
    <w:next w:val="Normal"/>
    <w:link w:val="Heading2Char"/>
    <w:qFormat/>
    <w:rsid w:val="00F461CF"/>
    <w:pPr>
      <w:keepNext/>
      <w:spacing w:before="240" w:after="60"/>
      <w:outlineLvl w:val="1"/>
    </w:pPr>
    <w:rPr>
      <w:rFonts w:cs="Arial"/>
      <w:b/>
      <w:bCs/>
      <w:i/>
      <w:iCs/>
      <w:szCs w:val="28"/>
    </w:rPr>
  </w:style>
  <w:style w:type="paragraph" w:styleId="Heading3">
    <w:name w:val="heading 3"/>
    <w:basedOn w:val="Normal"/>
    <w:next w:val="Normal"/>
    <w:link w:val="Heading3Char"/>
    <w:qFormat/>
    <w:rsid w:val="00114082"/>
    <w:pPr>
      <w:keepNext/>
      <w:tabs>
        <w:tab w:val="num" w:pos="720"/>
      </w:tabs>
      <w:ind w:left="720" w:hanging="360"/>
      <w:outlineLvl w:val="2"/>
    </w:pPr>
    <w:rPr>
      <w:rFonts w:asciiTheme="minorHAnsi" w:hAnsiTheme="minorHAnsi" w:cstheme="minorBidi"/>
      <w:b/>
      <w:bCs/>
      <w:sz w:val="22"/>
      <w:szCs w:val="22"/>
    </w:rPr>
  </w:style>
  <w:style w:type="paragraph" w:styleId="Heading4">
    <w:name w:val="heading 4"/>
    <w:basedOn w:val="Normal"/>
    <w:next w:val="Normal"/>
    <w:link w:val="Heading4Char"/>
    <w:qFormat/>
    <w:rsid w:val="00114082"/>
    <w:pPr>
      <w:keepNext/>
      <w:tabs>
        <w:tab w:val="num" w:pos="720"/>
      </w:tabs>
      <w:spacing w:before="240" w:after="60"/>
      <w:ind w:left="720" w:hanging="360"/>
      <w:outlineLvl w:val="3"/>
    </w:pPr>
    <w:rPr>
      <w:rFonts w:asciiTheme="minorHAnsi" w:hAnsiTheme="minorHAnsi" w:cstheme="minorBidi"/>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1493C"/>
    <w:rPr>
      <w:rFonts w:cs="Arial"/>
      <w:b/>
      <w:bCs/>
      <w:kern w:val="32"/>
      <w:sz w:val="25"/>
      <w:szCs w:val="32"/>
      <w:u w:val="single"/>
    </w:rPr>
  </w:style>
  <w:style w:type="character" w:customStyle="1" w:styleId="Heading2Char">
    <w:name w:val="Heading 2 Char"/>
    <w:link w:val="Heading2"/>
    <w:rsid w:val="00F461CF"/>
    <w:rPr>
      <w:rFonts w:cs="Arial"/>
      <w:b/>
      <w:bCs/>
      <w:i/>
      <w:iCs/>
      <w:sz w:val="25"/>
      <w:szCs w:val="28"/>
    </w:rPr>
  </w:style>
  <w:style w:type="character" w:customStyle="1" w:styleId="Heading3Char">
    <w:name w:val="Heading 3 Char"/>
    <w:link w:val="Heading3"/>
    <w:rsid w:val="00114082"/>
    <w:rPr>
      <w:b/>
      <w:bCs/>
    </w:rPr>
  </w:style>
  <w:style w:type="character" w:customStyle="1" w:styleId="Heading4Char">
    <w:name w:val="Heading 4 Char"/>
    <w:link w:val="Heading4"/>
    <w:rsid w:val="00114082"/>
    <w:rPr>
      <w:b/>
      <w:bCs/>
      <w:szCs w:val="28"/>
    </w:rPr>
  </w:style>
  <w:style w:type="paragraph" w:customStyle="1" w:styleId="notestyleDM">
    <w:name w:val="note style DM"/>
    <w:basedOn w:val="Normal"/>
    <w:link w:val="notestyleDMChar"/>
    <w:autoRedefine/>
    <w:qFormat/>
    <w:rsid w:val="008034D6"/>
    <w:pPr>
      <w:numPr>
        <w:numId w:val="8"/>
      </w:numPr>
      <w:spacing w:after="120" w:line="288" w:lineRule="auto"/>
      <w:ind w:right="720" w:hanging="360"/>
    </w:pPr>
    <w:rPr>
      <w:rFonts w:asciiTheme="minorHAnsi" w:hAnsiTheme="minorHAnsi" w:cstheme="minorHAnsi"/>
      <w:color w:val="000000"/>
      <w:position w:val="6"/>
      <w:sz w:val="16"/>
      <w:szCs w:val="22"/>
      <w:vertAlign w:val="superscript"/>
    </w:rPr>
  </w:style>
  <w:style w:type="character" w:customStyle="1" w:styleId="notestyleDMChar">
    <w:name w:val="note style DM Char"/>
    <w:basedOn w:val="DefaultParagraphFont"/>
    <w:link w:val="notestyleDM"/>
    <w:rsid w:val="008034D6"/>
    <w:rPr>
      <w:rFonts w:cstheme="minorHAnsi"/>
      <w:color w:val="000000"/>
      <w:position w:val="6"/>
      <w:sz w:val="16"/>
      <w:vertAlign w:val="superscript"/>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1"/>
    <w:qFormat/>
    <w:rsid w:val="00FA7231"/>
    <w:pPr>
      <w:spacing w:after="120" w:line="240" w:lineRule="auto"/>
    </w:pPr>
    <w:rPr>
      <w:sz w:val="22"/>
      <w:szCs w:val="20"/>
    </w:rPr>
  </w:style>
  <w:style w:type="character" w:customStyle="1" w:styleId="FootnoteTextChar">
    <w:name w:val="Footnote Text Char"/>
    <w:basedOn w:val="DefaultParagraphFont"/>
    <w:uiPriority w:val="99"/>
    <w:semiHidden/>
    <w:rsid w:val="00FA7231"/>
  </w:style>
  <w:style w:type="character" w:customStyle="1" w:styleId="FootnoteTextChar1">
    <w:name w:val="Footnote Text Char1"/>
    <w:aliases w:val="Footnote Text Char1 Char Char,Footnote Text Char Char Char Char,Footnote Text Char1 Char Char Char Char,Footnote Text Char Char Char Char Char Char,Footnote Text Char Char1 Char Char,Footnote Text Char1 Char1 Char Char,ft Char Char"/>
    <w:link w:val="FootnoteText"/>
    <w:uiPriority w:val="99"/>
    <w:locked/>
    <w:rsid w:val="00FA7231"/>
    <w:rPr>
      <w:sz w:val="22"/>
    </w:rPr>
  </w:style>
  <w:style w:type="paragraph" w:styleId="BalloonText">
    <w:name w:val="Balloon Text"/>
    <w:basedOn w:val="Normal"/>
    <w:link w:val="BalloonTextChar"/>
    <w:uiPriority w:val="99"/>
    <w:semiHidden/>
    <w:unhideWhenUsed/>
    <w:rsid w:val="00DA580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80A"/>
    <w:rPr>
      <w:rFonts w:ascii="Segoe UI" w:hAnsi="Segoe UI" w:cs="Segoe UI"/>
      <w:sz w:val="18"/>
      <w:szCs w:val="18"/>
    </w:rPr>
  </w:style>
  <w:style w:type="table" w:styleId="TableGrid">
    <w:name w:val="Table Grid"/>
    <w:basedOn w:val="TableNormal"/>
    <w:uiPriority w:val="39"/>
    <w:rsid w:val="00DA5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6C54"/>
    <w:rPr>
      <w:sz w:val="16"/>
      <w:szCs w:val="16"/>
    </w:rPr>
  </w:style>
  <w:style w:type="paragraph" w:styleId="CommentText">
    <w:name w:val="annotation text"/>
    <w:basedOn w:val="Normal"/>
    <w:link w:val="CommentTextChar"/>
    <w:uiPriority w:val="99"/>
    <w:semiHidden/>
    <w:unhideWhenUsed/>
    <w:rsid w:val="00CE6C54"/>
    <w:pPr>
      <w:spacing w:line="240" w:lineRule="auto"/>
    </w:pPr>
    <w:rPr>
      <w:sz w:val="20"/>
      <w:szCs w:val="20"/>
    </w:rPr>
  </w:style>
  <w:style w:type="character" w:customStyle="1" w:styleId="CommentTextChar">
    <w:name w:val="Comment Text Char"/>
    <w:basedOn w:val="DefaultParagraphFont"/>
    <w:link w:val="CommentText"/>
    <w:uiPriority w:val="99"/>
    <w:semiHidden/>
    <w:rsid w:val="00CE6C54"/>
  </w:style>
  <w:style w:type="paragraph" w:styleId="CommentSubject">
    <w:name w:val="annotation subject"/>
    <w:basedOn w:val="CommentText"/>
    <w:next w:val="CommentText"/>
    <w:link w:val="CommentSubjectChar"/>
    <w:uiPriority w:val="99"/>
    <w:semiHidden/>
    <w:unhideWhenUsed/>
    <w:rsid w:val="00CE6C54"/>
    <w:rPr>
      <w:b/>
      <w:bCs/>
    </w:rPr>
  </w:style>
  <w:style w:type="character" w:customStyle="1" w:styleId="CommentSubjectChar">
    <w:name w:val="Comment Subject Char"/>
    <w:basedOn w:val="CommentTextChar"/>
    <w:link w:val="CommentSubject"/>
    <w:uiPriority w:val="99"/>
    <w:semiHidden/>
    <w:rsid w:val="00CE6C54"/>
    <w:rPr>
      <w:b/>
      <w:bCs/>
    </w:rPr>
  </w:style>
  <w:style w:type="paragraph" w:styleId="NoSpacing">
    <w:name w:val="No Spacing"/>
    <w:uiPriority w:val="1"/>
    <w:qFormat/>
    <w:rsid w:val="00115C17"/>
    <w:rPr>
      <w:rFonts w:ascii="Calibri" w:eastAsia="Calibri" w:hAnsi="Calibri"/>
      <w:sz w:val="22"/>
      <w:szCs w:val="22"/>
    </w:rPr>
  </w:style>
  <w:style w:type="paragraph" w:styleId="Header">
    <w:name w:val="header"/>
    <w:basedOn w:val="Normal"/>
    <w:link w:val="HeaderChar"/>
    <w:uiPriority w:val="99"/>
    <w:unhideWhenUsed/>
    <w:rsid w:val="00E85E52"/>
    <w:pPr>
      <w:tabs>
        <w:tab w:val="center" w:pos="4680"/>
        <w:tab w:val="right" w:pos="9360"/>
      </w:tabs>
      <w:spacing w:line="240" w:lineRule="auto"/>
    </w:pPr>
  </w:style>
  <w:style w:type="character" w:customStyle="1" w:styleId="HeaderChar">
    <w:name w:val="Header Char"/>
    <w:basedOn w:val="DefaultParagraphFont"/>
    <w:link w:val="Header"/>
    <w:uiPriority w:val="99"/>
    <w:rsid w:val="00E85E52"/>
    <w:rPr>
      <w:sz w:val="25"/>
      <w:szCs w:val="26"/>
    </w:rPr>
  </w:style>
  <w:style w:type="paragraph" w:styleId="Footer">
    <w:name w:val="footer"/>
    <w:basedOn w:val="Normal"/>
    <w:link w:val="FooterChar"/>
    <w:uiPriority w:val="99"/>
    <w:unhideWhenUsed/>
    <w:rsid w:val="00E85E52"/>
    <w:pPr>
      <w:tabs>
        <w:tab w:val="center" w:pos="4680"/>
        <w:tab w:val="right" w:pos="9360"/>
      </w:tabs>
      <w:spacing w:line="240" w:lineRule="auto"/>
    </w:pPr>
  </w:style>
  <w:style w:type="character" w:customStyle="1" w:styleId="FooterChar">
    <w:name w:val="Footer Char"/>
    <w:basedOn w:val="DefaultParagraphFont"/>
    <w:link w:val="Footer"/>
    <w:uiPriority w:val="99"/>
    <w:rsid w:val="00E85E52"/>
    <w:rPr>
      <w:sz w:val="25"/>
      <w:szCs w:val="26"/>
    </w:rPr>
  </w:style>
  <w:style w:type="character" w:styleId="FootnoteReference">
    <w:name w:val="footnote reference"/>
    <w:semiHidden/>
    <w:rsid w:val="00BA47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836290">
      <w:bodyDiv w:val="1"/>
      <w:marLeft w:val="0"/>
      <w:marRight w:val="0"/>
      <w:marTop w:val="0"/>
      <w:marBottom w:val="0"/>
      <w:divBdr>
        <w:top w:val="none" w:sz="0" w:space="0" w:color="auto"/>
        <w:left w:val="none" w:sz="0" w:space="0" w:color="auto"/>
        <w:bottom w:val="none" w:sz="0" w:space="0" w:color="auto"/>
        <w:right w:val="none" w:sz="0" w:space="0" w:color="auto"/>
      </w:divBdr>
    </w:div>
    <w:div w:id="158710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0317E06C118D9469EE585BC929ED237" ma:contentTypeVersion="139" ma:contentTypeDescription="" ma:contentTypeScope="" ma:versionID="22c572be811e4c473b7fc5ada5adde1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Notice of Hearing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207</IndustryCode>
    <CaseStatus xmlns="dc463f71-b30c-4ab2-9473-d307f9d35888">Closed</CaseStatus>
    <OpenedDate xmlns="dc463f71-b30c-4ab2-9473-d307f9d35888">2012-12-28T08:00:00+00:00</OpenedDate>
    <Date1 xmlns="dc463f71-b30c-4ab2-9473-d307f9d35888">2015-02-03T19:25:35+00:00</Date1>
    <IsDocumentOrder xmlns="dc463f71-b30c-4ab2-9473-d307f9d35888" xsi:nil="true"/>
    <IsHighlyConfidential xmlns="dc463f71-b30c-4ab2-9473-d307f9d35888">false</IsHighlyConfidential>
    <CaseCompanyNames xmlns="dc463f71-b30c-4ab2-9473-d307f9d35888">OLYMPIC MOVING AND STORAGE, INC.</CaseCompanyNames>
    <DocketNumber xmlns="dc463f71-b30c-4ab2-9473-d307f9d35888">122004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2F9D566-FF63-4CD9-9A37-2C59C6CA5ED8}"/>
</file>

<file path=customXml/itemProps2.xml><?xml version="1.0" encoding="utf-8"?>
<ds:datastoreItem xmlns:ds="http://schemas.openxmlformats.org/officeDocument/2006/customXml" ds:itemID="{E2D9FD7E-B633-4D07-803D-5E98C4518ED0}"/>
</file>

<file path=customXml/itemProps3.xml><?xml version="1.0" encoding="utf-8"?>
<ds:datastoreItem xmlns:ds="http://schemas.openxmlformats.org/officeDocument/2006/customXml" ds:itemID="{78C26561-D376-4CE3-BF96-09570B1163BB}"/>
</file>

<file path=customXml/itemProps4.xml><?xml version="1.0" encoding="utf-8"?>
<ds:datastoreItem xmlns:ds="http://schemas.openxmlformats.org/officeDocument/2006/customXml" ds:itemID="{D16685BB-1535-4653-B7F9-A5B03C7F3D6A}"/>
</file>

<file path=customXml/itemProps5.xml><?xml version="1.0" encoding="utf-8"?>
<ds:datastoreItem xmlns:ds="http://schemas.openxmlformats.org/officeDocument/2006/customXml" ds:itemID="{35BFBC5A-2703-4AED-B326-D0BA15EA359B}"/>
</file>

<file path=docProps/app.xml><?xml version="1.0" encoding="utf-8"?>
<Properties xmlns="http://schemas.openxmlformats.org/officeDocument/2006/extended-properties" xmlns:vt="http://schemas.openxmlformats.org/officeDocument/2006/docPropsVTypes">
  <Template>Normal</Template>
  <TotalTime>0</TotalTime>
  <Pages>4</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2015-02-03T18:59:00Z</dcterms:created>
  <dcterms:modified xsi:type="dcterms:W3CDTF">2015-02-03T18:59:00Z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0x0101006E56B4D1795A2E4DB2F0B01679ED314A0060317E06C118D9469EE585BC929ED237</vt:lpwstr>
  </property>
  <property fmtid="{D5CDD505-2E9C-101B-9397-08002B2CF9AE}" pid="3" name="_docset_NoMedatataSyncRequired">
    <vt:lpwstr>False</vt:lpwstr>
  </property>
</Properties>
</file>