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8D8" w:rsidRPr="004A2910" w:rsidRDefault="00F748D8" w:rsidP="00FB364B">
      <w:pPr>
        <w:tabs>
          <w:tab w:val="center" w:pos="4680"/>
        </w:tabs>
        <w:ind w:right="-108" w:hanging="180"/>
        <w:jc w:val="both"/>
        <w:rPr>
          <w:sz w:val="24"/>
        </w:rPr>
      </w:pPr>
      <w:r w:rsidRPr="004A2910">
        <w:rPr>
          <w:sz w:val="24"/>
        </w:rPr>
        <w:t xml:space="preserve">BEFORE THE </w:t>
      </w:r>
      <w:smartTag w:uri="urn:schemas-microsoft-com:office:smarttags" w:element="PostalCode">
        <w:smartTag w:uri="urn:schemas-microsoft-com:office:smarttags" w:element="place">
          <w:r w:rsidRPr="004A2910">
            <w:rPr>
              <w:sz w:val="24"/>
            </w:rPr>
            <w:t>WASHINGTON</w:t>
          </w:r>
        </w:smartTag>
      </w:smartTag>
      <w:r w:rsidRPr="004A2910">
        <w:rPr>
          <w:sz w:val="24"/>
        </w:rPr>
        <w:t xml:space="preserve"> UTILITIES AND TRANSPORTATION COMMISSION</w:t>
      </w:r>
    </w:p>
    <w:p w:rsidR="00F748D8" w:rsidRDefault="00F748D8" w:rsidP="00FB364B">
      <w:pPr>
        <w:jc w:val="both"/>
        <w:rPr>
          <w:sz w:val="24"/>
        </w:rPr>
      </w:pPr>
    </w:p>
    <w:p w:rsidR="0031795F" w:rsidRPr="004A2910" w:rsidRDefault="0031795F" w:rsidP="00FB364B">
      <w:pPr>
        <w:jc w:val="both"/>
        <w:rPr>
          <w:sz w:val="24"/>
        </w:rPr>
      </w:pPr>
    </w:p>
    <w:p w:rsidR="00F748D8" w:rsidRPr="004A2910" w:rsidRDefault="00F748D8" w:rsidP="00FB364B">
      <w:pPr>
        <w:jc w:val="both"/>
        <w:rPr>
          <w:sz w:val="24"/>
        </w:rPr>
      </w:pPr>
    </w:p>
    <w:tbl>
      <w:tblPr>
        <w:tblW w:w="0" w:type="auto"/>
        <w:tblInd w:w="124" w:type="dxa"/>
        <w:tblLayout w:type="fixed"/>
        <w:tblCellMar>
          <w:left w:w="124" w:type="dxa"/>
          <w:right w:w="124" w:type="dxa"/>
        </w:tblCellMar>
        <w:tblLook w:val="0000"/>
      </w:tblPr>
      <w:tblGrid>
        <w:gridCol w:w="4590"/>
        <w:gridCol w:w="4590"/>
      </w:tblGrid>
      <w:tr w:rsidR="00F748D8" w:rsidRPr="004A2910">
        <w:tc>
          <w:tcPr>
            <w:tcW w:w="4590" w:type="dxa"/>
            <w:tcBorders>
              <w:top w:val="single" w:sz="6" w:space="0" w:color="FFFFFF"/>
              <w:left w:val="single" w:sz="6" w:space="0" w:color="FFFFFF"/>
              <w:bottom w:val="single" w:sz="7" w:space="0" w:color="000000"/>
              <w:right w:val="single" w:sz="6" w:space="0" w:color="FFFFFF"/>
            </w:tcBorders>
          </w:tcPr>
          <w:p w:rsidR="00EE61F8" w:rsidRDefault="00EE61F8" w:rsidP="00FB364B">
            <w:pPr>
              <w:rPr>
                <w:sz w:val="24"/>
              </w:rPr>
            </w:pPr>
            <w:r>
              <w:rPr>
                <w:sz w:val="24"/>
              </w:rPr>
              <w:t>In the Matter of the Application of</w:t>
            </w:r>
          </w:p>
          <w:p w:rsidR="00EE61F8" w:rsidRDefault="00EE61F8" w:rsidP="00FB364B">
            <w:pPr>
              <w:rPr>
                <w:sz w:val="24"/>
              </w:rPr>
            </w:pPr>
          </w:p>
          <w:p w:rsidR="00595D41" w:rsidRPr="00595D41" w:rsidRDefault="00EE61F8" w:rsidP="00FB364B">
            <w:pPr>
              <w:rPr>
                <w:sz w:val="24"/>
              </w:rPr>
            </w:pPr>
            <w:r>
              <w:rPr>
                <w:sz w:val="24"/>
              </w:rPr>
              <w:t>PACIFICORP d/b/a/ PACIFIC POWER &amp; LIGHT COMPANY</w:t>
            </w:r>
          </w:p>
          <w:p w:rsidR="00595D41" w:rsidRDefault="00595D41" w:rsidP="00FB364B">
            <w:pPr>
              <w:rPr>
                <w:sz w:val="24"/>
              </w:rPr>
            </w:pPr>
          </w:p>
          <w:p w:rsidR="00EE61F8" w:rsidRPr="00595D41" w:rsidRDefault="00EE61F8" w:rsidP="00FB364B">
            <w:pPr>
              <w:rPr>
                <w:sz w:val="24"/>
              </w:rPr>
            </w:pPr>
            <w:r>
              <w:rPr>
                <w:sz w:val="24"/>
              </w:rPr>
              <w:t>For Authorization to Defer Energy Efficiency Expenditures for Collection Through a System Benefits Charge.</w:t>
            </w:r>
          </w:p>
          <w:p w:rsidR="00F748D8" w:rsidRDefault="00F748D8" w:rsidP="00FB364B">
            <w:pPr>
              <w:spacing w:after="19"/>
              <w:rPr>
                <w:sz w:val="24"/>
              </w:rPr>
            </w:pPr>
          </w:p>
          <w:p w:rsidR="004F69A5" w:rsidRPr="004A2910" w:rsidRDefault="004F69A5" w:rsidP="00FB364B">
            <w:pPr>
              <w:spacing w:after="19"/>
              <w:rPr>
                <w:sz w:val="24"/>
              </w:rPr>
            </w:pPr>
          </w:p>
        </w:tc>
        <w:tc>
          <w:tcPr>
            <w:tcW w:w="4590" w:type="dxa"/>
            <w:tcBorders>
              <w:top w:val="single" w:sz="6" w:space="0" w:color="FFFFFF"/>
              <w:left w:val="single" w:sz="7" w:space="0" w:color="000000"/>
              <w:bottom w:val="single" w:sz="6" w:space="0" w:color="FFFFFF"/>
              <w:right w:val="single" w:sz="6" w:space="0" w:color="FFFFFF"/>
            </w:tcBorders>
          </w:tcPr>
          <w:p w:rsidR="00F748D8" w:rsidRDefault="004C3D65" w:rsidP="00FB364B">
            <w:pPr>
              <w:ind w:firstLine="720"/>
              <w:rPr>
                <w:sz w:val="24"/>
              </w:rPr>
            </w:pPr>
            <w:r>
              <w:rPr>
                <w:sz w:val="24"/>
              </w:rPr>
              <w:t xml:space="preserve">DOCKET </w:t>
            </w:r>
            <w:r w:rsidR="00A64182">
              <w:rPr>
                <w:sz w:val="24"/>
              </w:rPr>
              <w:t>UE-</w:t>
            </w:r>
            <w:r w:rsidR="00EE61F8">
              <w:rPr>
                <w:sz w:val="24"/>
              </w:rPr>
              <w:t>001457</w:t>
            </w:r>
          </w:p>
          <w:p w:rsidR="00D02F17" w:rsidRDefault="00D02F17" w:rsidP="00FB364B">
            <w:pPr>
              <w:ind w:firstLine="720"/>
              <w:rPr>
                <w:sz w:val="24"/>
              </w:rPr>
            </w:pPr>
          </w:p>
          <w:p w:rsidR="00F748D8" w:rsidRPr="004A2910" w:rsidRDefault="00F748D8" w:rsidP="00FB364B">
            <w:pPr>
              <w:rPr>
                <w:sz w:val="24"/>
              </w:rPr>
            </w:pPr>
          </w:p>
          <w:p w:rsidR="00F748D8" w:rsidRPr="004A2910" w:rsidRDefault="00392014" w:rsidP="00FB364B">
            <w:pPr>
              <w:spacing w:after="19"/>
              <w:ind w:left="720"/>
              <w:rPr>
                <w:sz w:val="24"/>
              </w:rPr>
            </w:pPr>
            <w:r>
              <w:rPr>
                <w:sz w:val="24"/>
              </w:rPr>
              <w:t xml:space="preserve">JOINT MOTION TO </w:t>
            </w:r>
            <w:r w:rsidR="00EE61F8">
              <w:rPr>
                <w:sz w:val="24"/>
              </w:rPr>
              <w:t>AMEND ACCOUNTING ORDER</w:t>
            </w:r>
            <w:r w:rsidR="00FA4280">
              <w:rPr>
                <w:sz w:val="24"/>
              </w:rPr>
              <w:t>, AND ARGUMENT IN SUPPORT THEREOF</w:t>
            </w:r>
            <w:r w:rsidR="00F748D8" w:rsidRPr="004A2910">
              <w:rPr>
                <w:sz w:val="24"/>
              </w:rPr>
              <w:t xml:space="preserve"> </w:t>
            </w:r>
          </w:p>
        </w:tc>
      </w:tr>
    </w:tbl>
    <w:p w:rsidR="00F748D8" w:rsidRDefault="00F748D8" w:rsidP="00FB364B">
      <w:pPr>
        <w:jc w:val="both"/>
        <w:rPr>
          <w:sz w:val="24"/>
        </w:rPr>
      </w:pPr>
    </w:p>
    <w:p w:rsidR="00D02F17" w:rsidRPr="00D02F17" w:rsidRDefault="00D02F17" w:rsidP="00FB364B">
      <w:pPr>
        <w:spacing w:before="240" w:line="480" w:lineRule="auto"/>
        <w:jc w:val="center"/>
        <w:rPr>
          <w:b/>
          <w:sz w:val="24"/>
        </w:rPr>
      </w:pPr>
      <w:r w:rsidRPr="00D02F17">
        <w:rPr>
          <w:b/>
          <w:sz w:val="24"/>
        </w:rPr>
        <w:t>I.  RELIEF REQUESTED</w:t>
      </w:r>
    </w:p>
    <w:p w:rsidR="00FA28F2" w:rsidRDefault="00D02F17" w:rsidP="00FB364B">
      <w:pPr>
        <w:numPr>
          <w:ilvl w:val="0"/>
          <w:numId w:val="2"/>
        </w:numPr>
        <w:spacing w:line="480" w:lineRule="auto"/>
        <w:jc w:val="both"/>
        <w:rPr>
          <w:sz w:val="24"/>
        </w:rPr>
      </w:pPr>
      <w:r>
        <w:rPr>
          <w:sz w:val="24"/>
        </w:rPr>
        <w:t>Pursuant to WAC 480-07-</w:t>
      </w:r>
      <w:r w:rsidR="00A82436">
        <w:rPr>
          <w:sz w:val="24"/>
        </w:rPr>
        <w:t>3</w:t>
      </w:r>
      <w:r>
        <w:rPr>
          <w:sz w:val="24"/>
        </w:rPr>
        <w:t xml:space="preserve">75, the Washington Utilities and Transportation Commission Staff (“Commission Staff”) and </w:t>
      </w:r>
      <w:r w:rsidR="00A82436">
        <w:rPr>
          <w:sz w:val="24"/>
        </w:rPr>
        <w:t xml:space="preserve"> PacifiCorp, d.b.a.</w:t>
      </w:r>
      <w:r>
        <w:rPr>
          <w:sz w:val="24"/>
        </w:rPr>
        <w:t xml:space="preserve"> </w:t>
      </w:r>
      <w:r w:rsidR="00EE61F8">
        <w:rPr>
          <w:sz w:val="24"/>
        </w:rPr>
        <w:t xml:space="preserve">Pacific Power </w:t>
      </w:r>
      <w:r>
        <w:rPr>
          <w:sz w:val="24"/>
        </w:rPr>
        <w:t>(“</w:t>
      </w:r>
      <w:r w:rsidR="00EE61F8">
        <w:rPr>
          <w:sz w:val="24"/>
        </w:rPr>
        <w:t>PacifiCorp</w:t>
      </w:r>
      <w:r>
        <w:rPr>
          <w:sz w:val="24"/>
        </w:rPr>
        <w:t>”)</w:t>
      </w:r>
      <w:r w:rsidR="00FA28F2">
        <w:rPr>
          <w:sz w:val="24"/>
        </w:rPr>
        <w:t xml:space="preserve"> (collectively referred to as “Movants”)</w:t>
      </w:r>
      <w:r>
        <w:rPr>
          <w:sz w:val="24"/>
        </w:rPr>
        <w:t xml:space="preserve"> jointly move for an order amending </w:t>
      </w:r>
      <w:r w:rsidR="00EE61F8">
        <w:rPr>
          <w:sz w:val="24"/>
        </w:rPr>
        <w:t>the Accounting Order</w:t>
      </w:r>
      <w:r>
        <w:rPr>
          <w:sz w:val="24"/>
        </w:rPr>
        <w:t xml:space="preserve"> entered </w:t>
      </w:r>
      <w:r w:rsidR="00EE61F8">
        <w:rPr>
          <w:sz w:val="24"/>
        </w:rPr>
        <w:t>October 25</w:t>
      </w:r>
      <w:r>
        <w:rPr>
          <w:sz w:val="24"/>
        </w:rPr>
        <w:t>, 2000,</w:t>
      </w:r>
      <w:r w:rsidR="00B32932">
        <w:rPr>
          <w:sz w:val="24"/>
        </w:rPr>
        <w:t xml:space="preserve"> in the above-captioned docket</w:t>
      </w:r>
      <w:r w:rsidR="00A53D18">
        <w:rPr>
          <w:sz w:val="24"/>
        </w:rPr>
        <w:t xml:space="preserve"> (“Accounting Order”)</w:t>
      </w:r>
      <w:r>
        <w:rPr>
          <w:sz w:val="24"/>
        </w:rPr>
        <w:t xml:space="preserve"> to conform </w:t>
      </w:r>
      <w:r w:rsidR="0056344E">
        <w:rPr>
          <w:sz w:val="24"/>
        </w:rPr>
        <w:t xml:space="preserve">to </w:t>
      </w:r>
      <w:r w:rsidR="00F03912">
        <w:rPr>
          <w:sz w:val="24"/>
        </w:rPr>
        <w:t>condition</w:t>
      </w:r>
      <w:r>
        <w:rPr>
          <w:sz w:val="24"/>
        </w:rPr>
        <w:t xml:space="preserve">s </w:t>
      </w:r>
      <w:r w:rsidR="00FA4280">
        <w:rPr>
          <w:sz w:val="24"/>
        </w:rPr>
        <w:t>proposed for</w:t>
      </w:r>
      <w:r>
        <w:rPr>
          <w:sz w:val="24"/>
        </w:rPr>
        <w:t xml:space="preserve"> </w:t>
      </w:r>
      <w:r w:rsidR="00EE61F8">
        <w:rPr>
          <w:sz w:val="24"/>
        </w:rPr>
        <w:t xml:space="preserve">adoption </w:t>
      </w:r>
      <w:r>
        <w:rPr>
          <w:sz w:val="24"/>
        </w:rPr>
        <w:t>in Docket UE</w:t>
      </w:r>
      <w:r>
        <w:rPr>
          <w:sz w:val="24"/>
        </w:rPr>
        <w:noBreakHyphen/>
        <w:t>10017</w:t>
      </w:r>
      <w:r w:rsidR="00EE61F8">
        <w:rPr>
          <w:sz w:val="24"/>
        </w:rPr>
        <w:t>0</w:t>
      </w:r>
      <w:r w:rsidR="005840F7">
        <w:rPr>
          <w:sz w:val="24"/>
        </w:rPr>
        <w:t>.</w:t>
      </w:r>
      <w:r w:rsidR="00011928">
        <w:rPr>
          <w:sz w:val="24"/>
        </w:rPr>
        <w:t xml:space="preserve">  Specifically, the </w:t>
      </w:r>
      <w:r w:rsidR="00B32932">
        <w:rPr>
          <w:sz w:val="24"/>
        </w:rPr>
        <w:t>Movants</w:t>
      </w:r>
      <w:r w:rsidR="00011928">
        <w:rPr>
          <w:sz w:val="24"/>
        </w:rPr>
        <w:t xml:space="preserve"> </w:t>
      </w:r>
      <w:r w:rsidR="00B32932">
        <w:rPr>
          <w:sz w:val="24"/>
        </w:rPr>
        <w:t>seek</w:t>
      </w:r>
      <w:r w:rsidR="00011928">
        <w:rPr>
          <w:sz w:val="24"/>
        </w:rPr>
        <w:t xml:space="preserve"> an order </w:t>
      </w:r>
      <w:r w:rsidR="00F03912">
        <w:rPr>
          <w:sz w:val="24"/>
        </w:rPr>
        <w:t xml:space="preserve">amending the Accounting Order by </w:t>
      </w:r>
      <w:r w:rsidR="00011928">
        <w:rPr>
          <w:sz w:val="24"/>
        </w:rPr>
        <w:t>removing Finding ¶ 5 and Order</w:t>
      </w:r>
      <w:r w:rsidR="0015362A">
        <w:rPr>
          <w:sz w:val="24"/>
        </w:rPr>
        <w:t>ing</w:t>
      </w:r>
      <w:r w:rsidR="00011928">
        <w:rPr>
          <w:sz w:val="24"/>
        </w:rPr>
        <w:t xml:space="preserve"> ¶ </w:t>
      </w:r>
      <w:r w:rsidR="0047512E">
        <w:rPr>
          <w:sz w:val="24"/>
        </w:rPr>
        <w:t>3,</w:t>
      </w:r>
      <w:r w:rsidR="00011928">
        <w:rPr>
          <w:sz w:val="24"/>
        </w:rPr>
        <w:t xml:space="preserve"> and modifying the final sentence of Order</w:t>
      </w:r>
      <w:r w:rsidR="0015362A">
        <w:rPr>
          <w:sz w:val="24"/>
        </w:rPr>
        <w:t>ing</w:t>
      </w:r>
      <w:r w:rsidR="00011928">
        <w:rPr>
          <w:sz w:val="24"/>
        </w:rPr>
        <w:t xml:space="preserve"> ¶ 1.</w:t>
      </w:r>
      <w:r w:rsidR="00FA28F2">
        <w:rPr>
          <w:sz w:val="24"/>
        </w:rPr>
        <w:t xml:space="preserve"> </w:t>
      </w:r>
    </w:p>
    <w:p w:rsidR="005840F7" w:rsidRDefault="00FA28F2" w:rsidP="00FB364B">
      <w:pPr>
        <w:numPr>
          <w:ilvl w:val="0"/>
          <w:numId w:val="2"/>
        </w:numPr>
        <w:spacing w:line="480" w:lineRule="auto"/>
        <w:jc w:val="both"/>
        <w:rPr>
          <w:sz w:val="24"/>
        </w:rPr>
      </w:pPr>
      <w:r>
        <w:rPr>
          <w:sz w:val="24"/>
        </w:rPr>
        <w:t>RCW 80.04.210 and WAC 480-07-875 authorize the Washington Utilities and Transportation Commission (“Commission”) to amend an order after providing notice to the affected public service company and to all parties in the underlying proceeding. In support of this Motion, the Movants state:</w:t>
      </w:r>
    </w:p>
    <w:p w:rsidR="00D02F17" w:rsidRPr="005840F7" w:rsidRDefault="00D02F17" w:rsidP="00FB364B">
      <w:pPr>
        <w:spacing w:line="480" w:lineRule="auto"/>
        <w:jc w:val="center"/>
        <w:rPr>
          <w:b/>
          <w:sz w:val="24"/>
        </w:rPr>
      </w:pPr>
      <w:r w:rsidRPr="005840F7">
        <w:rPr>
          <w:b/>
          <w:sz w:val="24"/>
        </w:rPr>
        <w:t>II.  STATEMENT OF FACTS</w:t>
      </w:r>
    </w:p>
    <w:p w:rsidR="00703A0C" w:rsidRPr="00703A0C" w:rsidRDefault="00703A0C" w:rsidP="00FB364B">
      <w:pPr>
        <w:spacing w:line="480" w:lineRule="auto"/>
        <w:jc w:val="both"/>
        <w:rPr>
          <w:b/>
          <w:sz w:val="24"/>
        </w:rPr>
      </w:pPr>
      <w:r w:rsidRPr="00703A0C">
        <w:rPr>
          <w:b/>
          <w:sz w:val="24"/>
        </w:rPr>
        <w:t>Interest on System Benefits Charge Balancing Account</w:t>
      </w:r>
    </w:p>
    <w:p w:rsidR="00D02F17" w:rsidRDefault="00B3579B" w:rsidP="00FB364B">
      <w:pPr>
        <w:numPr>
          <w:ilvl w:val="0"/>
          <w:numId w:val="2"/>
        </w:numPr>
        <w:spacing w:line="480" w:lineRule="auto"/>
        <w:jc w:val="both"/>
        <w:rPr>
          <w:sz w:val="24"/>
        </w:rPr>
      </w:pPr>
      <w:r>
        <w:rPr>
          <w:sz w:val="24"/>
        </w:rPr>
        <w:t xml:space="preserve">In the Accounting Order, the Commission approved PacifiCorp’s request to collect a System </w:t>
      </w:r>
      <w:r>
        <w:rPr>
          <w:sz w:val="24"/>
        </w:rPr>
        <w:lastRenderedPageBreak/>
        <w:t>Benefits Charge (“SBC”) to provide revenues for recovery of PacifiCorp’s cost-effective Demand-Side Management (“DSM”) expenditures in Washington.</w:t>
      </w:r>
      <w:r>
        <w:rPr>
          <w:rStyle w:val="FootnoteReference"/>
          <w:sz w:val="24"/>
        </w:rPr>
        <w:footnoteReference w:id="1"/>
      </w:r>
      <w:r>
        <w:rPr>
          <w:sz w:val="24"/>
        </w:rPr>
        <w:t xml:space="preserve">  </w:t>
      </w:r>
      <w:r w:rsidR="006752B4">
        <w:rPr>
          <w:sz w:val="24"/>
        </w:rPr>
        <w:t>Finding</w:t>
      </w:r>
      <w:r w:rsidR="005B22B2">
        <w:rPr>
          <w:sz w:val="24"/>
        </w:rPr>
        <w:t xml:space="preserve"> </w:t>
      </w:r>
      <w:r w:rsidR="00B36A16">
        <w:rPr>
          <w:sz w:val="24"/>
        </w:rPr>
        <w:t>¶</w:t>
      </w:r>
      <w:r w:rsidR="005B22B2">
        <w:rPr>
          <w:sz w:val="24"/>
        </w:rPr>
        <w:t xml:space="preserve"> 5</w:t>
      </w:r>
      <w:r w:rsidR="006752B4">
        <w:rPr>
          <w:sz w:val="24"/>
        </w:rPr>
        <w:t xml:space="preserve"> of the Accounting Order </w:t>
      </w:r>
      <w:r w:rsidR="005B22B2">
        <w:rPr>
          <w:sz w:val="24"/>
        </w:rPr>
        <w:t>states</w:t>
      </w:r>
      <w:r w:rsidR="00D02F17">
        <w:rPr>
          <w:sz w:val="24"/>
        </w:rPr>
        <w:t>:</w:t>
      </w:r>
      <w:r w:rsidR="005B22B2" w:rsidRPr="005B22B2">
        <w:rPr>
          <w:rStyle w:val="FootnoteReference"/>
          <w:sz w:val="24"/>
        </w:rPr>
        <w:t xml:space="preserve"> </w:t>
      </w:r>
      <w:r w:rsidR="005B22B2">
        <w:rPr>
          <w:rStyle w:val="FootnoteReference"/>
          <w:sz w:val="24"/>
        </w:rPr>
        <w:footnoteReference w:id="2"/>
      </w:r>
    </w:p>
    <w:p w:rsidR="006752B4" w:rsidRDefault="006752B4" w:rsidP="00FB364B">
      <w:pPr>
        <w:spacing w:after="240"/>
        <w:ind w:left="720" w:right="720"/>
        <w:jc w:val="both"/>
        <w:rPr>
          <w:sz w:val="24"/>
        </w:rPr>
      </w:pPr>
      <w:r>
        <w:rPr>
          <w:sz w:val="24"/>
        </w:rPr>
        <w:t>Interest should accrue only on positive balances in the SBC balancing account, i.e. on excess of collections over expenditures.  This treatment is consistent wi</w:t>
      </w:r>
      <w:r w:rsidR="008B528E">
        <w:rPr>
          <w:sz w:val="24"/>
        </w:rPr>
        <w:t>th our finding in Docket No. UE</w:t>
      </w:r>
      <w:r w:rsidR="008B528E">
        <w:rPr>
          <w:sz w:val="24"/>
        </w:rPr>
        <w:noBreakHyphen/>
      </w:r>
      <w:r>
        <w:rPr>
          <w:sz w:val="24"/>
        </w:rPr>
        <w:t>001606 involving Avista Corporation.</w:t>
      </w:r>
    </w:p>
    <w:p w:rsidR="006752B4" w:rsidRDefault="00703A0C" w:rsidP="00FB364B">
      <w:pPr>
        <w:numPr>
          <w:ilvl w:val="0"/>
          <w:numId w:val="2"/>
        </w:numPr>
        <w:spacing w:line="480" w:lineRule="auto"/>
        <w:jc w:val="both"/>
        <w:rPr>
          <w:sz w:val="24"/>
        </w:rPr>
      </w:pPr>
      <w:r>
        <w:rPr>
          <w:sz w:val="24"/>
        </w:rPr>
        <w:t>Similarly, t</w:t>
      </w:r>
      <w:r w:rsidR="006752B4">
        <w:rPr>
          <w:sz w:val="24"/>
        </w:rPr>
        <w:t>he Order</w:t>
      </w:r>
      <w:r w:rsidR="005B22B2">
        <w:rPr>
          <w:sz w:val="24"/>
        </w:rPr>
        <w:t xml:space="preserve">ing </w:t>
      </w:r>
      <w:r w:rsidR="00B36A16">
        <w:rPr>
          <w:sz w:val="24"/>
        </w:rPr>
        <w:t>¶</w:t>
      </w:r>
      <w:r w:rsidR="005B22B2">
        <w:rPr>
          <w:sz w:val="24"/>
        </w:rPr>
        <w:t xml:space="preserve"> 3</w:t>
      </w:r>
      <w:r w:rsidR="006752B4">
        <w:rPr>
          <w:sz w:val="24"/>
        </w:rPr>
        <w:t xml:space="preserve"> of the Accounting Order</w:t>
      </w:r>
      <w:r w:rsidR="005B22B2">
        <w:rPr>
          <w:sz w:val="24"/>
        </w:rPr>
        <w:t xml:space="preserve"> states</w:t>
      </w:r>
      <w:r w:rsidR="006752B4">
        <w:rPr>
          <w:sz w:val="24"/>
        </w:rPr>
        <w:t>:</w:t>
      </w:r>
      <w:r w:rsidR="005B22B2">
        <w:rPr>
          <w:rStyle w:val="FootnoteReference"/>
          <w:sz w:val="24"/>
        </w:rPr>
        <w:footnoteReference w:id="3"/>
      </w:r>
    </w:p>
    <w:p w:rsidR="006752B4" w:rsidRDefault="006752B4" w:rsidP="00FB364B">
      <w:pPr>
        <w:keepNext/>
        <w:widowControl/>
        <w:spacing w:after="240"/>
        <w:ind w:left="720" w:right="720"/>
        <w:jc w:val="both"/>
        <w:rPr>
          <w:sz w:val="24"/>
        </w:rPr>
      </w:pPr>
      <w:r>
        <w:rPr>
          <w:sz w:val="24"/>
        </w:rPr>
        <w:t>Interest should accrue only on positive balances in the SBC balancing account, i.e. on excess of collections over expenditures, at an annual rate of 8.8% compounded annually.</w:t>
      </w:r>
    </w:p>
    <w:p w:rsidR="006752B4" w:rsidRDefault="006752B4" w:rsidP="00FB364B">
      <w:pPr>
        <w:numPr>
          <w:ilvl w:val="0"/>
          <w:numId w:val="2"/>
        </w:numPr>
        <w:spacing w:line="480" w:lineRule="auto"/>
        <w:jc w:val="both"/>
        <w:rPr>
          <w:sz w:val="24"/>
        </w:rPr>
      </w:pPr>
      <w:r>
        <w:rPr>
          <w:sz w:val="24"/>
        </w:rPr>
        <w:t xml:space="preserve">In the 2006 general election, Washington voters approved Initiative 937.  Now codified in Chapter 19.285 of the Revised Code of Washington, it imposes new requirements on electric utilities with 25,000 or more customers in Washington, such as PacifiCorp.  Among other things, RCW 19.285.040(1) requires such utilities to “pursue all available conservation that is cost-effective, reliable, and feasible,” to identify conservation potential, and to set biennial conservation targets beginning in January 2010.  This new requirement has changed the legal setting in which </w:t>
      </w:r>
      <w:r w:rsidR="00263CCC">
        <w:rPr>
          <w:sz w:val="24"/>
        </w:rPr>
        <w:t>PacifiCorp</w:t>
      </w:r>
      <w:r>
        <w:rPr>
          <w:sz w:val="24"/>
        </w:rPr>
        <w:t xml:space="preserve"> manages energy efficiency program expenditures.</w:t>
      </w:r>
    </w:p>
    <w:p w:rsidR="00476C83" w:rsidRDefault="000677E5" w:rsidP="00FB364B">
      <w:pPr>
        <w:numPr>
          <w:ilvl w:val="0"/>
          <w:numId w:val="2"/>
        </w:numPr>
        <w:spacing w:line="480" w:lineRule="auto"/>
        <w:jc w:val="both"/>
        <w:rPr>
          <w:sz w:val="24"/>
        </w:rPr>
      </w:pPr>
      <w:r>
        <w:rPr>
          <w:sz w:val="24"/>
        </w:rPr>
        <w:t xml:space="preserve">One January </w:t>
      </w:r>
      <w:r w:rsidR="001E77B2">
        <w:rPr>
          <w:sz w:val="24"/>
        </w:rPr>
        <w:t>29</w:t>
      </w:r>
      <w:r>
        <w:rPr>
          <w:sz w:val="24"/>
        </w:rPr>
        <w:t xml:space="preserve">, 2010, PacifiCorp submitted its proposed ten-year conservation potential and biennial conservation target, as required by RCW 19.285.040(1) and WAC 480-109-010(3). This filing became Docket UE-100170. </w:t>
      </w:r>
      <w:r w:rsidR="001E77B2">
        <w:rPr>
          <w:sz w:val="24"/>
        </w:rPr>
        <w:t xml:space="preserve"> </w:t>
      </w:r>
      <w:r w:rsidR="00E43CFC">
        <w:rPr>
          <w:sz w:val="24"/>
        </w:rPr>
        <w:t xml:space="preserve">The </w:t>
      </w:r>
      <w:r w:rsidR="00F721BD">
        <w:rPr>
          <w:sz w:val="24"/>
        </w:rPr>
        <w:t>Commission</w:t>
      </w:r>
      <w:r w:rsidR="00E43CFC">
        <w:rPr>
          <w:sz w:val="24"/>
        </w:rPr>
        <w:t xml:space="preserve"> has authority to approve investor-owned utility conservation targets under RCW 19.285.040(1)(e)</w:t>
      </w:r>
      <w:r w:rsidR="00FA4280">
        <w:rPr>
          <w:sz w:val="24"/>
        </w:rPr>
        <w:t xml:space="preserve">.  </w:t>
      </w:r>
    </w:p>
    <w:p w:rsidR="00C00DBA" w:rsidRDefault="00E43CFC" w:rsidP="00FB364B">
      <w:pPr>
        <w:numPr>
          <w:ilvl w:val="0"/>
          <w:numId w:val="2"/>
        </w:numPr>
        <w:spacing w:line="480" w:lineRule="auto"/>
        <w:jc w:val="both"/>
        <w:rPr>
          <w:sz w:val="24"/>
        </w:rPr>
      </w:pPr>
      <w:r>
        <w:rPr>
          <w:sz w:val="24"/>
        </w:rPr>
        <w:t xml:space="preserve">Before the Commission at its </w:t>
      </w:r>
      <w:r w:rsidR="004F1F4D">
        <w:rPr>
          <w:sz w:val="24"/>
        </w:rPr>
        <w:t>July 15</w:t>
      </w:r>
      <w:r>
        <w:rPr>
          <w:sz w:val="24"/>
        </w:rPr>
        <w:t xml:space="preserve">, 2010, </w:t>
      </w:r>
      <w:r w:rsidR="00BB6D7B">
        <w:rPr>
          <w:sz w:val="24"/>
        </w:rPr>
        <w:t>O</w:t>
      </w:r>
      <w:r>
        <w:rPr>
          <w:sz w:val="24"/>
        </w:rPr>
        <w:t xml:space="preserve">pen </w:t>
      </w:r>
      <w:r w:rsidR="00BB6D7B">
        <w:rPr>
          <w:sz w:val="24"/>
        </w:rPr>
        <w:t>M</w:t>
      </w:r>
      <w:r>
        <w:rPr>
          <w:sz w:val="24"/>
        </w:rPr>
        <w:t xml:space="preserve">eeting is a request in Docket </w:t>
      </w:r>
      <w:r>
        <w:rPr>
          <w:sz w:val="24"/>
        </w:rPr>
        <w:lastRenderedPageBreak/>
        <w:t>UE</w:t>
      </w:r>
      <w:r>
        <w:rPr>
          <w:sz w:val="24"/>
        </w:rPr>
        <w:noBreakHyphen/>
        <w:t>10017</w:t>
      </w:r>
      <w:r w:rsidR="004F1F4D">
        <w:rPr>
          <w:sz w:val="24"/>
        </w:rPr>
        <w:t>0</w:t>
      </w:r>
      <w:r>
        <w:rPr>
          <w:sz w:val="24"/>
        </w:rPr>
        <w:t xml:space="preserve"> that the Commission issue an </w:t>
      </w:r>
      <w:r w:rsidR="004F1F4D">
        <w:rPr>
          <w:sz w:val="24"/>
        </w:rPr>
        <w:t>o</w:t>
      </w:r>
      <w:r>
        <w:rPr>
          <w:sz w:val="24"/>
        </w:rPr>
        <w:t xml:space="preserve">rder </w:t>
      </w:r>
      <w:r w:rsidR="004F1F4D">
        <w:rPr>
          <w:sz w:val="24"/>
        </w:rPr>
        <w:t>a</w:t>
      </w:r>
      <w:r>
        <w:rPr>
          <w:sz w:val="24"/>
        </w:rPr>
        <w:t xml:space="preserve">pproving </w:t>
      </w:r>
      <w:r w:rsidR="004F1F4D">
        <w:rPr>
          <w:sz w:val="24"/>
        </w:rPr>
        <w:t>PacifiCorp</w:t>
      </w:r>
      <w:r>
        <w:rPr>
          <w:sz w:val="24"/>
        </w:rPr>
        <w:t xml:space="preserve">’s </w:t>
      </w:r>
      <w:r w:rsidR="00703A0C">
        <w:rPr>
          <w:sz w:val="24"/>
        </w:rPr>
        <w:t>ten</w:t>
      </w:r>
      <w:r>
        <w:rPr>
          <w:sz w:val="24"/>
        </w:rPr>
        <w:t>-</w:t>
      </w:r>
      <w:r w:rsidR="00703A0C">
        <w:rPr>
          <w:sz w:val="24"/>
        </w:rPr>
        <w:t>y</w:t>
      </w:r>
      <w:r>
        <w:rPr>
          <w:sz w:val="24"/>
        </w:rPr>
        <w:t xml:space="preserve">ear </w:t>
      </w:r>
      <w:r w:rsidR="00703A0C">
        <w:rPr>
          <w:sz w:val="24"/>
        </w:rPr>
        <w:t>a</w:t>
      </w:r>
      <w:r>
        <w:rPr>
          <w:sz w:val="24"/>
        </w:rPr>
        <w:t xml:space="preserve">chievable </w:t>
      </w:r>
      <w:r w:rsidR="00703A0C">
        <w:rPr>
          <w:sz w:val="24"/>
        </w:rPr>
        <w:t>c</w:t>
      </w:r>
      <w:r>
        <w:rPr>
          <w:sz w:val="24"/>
        </w:rPr>
        <w:t xml:space="preserve">onservation </w:t>
      </w:r>
      <w:r w:rsidR="00703A0C">
        <w:rPr>
          <w:sz w:val="24"/>
        </w:rPr>
        <w:t>p</w:t>
      </w:r>
      <w:r>
        <w:rPr>
          <w:sz w:val="24"/>
        </w:rPr>
        <w:t xml:space="preserve">otential and </w:t>
      </w:r>
      <w:r w:rsidR="00703A0C">
        <w:rPr>
          <w:sz w:val="24"/>
        </w:rPr>
        <w:t>b</w:t>
      </w:r>
      <w:r>
        <w:rPr>
          <w:sz w:val="24"/>
        </w:rPr>
        <w:t xml:space="preserve">iennial </w:t>
      </w:r>
      <w:r w:rsidR="00703A0C">
        <w:rPr>
          <w:sz w:val="24"/>
        </w:rPr>
        <w:t>c</w:t>
      </w:r>
      <w:r>
        <w:rPr>
          <w:sz w:val="24"/>
        </w:rPr>
        <w:t xml:space="preserve">onservation </w:t>
      </w:r>
      <w:r w:rsidR="00703A0C">
        <w:rPr>
          <w:sz w:val="24"/>
        </w:rPr>
        <w:t>t</w:t>
      </w:r>
      <w:r>
        <w:rPr>
          <w:sz w:val="24"/>
        </w:rPr>
        <w:t xml:space="preserve">arget </w:t>
      </w:r>
      <w:r w:rsidR="00703A0C">
        <w:rPr>
          <w:sz w:val="24"/>
        </w:rPr>
        <w:t>s</w:t>
      </w:r>
      <w:r>
        <w:rPr>
          <w:sz w:val="24"/>
        </w:rPr>
        <w:t xml:space="preserve">ubject to </w:t>
      </w:r>
      <w:r w:rsidR="00703A0C">
        <w:rPr>
          <w:sz w:val="24"/>
        </w:rPr>
        <w:t>c</w:t>
      </w:r>
      <w:r>
        <w:rPr>
          <w:sz w:val="24"/>
        </w:rPr>
        <w:t>onditions</w:t>
      </w:r>
      <w:r w:rsidR="00A16272">
        <w:rPr>
          <w:sz w:val="24"/>
        </w:rPr>
        <w:t xml:space="preserve"> (“Conditions”)</w:t>
      </w:r>
      <w:r>
        <w:rPr>
          <w:sz w:val="24"/>
        </w:rPr>
        <w:t xml:space="preserve">. </w:t>
      </w:r>
      <w:r w:rsidR="001E77B2">
        <w:rPr>
          <w:sz w:val="24"/>
        </w:rPr>
        <w:t xml:space="preserve"> </w:t>
      </w:r>
      <w:r w:rsidR="007D040C">
        <w:rPr>
          <w:sz w:val="24"/>
        </w:rPr>
        <w:t xml:space="preserve">Many members of PacifiCorp’s </w:t>
      </w:r>
      <w:r w:rsidR="003D5A94">
        <w:rPr>
          <w:sz w:val="24"/>
        </w:rPr>
        <w:t>Washington DSM</w:t>
      </w:r>
      <w:r w:rsidR="007D040C">
        <w:rPr>
          <w:sz w:val="24"/>
        </w:rPr>
        <w:t xml:space="preserve"> Advisory Group participated in numerous discussions to craft </w:t>
      </w:r>
      <w:r w:rsidR="00A16272">
        <w:rPr>
          <w:sz w:val="24"/>
        </w:rPr>
        <w:t>the C</w:t>
      </w:r>
      <w:r w:rsidR="007D040C">
        <w:rPr>
          <w:sz w:val="24"/>
        </w:rPr>
        <w:t>onditions</w:t>
      </w:r>
      <w:r w:rsidR="00A16272">
        <w:rPr>
          <w:sz w:val="24"/>
        </w:rPr>
        <w:t xml:space="preserve"> </w:t>
      </w:r>
      <w:r w:rsidR="007D040C">
        <w:rPr>
          <w:sz w:val="24"/>
        </w:rPr>
        <w:t>for approval of PacifiCorp’s targets.</w:t>
      </w:r>
      <w:r>
        <w:rPr>
          <w:sz w:val="24"/>
        </w:rPr>
        <w:t xml:space="preserve"> </w:t>
      </w:r>
      <w:r w:rsidR="001E77B2">
        <w:rPr>
          <w:sz w:val="24"/>
        </w:rPr>
        <w:t xml:space="preserve"> </w:t>
      </w:r>
      <w:r w:rsidR="00703A0C">
        <w:rPr>
          <w:sz w:val="24"/>
        </w:rPr>
        <w:t xml:space="preserve">One of the conditions to which </w:t>
      </w:r>
      <w:r w:rsidR="00FA4280" w:rsidRPr="00C00DBA">
        <w:rPr>
          <w:sz w:val="24"/>
        </w:rPr>
        <w:t>Commission Staff</w:t>
      </w:r>
      <w:r w:rsidR="00703A0C">
        <w:rPr>
          <w:sz w:val="24"/>
        </w:rPr>
        <w:t xml:space="preserve">, PacifiCorp, and other interested parties have agreed is that PacifiCorp </w:t>
      </w:r>
      <w:r w:rsidR="00C00DBA">
        <w:rPr>
          <w:sz w:val="24"/>
        </w:rPr>
        <w:t>not be</w:t>
      </w:r>
      <w:r w:rsidR="00C00DBA" w:rsidRPr="00C00DBA">
        <w:rPr>
          <w:sz w:val="24"/>
        </w:rPr>
        <w:t xml:space="preserve"> required to record interest on the </w:t>
      </w:r>
      <w:r w:rsidR="00703A0C">
        <w:rPr>
          <w:sz w:val="24"/>
        </w:rPr>
        <w:t>S</w:t>
      </w:r>
      <w:r w:rsidR="003D5A94">
        <w:rPr>
          <w:sz w:val="24"/>
        </w:rPr>
        <w:t>BC</w:t>
      </w:r>
      <w:r w:rsidR="00703A0C">
        <w:rPr>
          <w:sz w:val="24"/>
        </w:rPr>
        <w:t xml:space="preserve"> balancing </w:t>
      </w:r>
      <w:r w:rsidR="00C00DBA" w:rsidRPr="00C00DBA">
        <w:rPr>
          <w:sz w:val="24"/>
        </w:rPr>
        <w:t>account in either direction</w:t>
      </w:r>
      <w:r w:rsidR="00C00DBA">
        <w:rPr>
          <w:sz w:val="24"/>
        </w:rPr>
        <w:t xml:space="preserve">.  If </w:t>
      </w:r>
      <w:r w:rsidR="00BB6D7B">
        <w:rPr>
          <w:sz w:val="24"/>
        </w:rPr>
        <w:t xml:space="preserve">that condition is </w:t>
      </w:r>
      <w:r w:rsidR="00C00DBA">
        <w:rPr>
          <w:sz w:val="24"/>
        </w:rPr>
        <w:t xml:space="preserve">adopted, </w:t>
      </w:r>
      <w:r w:rsidR="0031795F">
        <w:rPr>
          <w:sz w:val="24"/>
        </w:rPr>
        <w:t xml:space="preserve">it will be at odds with </w:t>
      </w:r>
      <w:r w:rsidR="00703A0C">
        <w:rPr>
          <w:sz w:val="24"/>
        </w:rPr>
        <w:t>Finding ¶ 5 and Order</w:t>
      </w:r>
      <w:r w:rsidR="0015362A">
        <w:rPr>
          <w:sz w:val="24"/>
        </w:rPr>
        <w:t>ing</w:t>
      </w:r>
      <w:r w:rsidR="00703A0C">
        <w:rPr>
          <w:sz w:val="24"/>
        </w:rPr>
        <w:t xml:space="preserve"> ¶ 3 of the Accounting Order</w:t>
      </w:r>
      <w:r w:rsidR="00C00DBA">
        <w:rPr>
          <w:sz w:val="24"/>
        </w:rPr>
        <w:t>.</w:t>
      </w:r>
    </w:p>
    <w:p w:rsidR="00BB6D7B" w:rsidRPr="00BB6D7B" w:rsidRDefault="00BB6D7B" w:rsidP="00FB364B">
      <w:pPr>
        <w:spacing w:line="480" w:lineRule="auto"/>
        <w:jc w:val="both"/>
        <w:rPr>
          <w:b/>
          <w:sz w:val="24"/>
        </w:rPr>
      </w:pPr>
      <w:r w:rsidRPr="00BB6D7B">
        <w:rPr>
          <w:b/>
          <w:sz w:val="24"/>
        </w:rPr>
        <w:t>Semi-Annual Reports</w:t>
      </w:r>
    </w:p>
    <w:p w:rsidR="00BB6D7B" w:rsidRDefault="00BB6D7B" w:rsidP="00FB364B">
      <w:pPr>
        <w:numPr>
          <w:ilvl w:val="0"/>
          <w:numId w:val="2"/>
        </w:numPr>
        <w:spacing w:line="480" w:lineRule="auto"/>
        <w:jc w:val="both"/>
        <w:rPr>
          <w:sz w:val="24"/>
        </w:rPr>
      </w:pPr>
      <w:r>
        <w:rPr>
          <w:sz w:val="24"/>
        </w:rPr>
        <w:t>The Order</w:t>
      </w:r>
      <w:r w:rsidR="005B22B2">
        <w:rPr>
          <w:sz w:val="24"/>
        </w:rPr>
        <w:t xml:space="preserve">ing </w:t>
      </w:r>
      <w:r w:rsidR="003D5A94">
        <w:rPr>
          <w:sz w:val="24"/>
        </w:rPr>
        <w:t xml:space="preserve">¶ </w:t>
      </w:r>
      <w:r w:rsidR="005B22B2">
        <w:rPr>
          <w:sz w:val="24"/>
        </w:rPr>
        <w:t>1</w:t>
      </w:r>
      <w:r>
        <w:rPr>
          <w:sz w:val="24"/>
        </w:rPr>
        <w:t xml:space="preserve"> of the Accounting Order</w:t>
      </w:r>
      <w:r w:rsidR="00B3579B">
        <w:rPr>
          <w:sz w:val="24"/>
        </w:rPr>
        <w:t xml:space="preserve"> </w:t>
      </w:r>
      <w:r w:rsidR="005B22B2">
        <w:rPr>
          <w:sz w:val="24"/>
        </w:rPr>
        <w:t>states</w:t>
      </w:r>
      <w:r>
        <w:rPr>
          <w:sz w:val="24"/>
        </w:rPr>
        <w:t>:</w:t>
      </w:r>
      <w:r w:rsidR="005B22B2">
        <w:rPr>
          <w:rStyle w:val="FootnoteReference"/>
          <w:sz w:val="24"/>
        </w:rPr>
        <w:footnoteReference w:id="4"/>
      </w:r>
    </w:p>
    <w:p w:rsidR="00BB6D7B" w:rsidRDefault="00BB6D7B" w:rsidP="00FB364B">
      <w:pPr>
        <w:spacing w:after="120"/>
        <w:ind w:left="720" w:right="720"/>
        <w:jc w:val="both"/>
        <w:rPr>
          <w:i/>
          <w:sz w:val="24"/>
        </w:rPr>
      </w:pPr>
      <w:r w:rsidRPr="00BB6D7B">
        <w:rPr>
          <w:sz w:val="24"/>
        </w:rPr>
        <w:t xml:space="preserve">PacifiCorp d/b/a Pacific Power &amp; Light Company is authorized to defer prospectively cost effective energy efficiency expenditures under programs approved by this Commission, effective after the date of this order.  The energy efficiency expenditures shall be recovered through the System Benefits Charge commencing January 1, 2001.  </w:t>
      </w:r>
      <w:r w:rsidRPr="00BB6D7B">
        <w:rPr>
          <w:i/>
          <w:sz w:val="24"/>
        </w:rPr>
        <w:t>PacifiCorp d/b/a Pacific Power &amp; Light Company shall report to the Commission SBC collections and DSM expenditures on a semi-annual basis and shall be due within 45 days of the end of the second and fourth quarters.</w:t>
      </w:r>
    </w:p>
    <w:p w:rsidR="00BB6D7B" w:rsidRPr="00BB6D7B" w:rsidRDefault="00BB6D7B" w:rsidP="00FB364B">
      <w:pPr>
        <w:spacing w:line="480" w:lineRule="auto"/>
        <w:jc w:val="both"/>
        <w:rPr>
          <w:sz w:val="24"/>
        </w:rPr>
      </w:pPr>
      <w:r>
        <w:rPr>
          <w:sz w:val="24"/>
        </w:rPr>
        <w:t>(Emphasis added.)</w:t>
      </w:r>
    </w:p>
    <w:p w:rsidR="00FB364B" w:rsidRPr="006A7D63" w:rsidRDefault="003D5A94" w:rsidP="00FB364B">
      <w:pPr>
        <w:numPr>
          <w:ilvl w:val="0"/>
          <w:numId w:val="2"/>
        </w:numPr>
        <w:spacing w:line="480" w:lineRule="auto"/>
        <w:jc w:val="both"/>
        <w:rPr>
          <w:sz w:val="24"/>
        </w:rPr>
      </w:pPr>
      <w:r w:rsidRPr="006A7D63">
        <w:rPr>
          <w:sz w:val="24"/>
        </w:rPr>
        <w:t>Additionally, t</w:t>
      </w:r>
      <w:r w:rsidR="00DD068A" w:rsidRPr="006A7D63">
        <w:rPr>
          <w:sz w:val="24"/>
        </w:rPr>
        <w:t>he conditions to which Commission Staff, PacifiCorp, and other interested parties have agreed in Docket UE</w:t>
      </w:r>
      <w:r w:rsidR="00DD068A" w:rsidRPr="006A7D63">
        <w:rPr>
          <w:sz w:val="24"/>
        </w:rPr>
        <w:noBreakHyphen/>
        <w:t>100170 include the timing and content of PacifiCorp’s reports to the Commission concerning its S</w:t>
      </w:r>
      <w:r w:rsidRPr="006A7D63">
        <w:rPr>
          <w:sz w:val="24"/>
        </w:rPr>
        <w:t>BC</w:t>
      </w:r>
      <w:r w:rsidR="00DD068A" w:rsidRPr="006A7D63">
        <w:rPr>
          <w:sz w:val="24"/>
        </w:rPr>
        <w:t xml:space="preserve"> collection and D</w:t>
      </w:r>
      <w:r w:rsidRPr="006A7D63">
        <w:rPr>
          <w:sz w:val="24"/>
        </w:rPr>
        <w:t>SM</w:t>
      </w:r>
      <w:r w:rsidR="00DD068A" w:rsidRPr="006A7D63">
        <w:rPr>
          <w:sz w:val="24"/>
        </w:rPr>
        <w:t xml:space="preserve"> expenditures.  If adopted, those conditions would </w:t>
      </w:r>
      <w:r w:rsidRPr="006A7D63">
        <w:rPr>
          <w:sz w:val="24"/>
        </w:rPr>
        <w:t>be inconsistent with</w:t>
      </w:r>
      <w:r w:rsidR="00DD068A" w:rsidRPr="006A7D63">
        <w:rPr>
          <w:sz w:val="24"/>
        </w:rPr>
        <w:t xml:space="preserve"> the final sentence of Order</w:t>
      </w:r>
      <w:r w:rsidR="0015362A" w:rsidRPr="006A7D63">
        <w:rPr>
          <w:sz w:val="24"/>
        </w:rPr>
        <w:t>ing</w:t>
      </w:r>
      <w:r w:rsidR="00DD068A" w:rsidRPr="006A7D63">
        <w:rPr>
          <w:sz w:val="24"/>
        </w:rPr>
        <w:t xml:space="preserve"> ¶ 1 in the Accounting Order. </w:t>
      </w:r>
    </w:p>
    <w:p w:rsidR="00C00DBA" w:rsidRPr="00C00DBA" w:rsidRDefault="001F2217" w:rsidP="00FB364B">
      <w:pPr>
        <w:spacing w:line="480" w:lineRule="auto"/>
        <w:jc w:val="center"/>
        <w:rPr>
          <w:b/>
          <w:sz w:val="24"/>
        </w:rPr>
      </w:pPr>
      <w:r>
        <w:rPr>
          <w:b/>
          <w:sz w:val="24"/>
        </w:rPr>
        <w:t xml:space="preserve">III.  </w:t>
      </w:r>
      <w:r w:rsidR="00C00DBA" w:rsidRPr="00C00DBA">
        <w:rPr>
          <w:b/>
          <w:sz w:val="24"/>
        </w:rPr>
        <w:t>ARGUMENT</w:t>
      </w:r>
    </w:p>
    <w:p w:rsidR="00011928" w:rsidRDefault="004E5C87" w:rsidP="00FB364B">
      <w:pPr>
        <w:numPr>
          <w:ilvl w:val="0"/>
          <w:numId w:val="2"/>
        </w:numPr>
        <w:spacing w:line="480" w:lineRule="auto"/>
        <w:jc w:val="both"/>
        <w:rPr>
          <w:sz w:val="24"/>
        </w:rPr>
      </w:pPr>
      <w:r>
        <w:rPr>
          <w:sz w:val="24"/>
        </w:rPr>
        <w:t>RCW 80.04.210 grants t</w:t>
      </w:r>
      <w:r w:rsidR="001F2217" w:rsidRPr="00011928">
        <w:rPr>
          <w:sz w:val="24"/>
        </w:rPr>
        <w:t xml:space="preserve">he </w:t>
      </w:r>
      <w:r w:rsidR="00F721BD" w:rsidRPr="00011928">
        <w:rPr>
          <w:sz w:val="24"/>
        </w:rPr>
        <w:t>Commission</w:t>
      </w:r>
      <w:r w:rsidR="001F2217" w:rsidRPr="00011928">
        <w:rPr>
          <w:sz w:val="24"/>
        </w:rPr>
        <w:t xml:space="preserve"> authority to alter or amend its prior orders.</w:t>
      </w:r>
      <w:r w:rsidR="001F2217">
        <w:rPr>
          <w:rStyle w:val="FootnoteReference"/>
          <w:sz w:val="24"/>
        </w:rPr>
        <w:footnoteReference w:id="5"/>
      </w:r>
      <w:r w:rsidR="001F2217" w:rsidRPr="00011928">
        <w:rPr>
          <w:sz w:val="24"/>
        </w:rPr>
        <w:t xml:space="preserve">  </w:t>
      </w:r>
      <w:r w:rsidR="00E850E6" w:rsidRPr="00011928">
        <w:rPr>
          <w:sz w:val="24"/>
        </w:rPr>
        <w:t>The Commission</w:t>
      </w:r>
      <w:r w:rsidR="00B3579B">
        <w:rPr>
          <w:sz w:val="24"/>
        </w:rPr>
        <w:t xml:space="preserve"> </w:t>
      </w:r>
      <w:r w:rsidR="00E850E6" w:rsidRPr="00011928">
        <w:rPr>
          <w:sz w:val="24"/>
        </w:rPr>
        <w:t>previously modified the Accounting Order on the basis that a proposed modification was reasonable.</w:t>
      </w:r>
      <w:r w:rsidR="00E850E6">
        <w:rPr>
          <w:rStyle w:val="FootnoteReference"/>
          <w:sz w:val="24"/>
        </w:rPr>
        <w:footnoteReference w:id="6"/>
      </w:r>
      <w:r w:rsidR="00E850E6" w:rsidRPr="00011928">
        <w:rPr>
          <w:sz w:val="24"/>
        </w:rPr>
        <w:t xml:space="preserve">  </w:t>
      </w:r>
      <w:r w:rsidR="00011928" w:rsidRPr="00011928">
        <w:rPr>
          <w:sz w:val="24"/>
        </w:rPr>
        <w:t>The</w:t>
      </w:r>
      <w:r>
        <w:rPr>
          <w:sz w:val="24"/>
        </w:rPr>
        <w:t xml:space="preserve"> currently-proposed amendments to the Accounting Order are also reasonable and consistent with the public interest</w:t>
      </w:r>
      <w:r w:rsidR="00011928" w:rsidRPr="00011928">
        <w:rPr>
          <w:sz w:val="24"/>
        </w:rPr>
        <w:t>.</w:t>
      </w:r>
    </w:p>
    <w:p w:rsidR="00AF7A5F" w:rsidRDefault="00FE44CF" w:rsidP="00FB364B">
      <w:pPr>
        <w:numPr>
          <w:ilvl w:val="0"/>
          <w:numId w:val="2"/>
        </w:numPr>
        <w:spacing w:line="480" w:lineRule="auto"/>
        <w:jc w:val="both"/>
        <w:rPr>
          <w:sz w:val="24"/>
        </w:rPr>
      </w:pPr>
      <w:r w:rsidRPr="00011928">
        <w:rPr>
          <w:sz w:val="24"/>
        </w:rPr>
        <w:t xml:space="preserve">The enactment of </w:t>
      </w:r>
      <w:r w:rsidR="00F721BD" w:rsidRPr="00011928">
        <w:rPr>
          <w:sz w:val="24"/>
        </w:rPr>
        <w:t>RCW</w:t>
      </w:r>
      <w:r w:rsidRPr="00011928">
        <w:rPr>
          <w:sz w:val="24"/>
        </w:rPr>
        <w:t xml:space="preserve"> 19.285 has changed the legal landscape for </w:t>
      </w:r>
      <w:r w:rsidR="00011928">
        <w:rPr>
          <w:sz w:val="24"/>
        </w:rPr>
        <w:t>PacifiCorp</w:t>
      </w:r>
      <w:r w:rsidRPr="00011928">
        <w:rPr>
          <w:sz w:val="24"/>
        </w:rPr>
        <w:t xml:space="preserve">’s </w:t>
      </w:r>
      <w:r w:rsidR="00011928">
        <w:rPr>
          <w:sz w:val="24"/>
        </w:rPr>
        <w:t>Demand-Side Management</w:t>
      </w:r>
      <w:r w:rsidRPr="00011928">
        <w:rPr>
          <w:sz w:val="24"/>
        </w:rPr>
        <w:t xml:space="preserve"> programs and the risks associated with them.  It is no</w:t>
      </w:r>
      <w:r w:rsidR="00011928">
        <w:rPr>
          <w:sz w:val="24"/>
        </w:rPr>
        <w:t xml:space="preserve">t </w:t>
      </w:r>
      <w:r w:rsidR="004E5C87">
        <w:rPr>
          <w:sz w:val="24"/>
        </w:rPr>
        <w:t>consistent with</w:t>
      </w:r>
      <w:r w:rsidR="00011928">
        <w:rPr>
          <w:sz w:val="24"/>
        </w:rPr>
        <w:t xml:space="preserve"> the public interest</w:t>
      </w:r>
      <w:r w:rsidRPr="00011928">
        <w:rPr>
          <w:sz w:val="24"/>
        </w:rPr>
        <w:t xml:space="preserve"> that </w:t>
      </w:r>
      <w:r w:rsidR="00011928">
        <w:rPr>
          <w:sz w:val="24"/>
        </w:rPr>
        <w:t>PacifiCorp</w:t>
      </w:r>
      <w:r w:rsidR="00AF7A5F" w:rsidRPr="00011928">
        <w:rPr>
          <w:sz w:val="24"/>
        </w:rPr>
        <w:t xml:space="preserve"> bear the entire risk that its </w:t>
      </w:r>
      <w:r w:rsidR="00011928">
        <w:rPr>
          <w:sz w:val="24"/>
        </w:rPr>
        <w:t>System Benefits Charge</w:t>
      </w:r>
      <w:r w:rsidR="00AF7A5F" w:rsidRPr="00011928">
        <w:rPr>
          <w:sz w:val="24"/>
        </w:rPr>
        <w:t xml:space="preserve"> collections will not match its energy efficiency expenditures.</w:t>
      </w:r>
      <w:r w:rsidR="005840F7" w:rsidRPr="00011928">
        <w:rPr>
          <w:sz w:val="24"/>
        </w:rPr>
        <w:t xml:space="preserve">  </w:t>
      </w:r>
      <w:r w:rsidR="004E5C87">
        <w:rPr>
          <w:sz w:val="24"/>
        </w:rPr>
        <w:t>The one-way carrying charge originally imposed in the Accounting Order</w:t>
      </w:r>
      <w:r w:rsidR="00EF60F7">
        <w:rPr>
          <w:sz w:val="24"/>
        </w:rPr>
        <w:t xml:space="preserve"> was intended to protect against overcollections. The Conditions</w:t>
      </w:r>
      <w:r w:rsidR="0087625A">
        <w:rPr>
          <w:sz w:val="24"/>
        </w:rPr>
        <w:t xml:space="preserve"> contain several new features</w:t>
      </w:r>
      <w:r w:rsidR="00EF60F7">
        <w:rPr>
          <w:sz w:val="24"/>
        </w:rPr>
        <w:t xml:space="preserve"> that would guard against overcollecting </w:t>
      </w:r>
      <w:r w:rsidR="00D93C8B">
        <w:rPr>
          <w:sz w:val="24"/>
        </w:rPr>
        <w:t>through</w:t>
      </w:r>
      <w:r w:rsidR="00EF60F7">
        <w:rPr>
          <w:sz w:val="24"/>
        </w:rPr>
        <w:t xml:space="preserve"> the SBC. Under the Conditions, PacifiCorp would be required to provide the prospective year business plan and budget, report budg</w:t>
      </w:r>
      <w:r w:rsidR="0087625A">
        <w:rPr>
          <w:sz w:val="24"/>
        </w:rPr>
        <w:t>et variances, and</w:t>
      </w:r>
      <w:r w:rsidR="00EF60F7">
        <w:rPr>
          <w:sz w:val="24"/>
        </w:rPr>
        <w:t xml:space="preserve"> file for </w:t>
      </w:r>
      <w:r w:rsidR="0087625A">
        <w:rPr>
          <w:sz w:val="24"/>
        </w:rPr>
        <w:t>adjustments</w:t>
      </w:r>
      <w:r w:rsidR="00EF60F7">
        <w:rPr>
          <w:sz w:val="24"/>
        </w:rPr>
        <w:t xml:space="preserve"> to the SBC</w:t>
      </w:r>
      <w:r w:rsidR="0087625A">
        <w:rPr>
          <w:sz w:val="24"/>
        </w:rPr>
        <w:t>.</w:t>
      </w:r>
      <w:r w:rsidR="0020622F">
        <w:rPr>
          <w:rStyle w:val="FootnoteReference"/>
          <w:sz w:val="24"/>
        </w:rPr>
        <w:footnoteReference w:id="7"/>
      </w:r>
      <w:r w:rsidR="0087625A">
        <w:rPr>
          <w:sz w:val="24"/>
        </w:rPr>
        <w:t xml:space="preserve"> These features serve the same purpose as the one-way carrying charge</w:t>
      </w:r>
      <w:r w:rsidR="0020622F">
        <w:rPr>
          <w:sz w:val="24"/>
        </w:rPr>
        <w:t>—to protect against overcollections through the SBC.</w:t>
      </w:r>
      <w:r w:rsidR="00EF60F7">
        <w:rPr>
          <w:sz w:val="24"/>
        </w:rPr>
        <w:t xml:space="preserve">  </w:t>
      </w:r>
      <w:r w:rsidR="0020622F">
        <w:rPr>
          <w:sz w:val="24"/>
        </w:rPr>
        <w:t>With these protections in place, the one-way carrying charge is no longer needed. The public interest continues to be served because protections against overcolle</w:t>
      </w:r>
      <w:r w:rsidR="00D93C8B">
        <w:rPr>
          <w:sz w:val="24"/>
        </w:rPr>
        <w:t>c</w:t>
      </w:r>
      <w:r w:rsidR="0020622F">
        <w:rPr>
          <w:sz w:val="24"/>
        </w:rPr>
        <w:t xml:space="preserve">ting through the SBC are in place. </w:t>
      </w:r>
      <w:r w:rsidR="001E77B2">
        <w:rPr>
          <w:sz w:val="24"/>
        </w:rPr>
        <w:t xml:space="preserve"> </w:t>
      </w:r>
      <w:r w:rsidR="005840F7" w:rsidRPr="00011928">
        <w:rPr>
          <w:sz w:val="24"/>
        </w:rPr>
        <w:t xml:space="preserve">Accordingly, </w:t>
      </w:r>
      <w:r w:rsidR="00662E05">
        <w:rPr>
          <w:sz w:val="24"/>
        </w:rPr>
        <w:t>Finding ¶ 5 and Order</w:t>
      </w:r>
      <w:r w:rsidR="0015362A">
        <w:rPr>
          <w:sz w:val="24"/>
        </w:rPr>
        <w:t>ing</w:t>
      </w:r>
      <w:r w:rsidR="00662E05">
        <w:rPr>
          <w:sz w:val="24"/>
        </w:rPr>
        <w:t xml:space="preserve"> ¶ 3 in the Accounting Order should </w:t>
      </w:r>
      <w:r w:rsidR="005840F7" w:rsidRPr="00011928">
        <w:rPr>
          <w:sz w:val="24"/>
        </w:rPr>
        <w:t>be deleted.</w:t>
      </w:r>
    </w:p>
    <w:p w:rsidR="00C00DBA" w:rsidRDefault="00A16272" w:rsidP="00FB364B">
      <w:pPr>
        <w:numPr>
          <w:ilvl w:val="0"/>
          <w:numId w:val="2"/>
        </w:numPr>
        <w:spacing w:line="480" w:lineRule="auto"/>
        <w:jc w:val="both"/>
        <w:rPr>
          <w:sz w:val="24"/>
        </w:rPr>
      </w:pPr>
      <w:r>
        <w:rPr>
          <w:sz w:val="24"/>
        </w:rPr>
        <w:t>Further, the Conditions identif</w:t>
      </w:r>
      <w:r w:rsidR="000438D9">
        <w:rPr>
          <w:sz w:val="24"/>
        </w:rPr>
        <w:t>y</w:t>
      </w:r>
      <w:r>
        <w:rPr>
          <w:sz w:val="24"/>
        </w:rPr>
        <w:t xml:space="preserve"> a schedule for providing key D</w:t>
      </w:r>
      <w:r w:rsidR="0003072C">
        <w:rPr>
          <w:sz w:val="24"/>
        </w:rPr>
        <w:t xml:space="preserve">SM </w:t>
      </w:r>
      <w:r>
        <w:rPr>
          <w:sz w:val="24"/>
        </w:rPr>
        <w:t>reports</w:t>
      </w:r>
      <w:r w:rsidR="001B5FE2">
        <w:rPr>
          <w:sz w:val="24"/>
        </w:rPr>
        <w:t xml:space="preserve"> and filings</w:t>
      </w:r>
      <w:r>
        <w:rPr>
          <w:sz w:val="24"/>
        </w:rPr>
        <w:t xml:space="preserve">, such as those required in </w:t>
      </w:r>
      <w:r w:rsidR="001461B6">
        <w:rPr>
          <w:sz w:val="24"/>
        </w:rPr>
        <w:t xml:space="preserve">Ordering </w:t>
      </w:r>
      <w:r w:rsidR="003D5A94">
        <w:rPr>
          <w:sz w:val="24"/>
        </w:rPr>
        <w:t xml:space="preserve">¶ </w:t>
      </w:r>
      <w:r w:rsidR="001461B6">
        <w:rPr>
          <w:sz w:val="24"/>
        </w:rPr>
        <w:t xml:space="preserve">1 of </w:t>
      </w:r>
      <w:r>
        <w:rPr>
          <w:sz w:val="24"/>
        </w:rPr>
        <w:t xml:space="preserve">the Accounting Order. </w:t>
      </w:r>
      <w:r w:rsidR="001B5FE2">
        <w:rPr>
          <w:sz w:val="24"/>
        </w:rPr>
        <w:t xml:space="preserve">The Movants and other interested parties developed the reporting and filing schedule to provide timely information to the Commission and interested parties, while giving the Company adequate preparation time, and adequate time in between reports and filings for review. </w:t>
      </w:r>
      <w:r w:rsidR="001461B6">
        <w:rPr>
          <w:sz w:val="24"/>
        </w:rPr>
        <w:t xml:space="preserve">Ordering </w:t>
      </w:r>
      <w:r w:rsidR="003D5A94">
        <w:rPr>
          <w:sz w:val="24"/>
        </w:rPr>
        <w:t xml:space="preserve">¶ </w:t>
      </w:r>
      <w:r w:rsidR="001461B6">
        <w:rPr>
          <w:sz w:val="24"/>
        </w:rPr>
        <w:t xml:space="preserve">1 of the Accounting Order requires PacifiCorp to report its </w:t>
      </w:r>
      <w:r w:rsidR="0003072C">
        <w:rPr>
          <w:sz w:val="24"/>
        </w:rPr>
        <w:t>DSM expenditures</w:t>
      </w:r>
      <w:r w:rsidR="001461B6">
        <w:rPr>
          <w:sz w:val="24"/>
        </w:rPr>
        <w:t xml:space="preserve"> and SBC collections on a semi-annual basis, within 45 days of the ends of the second and fourth quarters. </w:t>
      </w:r>
      <w:r w:rsidR="0020622F">
        <w:rPr>
          <w:sz w:val="24"/>
        </w:rPr>
        <w:t xml:space="preserve">These reports are also intended to protect against overcollecting through the SBC. </w:t>
      </w:r>
      <w:r w:rsidR="000E53CA">
        <w:rPr>
          <w:sz w:val="24"/>
        </w:rPr>
        <w:t>The Conditions propose requiring PacifiCorp to file an annual report on conservation acquisition, including an evaluation of cost-effectiveness and a budget comparison by March 31, 2011.</w:t>
      </w:r>
      <w:r w:rsidR="00ED5998">
        <w:rPr>
          <w:rStyle w:val="FootnoteReference"/>
          <w:sz w:val="24"/>
        </w:rPr>
        <w:footnoteReference w:id="8"/>
      </w:r>
      <w:r w:rsidR="000E53CA">
        <w:rPr>
          <w:sz w:val="24"/>
        </w:rPr>
        <w:t xml:space="preserve"> Additionally, the Conditions propose requiring PacifiCorp to file the semi-annual report on </w:t>
      </w:r>
      <w:r w:rsidR="0003072C">
        <w:rPr>
          <w:sz w:val="24"/>
        </w:rPr>
        <w:t>DSM expenditures</w:t>
      </w:r>
      <w:r w:rsidR="000E53CA">
        <w:rPr>
          <w:sz w:val="24"/>
        </w:rPr>
        <w:t xml:space="preserve"> and SBC collections by August 15, 2011.</w:t>
      </w:r>
      <w:r w:rsidR="00ED5998">
        <w:rPr>
          <w:rStyle w:val="FootnoteReference"/>
          <w:sz w:val="24"/>
        </w:rPr>
        <w:footnoteReference w:id="9"/>
      </w:r>
      <w:r w:rsidR="000E53CA">
        <w:rPr>
          <w:sz w:val="24"/>
        </w:rPr>
        <w:t xml:space="preserve"> This is essentially 45 days from the end of the second quarter</w:t>
      </w:r>
      <w:r w:rsidR="00CD32BE">
        <w:rPr>
          <w:sz w:val="24"/>
        </w:rPr>
        <w:t xml:space="preserve">. For the above reasons, modifying the reporting requirements contained Ordering </w:t>
      </w:r>
      <w:r w:rsidR="0003072C">
        <w:rPr>
          <w:sz w:val="24"/>
        </w:rPr>
        <w:t>¶</w:t>
      </w:r>
      <w:r w:rsidR="00CD32BE">
        <w:rPr>
          <w:sz w:val="24"/>
        </w:rPr>
        <w:t xml:space="preserve"> 1 of the Accounting Order is reasonable and consistent with the public interest</w:t>
      </w:r>
      <w:r w:rsidR="00AF7A5F">
        <w:rPr>
          <w:sz w:val="24"/>
        </w:rPr>
        <w:t xml:space="preserve">. </w:t>
      </w:r>
      <w:r w:rsidR="00FE44CF">
        <w:rPr>
          <w:sz w:val="24"/>
        </w:rPr>
        <w:t xml:space="preserve"> </w:t>
      </w:r>
      <w:r w:rsidR="005840F7">
        <w:rPr>
          <w:sz w:val="24"/>
        </w:rPr>
        <w:t xml:space="preserve">Accordingly, </w:t>
      </w:r>
      <w:r w:rsidR="00662E05">
        <w:rPr>
          <w:sz w:val="24"/>
        </w:rPr>
        <w:t>the final sentence of Order</w:t>
      </w:r>
      <w:r w:rsidR="0015362A">
        <w:rPr>
          <w:sz w:val="24"/>
        </w:rPr>
        <w:t>ing</w:t>
      </w:r>
      <w:r w:rsidR="00662E05">
        <w:rPr>
          <w:sz w:val="24"/>
        </w:rPr>
        <w:t xml:space="preserve"> </w:t>
      </w:r>
      <w:r w:rsidR="005840F7">
        <w:rPr>
          <w:sz w:val="24"/>
        </w:rPr>
        <w:t>¶ </w:t>
      </w:r>
      <w:r w:rsidR="00662E05">
        <w:rPr>
          <w:sz w:val="24"/>
        </w:rPr>
        <w:t>1</w:t>
      </w:r>
      <w:r w:rsidR="005840F7">
        <w:rPr>
          <w:sz w:val="24"/>
        </w:rPr>
        <w:t xml:space="preserve"> of the </w:t>
      </w:r>
      <w:r w:rsidR="00662E05">
        <w:rPr>
          <w:sz w:val="24"/>
        </w:rPr>
        <w:t xml:space="preserve">Accounting </w:t>
      </w:r>
      <w:r w:rsidR="005840F7">
        <w:rPr>
          <w:sz w:val="24"/>
        </w:rPr>
        <w:t xml:space="preserve">Order should be amended to </w:t>
      </w:r>
      <w:r w:rsidR="003477D7">
        <w:rPr>
          <w:sz w:val="24"/>
        </w:rPr>
        <w:t>direct</w:t>
      </w:r>
      <w:r w:rsidR="00F721BD">
        <w:rPr>
          <w:sz w:val="24"/>
        </w:rPr>
        <w:t xml:space="preserve"> that </w:t>
      </w:r>
      <w:r w:rsidR="00662E05">
        <w:rPr>
          <w:sz w:val="24"/>
        </w:rPr>
        <w:t>PacifiCorp shall provide reports to the Commission in accordance with Order 01 in UE</w:t>
      </w:r>
      <w:r w:rsidR="00662E05">
        <w:rPr>
          <w:sz w:val="24"/>
        </w:rPr>
        <w:noBreakHyphen/>
        <w:t>100170</w:t>
      </w:r>
      <w:r w:rsidR="005840F7">
        <w:rPr>
          <w:sz w:val="24"/>
        </w:rPr>
        <w:t>.</w:t>
      </w:r>
    </w:p>
    <w:p w:rsidR="005840F7" w:rsidRPr="005840F7" w:rsidRDefault="005840F7" w:rsidP="00FB364B">
      <w:pPr>
        <w:spacing w:line="480" w:lineRule="auto"/>
        <w:jc w:val="center"/>
        <w:rPr>
          <w:b/>
          <w:sz w:val="24"/>
        </w:rPr>
      </w:pPr>
      <w:r w:rsidRPr="005840F7">
        <w:rPr>
          <w:b/>
          <w:sz w:val="24"/>
        </w:rPr>
        <w:t>IV.  CONCLUSION</w:t>
      </w:r>
    </w:p>
    <w:p w:rsidR="00662E05" w:rsidRPr="00662E05" w:rsidRDefault="00CD32BE" w:rsidP="00FB364B">
      <w:pPr>
        <w:numPr>
          <w:ilvl w:val="0"/>
          <w:numId w:val="2"/>
        </w:numPr>
        <w:spacing w:line="480" w:lineRule="auto"/>
        <w:jc w:val="both"/>
        <w:rPr>
          <w:sz w:val="24"/>
        </w:rPr>
      </w:pPr>
      <w:r>
        <w:rPr>
          <w:sz w:val="24"/>
        </w:rPr>
        <w:t>The Movants request that t</w:t>
      </w:r>
      <w:r w:rsidR="005840F7">
        <w:rPr>
          <w:sz w:val="24"/>
        </w:rPr>
        <w:t xml:space="preserve">he Commission </w:t>
      </w:r>
      <w:r w:rsidR="00662E05">
        <w:rPr>
          <w:sz w:val="24"/>
        </w:rPr>
        <w:t>delete Finding ¶ 5 and Order</w:t>
      </w:r>
      <w:r w:rsidR="0015362A">
        <w:rPr>
          <w:sz w:val="24"/>
        </w:rPr>
        <w:t>ing</w:t>
      </w:r>
      <w:r w:rsidR="00662E05">
        <w:rPr>
          <w:sz w:val="24"/>
        </w:rPr>
        <w:t xml:space="preserve"> ¶ 3 from the October 25, 2000 Accounting Order </w:t>
      </w:r>
      <w:r w:rsidR="00662E05" w:rsidRPr="00662E05">
        <w:rPr>
          <w:sz w:val="24"/>
        </w:rPr>
        <w:t>in this docket.</w:t>
      </w:r>
    </w:p>
    <w:p w:rsidR="005840F7" w:rsidRPr="00662E05" w:rsidRDefault="00CD32BE" w:rsidP="00FB364B">
      <w:pPr>
        <w:numPr>
          <w:ilvl w:val="0"/>
          <w:numId w:val="2"/>
        </w:numPr>
        <w:spacing w:line="480" w:lineRule="auto"/>
        <w:jc w:val="both"/>
        <w:rPr>
          <w:sz w:val="24"/>
        </w:rPr>
      </w:pPr>
      <w:r>
        <w:rPr>
          <w:sz w:val="24"/>
        </w:rPr>
        <w:t>Further, the Movants request that t</w:t>
      </w:r>
      <w:r w:rsidR="00662E05" w:rsidRPr="00662E05">
        <w:rPr>
          <w:sz w:val="24"/>
        </w:rPr>
        <w:t>he Commission modify Order</w:t>
      </w:r>
      <w:r w:rsidR="0015362A">
        <w:rPr>
          <w:sz w:val="24"/>
        </w:rPr>
        <w:t>ing</w:t>
      </w:r>
      <w:r w:rsidR="00662E05" w:rsidRPr="00662E05">
        <w:rPr>
          <w:sz w:val="24"/>
        </w:rPr>
        <w:t xml:space="preserve"> ¶ 1 in the October 25, 2000 Accounting Order in this docket </w:t>
      </w:r>
      <w:r w:rsidR="005840F7" w:rsidRPr="00662E05">
        <w:rPr>
          <w:sz w:val="24"/>
        </w:rPr>
        <w:t>to read as follows:</w:t>
      </w:r>
    </w:p>
    <w:p w:rsidR="008C3AE1" w:rsidRPr="00662E05" w:rsidRDefault="00662E05" w:rsidP="00FB364B">
      <w:pPr>
        <w:spacing w:after="120"/>
        <w:ind w:left="720" w:right="720"/>
        <w:jc w:val="both"/>
        <w:rPr>
          <w:sz w:val="24"/>
        </w:rPr>
      </w:pPr>
      <w:r w:rsidRPr="00662E05">
        <w:rPr>
          <w:sz w:val="24"/>
        </w:rPr>
        <w:t xml:space="preserve">PacifiCorp d/b/a Pacific Power &amp; Light Company is authorized to defer prospectively cost effective energy efficiency expenditures under programs approved by this Commission, effective after the date of this order.  The energy efficiency expenditures shall be recovered through the System Benefits Charge commencing January 1, 2001.  PacifiCorp d/b/a Pacific Power &amp; Light Company shall report to the Commission SBC collections and DSM expenditures on a semi-annual basis </w:t>
      </w:r>
      <w:r>
        <w:rPr>
          <w:sz w:val="24"/>
        </w:rPr>
        <w:t>in accordance with the Conditions set forth in Order 01 in Docket UE</w:t>
      </w:r>
      <w:r>
        <w:rPr>
          <w:sz w:val="24"/>
        </w:rPr>
        <w:noBreakHyphen/>
        <w:t>100170</w:t>
      </w:r>
      <w:r w:rsidRPr="00662E05">
        <w:rPr>
          <w:sz w:val="24"/>
        </w:rPr>
        <w:t>.</w:t>
      </w:r>
    </w:p>
    <w:p w:rsidR="00A92523" w:rsidRDefault="00CD32BE" w:rsidP="00FB364B">
      <w:pPr>
        <w:numPr>
          <w:ilvl w:val="0"/>
          <w:numId w:val="2"/>
        </w:numPr>
        <w:spacing w:line="480" w:lineRule="auto"/>
        <w:jc w:val="both"/>
        <w:rPr>
          <w:sz w:val="24"/>
        </w:rPr>
      </w:pPr>
      <w:r>
        <w:rPr>
          <w:sz w:val="24"/>
        </w:rPr>
        <w:t xml:space="preserve">For the foregoing reasons, </w:t>
      </w:r>
      <w:r w:rsidR="0047512E">
        <w:rPr>
          <w:sz w:val="24"/>
        </w:rPr>
        <w:t>t</w:t>
      </w:r>
      <w:r w:rsidR="0047512E" w:rsidRPr="00662E05">
        <w:rPr>
          <w:sz w:val="24"/>
        </w:rPr>
        <w:t xml:space="preserve">he </w:t>
      </w:r>
      <w:r w:rsidR="0047512E">
        <w:rPr>
          <w:sz w:val="24"/>
        </w:rPr>
        <w:t>Joint</w:t>
      </w:r>
      <w:r w:rsidR="00A92523">
        <w:rPr>
          <w:sz w:val="24"/>
        </w:rPr>
        <w:t xml:space="preserve"> Motion should be granted.</w:t>
      </w:r>
    </w:p>
    <w:p w:rsidR="00F748D8" w:rsidRDefault="00F748D8" w:rsidP="00FB364B">
      <w:pPr>
        <w:spacing w:line="480" w:lineRule="auto"/>
        <w:jc w:val="both"/>
        <w:rPr>
          <w:sz w:val="24"/>
        </w:rPr>
      </w:pPr>
    </w:p>
    <w:p w:rsidR="00F748D8" w:rsidRDefault="00D27749" w:rsidP="00FB364B">
      <w:pPr>
        <w:ind w:left="720"/>
        <w:rPr>
          <w:sz w:val="24"/>
        </w:rPr>
      </w:pPr>
      <w:r>
        <w:rPr>
          <w:sz w:val="24"/>
        </w:rPr>
        <w:t>DATED this 13</w:t>
      </w:r>
      <w:r w:rsidRPr="00D27749">
        <w:rPr>
          <w:sz w:val="24"/>
          <w:vertAlign w:val="superscript"/>
        </w:rPr>
        <w:t>th</w:t>
      </w:r>
      <w:r w:rsidR="00F748D8" w:rsidRPr="004A2910">
        <w:rPr>
          <w:sz w:val="24"/>
        </w:rPr>
        <w:t xml:space="preserve"> day of </w:t>
      </w:r>
      <w:r w:rsidR="00662E05">
        <w:rPr>
          <w:sz w:val="24"/>
        </w:rPr>
        <w:t>July</w:t>
      </w:r>
      <w:r w:rsidR="00F748D8" w:rsidRPr="004A2910">
        <w:rPr>
          <w:sz w:val="24"/>
        </w:rPr>
        <w:t xml:space="preserve"> 20</w:t>
      </w:r>
      <w:r w:rsidR="007464F1">
        <w:rPr>
          <w:sz w:val="24"/>
        </w:rPr>
        <w:t>10</w:t>
      </w:r>
      <w:r w:rsidR="00F748D8" w:rsidRPr="004A2910">
        <w:rPr>
          <w:sz w:val="24"/>
        </w:rPr>
        <w:t>.</w:t>
      </w:r>
    </w:p>
    <w:p w:rsidR="00F748D8" w:rsidRDefault="00F748D8" w:rsidP="00FB364B">
      <w:pPr>
        <w:ind w:left="720"/>
        <w:rPr>
          <w:sz w:val="24"/>
        </w:rPr>
      </w:pPr>
    </w:p>
    <w:p w:rsidR="00F748D8" w:rsidRPr="004A2910" w:rsidRDefault="00F748D8" w:rsidP="00FB364B">
      <w:pPr>
        <w:ind w:left="720"/>
        <w:rPr>
          <w:sz w:val="24"/>
        </w:rPr>
      </w:pPr>
      <w:r>
        <w:rPr>
          <w:sz w:val="24"/>
        </w:rPr>
        <w:tab/>
      </w:r>
      <w:r>
        <w:rPr>
          <w:sz w:val="24"/>
        </w:rPr>
        <w:tab/>
      </w:r>
      <w:r>
        <w:rPr>
          <w:sz w:val="24"/>
        </w:rPr>
        <w:tab/>
      </w:r>
      <w:r>
        <w:rPr>
          <w:sz w:val="24"/>
        </w:rPr>
        <w:tab/>
      </w:r>
      <w:r>
        <w:rPr>
          <w:sz w:val="24"/>
        </w:rPr>
        <w:tab/>
      </w:r>
      <w:r>
        <w:rPr>
          <w:sz w:val="24"/>
        </w:rPr>
        <w:tab/>
        <w:t xml:space="preserve">Respectfully submitted, </w:t>
      </w:r>
    </w:p>
    <w:p w:rsidR="00F748D8" w:rsidRPr="004A2910" w:rsidRDefault="00F748D8" w:rsidP="00FB364B">
      <w:pPr>
        <w:pStyle w:val="BodyTextIndent2"/>
        <w:rPr>
          <w:rFonts w:ascii="Times New Roman" w:hAnsi="Times New Roman"/>
        </w:rPr>
      </w:pPr>
    </w:p>
    <w:p w:rsidR="00F748D8" w:rsidRPr="004A2910" w:rsidRDefault="00F748D8" w:rsidP="00FB364B">
      <w:pPr>
        <w:ind w:left="4320"/>
        <w:jc w:val="both"/>
        <w:rPr>
          <w:sz w:val="24"/>
        </w:rPr>
      </w:pPr>
      <w:r w:rsidRPr="004A2910">
        <w:rPr>
          <w:sz w:val="24"/>
        </w:rPr>
        <w:t>ROB</w:t>
      </w:r>
      <w:r w:rsidR="00BF3CD1">
        <w:rPr>
          <w:sz w:val="24"/>
        </w:rPr>
        <w:t>ERT M.</w:t>
      </w:r>
      <w:r w:rsidRPr="004A2910">
        <w:rPr>
          <w:sz w:val="24"/>
        </w:rPr>
        <w:t xml:space="preserve"> MCKENNA </w:t>
      </w:r>
    </w:p>
    <w:p w:rsidR="00F748D8" w:rsidRPr="004A2910" w:rsidRDefault="00F748D8" w:rsidP="00FB364B">
      <w:pPr>
        <w:ind w:left="4320"/>
        <w:jc w:val="both"/>
        <w:rPr>
          <w:sz w:val="24"/>
        </w:rPr>
      </w:pPr>
      <w:r w:rsidRPr="004A2910">
        <w:rPr>
          <w:sz w:val="24"/>
        </w:rPr>
        <w:t>Attorney General</w:t>
      </w:r>
    </w:p>
    <w:p w:rsidR="00F748D8" w:rsidRPr="004A2910" w:rsidRDefault="00F748D8" w:rsidP="00FB364B">
      <w:pPr>
        <w:jc w:val="both"/>
        <w:rPr>
          <w:sz w:val="24"/>
        </w:rPr>
      </w:pPr>
    </w:p>
    <w:p w:rsidR="00F748D8" w:rsidRDefault="00F748D8" w:rsidP="00FB364B">
      <w:pPr>
        <w:jc w:val="both"/>
        <w:rPr>
          <w:sz w:val="24"/>
        </w:rPr>
      </w:pPr>
    </w:p>
    <w:p w:rsidR="005E07C2" w:rsidRPr="004A2910" w:rsidRDefault="005E07C2" w:rsidP="00FB364B">
      <w:pPr>
        <w:jc w:val="both"/>
        <w:rPr>
          <w:sz w:val="24"/>
        </w:rPr>
      </w:pPr>
    </w:p>
    <w:p w:rsidR="00F748D8" w:rsidRPr="004A2910" w:rsidRDefault="00F748D8" w:rsidP="00FB364B">
      <w:pPr>
        <w:ind w:left="4320"/>
        <w:jc w:val="both"/>
        <w:rPr>
          <w:sz w:val="24"/>
        </w:rPr>
      </w:pPr>
      <w:r w:rsidRPr="004A2910">
        <w:rPr>
          <w:sz w:val="24"/>
        </w:rPr>
        <w:t>______________________________</w:t>
      </w:r>
    </w:p>
    <w:p w:rsidR="00F748D8" w:rsidRPr="004A2910" w:rsidRDefault="00A64182" w:rsidP="00FB364B">
      <w:pPr>
        <w:ind w:left="4320"/>
        <w:jc w:val="both"/>
        <w:rPr>
          <w:sz w:val="24"/>
        </w:rPr>
      </w:pPr>
      <w:r>
        <w:rPr>
          <w:sz w:val="24"/>
        </w:rPr>
        <w:t>FRONDA WOODS</w:t>
      </w:r>
      <w:r w:rsidR="00CC33F1">
        <w:rPr>
          <w:sz w:val="24"/>
        </w:rPr>
        <w:t>, WSBA #18728</w:t>
      </w:r>
    </w:p>
    <w:p w:rsidR="00F748D8" w:rsidRPr="004A2910" w:rsidRDefault="00F748D8" w:rsidP="00FB364B">
      <w:pPr>
        <w:ind w:left="4320"/>
        <w:jc w:val="both"/>
        <w:rPr>
          <w:sz w:val="24"/>
        </w:rPr>
      </w:pPr>
      <w:r w:rsidRPr="004A2910">
        <w:rPr>
          <w:sz w:val="24"/>
        </w:rPr>
        <w:t>Assistant Attorney General</w:t>
      </w:r>
    </w:p>
    <w:p w:rsidR="00F748D8" w:rsidRPr="004A2910" w:rsidRDefault="00F748D8" w:rsidP="00FB364B">
      <w:pPr>
        <w:ind w:left="4320"/>
        <w:jc w:val="both"/>
        <w:rPr>
          <w:sz w:val="24"/>
        </w:rPr>
      </w:pPr>
      <w:r w:rsidRPr="004A2910">
        <w:rPr>
          <w:sz w:val="24"/>
        </w:rPr>
        <w:t xml:space="preserve">Counsel for </w:t>
      </w:r>
      <w:smartTag w:uri="urn:schemas-microsoft-com:office:smarttags" w:element="place">
        <w:smartTag w:uri="urn:schemas-microsoft-com:office:smarttags" w:element="PostalCode">
          <w:r w:rsidRPr="004A2910">
            <w:rPr>
              <w:sz w:val="24"/>
            </w:rPr>
            <w:t>Washington</w:t>
          </w:r>
        </w:smartTag>
      </w:smartTag>
      <w:r w:rsidRPr="004A2910">
        <w:rPr>
          <w:sz w:val="24"/>
        </w:rPr>
        <w:t xml:space="preserve"> Utilities and</w:t>
      </w:r>
    </w:p>
    <w:p w:rsidR="00F748D8" w:rsidRPr="004A2910" w:rsidRDefault="004F69A5" w:rsidP="00FB364B">
      <w:pPr>
        <w:ind w:left="4320"/>
        <w:jc w:val="both"/>
        <w:rPr>
          <w:sz w:val="24"/>
        </w:rPr>
      </w:pPr>
      <w:r>
        <w:rPr>
          <w:sz w:val="24"/>
        </w:rPr>
        <w:t>Transportation Commission</w:t>
      </w:r>
      <w:r w:rsidR="005E07C2">
        <w:rPr>
          <w:sz w:val="24"/>
        </w:rPr>
        <w:t xml:space="preserve"> Staff</w:t>
      </w:r>
    </w:p>
    <w:p w:rsidR="00CC33F1" w:rsidRDefault="00CC33F1" w:rsidP="00FB364B">
      <w:pPr>
        <w:ind w:left="4320"/>
        <w:jc w:val="both"/>
        <w:rPr>
          <w:sz w:val="24"/>
        </w:rPr>
      </w:pPr>
    </w:p>
    <w:p w:rsidR="00CC33F1" w:rsidRDefault="00CC33F1" w:rsidP="00FB364B">
      <w:pPr>
        <w:ind w:left="4320"/>
        <w:jc w:val="both"/>
        <w:rPr>
          <w:sz w:val="24"/>
        </w:rPr>
      </w:pPr>
    </w:p>
    <w:p w:rsidR="00CC33F1" w:rsidRPr="004A2910" w:rsidRDefault="00662E05" w:rsidP="00FB364B">
      <w:pPr>
        <w:ind w:left="4320"/>
        <w:jc w:val="both"/>
        <w:rPr>
          <w:sz w:val="24"/>
        </w:rPr>
      </w:pPr>
      <w:r>
        <w:rPr>
          <w:sz w:val="24"/>
        </w:rPr>
        <w:t>PACIFIC</w:t>
      </w:r>
      <w:r w:rsidR="00933B00">
        <w:rPr>
          <w:sz w:val="24"/>
        </w:rPr>
        <w:t>ORP</w:t>
      </w:r>
    </w:p>
    <w:p w:rsidR="00CC33F1" w:rsidRPr="004A2910" w:rsidRDefault="00CC33F1" w:rsidP="00FB364B">
      <w:pPr>
        <w:jc w:val="both"/>
        <w:rPr>
          <w:sz w:val="24"/>
        </w:rPr>
      </w:pPr>
    </w:p>
    <w:p w:rsidR="00CC33F1" w:rsidRDefault="00CC33F1" w:rsidP="00FB364B">
      <w:pPr>
        <w:jc w:val="both"/>
        <w:rPr>
          <w:sz w:val="24"/>
        </w:rPr>
      </w:pPr>
    </w:p>
    <w:p w:rsidR="00CC33F1" w:rsidRPr="004A2910" w:rsidRDefault="00CC33F1" w:rsidP="00FB364B">
      <w:pPr>
        <w:jc w:val="both"/>
        <w:rPr>
          <w:sz w:val="24"/>
        </w:rPr>
      </w:pPr>
    </w:p>
    <w:p w:rsidR="00CC33F1" w:rsidRPr="004A2910" w:rsidRDefault="00CC33F1" w:rsidP="00FB364B">
      <w:pPr>
        <w:ind w:left="4320"/>
        <w:jc w:val="both"/>
        <w:rPr>
          <w:sz w:val="24"/>
        </w:rPr>
      </w:pPr>
      <w:r w:rsidRPr="004A2910">
        <w:rPr>
          <w:sz w:val="24"/>
        </w:rPr>
        <w:t>______________________________</w:t>
      </w:r>
    </w:p>
    <w:p w:rsidR="00CC33F1" w:rsidRPr="004A2910" w:rsidRDefault="00662E05" w:rsidP="00FB364B">
      <w:pPr>
        <w:ind w:left="4320"/>
        <w:jc w:val="both"/>
        <w:rPr>
          <w:sz w:val="24"/>
        </w:rPr>
      </w:pPr>
      <w:r>
        <w:rPr>
          <w:sz w:val="24"/>
        </w:rPr>
        <w:t>MICHELLE R. MISHOE</w:t>
      </w:r>
      <w:r w:rsidR="00CC33F1">
        <w:rPr>
          <w:sz w:val="24"/>
        </w:rPr>
        <w:t xml:space="preserve">, </w:t>
      </w:r>
      <w:r>
        <w:rPr>
          <w:sz w:val="24"/>
        </w:rPr>
        <w:t>OSB</w:t>
      </w:r>
      <w:r w:rsidR="00CC33F1">
        <w:rPr>
          <w:sz w:val="24"/>
        </w:rPr>
        <w:t xml:space="preserve"> #</w:t>
      </w:r>
      <w:r>
        <w:rPr>
          <w:sz w:val="24"/>
        </w:rPr>
        <w:t>07242</w:t>
      </w:r>
    </w:p>
    <w:p w:rsidR="00CC33F1" w:rsidRPr="004A2910" w:rsidRDefault="00662E05" w:rsidP="00FB364B">
      <w:pPr>
        <w:ind w:left="4320"/>
        <w:jc w:val="both"/>
        <w:rPr>
          <w:sz w:val="24"/>
        </w:rPr>
      </w:pPr>
      <w:r>
        <w:rPr>
          <w:sz w:val="24"/>
        </w:rPr>
        <w:t>Counsel for PacifiCorp</w:t>
      </w:r>
    </w:p>
    <w:p w:rsidR="00CC33F1" w:rsidRPr="004A2910" w:rsidRDefault="00CC33F1" w:rsidP="00FB364B">
      <w:pPr>
        <w:jc w:val="both"/>
        <w:rPr>
          <w:sz w:val="24"/>
        </w:rPr>
      </w:pPr>
    </w:p>
    <w:sectPr w:rsidR="00CC33F1" w:rsidRPr="004A2910" w:rsidSect="00F748D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EFD" w:rsidRDefault="00DF2EFD">
      <w:r>
        <w:separator/>
      </w:r>
    </w:p>
  </w:endnote>
  <w:endnote w:type="continuationSeparator" w:id="0">
    <w:p w:rsidR="00DF2EFD" w:rsidRDefault="00DF2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189" w:rsidRDefault="007321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28E" w:rsidRDefault="008B528E">
    <w:pPr>
      <w:pStyle w:val="Footer"/>
    </w:pPr>
  </w:p>
  <w:p w:rsidR="008B528E" w:rsidRPr="00737B08" w:rsidRDefault="008B528E">
    <w:pPr>
      <w:pStyle w:val="Footer"/>
    </w:pPr>
    <w:r>
      <w:t>JOINT MOTION TO MODIFY ACCOUNTING ORDER</w:t>
    </w:r>
    <w:r w:rsidRPr="00737B08">
      <w:t xml:space="preserve"> - </w:t>
    </w:r>
    <w:r w:rsidR="00D66429" w:rsidRPr="00737B08">
      <w:rPr>
        <w:rStyle w:val="PageNumber"/>
      </w:rPr>
      <w:fldChar w:fldCharType="begin"/>
    </w:r>
    <w:r w:rsidRPr="00737B08">
      <w:rPr>
        <w:rStyle w:val="PageNumber"/>
      </w:rPr>
      <w:instrText xml:space="preserve"> PAGE </w:instrText>
    </w:r>
    <w:r w:rsidR="00D66429" w:rsidRPr="00737B08">
      <w:rPr>
        <w:rStyle w:val="PageNumber"/>
      </w:rPr>
      <w:fldChar w:fldCharType="separate"/>
    </w:r>
    <w:r w:rsidR="00732189">
      <w:rPr>
        <w:rStyle w:val="PageNumber"/>
        <w:noProof/>
      </w:rPr>
      <w:t>1</w:t>
    </w:r>
    <w:r w:rsidR="00D66429" w:rsidRPr="00737B08">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189" w:rsidRDefault="007321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EFD" w:rsidRDefault="00DF2EFD">
      <w:r>
        <w:separator/>
      </w:r>
    </w:p>
  </w:footnote>
  <w:footnote w:type="continuationSeparator" w:id="0">
    <w:p w:rsidR="00DF2EFD" w:rsidRDefault="00DF2EFD">
      <w:r>
        <w:continuationSeparator/>
      </w:r>
    </w:p>
  </w:footnote>
  <w:footnote w:id="1">
    <w:p w:rsidR="008B528E" w:rsidRDefault="008B528E" w:rsidP="00FB364B">
      <w:pPr>
        <w:pStyle w:val="FootnoteText"/>
        <w:jc w:val="both"/>
      </w:pPr>
      <w:r>
        <w:rPr>
          <w:rStyle w:val="FootnoteReference"/>
        </w:rPr>
        <w:footnoteRef/>
      </w:r>
      <w:r>
        <w:t xml:space="preserve">  </w:t>
      </w:r>
      <w:r w:rsidR="0047512E">
        <w:t>The Accounting</w:t>
      </w:r>
      <w:r>
        <w:t xml:space="preserve"> Order provided that the System Benefits Charge would expire on December 31, 2002.  The Commission removed the expiration date in a First Supplemental Order Modifying Accounting Order, dated December 11, 2002.  All other aspects of the Accounting Order remained unchanged.</w:t>
      </w:r>
    </w:p>
  </w:footnote>
  <w:footnote w:id="2">
    <w:p w:rsidR="008B528E" w:rsidRDefault="008B528E" w:rsidP="00FB364B">
      <w:pPr>
        <w:pStyle w:val="FootnoteText"/>
      </w:pPr>
      <w:r>
        <w:rPr>
          <w:rStyle w:val="FootnoteReference"/>
        </w:rPr>
        <w:footnoteRef/>
      </w:r>
      <w:r>
        <w:t xml:space="preserve"> Docket UE-001457, Accounting Order, p. 3.</w:t>
      </w:r>
    </w:p>
  </w:footnote>
  <w:footnote w:id="3">
    <w:p w:rsidR="008B528E" w:rsidRDefault="008B528E" w:rsidP="000E23FC">
      <w:pPr>
        <w:pStyle w:val="FootnoteText"/>
        <w:spacing w:after="120"/>
      </w:pPr>
      <w:r>
        <w:rPr>
          <w:rStyle w:val="FootnoteReference"/>
        </w:rPr>
        <w:footnoteRef/>
      </w:r>
      <w:r>
        <w:t xml:space="preserve"> Id.</w:t>
      </w:r>
      <w:r w:rsidR="0047512E">
        <w:t>,</w:t>
      </w:r>
      <w:r>
        <w:t xml:space="preserve"> p. 4.</w:t>
      </w:r>
    </w:p>
  </w:footnote>
  <w:footnote w:id="4">
    <w:p w:rsidR="008B528E" w:rsidRDefault="008B528E" w:rsidP="008B528E">
      <w:pPr>
        <w:pStyle w:val="FootnoteText"/>
        <w:spacing w:after="120"/>
      </w:pPr>
      <w:r>
        <w:rPr>
          <w:rStyle w:val="FootnoteReference"/>
        </w:rPr>
        <w:footnoteRef/>
      </w:r>
      <w:r>
        <w:t xml:space="preserve"> Docket UE-001457, Accounting Order, p. 3.</w:t>
      </w:r>
    </w:p>
  </w:footnote>
  <w:footnote w:id="5">
    <w:p w:rsidR="008B528E" w:rsidRDefault="008B528E" w:rsidP="00FB364B">
      <w:pPr>
        <w:pStyle w:val="FootnoteText"/>
      </w:pPr>
      <w:r>
        <w:rPr>
          <w:rStyle w:val="FootnoteReference"/>
        </w:rPr>
        <w:footnoteRef/>
      </w:r>
      <w:r>
        <w:t xml:space="preserve">  </w:t>
      </w:r>
      <w:r w:rsidRPr="001F2217">
        <w:rPr>
          <w:i/>
        </w:rPr>
        <w:t>See</w:t>
      </w:r>
      <w:r>
        <w:t xml:space="preserve"> WAC 480</w:t>
      </w:r>
      <w:r>
        <w:noBreakHyphen/>
        <w:t>07</w:t>
      </w:r>
      <w:r>
        <w:noBreakHyphen/>
        <w:t>875(1).</w:t>
      </w:r>
    </w:p>
  </w:footnote>
  <w:footnote w:id="6">
    <w:p w:rsidR="008B528E" w:rsidRDefault="008B528E" w:rsidP="00FB364B">
      <w:pPr>
        <w:pStyle w:val="FootnoteText"/>
      </w:pPr>
      <w:r>
        <w:rPr>
          <w:rStyle w:val="FootnoteReference"/>
        </w:rPr>
        <w:footnoteRef/>
      </w:r>
      <w:r>
        <w:t xml:space="preserve">  Docket UE</w:t>
      </w:r>
      <w:r>
        <w:noBreakHyphen/>
        <w:t>001457, First Supplemental Order Modifying Accounting Order ¶ 4</w:t>
      </w:r>
      <w:r w:rsidR="0047512E">
        <w:t>, p</w:t>
      </w:r>
      <w:r>
        <w:t>. 2 (Dec. 11, 2002).</w:t>
      </w:r>
    </w:p>
  </w:footnote>
  <w:footnote w:id="7">
    <w:p w:rsidR="008B528E" w:rsidRDefault="008B528E" w:rsidP="000E23FC">
      <w:pPr>
        <w:pStyle w:val="FootnoteText"/>
        <w:spacing w:after="120"/>
      </w:pPr>
      <w:r>
        <w:rPr>
          <w:rStyle w:val="FootnoteReference"/>
        </w:rPr>
        <w:footnoteRef/>
      </w:r>
      <w:r>
        <w:t xml:space="preserve"> S</w:t>
      </w:r>
      <w:r w:rsidR="000438D9">
        <w:t>ee Docket UE-100170, Conditions</w:t>
      </w:r>
      <w:r>
        <w:t>, 8(b), 8(c) and 8(d).</w:t>
      </w:r>
    </w:p>
  </w:footnote>
  <w:footnote w:id="8">
    <w:p w:rsidR="008B528E" w:rsidRDefault="008B528E" w:rsidP="00FB364B">
      <w:pPr>
        <w:pStyle w:val="FootnoteText"/>
      </w:pPr>
      <w:r>
        <w:rPr>
          <w:rStyle w:val="FootnoteReference"/>
        </w:rPr>
        <w:footnoteRef/>
      </w:r>
      <w:r>
        <w:t xml:space="preserve"> See Docket UE-100170, Conditions 8(c).</w:t>
      </w:r>
    </w:p>
  </w:footnote>
  <w:footnote w:id="9">
    <w:p w:rsidR="008B528E" w:rsidRDefault="008B528E" w:rsidP="000E23FC">
      <w:pPr>
        <w:pStyle w:val="FootnoteText"/>
        <w:spacing w:after="120"/>
      </w:pPr>
      <w:r>
        <w:rPr>
          <w:rStyle w:val="FootnoteReference"/>
        </w:rPr>
        <w:footnoteRef/>
      </w:r>
      <w:r>
        <w:t xml:space="preserve"> Id</w:t>
      </w:r>
      <w:r w:rsidR="0047512E">
        <w:t>., 8</w:t>
      </w:r>
      <w:r>
        <w: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189" w:rsidRDefault="007321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189" w:rsidRDefault="007321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189" w:rsidRDefault="007321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noPunctuationKerning/>
  <w:characterSpacingControl w:val="doNotCompress"/>
  <w:hdrShapeDefaults>
    <o:shapedefaults v:ext="edit" spidmax="8193"/>
  </w:hdrShapeDefaults>
  <w:footnotePr>
    <w:footnote w:id="-1"/>
    <w:footnote w:id="0"/>
  </w:footnotePr>
  <w:endnotePr>
    <w:endnote w:id="-1"/>
    <w:endnote w:id="0"/>
  </w:endnotePr>
  <w:compat/>
  <w:rsids>
    <w:rsidRoot w:val="00F748D8"/>
    <w:rsid w:val="00011928"/>
    <w:rsid w:val="00015956"/>
    <w:rsid w:val="00025DB8"/>
    <w:rsid w:val="00026286"/>
    <w:rsid w:val="0003072C"/>
    <w:rsid w:val="000438D9"/>
    <w:rsid w:val="00050E79"/>
    <w:rsid w:val="00052D43"/>
    <w:rsid w:val="000677E5"/>
    <w:rsid w:val="00073972"/>
    <w:rsid w:val="000E23FC"/>
    <w:rsid w:val="000E53CA"/>
    <w:rsid w:val="001101A7"/>
    <w:rsid w:val="001461B6"/>
    <w:rsid w:val="0015362A"/>
    <w:rsid w:val="001808D3"/>
    <w:rsid w:val="0019129C"/>
    <w:rsid w:val="001A3E51"/>
    <w:rsid w:val="001B5FE2"/>
    <w:rsid w:val="001E77B2"/>
    <w:rsid w:val="001F2217"/>
    <w:rsid w:val="0020622F"/>
    <w:rsid w:val="00215F6D"/>
    <w:rsid w:val="00242789"/>
    <w:rsid w:val="0025127F"/>
    <w:rsid w:val="00255923"/>
    <w:rsid w:val="00263CCC"/>
    <w:rsid w:val="00296244"/>
    <w:rsid w:val="002B116C"/>
    <w:rsid w:val="00301085"/>
    <w:rsid w:val="0031795F"/>
    <w:rsid w:val="00327C54"/>
    <w:rsid w:val="003477D7"/>
    <w:rsid w:val="00392014"/>
    <w:rsid w:val="003A11DB"/>
    <w:rsid w:val="003C1430"/>
    <w:rsid w:val="003C3DD0"/>
    <w:rsid w:val="003C5390"/>
    <w:rsid w:val="003D5721"/>
    <w:rsid w:val="003D5A94"/>
    <w:rsid w:val="003E3B7E"/>
    <w:rsid w:val="003F1945"/>
    <w:rsid w:val="00420F5F"/>
    <w:rsid w:val="0047512E"/>
    <w:rsid w:val="00476C83"/>
    <w:rsid w:val="004A4F64"/>
    <w:rsid w:val="004A5CBA"/>
    <w:rsid w:val="004C3D65"/>
    <w:rsid w:val="004E5C87"/>
    <w:rsid w:val="004F1F4D"/>
    <w:rsid w:val="004F69A5"/>
    <w:rsid w:val="00501FFC"/>
    <w:rsid w:val="0052072C"/>
    <w:rsid w:val="00535343"/>
    <w:rsid w:val="0056344E"/>
    <w:rsid w:val="00563833"/>
    <w:rsid w:val="005840F7"/>
    <w:rsid w:val="00595D41"/>
    <w:rsid w:val="005B22B2"/>
    <w:rsid w:val="005E07C2"/>
    <w:rsid w:val="005F61EE"/>
    <w:rsid w:val="00641F98"/>
    <w:rsid w:val="00654696"/>
    <w:rsid w:val="0065561B"/>
    <w:rsid w:val="00662E05"/>
    <w:rsid w:val="006752B4"/>
    <w:rsid w:val="006A7D63"/>
    <w:rsid w:val="006D2889"/>
    <w:rsid w:val="00703A0C"/>
    <w:rsid w:val="00732189"/>
    <w:rsid w:val="00737078"/>
    <w:rsid w:val="00737B08"/>
    <w:rsid w:val="007464F1"/>
    <w:rsid w:val="0076699B"/>
    <w:rsid w:val="007C1BA6"/>
    <w:rsid w:val="007D040C"/>
    <w:rsid w:val="007E569B"/>
    <w:rsid w:val="00842F1D"/>
    <w:rsid w:val="00843756"/>
    <w:rsid w:val="0085145A"/>
    <w:rsid w:val="0087625A"/>
    <w:rsid w:val="0089062F"/>
    <w:rsid w:val="008B528E"/>
    <w:rsid w:val="008C3AE1"/>
    <w:rsid w:val="00926E43"/>
    <w:rsid w:val="00932037"/>
    <w:rsid w:val="00933B00"/>
    <w:rsid w:val="009C2DB0"/>
    <w:rsid w:val="009D6057"/>
    <w:rsid w:val="00A16272"/>
    <w:rsid w:val="00A30971"/>
    <w:rsid w:val="00A53D18"/>
    <w:rsid w:val="00A64182"/>
    <w:rsid w:val="00A80028"/>
    <w:rsid w:val="00A82436"/>
    <w:rsid w:val="00A918DE"/>
    <w:rsid w:val="00A92523"/>
    <w:rsid w:val="00A928FC"/>
    <w:rsid w:val="00AD5D1F"/>
    <w:rsid w:val="00AF7A5F"/>
    <w:rsid w:val="00B156D0"/>
    <w:rsid w:val="00B32932"/>
    <w:rsid w:val="00B3579B"/>
    <w:rsid w:val="00B36A16"/>
    <w:rsid w:val="00B73973"/>
    <w:rsid w:val="00BB6D7B"/>
    <w:rsid w:val="00BF3CD1"/>
    <w:rsid w:val="00C00DBA"/>
    <w:rsid w:val="00C10684"/>
    <w:rsid w:val="00C360A4"/>
    <w:rsid w:val="00C5478B"/>
    <w:rsid w:val="00C57064"/>
    <w:rsid w:val="00CC33F1"/>
    <w:rsid w:val="00CD32BE"/>
    <w:rsid w:val="00D02F17"/>
    <w:rsid w:val="00D22816"/>
    <w:rsid w:val="00D27749"/>
    <w:rsid w:val="00D66429"/>
    <w:rsid w:val="00D93C8B"/>
    <w:rsid w:val="00DA492F"/>
    <w:rsid w:val="00DA49FE"/>
    <w:rsid w:val="00DD068A"/>
    <w:rsid w:val="00DF2EFD"/>
    <w:rsid w:val="00E10FFF"/>
    <w:rsid w:val="00E41D56"/>
    <w:rsid w:val="00E43CFC"/>
    <w:rsid w:val="00E66388"/>
    <w:rsid w:val="00E850E6"/>
    <w:rsid w:val="00EB7B4F"/>
    <w:rsid w:val="00ED5998"/>
    <w:rsid w:val="00EE61F8"/>
    <w:rsid w:val="00EF60F7"/>
    <w:rsid w:val="00F03912"/>
    <w:rsid w:val="00F03995"/>
    <w:rsid w:val="00F721BD"/>
    <w:rsid w:val="00F748D8"/>
    <w:rsid w:val="00F77C60"/>
    <w:rsid w:val="00F82681"/>
    <w:rsid w:val="00FA28F2"/>
    <w:rsid w:val="00FA4280"/>
    <w:rsid w:val="00FB364B"/>
    <w:rsid w:val="00FE097F"/>
    <w:rsid w:val="00FE44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basedOn w:val="DefaultParagraphFont"/>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BalloonText">
    <w:name w:val="Balloon Text"/>
    <w:basedOn w:val="Normal"/>
    <w:link w:val="BalloonTextChar"/>
    <w:rsid w:val="006D2889"/>
    <w:rPr>
      <w:rFonts w:ascii="Tahoma" w:hAnsi="Tahoma" w:cs="Tahoma"/>
      <w:sz w:val="16"/>
      <w:szCs w:val="16"/>
    </w:rPr>
  </w:style>
  <w:style w:type="character" w:customStyle="1" w:styleId="BalloonTextChar">
    <w:name w:val="Balloon Text Char"/>
    <w:basedOn w:val="DefaultParagraphFont"/>
    <w:link w:val="BalloonText"/>
    <w:rsid w:val="006D2889"/>
    <w:rPr>
      <w:rFonts w:ascii="Tahoma" w:hAnsi="Tahoma" w:cs="Tahoma"/>
      <w:sz w:val="16"/>
      <w:szCs w:val="16"/>
    </w:rPr>
  </w:style>
  <w:style w:type="character" w:styleId="CommentReference">
    <w:name w:val="annotation reference"/>
    <w:basedOn w:val="DefaultParagraphFont"/>
    <w:rsid w:val="004E5C87"/>
    <w:rPr>
      <w:sz w:val="16"/>
      <w:szCs w:val="16"/>
    </w:rPr>
  </w:style>
  <w:style w:type="paragraph" w:styleId="CommentText">
    <w:name w:val="annotation text"/>
    <w:basedOn w:val="Normal"/>
    <w:link w:val="CommentTextChar"/>
    <w:rsid w:val="004E5C87"/>
    <w:rPr>
      <w:szCs w:val="20"/>
    </w:rPr>
  </w:style>
  <w:style w:type="character" w:customStyle="1" w:styleId="CommentTextChar">
    <w:name w:val="Comment Text Char"/>
    <w:basedOn w:val="DefaultParagraphFont"/>
    <w:link w:val="CommentText"/>
    <w:rsid w:val="004E5C87"/>
  </w:style>
  <w:style w:type="paragraph" w:styleId="CommentSubject">
    <w:name w:val="annotation subject"/>
    <w:basedOn w:val="CommentText"/>
    <w:next w:val="CommentText"/>
    <w:link w:val="CommentSubjectChar"/>
    <w:rsid w:val="004E5C87"/>
    <w:rPr>
      <w:b/>
      <w:bCs/>
    </w:rPr>
  </w:style>
  <w:style w:type="character" w:customStyle="1" w:styleId="CommentSubjectChar">
    <w:name w:val="Comment Subject Char"/>
    <w:basedOn w:val="CommentTextChar"/>
    <w:link w:val="CommentSubject"/>
    <w:rsid w:val="004E5C8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888D0B81AFA74799D98F022F66F759" ma:contentTypeVersion="144" ma:contentTypeDescription="" ma:contentTypeScope="" ma:versionID="eff539e942df3fe66d9be35b640cd08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2000-09-25T07:00:00+00:00</OpenedDate>
    <Date1 xmlns="dc463f71-b30c-4ab2-9473-d307f9d35888">2010-07-13T07:00:00+00:00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001457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C479E25-9D2E-48D0-9B78-423E85DFD918}"/>
</file>

<file path=customXml/itemProps2.xml><?xml version="1.0" encoding="utf-8"?>
<ds:datastoreItem xmlns:ds="http://schemas.openxmlformats.org/officeDocument/2006/customXml" ds:itemID="{15708EFB-C07A-4603-91E4-576C8F0F1446}"/>
</file>

<file path=customXml/itemProps3.xml><?xml version="1.0" encoding="utf-8"?>
<ds:datastoreItem xmlns:ds="http://schemas.openxmlformats.org/officeDocument/2006/customXml" ds:itemID="{A3A51CF7-0480-48F9-81E6-94556D58BC5E}"/>
</file>

<file path=customXml/itemProps4.xml><?xml version="1.0" encoding="utf-8"?>
<ds:datastoreItem xmlns:ds="http://schemas.openxmlformats.org/officeDocument/2006/customXml" ds:itemID="{21FFB2B8-CED6-4E5A-8DB3-F7C822F7FDE5}"/>
</file>

<file path=docProps/app.xml><?xml version="1.0" encoding="utf-8"?>
<Properties xmlns="http://schemas.openxmlformats.org/officeDocument/2006/extended-properties" xmlns:vt="http://schemas.openxmlformats.org/officeDocument/2006/docPropsVTypes">
  <Template>Normal.dotm</Template>
  <TotalTime>0</TotalTime>
  <Pages>6</Pages>
  <Words>1316</Words>
  <Characters>7636</Characters>
  <Application>Microsoft Office Word</Application>
  <DocSecurity>0</DocSecurity>
  <Lines>63</Lines>
  <Paragraphs>17</Paragraphs>
  <ScaleCrop>false</ScaleCrop>
  <Company/>
  <LinksUpToDate>false</LinksUpToDate>
  <CharactersWithSpaces>8935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2010-07-13T16:09:00Z</dcterms:created>
  <dcterms:modified xsi:type="dcterms:W3CDTF">2010-07-13T16:09:00Z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0x0101006E56B4D1795A2E4DB2F0B01679ED314A0097888D0B81AFA74799D98F022F66F759</vt:lpwstr>
  </property>
  <property fmtid="{D5CDD505-2E9C-101B-9397-08002B2CF9AE}" pid="4" name="_docset_NoMedatataSyncRequired">
    <vt:lpwstr>False</vt:lpwstr>
  </property>
</Properties>
</file>