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21" w:rsidRPr="00B814E2" w:rsidRDefault="00754EB2" w:rsidP="00BB5741">
      <w:pPr>
        <w:ind w:left="5580"/>
        <w:rPr>
          <w:b/>
        </w:rPr>
      </w:pPr>
      <w:r>
        <w:rPr>
          <w:b/>
        </w:rPr>
        <w:t xml:space="preserve">Exhibit No. </w:t>
      </w:r>
      <w:r w:rsidRPr="00754EB2">
        <w:rPr>
          <w:b/>
        </w:rPr>
        <w:t>SMC-1T</w:t>
      </w:r>
    </w:p>
    <w:p w:rsidR="00061921" w:rsidRPr="00B814E2" w:rsidRDefault="00A31AF4" w:rsidP="00BB5741">
      <w:pPr>
        <w:ind w:left="5580"/>
        <w:rPr>
          <w:b/>
        </w:rPr>
      </w:pPr>
      <w:r>
        <w:rPr>
          <w:b/>
        </w:rPr>
        <w:t>Docket UE-152253</w:t>
      </w:r>
    </w:p>
    <w:p w:rsidR="00061921" w:rsidRPr="00B814E2" w:rsidRDefault="00061921" w:rsidP="00BB5741">
      <w:pPr>
        <w:ind w:left="5580"/>
        <w:rPr>
          <w:b/>
        </w:rPr>
      </w:pPr>
      <w:r>
        <w:rPr>
          <w:b/>
        </w:rPr>
        <w:t>Witness:  Shawn M. Collins</w:t>
      </w:r>
      <w:r w:rsidRPr="00B814E2">
        <w:rPr>
          <w:b/>
        </w:rPr>
        <w:t xml:space="preserve"> </w:t>
      </w:r>
    </w:p>
    <w:p w:rsidR="00061921" w:rsidRPr="00B814E2" w:rsidRDefault="00061921" w:rsidP="00BB5741">
      <w:pPr>
        <w:rPr>
          <w:b/>
        </w:rPr>
      </w:pPr>
    </w:p>
    <w:p w:rsidR="00061921" w:rsidRPr="00B814E2" w:rsidRDefault="00061921" w:rsidP="00BB5741">
      <w:pPr>
        <w:rPr>
          <w:b/>
        </w:rPr>
      </w:pPr>
    </w:p>
    <w:p w:rsidR="00061921" w:rsidRPr="00B814E2" w:rsidRDefault="00061921" w:rsidP="00BB5741">
      <w:pPr>
        <w:ind w:left="-360" w:right="-252"/>
        <w:jc w:val="center"/>
        <w:rPr>
          <w:b/>
        </w:rPr>
      </w:pPr>
      <w:r w:rsidRPr="00B814E2">
        <w:rPr>
          <w:b/>
        </w:rPr>
        <w:t>BEFORE THE WASHINGTON UTILITIES AND TRANSPORTATION COMMISSION</w:t>
      </w:r>
    </w:p>
    <w:p w:rsidR="00061921" w:rsidRPr="00B814E2" w:rsidRDefault="00281098" w:rsidP="00BB5741">
      <w:pPr>
        <w:rPr>
          <w:b/>
        </w:rPr>
      </w:pPr>
      <w:r>
        <w:rPr>
          <w:b/>
        </w:rPr>
        <w:t xml:space="preserve">  </w:t>
      </w:r>
    </w:p>
    <w:tbl>
      <w:tblPr>
        <w:tblW w:w="9180" w:type="dxa"/>
        <w:tblLayout w:type="fixed"/>
        <w:tblCellMar>
          <w:left w:w="124" w:type="dxa"/>
          <w:right w:w="124" w:type="dxa"/>
        </w:tblCellMar>
        <w:tblLook w:val="04A0"/>
      </w:tblPr>
      <w:tblGrid>
        <w:gridCol w:w="4590"/>
        <w:gridCol w:w="4590"/>
      </w:tblGrid>
      <w:tr w:rsidR="00061921" w:rsidTr="00061921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</w:tcPr>
          <w:p w:rsidR="00061921" w:rsidRDefault="00061921" w:rsidP="00277BC3">
            <w:pPr>
              <w:pStyle w:val="Subtitle"/>
              <w:keepNext/>
              <w:keepLines/>
              <w:spacing w:before="200"/>
              <w:outlineLvl w:val="3"/>
              <w:rPr>
                <w:rFonts w:ascii="Times" w:hAnsi="Times"/>
                <w:b/>
                <w:bCs/>
                <w:i/>
                <w:iCs/>
                <w:color w:val="4F81BD" w:themeColor="accent1"/>
              </w:rPr>
            </w:pPr>
            <w:r>
              <w:rPr>
                <w:rFonts w:ascii="Times" w:hAnsi="Times"/>
                <w:b/>
              </w:rPr>
              <w:t>WASHINGTON UTILITIES AND</w:t>
            </w:r>
          </w:p>
          <w:p w:rsidR="00061921" w:rsidRDefault="00061921" w:rsidP="00277BC3">
            <w:pPr>
              <w:keepNext/>
              <w:keepLines/>
              <w:spacing w:before="200"/>
              <w:outlineLvl w:val="8"/>
              <w:rPr>
                <w:b/>
                <w:i/>
                <w:iCs/>
                <w:color w:val="404040" w:themeColor="text1" w:themeTint="BF"/>
              </w:rPr>
            </w:pPr>
            <w:r>
              <w:rPr>
                <w:rFonts w:ascii="Times" w:hAnsi="Times"/>
                <w:b/>
              </w:rPr>
              <w:t>TRANSPORTATION COMMISSION</w:t>
            </w:r>
            <w:r>
              <w:rPr>
                <w:b/>
              </w:rPr>
              <w:t>,</w:t>
            </w:r>
          </w:p>
          <w:p w:rsidR="00061921" w:rsidRDefault="00061921" w:rsidP="00277BC3">
            <w:pPr>
              <w:rPr>
                <w:b/>
              </w:rPr>
            </w:pPr>
          </w:p>
          <w:p w:rsidR="00061921" w:rsidRDefault="00061921" w:rsidP="00277BC3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ab/>
              <w:t>Complainant,</w:t>
            </w:r>
          </w:p>
          <w:p w:rsidR="00061921" w:rsidRDefault="00061921" w:rsidP="00277BC3">
            <w:pPr>
              <w:rPr>
                <w:b/>
              </w:rPr>
            </w:pPr>
          </w:p>
          <w:p w:rsidR="00061921" w:rsidRDefault="00061921" w:rsidP="00277BC3">
            <w:pPr>
              <w:rPr>
                <w:b/>
              </w:rPr>
            </w:pPr>
            <w:r>
              <w:rPr>
                <w:b/>
              </w:rPr>
              <w:t>v.</w:t>
            </w:r>
          </w:p>
          <w:p w:rsidR="00061921" w:rsidRDefault="00061921" w:rsidP="00277BC3">
            <w:pPr>
              <w:rPr>
                <w:b/>
              </w:rPr>
            </w:pPr>
          </w:p>
          <w:p w:rsidR="00061921" w:rsidRDefault="00F161C5" w:rsidP="00F161C5">
            <w:pPr>
              <w:rPr>
                <w:b/>
              </w:rPr>
            </w:pPr>
            <w:r>
              <w:rPr>
                <w:b/>
              </w:rPr>
              <w:t>PACIFIC POWER &amp; LIGHT COMPANY</w:t>
            </w:r>
            <w:r w:rsidR="00A31AF4">
              <w:rPr>
                <w:b/>
              </w:rPr>
              <w:t>,</w:t>
            </w:r>
          </w:p>
          <w:p w:rsidR="00061921" w:rsidRDefault="00061921" w:rsidP="00277BC3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  <w:p w:rsidR="00061921" w:rsidRDefault="00061921" w:rsidP="00277BC3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061921" w:rsidRDefault="00D0361B" w:rsidP="00A31AF4">
            <w:pPr>
              <w:keepNext/>
              <w:keepLines/>
              <w:spacing w:before="200"/>
              <w:ind w:left="450"/>
              <w:outlineLvl w:val="3"/>
              <w:rPr>
                <w:b/>
                <w:bCs/>
                <w:i/>
                <w:iCs/>
                <w:color w:val="4F81BD" w:themeColor="accent1"/>
              </w:rPr>
            </w:pPr>
            <w:r>
              <w:rPr>
                <w:b/>
              </w:rPr>
              <w:t>DOCKET</w:t>
            </w:r>
            <w:r w:rsidR="00061921">
              <w:rPr>
                <w:b/>
              </w:rPr>
              <w:t xml:space="preserve"> UE-</w:t>
            </w:r>
            <w:r w:rsidR="00A31AF4">
              <w:rPr>
                <w:b/>
              </w:rPr>
              <w:t>152253</w:t>
            </w:r>
          </w:p>
          <w:p w:rsidR="00061921" w:rsidRDefault="00061921" w:rsidP="00277BC3">
            <w:pPr>
              <w:tabs>
                <w:tab w:val="center" w:pos="4680"/>
              </w:tabs>
              <w:rPr>
                <w:b/>
              </w:rPr>
            </w:pPr>
          </w:p>
          <w:p w:rsidR="00061921" w:rsidRDefault="00061921" w:rsidP="00277BC3">
            <w:pPr>
              <w:tabs>
                <w:tab w:val="center" w:pos="4680"/>
              </w:tabs>
              <w:jc w:val="center"/>
              <w:rPr>
                <w:b/>
              </w:rPr>
            </w:pPr>
          </w:p>
        </w:tc>
      </w:tr>
    </w:tbl>
    <w:p w:rsidR="00061921" w:rsidRDefault="00061921" w:rsidP="00277BC3">
      <w:pPr>
        <w:rPr>
          <w:b/>
          <w:bCs/>
        </w:rPr>
      </w:pPr>
    </w:p>
    <w:p w:rsidR="00061921" w:rsidRDefault="00061921" w:rsidP="00277BC3">
      <w:pPr>
        <w:rPr>
          <w:b/>
          <w:bCs/>
        </w:rPr>
      </w:pPr>
    </w:p>
    <w:p w:rsidR="00061921" w:rsidRDefault="00061921" w:rsidP="00277BC3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TESTIMONY OF</w:t>
      </w:r>
    </w:p>
    <w:p w:rsidR="00061921" w:rsidRDefault="00061921" w:rsidP="00277BC3">
      <w:pPr>
        <w:jc w:val="center"/>
        <w:rPr>
          <w:b/>
          <w:bCs/>
        </w:rPr>
      </w:pPr>
    </w:p>
    <w:p w:rsidR="00061921" w:rsidRDefault="00061921" w:rsidP="00277BC3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Shawn M. Collins</w:t>
      </w:r>
    </w:p>
    <w:p w:rsidR="00061921" w:rsidRDefault="00061921" w:rsidP="00277BC3">
      <w:pPr>
        <w:tabs>
          <w:tab w:val="center" w:pos="4680"/>
        </w:tabs>
        <w:jc w:val="center"/>
        <w:rPr>
          <w:b/>
          <w:bCs/>
        </w:rPr>
      </w:pPr>
    </w:p>
    <w:p w:rsidR="00061921" w:rsidRDefault="00061921" w:rsidP="00277BC3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STAFF OF</w:t>
      </w:r>
    </w:p>
    <w:p w:rsidR="00061921" w:rsidRDefault="00061921" w:rsidP="00277BC3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THE ENERGY PROJECT</w:t>
      </w:r>
    </w:p>
    <w:p w:rsidR="00061921" w:rsidRDefault="00061921" w:rsidP="00277BC3">
      <w:pPr>
        <w:jc w:val="center"/>
        <w:rPr>
          <w:b/>
          <w:bCs/>
        </w:rPr>
      </w:pPr>
    </w:p>
    <w:p w:rsidR="00061921" w:rsidRDefault="00061921" w:rsidP="00277BC3">
      <w:pPr>
        <w:rPr>
          <w:b/>
          <w:bCs/>
        </w:rPr>
      </w:pPr>
    </w:p>
    <w:p w:rsidR="00061921" w:rsidRDefault="00061921" w:rsidP="00277BC3">
      <w:pPr>
        <w:rPr>
          <w:b/>
          <w:bCs/>
        </w:rPr>
      </w:pPr>
    </w:p>
    <w:p w:rsidR="00061921" w:rsidRPr="00B814E2" w:rsidRDefault="00061921" w:rsidP="00277BC3">
      <w:pPr>
        <w:jc w:val="center"/>
        <w:rPr>
          <w:b/>
          <w:bCs/>
          <w:i/>
        </w:rPr>
      </w:pPr>
      <w:r>
        <w:rPr>
          <w:b/>
          <w:bCs/>
          <w:i/>
        </w:rPr>
        <w:t>Low-Income Issues</w:t>
      </w:r>
    </w:p>
    <w:p w:rsidR="00061921" w:rsidRDefault="00061921" w:rsidP="00277BC3">
      <w:pPr>
        <w:rPr>
          <w:b/>
          <w:bCs/>
        </w:rPr>
      </w:pPr>
    </w:p>
    <w:p w:rsidR="00061921" w:rsidRDefault="00061921" w:rsidP="00277BC3">
      <w:pPr>
        <w:rPr>
          <w:b/>
          <w:bCs/>
        </w:rPr>
      </w:pPr>
    </w:p>
    <w:p w:rsidR="00061921" w:rsidRDefault="00D0361B" w:rsidP="00277BC3">
      <w:pPr>
        <w:jc w:val="center"/>
        <w:rPr>
          <w:b/>
          <w:bCs/>
        </w:rPr>
      </w:pPr>
      <w:r>
        <w:rPr>
          <w:b/>
          <w:bCs/>
        </w:rPr>
        <w:t>March 17, 2016</w:t>
      </w:r>
    </w:p>
    <w:p w:rsidR="00061921" w:rsidRDefault="00061921" w:rsidP="00277BC3"/>
    <w:p w:rsidR="00061921" w:rsidRDefault="00061921" w:rsidP="00277BC3"/>
    <w:p w:rsidR="00061921" w:rsidRDefault="00061921" w:rsidP="00277BC3"/>
    <w:p w:rsidR="00061921" w:rsidRDefault="00061921" w:rsidP="00277BC3"/>
    <w:p w:rsidR="00061921" w:rsidRDefault="00061921" w:rsidP="00277BC3"/>
    <w:p w:rsidR="00061921" w:rsidRDefault="00061921" w:rsidP="00277BC3"/>
    <w:p w:rsidR="00061921" w:rsidRDefault="00061921" w:rsidP="00277BC3"/>
    <w:p w:rsidR="00061921" w:rsidRDefault="00061921" w:rsidP="00277BC3"/>
    <w:p w:rsidR="00061921" w:rsidRDefault="00061921" w:rsidP="00277BC3"/>
    <w:p w:rsidR="00363621" w:rsidRDefault="00363621" w:rsidP="00277BC3"/>
    <w:p w:rsidR="00061921" w:rsidRDefault="00061921" w:rsidP="00277BC3"/>
    <w:p w:rsidR="00061921" w:rsidRDefault="00061921" w:rsidP="00277BC3"/>
    <w:p w:rsidR="005F1865" w:rsidRPr="00742670" w:rsidRDefault="005F1865" w:rsidP="00277BC3">
      <w:pPr>
        <w:jc w:val="center"/>
      </w:pPr>
      <w:r w:rsidRPr="00742670">
        <w:rPr>
          <w:b/>
        </w:rPr>
        <w:lastRenderedPageBreak/>
        <w:t>TABLE OF CONTENTS</w:t>
      </w:r>
    </w:p>
    <w:p w:rsidR="005F1865" w:rsidRPr="00310744" w:rsidRDefault="005F1865" w:rsidP="00277BC3">
      <w:pPr>
        <w:rPr>
          <w:highlight w:val="yellow"/>
        </w:rPr>
      </w:pPr>
    </w:p>
    <w:p w:rsidR="005F1865" w:rsidRPr="00310744" w:rsidRDefault="005F1865" w:rsidP="00277BC3">
      <w:pPr>
        <w:rPr>
          <w:highlight w:val="yellow"/>
        </w:rPr>
      </w:pPr>
    </w:p>
    <w:p w:rsidR="005F1865" w:rsidRPr="00742670" w:rsidRDefault="005F1865" w:rsidP="00277BC3">
      <w:pPr>
        <w:tabs>
          <w:tab w:val="left" w:pos="720"/>
          <w:tab w:val="left" w:pos="1440"/>
          <w:tab w:val="left" w:pos="2160"/>
          <w:tab w:val="right" w:leader="dot" w:pos="8820"/>
        </w:tabs>
      </w:pPr>
      <w:r w:rsidRPr="00742670">
        <w:t>I.</w:t>
      </w:r>
      <w:r w:rsidRPr="00742670">
        <w:tab/>
        <w:t xml:space="preserve">INTRODUCTION </w:t>
      </w:r>
      <w:r w:rsidRPr="00742670">
        <w:tab/>
      </w:r>
      <w:r w:rsidR="008E5051">
        <w:t>3</w:t>
      </w:r>
    </w:p>
    <w:p w:rsidR="005F1865" w:rsidRPr="00310744" w:rsidRDefault="005F1865" w:rsidP="00277BC3">
      <w:pPr>
        <w:tabs>
          <w:tab w:val="left" w:pos="720"/>
          <w:tab w:val="left" w:pos="1440"/>
          <w:tab w:val="left" w:pos="2160"/>
          <w:tab w:val="right" w:leader="dot" w:pos="8820"/>
        </w:tabs>
        <w:rPr>
          <w:highlight w:val="yellow"/>
        </w:rPr>
      </w:pPr>
    </w:p>
    <w:p w:rsidR="005F1865" w:rsidRDefault="005F1865" w:rsidP="00277BC3">
      <w:pPr>
        <w:tabs>
          <w:tab w:val="left" w:pos="720"/>
          <w:tab w:val="left" w:pos="1440"/>
          <w:tab w:val="left" w:pos="2160"/>
          <w:tab w:val="right" w:leader="dot" w:pos="8820"/>
        </w:tabs>
      </w:pPr>
      <w:r w:rsidRPr="005F1865">
        <w:t>II.</w:t>
      </w:r>
      <w:r w:rsidRPr="005F1865">
        <w:tab/>
        <w:t xml:space="preserve">SCOPE AND SUMMARY OF TESTIMONY </w:t>
      </w:r>
      <w:r w:rsidRPr="005F1865">
        <w:tab/>
      </w:r>
      <w:r w:rsidR="008E5051">
        <w:t>4</w:t>
      </w:r>
    </w:p>
    <w:p w:rsidR="007C780C" w:rsidRPr="004422D6" w:rsidRDefault="007C780C" w:rsidP="00D702DD">
      <w:pPr>
        <w:tabs>
          <w:tab w:val="left" w:pos="720"/>
          <w:tab w:val="left" w:pos="1440"/>
          <w:tab w:val="left" w:pos="2160"/>
          <w:tab w:val="right" w:leader="dot" w:pos="8820"/>
        </w:tabs>
      </w:pPr>
    </w:p>
    <w:p w:rsidR="00B3135C" w:rsidRPr="00B3135C" w:rsidRDefault="00754EB2" w:rsidP="00B3135C">
      <w:pPr>
        <w:tabs>
          <w:tab w:val="left" w:pos="720"/>
          <w:tab w:val="left" w:pos="1440"/>
          <w:tab w:val="left" w:pos="2160"/>
          <w:tab w:val="right" w:leader="dot" w:pos="8820"/>
        </w:tabs>
        <w:ind w:left="720" w:hanging="720"/>
      </w:pPr>
      <w:r>
        <w:t>III</w:t>
      </w:r>
      <w:r w:rsidR="004422D6" w:rsidRPr="004422D6">
        <w:t>.</w:t>
      </w:r>
      <w:r w:rsidR="004422D6" w:rsidRPr="004422D6">
        <w:tab/>
      </w:r>
      <w:r w:rsidR="00B3135C" w:rsidRPr="00B3135C">
        <w:t>SUBSTANTIVE DISCUSSION OF ISSUES</w:t>
      </w:r>
      <w:r w:rsidR="00B3135C" w:rsidRPr="005F1865">
        <w:tab/>
      </w:r>
      <w:r w:rsidR="008E5051">
        <w:t>4</w:t>
      </w:r>
    </w:p>
    <w:p w:rsidR="00363621" w:rsidRDefault="00BB4309" w:rsidP="00B3135C">
      <w:pPr>
        <w:tabs>
          <w:tab w:val="left" w:pos="720"/>
          <w:tab w:val="left" w:pos="1440"/>
          <w:tab w:val="left" w:pos="2160"/>
          <w:tab w:val="right" w:leader="dot" w:pos="8820"/>
        </w:tabs>
        <w:ind w:left="720" w:hanging="720"/>
      </w:pPr>
      <w:r w:rsidRPr="00B3135C">
        <w:tab/>
      </w:r>
    </w:p>
    <w:p w:rsidR="00363621" w:rsidRDefault="00754EB2" w:rsidP="00BB4309">
      <w:pPr>
        <w:tabs>
          <w:tab w:val="left" w:pos="720"/>
          <w:tab w:val="left" w:pos="1440"/>
          <w:tab w:val="left" w:pos="2160"/>
          <w:tab w:val="right" w:leader="dot" w:pos="8820"/>
        </w:tabs>
      </w:pPr>
      <w:r>
        <w:t>V</w:t>
      </w:r>
      <w:r w:rsidR="00363621">
        <w:t>.</w:t>
      </w:r>
      <w:r w:rsidR="00363621">
        <w:tab/>
        <w:t>CONCLUSION</w:t>
      </w:r>
      <w:r w:rsidR="00363621" w:rsidRPr="005F1865">
        <w:tab/>
      </w:r>
      <w:r w:rsidR="00FF687A">
        <w:t>11</w:t>
      </w:r>
    </w:p>
    <w:p w:rsidR="00AD4B42" w:rsidRPr="004422D6" w:rsidRDefault="00AD4B42" w:rsidP="006B7E11">
      <w:pPr>
        <w:spacing w:line="480" w:lineRule="auto"/>
        <w:ind w:left="720" w:hanging="720"/>
      </w:pPr>
    </w:p>
    <w:p w:rsidR="005F1865" w:rsidRPr="00310744" w:rsidRDefault="005F1865" w:rsidP="0060413F">
      <w:pPr>
        <w:tabs>
          <w:tab w:val="left" w:pos="720"/>
          <w:tab w:val="left" w:pos="1440"/>
          <w:tab w:val="left" w:pos="2160"/>
          <w:tab w:val="right" w:leader="dot" w:pos="8820"/>
        </w:tabs>
        <w:spacing w:line="480" w:lineRule="auto"/>
        <w:rPr>
          <w:highlight w:val="yellow"/>
        </w:rPr>
      </w:pPr>
    </w:p>
    <w:p w:rsidR="005F1865" w:rsidRPr="00310744" w:rsidRDefault="005F1865" w:rsidP="0060413F">
      <w:pPr>
        <w:spacing w:line="480" w:lineRule="auto"/>
        <w:rPr>
          <w:highlight w:val="yellow"/>
        </w:rPr>
      </w:pPr>
    </w:p>
    <w:p w:rsidR="005F1865" w:rsidRDefault="005F1865" w:rsidP="0060413F">
      <w:pPr>
        <w:spacing w:line="480" w:lineRule="auto"/>
        <w:rPr>
          <w:bCs/>
        </w:rPr>
      </w:pPr>
    </w:p>
    <w:p w:rsidR="00BB4309" w:rsidRDefault="00BB4309" w:rsidP="0060413F">
      <w:pPr>
        <w:spacing w:line="480" w:lineRule="auto"/>
        <w:rPr>
          <w:bCs/>
        </w:rPr>
      </w:pPr>
    </w:p>
    <w:p w:rsidR="00BB4309" w:rsidRDefault="00BB4309" w:rsidP="0060413F">
      <w:pPr>
        <w:spacing w:line="480" w:lineRule="auto"/>
        <w:rPr>
          <w:bCs/>
        </w:rPr>
      </w:pPr>
    </w:p>
    <w:p w:rsidR="00BB4309" w:rsidRDefault="00BB4309" w:rsidP="0060413F">
      <w:pPr>
        <w:spacing w:line="480" w:lineRule="auto"/>
        <w:rPr>
          <w:bCs/>
        </w:rPr>
      </w:pPr>
    </w:p>
    <w:p w:rsidR="00BB4309" w:rsidRPr="00742670" w:rsidRDefault="00BB4309" w:rsidP="0060413F">
      <w:pPr>
        <w:spacing w:line="480" w:lineRule="auto"/>
      </w:pPr>
    </w:p>
    <w:p w:rsidR="005F1865" w:rsidRDefault="005F1865" w:rsidP="0060413F">
      <w:pPr>
        <w:spacing w:line="480" w:lineRule="auto"/>
      </w:pPr>
    </w:p>
    <w:p w:rsidR="005F1865" w:rsidRDefault="005F1865" w:rsidP="0060413F">
      <w:pPr>
        <w:spacing w:line="480" w:lineRule="auto"/>
      </w:pPr>
    </w:p>
    <w:p w:rsidR="005F1865" w:rsidRDefault="005F1865" w:rsidP="0060413F">
      <w:pPr>
        <w:spacing w:line="480" w:lineRule="auto"/>
      </w:pPr>
    </w:p>
    <w:p w:rsidR="005F1865" w:rsidRDefault="005F1865" w:rsidP="0060413F">
      <w:pPr>
        <w:spacing w:line="480" w:lineRule="auto"/>
      </w:pPr>
    </w:p>
    <w:p w:rsidR="005F1865" w:rsidRDefault="005F1865" w:rsidP="0060413F">
      <w:pPr>
        <w:spacing w:line="480" w:lineRule="auto"/>
      </w:pPr>
    </w:p>
    <w:p w:rsidR="005F1865" w:rsidRDefault="005F1865" w:rsidP="0060413F">
      <w:pPr>
        <w:spacing w:line="480" w:lineRule="auto"/>
      </w:pPr>
    </w:p>
    <w:p w:rsidR="005F1865" w:rsidRDefault="005F1865" w:rsidP="0060413F">
      <w:pPr>
        <w:spacing w:line="480" w:lineRule="auto"/>
      </w:pPr>
    </w:p>
    <w:p w:rsidR="00C979D6" w:rsidRDefault="00C979D6" w:rsidP="002C38B3">
      <w:pPr>
        <w:spacing w:line="480" w:lineRule="auto"/>
        <w:rPr>
          <w:b/>
        </w:rPr>
        <w:sectPr w:rsidR="00C979D6" w:rsidSect="00C979D6">
          <w:footerReference w:type="default" r:id="rId7"/>
          <w:pgSz w:w="12240" w:h="15840"/>
          <w:pgMar w:top="1440" w:right="1800" w:bottom="1440" w:left="1800" w:header="720" w:footer="720" w:gutter="0"/>
          <w:cols w:space="720"/>
        </w:sectPr>
      </w:pPr>
    </w:p>
    <w:p w:rsidR="004422D6" w:rsidRDefault="004422D6" w:rsidP="004357D2">
      <w:pPr>
        <w:spacing w:line="480" w:lineRule="auto"/>
        <w:jc w:val="center"/>
        <w:rPr>
          <w:b/>
        </w:rPr>
      </w:pPr>
      <w:r>
        <w:rPr>
          <w:b/>
        </w:rPr>
        <w:lastRenderedPageBreak/>
        <w:t>I.</w:t>
      </w:r>
      <w:r>
        <w:rPr>
          <w:b/>
        </w:rPr>
        <w:tab/>
        <w:t>INTRODUCTION</w:t>
      </w:r>
    </w:p>
    <w:p w:rsidR="00061921" w:rsidRDefault="00061921">
      <w:pPr>
        <w:spacing w:line="480" w:lineRule="auto"/>
      </w:pPr>
      <w:r>
        <w:rPr>
          <w:b/>
        </w:rPr>
        <w:t>Q.</w:t>
      </w:r>
      <w:r>
        <w:rPr>
          <w:b/>
        </w:rPr>
        <w:tab/>
        <w:t xml:space="preserve">Please state your name and business address.  </w:t>
      </w:r>
    </w:p>
    <w:p w:rsidR="00061921" w:rsidRDefault="00061921" w:rsidP="002B2D26">
      <w:pPr>
        <w:spacing w:line="480" w:lineRule="auto"/>
        <w:ind w:left="720" w:hanging="720"/>
      </w:pPr>
      <w:r>
        <w:t>A.</w:t>
      </w:r>
      <w:r>
        <w:tab/>
      </w:r>
      <w:r w:rsidR="002B2D26">
        <w:tab/>
      </w:r>
      <w:r>
        <w:t>I am Shawn Collins.  My business address is 3406 Redwood Avenue, Bellingham, WA 98225</w:t>
      </w:r>
      <w:r w:rsidR="00503838">
        <w:t>.</w:t>
      </w:r>
    </w:p>
    <w:p w:rsidR="00061921" w:rsidRDefault="00061921">
      <w:pPr>
        <w:spacing w:line="480" w:lineRule="auto"/>
        <w:ind w:left="720" w:hanging="720"/>
      </w:pPr>
      <w:r>
        <w:rPr>
          <w:b/>
        </w:rPr>
        <w:t>Q.</w:t>
      </w:r>
      <w:r>
        <w:rPr>
          <w:b/>
        </w:rPr>
        <w:tab/>
        <w:t xml:space="preserve">By whom are you employed and in what capacity?  </w:t>
      </w:r>
    </w:p>
    <w:p w:rsidR="002E038B" w:rsidRDefault="00061921" w:rsidP="002B2D26">
      <w:pPr>
        <w:spacing w:line="480" w:lineRule="auto"/>
        <w:ind w:left="720" w:hanging="720"/>
      </w:pPr>
      <w:r w:rsidRPr="002E038B">
        <w:rPr>
          <w:b/>
        </w:rPr>
        <w:t>A</w:t>
      </w:r>
      <w:r>
        <w:t>.</w:t>
      </w:r>
      <w:r>
        <w:tab/>
      </w:r>
      <w:r w:rsidR="002B2D26">
        <w:tab/>
      </w:r>
      <w:r>
        <w:t xml:space="preserve">I am </w:t>
      </w:r>
      <w:r w:rsidR="00BB4309">
        <w:t>the</w:t>
      </w:r>
      <w:r w:rsidR="001C5184">
        <w:t xml:space="preserve"> Director of</w:t>
      </w:r>
      <w:r>
        <w:t xml:space="preserve"> The E</w:t>
      </w:r>
      <w:r w:rsidR="004422D6">
        <w:t>nergy Project</w:t>
      </w:r>
      <w:r w:rsidR="00BB4309">
        <w:t xml:space="preserve"> (TEP)</w:t>
      </w:r>
      <w:r w:rsidR="004422D6">
        <w:t xml:space="preserve">, </w:t>
      </w:r>
      <w:r w:rsidR="002535A2">
        <w:t>a pro</w:t>
      </w:r>
      <w:r w:rsidR="004357D2">
        <w:t xml:space="preserve">gram </w:t>
      </w:r>
      <w:r w:rsidR="002535A2">
        <w:t xml:space="preserve">of the Washington State Community Action Partnership housed at the </w:t>
      </w:r>
      <w:r>
        <w:t>Opportunity Council</w:t>
      </w:r>
      <w:r w:rsidR="002535A2">
        <w:t xml:space="preserve"> in Bellingham, WA</w:t>
      </w:r>
      <w:r>
        <w:t>.</w:t>
      </w:r>
      <w:r w:rsidR="001C5184">
        <w:t xml:space="preserve"> </w:t>
      </w:r>
    </w:p>
    <w:p w:rsidR="00061921" w:rsidRDefault="00061921" w:rsidP="002E038B">
      <w:pPr>
        <w:spacing w:line="480" w:lineRule="auto"/>
      </w:pPr>
      <w:r>
        <w:rPr>
          <w:b/>
        </w:rPr>
        <w:t>Q.</w:t>
      </w:r>
      <w:r>
        <w:rPr>
          <w:b/>
        </w:rPr>
        <w:tab/>
        <w:t xml:space="preserve">How long have you been employed </w:t>
      </w:r>
      <w:r w:rsidR="001C5184">
        <w:rPr>
          <w:b/>
        </w:rPr>
        <w:t>by Opportunity Council.</w:t>
      </w:r>
      <w:r>
        <w:rPr>
          <w:b/>
        </w:rPr>
        <w:t xml:space="preserve">  </w:t>
      </w:r>
      <w:r>
        <w:t xml:space="preserve"> </w:t>
      </w:r>
    </w:p>
    <w:p w:rsidR="002E038B" w:rsidRDefault="001C5184" w:rsidP="002B2D26">
      <w:pPr>
        <w:spacing w:line="480" w:lineRule="auto"/>
        <w:ind w:left="720" w:hanging="720"/>
      </w:pPr>
      <w:r w:rsidRPr="002E038B">
        <w:rPr>
          <w:b/>
        </w:rPr>
        <w:t>A</w:t>
      </w:r>
      <w:r>
        <w:t>.</w:t>
      </w:r>
      <w:r>
        <w:tab/>
      </w:r>
      <w:r w:rsidR="002B2D26">
        <w:tab/>
      </w:r>
      <w:r>
        <w:t xml:space="preserve">I have been employed by Opportunity Council since 2006. </w:t>
      </w:r>
    </w:p>
    <w:p w:rsidR="00061921" w:rsidRDefault="00061921" w:rsidP="002E038B">
      <w:pPr>
        <w:spacing w:line="480" w:lineRule="auto"/>
      </w:pPr>
      <w:r>
        <w:rPr>
          <w:b/>
        </w:rPr>
        <w:t xml:space="preserve">Q </w:t>
      </w:r>
      <w:r>
        <w:rPr>
          <w:b/>
        </w:rPr>
        <w:tab/>
        <w:t xml:space="preserve">Would you please state your educational and professional background?  </w:t>
      </w:r>
    </w:p>
    <w:p w:rsidR="00DE68C9" w:rsidRDefault="00061921" w:rsidP="002B2D26">
      <w:pPr>
        <w:spacing w:line="480" w:lineRule="auto"/>
        <w:ind w:left="720" w:hanging="720"/>
      </w:pPr>
      <w:r w:rsidRPr="002E038B">
        <w:rPr>
          <w:b/>
        </w:rPr>
        <w:t>A.</w:t>
      </w:r>
      <w:r>
        <w:tab/>
      </w:r>
      <w:r w:rsidR="002B2D26">
        <w:tab/>
      </w:r>
      <w:r w:rsidR="003821D6">
        <w:t>I have a BA from</w:t>
      </w:r>
      <w:r w:rsidR="0013530E">
        <w:t xml:space="preserve"> Eastern Illinois University and </w:t>
      </w:r>
      <w:r w:rsidR="003821D6">
        <w:t>have been working on issues impacting low-income populations since 2002 through</w:t>
      </w:r>
      <w:r w:rsidR="00BB4309">
        <w:t xml:space="preserve"> Community Action Partnership organizations </w:t>
      </w:r>
      <w:r w:rsidR="003821D6">
        <w:t xml:space="preserve">and a variety of other nongovernmental </w:t>
      </w:r>
      <w:r w:rsidR="00BB4309">
        <w:t>entities</w:t>
      </w:r>
      <w:r w:rsidR="003821D6">
        <w:t xml:space="preserve">. </w:t>
      </w:r>
      <w:r w:rsidR="00BB4309">
        <w:t xml:space="preserve">I have been employed with </w:t>
      </w:r>
      <w:r w:rsidR="007D4C85">
        <w:t>TEP</w:t>
      </w:r>
      <w:r w:rsidR="00BB4309">
        <w:t xml:space="preserve"> for one year, and have been the Director since August of 2</w:t>
      </w:r>
      <w:r w:rsidR="00DE68C9">
        <w:t xml:space="preserve">015. I </w:t>
      </w:r>
      <w:r w:rsidR="007D4C85">
        <w:t>have</w:t>
      </w:r>
      <w:r w:rsidR="00441193">
        <w:t xml:space="preserve"> previously </w:t>
      </w:r>
      <w:r w:rsidR="00DE68C9">
        <w:t xml:space="preserve"> provided testimony on behalf of TEP in </w:t>
      </w:r>
      <w:r w:rsidR="00DE68C9" w:rsidRPr="00DE68C9">
        <w:t>Dockets UE-150204/UG-150205</w:t>
      </w:r>
      <w:r w:rsidR="00DE68C9">
        <w:t xml:space="preserve">. </w:t>
      </w:r>
    </w:p>
    <w:p w:rsidR="00C96C13" w:rsidRDefault="00DE68C9" w:rsidP="008E5051">
      <w:pPr>
        <w:spacing w:line="480" w:lineRule="auto"/>
        <w:ind w:left="720" w:firstLine="720"/>
      </w:pPr>
      <w:r>
        <w:t xml:space="preserve">Prior to my involvement with TEP, </w:t>
      </w:r>
      <w:r w:rsidR="0095295E">
        <w:t xml:space="preserve">I </w:t>
      </w:r>
      <w:r w:rsidR="00BB4309">
        <w:t>was the Associate Director of a</w:t>
      </w:r>
      <w:r>
        <w:t xml:space="preserve"> division</w:t>
      </w:r>
      <w:r w:rsidR="007D4C85">
        <w:t xml:space="preserve"> at Opportunity Council</w:t>
      </w:r>
      <w:r>
        <w:t xml:space="preserve"> responsible for the implementation of a</w:t>
      </w:r>
      <w:r w:rsidR="00BB4309">
        <w:t xml:space="preserve"> number of </w:t>
      </w:r>
      <w:r>
        <w:t xml:space="preserve">weatherization </w:t>
      </w:r>
      <w:r w:rsidR="00BB4309">
        <w:t xml:space="preserve">programs benefitting low </w:t>
      </w:r>
      <w:r>
        <w:t xml:space="preserve">and moderate income households throughout </w:t>
      </w:r>
      <w:r w:rsidR="00BB4309">
        <w:t>northwest Washington State</w:t>
      </w:r>
      <w:r w:rsidR="0013530E">
        <w:t xml:space="preserve">. </w:t>
      </w:r>
      <w:r w:rsidR="0095295E">
        <w:t>Through my</w:t>
      </w:r>
      <w:r w:rsidR="0013530E">
        <w:t xml:space="preserve"> involvement with the energy efficiency</w:t>
      </w:r>
      <w:r w:rsidR="0095295E">
        <w:t>/regulatory sector</w:t>
      </w:r>
      <w:r w:rsidR="0013530E">
        <w:t xml:space="preserve">, I </w:t>
      </w:r>
      <w:r w:rsidR="0095295E">
        <w:t>have attend</w:t>
      </w:r>
      <w:r w:rsidR="00C96C13">
        <w:t>ed</w:t>
      </w:r>
      <w:r w:rsidR="0095295E">
        <w:t xml:space="preserve"> and </w:t>
      </w:r>
      <w:r w:rsidR="0013530E">
        <w:t>present</w:t>
      </w:r>
      <w:r w:rsidR="00C96C13">
        <w:t>ed</w:t>
      </w:r>
      <w:r w:rsidR="0013530E">
        <w:t xml:space="preserve"> a</w:t>
      </w:r>
      <w:r w:rsidR="0095295E">
        <w:t>t</w:t>
      </w:r>
      <w:r w:rsidR="00B3135C">
        <w:t xml:space="preserve"> numerous </w:t>
      </w:r>
      <w:r w:rsidR="00B3135C">
        <w:lastRenderedPageBreak/>
        <w:t>national conferences,</w:t>
      </w:r>
      <w:r w:rsidR="00C96C13">
        <w:t xml:space="preserve"> </w:t>
      </w:r>
      <w:r w:rsidR="0095295E">
        <w:t>participate</w:t>
      </w:r>
      <w:r w:rsidR="00C96C13">
        <w:t>d</w:t>
      </w:r>
      <w:r w:rsidR="0095295E">
        <w:t xml:space="preserve"> in sector sp</w:t>
      </w:r>
      <w:r w:rsidR="00B3135C">
        <w:t xml:space="preserve">ecific workshops and trainings, and was a board member for Home Performance Washington from 2013-2015. </w:t>
      </w:r>
    </w:p>
    <w:p w:rsidR="002B2D26" w:rsidRDefault="00C96C13" w:rsidP="002B2D26">
      <w:pPr>
        <w:tabs>
          <w:tab w:val="left" w:pos="5940"/>
        </w:tabs>
        <w:spacing w:line="480" w:lineRule="auto"/>
        <w:ind w:left="720" w:hanging="720"/>
      </w:pPr>
      <w:r w:rsidRPr="00C96C13">
        <w:rPr>
          <w:b/>
        </w:rPr>
        <w:t>Q.</w:t>
      </w:r>
      <w:r w:rsidRPr="00C96C13">
        <w:rPr>
          <w:b/>
        </w:rPr>
        <w:tab/>
        <w:t>On whose behalf are you testifying?</w:t>
      </w:r>
    </w:p>
    <w:p w:rsidR="00C96C13" w:rsidRPr="002B2D26" w:rsidRDefault="002B2D26" w:rsidP="002B2D26">
      <w:pPr>
        <w:tabs>
          <w:tab w:val="left" w:pos="1440"/>
        </w:tabs>
        <w:spacing w:line="480" w:lineRule="auto"/>
        <w:ind w:left="720" w:hanging="720"/>
        <w:rPr>
          <w:b/>
        </w:rPr>
      </w:pPr>
      <w:r>
        <w:t>A.</w:t>
      </w:r>
      <w:r>
        <w:rPr>
          <w:b/>
        </w:rPr>
        <w:tab/>
      </w:r>
      <w:r>
        <w:rPr>
          <w:b/>
        </w:rPr>
        <w:tab/>
      </w:r>
      <w:r w:rsidR="00C96C13">
        <w:t xml:space="preserve">I am testifying for </w:t>
      </w:r>
      <w:r w:rsidR="007D4C85">
        <w:t>TEP</w:t>
      </w:r>
      <w:r w:rsidR="00C96C13">
        <w:t xml:space="preserve">, an intervener in this proceeding on behalf of the </w:t>
      </w:r>
      <w:r w:rsidR="007D4C85">
        <w:t xml:space="preserve">Community Action Partnership </w:t>
      </w:r>
      <w:r w:rsidR="00784DBB">
        <w:t xml:space="preserve">(CAP) </w:t>
      </w:r>
      <w:r w:rsidR="007D4C85">
        <w:t>organizations</w:t>
      </w:r>
      <w:r w:rsidR="00C96C13">
        <w:t xml:space="preserve"> that provide low-income energy efficiency and bill payment assistance for customers in </w:t>
      </w:r>
      <w:r w:rsidR="004357D2">
        <w:t xml:space="preserve">Pacific Power &amp; Light’s (PPL) </w:t>
      </w:r>
      <w:r w:rsidR="00C96C13">
        <w:t xml:space="preserve">Washington </w:t>
      </w:r>
      <w:r w:rsidR="007D4C85">
        <w:t xml:space="preserve">State </w:t>
      </w:r>
      <w:r w:rsidR="00C96C13">
        <w:t>service territory.</w:t>
      </w:r>
      <w:r w:rsidR="00BB5741">
        <w:t xml:space="preserve"> These agenc</w:t>
      </w:r>
      <w:r w:rsidR="00DE68C9">
        <w:t xml:space="preserve">ies include </w:t>
      </w:r>
      <w:r w:rsidR="001B15CA">
        <w:t>Opportunities Industrialization Center</w:t>
      </w:r>
      <w:r w:rsidR="003E6FA8">
        <w:t xml:space="preserve"> of Washington</w:t>
      </w:r>
      <w:r w:rsidR="001B15CA">
        <w:t xml:space="preserve">, Blue Mountain Action Council, and Northwest Community Action Center. </w:t>
      </w:r>
    </w:p>
    <w:p w:rsidR="004422D6" w:rsidRDefault="004422D6" w:rsidP="006B7E11">
      <w:pPr>
        <w:spacing w:line="480" w:lineRule="auto"/>
        <w:ind w:left="720" w:hanging="720"/>
        <w:rPr>
          <w:b/>
        </w:rPr>
      </w:pPr>
    </w:p>
    <w:p w:rsidR="004422D6" w:rsidRDefault="004422D6" w:rsidP="004357D2">
      <w:pPr>
        <w:spacing w:line="480" w:lineRule="auto"/>
        <w:jc w:val="center"/>
        <w:rPr>
          <w:b/>
        </w:rPr>
      </w:pPr>
      <w:r>
        <w:rPr>
          <w:b/>
        </w:rPr>
        <w:t>II.</w:t>
      </w:r>
      <w:r>
        <w:rPr>
          <w:b/>
        </w:rPr>
        <w:tab/>
        <w:t>SCOPE AND SUMMARY OF TESTIMONY</w:t>
      </w:r>
    </w:p>
    <w:p w:rsidR="004422D6" w:rsidRDefault="004422D6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What is the scope of your testimony?</w:t>
      </w:r>
    </w:p>
    <w:p w:rsidR="002E038B" w:rsidRDefault="004422D6" w:rsidP="00121C1A">
      <w:pPr>
        <w:spacing w:line="480" w:lineRule="auto"/>
        <w:ind w:left="720" w:hanging="720"/>
        <w:rPr>
          <w:color w:val="548DD4" w:themeColor="text2" w:themeTint="99"/>
        </w:rPr>
      </w:pPr>
      <w:r w:rsidRPr="00BB5741">
        <w:rPr>
          <w:b/>
        </w:rPr>
        <w:t>A.</w:t>
      </w:r>
      <w:r>
        <w:tab/>
      </w:r>
      <w:r w:rsidR="002B2D26">
        <w:tab/>
      </w:r>
      <w:r>
        <w:t xml:space="preserve">My testimony is primarily concerned with items within </w:t>
      </w:r>
      <w:r w:rsidR="004357D2">
        <w:t>this</w:t>
      </w:r>
      <w:r>
        <w:t xml:space="preserve"> rate case that impact low-income populations within </w:t>
      </w:r>
      <w:r w:rsidR="004357D2">
        <w:t xml:space="preserve">PPL’s </w:t>
      </w:r>
      <w:r>
        <w:t>service territory</w:t>
      </w:r>
      <w:r w:rsidR="00256554">
        <w:t>. Specifically, I will address</w:t>
      </w:r>
      <w:r>
        <w:t xml:space="preserve"> </w:t>
      </w:r>
      <w:r w:rsidR="003E6FA8">
        <w:t>the Low-Income Bill Assistance (LIBA) program</w:t>
      </w:r>
      <w:r w:rsidR="003E6FA8" w:rsidRPr="007D4C85">
        <w:t xml:space="preserve"> and the </w:t>
      </w:r>
      <w:r w:rsidR="00DD729C">
        <w:t>Low-Income Weatherization Program.</w:t>
      </w:r>
      <w:r w:rsidR="00B3135C">
        <w:t xml:space="preserve"> </w:t>
      </w:r>
    </w:p>
    <w:p w:rsidR="00CF1A60" w:rsidRDefault="00CF1A60" w:rsidP="00121C1A">
      <w:pPr>
        <w:spacing w:line="480" w:lineRule="auto"/>
        <w:ind w:left="720" w:hanging="720"/>
      </w:pPr>
    </w:p>
    <w:p w:rsidR="00CF1A60" w:rsidRPr="004357D2" w:rsidRDefault="00CF1A60" w:rsidP="004357D2">
      <w:pPr>
        <w:spacing w:line="480" w:lineRule="auto"/>
        <w:ind w:left="720" w:hanging="720"/>
        <w:jc w:val="center"/>
        <w:rPr>
          <w:b/>
        </w:rPr>
      </w:pPr>
      <w:r w:rsidRPr="007C780C">
        <w:rPr>
          <w:b/>
        </w:rPr>
        <w:t>III.</w:t>
      </w:r>
      <w:r w:rsidRPr="007C780C">
        <w:rPr>
          <w:b/>
        </w:rPr>
        <w:tab/>
      </w:r>
      <w:r w:rsidRPr="00B3135C">
        <w:rPr>
          <w:b/>
        </w:rPr>
        <w:t>SUBSTANTIVE DISCUSSION OF ISSUES</w:t>
      </w:r>
    </w:p>
    <w:p w:rsidR="00CF1A60" w:rsidRDefault="004422D6" w:rsidP="00CF1A60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 xml:space="preserve">Please summarize The Energy Project’s </w:t>
      </w:r>
      <w:r w:rsidR="00A775D1">
        <w:rPr>
          <w:b/>
        </w:rPr>
        <w:t>understanding of</w:t>
      </w:r>
      <w:r w:rsidR="00924EE0">
        <w:rPr>
          <w:b/>
        </w:rPr>
        <w:t xml:space="preserve"> the </w:t>
      </w:r>
      <w:r w:rsidR="00F536EF">
        <w:rPr>
          <w:b/>
        </w:rPr>
        <w:t xml:space="preserve">general history of LIBA as well as the </w:t>
      </w:r>
      <w:r w:rsidR="00A775D1">
        <w:rPr>
          <w:b/>
        </w:rPr>
        <w:t xml:space="preserve">current </w:t>
      </w:r>
      <w:r w:rsidR="00924EE0">
        <w:rPr>
          <w:b/>
        </w:rPr>
        <w:t xml:space="preserve">funding </w:t>
      </w:r>
      <w:r w:rsidR="00A775D1">
        <w:rPr>
          <w:b/>
        </w:rPr>
        <w:t xml:space="preserve">plan for </w:t>
      </w:r>
      <w:r w:rsidR="00F536EF">
        <w:rPr>
          <w:b/>
        </w:rPr>
        <w:t>the program</w:t>
      </w:r>
      <w:r>
        <w:rPr>
          <w:b/>
        </w:rPr>
        <w:t>.</w:t>
      </w:r>
    </w:p>
    <w:p w:rsidR="00121C1A" w:rsidRDefault="00A775D1" w:rsidP="00CF1A60">
      <w:pPr>
        <w:spacing w:line="480" w:lineRule="auto"/>
        <w:ind w:left="720"/>
      </w:pPr>
      <w:r w:rsidRPr="00A775D1">
        <w:rPr>
          <w:b/>
        </w:rPr>
        <w:t>A.</w:t>
      </w:r>
      <w:r>
        <w:rPr>
          <w:b/>
        </w:rPr>
        <w:t xml:space="preserve"> </w:t>
      </w:r>
      <w:r w:rsidR="00F536EF">
        <w:rPr>
          <w:b/>
        </w:rPr>
        <w:tab/>
      </w:r>
      <w:r w:rsidRPr="00A775D1">
        <w:t xml:space="preserve">The LIBA program was </w:t>
      </w:r>
      <w:r w:rsidR="00784DBB">
        <w:t>initially launched as a</w:t>
      </w:r>
      <w:r w:rsidR="00EF5FF1">
        <w:t xml:space="preserve"> pilot project result</w:t>
      </w:r>
      <w:r w:rsidR="00784DBB">
        <w:t>ing from</w:t>
      </w:r>
      <w:r w:rsidR="00EF5FF1">
        <w:t xml:space="preserve"> a Commission Order in Docket No. UE-991832 issued August 9,</w:t>
      </w:r>
      <w:r w:rsidR="00F536EF">
        <w:t xml:space="preserve"> </w:t>
      </w:r>
      <w:r w:rsidR="00EF5FF1">
        <w:t xml:space="preserve">2000.  The pilot was crafted by stakeholders and ran for three years through April 30, 2003.  A </w:t>
      </w:r>
      <w:r w:rsidR="00EF5FF1">
        <w:lastRenderedPageBreak/>
        <w:t>permanent LIBA program was put in place in November</w:t>
      </w:r>
      <w:r w:rsidR="00F536EF">
        <w:t xml:space="preserve"> of </w:t>
      </w:r>
      <w:r w:rsidR="00EF5FF1">
        <w:t xml:space="preserve">2003. A </w:t>
      </w:r>
      <w:r w:rsidRPr="00A775D1">
        <w:t>s</w:t>
      </w:r>
      <w:r>
        <w:t>ettlement between the parties in</w:t>
      </w:r>
      <w:r w:rsidRPr="00A775D1">
        <w:t xml:space="preserve"> case </w:t>
      </w:r>
      <w:r w:rsidR="00F536EF">
        <w:t>UE-</w:t>
      </w:r>
      <w:r w:rsidRPr="00A775D1">
        <w:t>111190</w:t>
      </w:r>
      <w:r w:rsidR="00ED08E3">
        <w:rPr>
          <w:rStyle w:val="FootnoteReference"/>
        </w:rPr>
        <w:footnoteReference w:id="1"/>
      </w:r>
      <w:r w:rsidR="00ED08E3">
        <w:t xml:space="preserve"> </w:t>
      </w:r>
      <w:r w:rsidRPr="00A775D1">
        <w:t xml:space="preserve">resulted in a 5-year plan to annually </w:t>
      </w:r>
      <w:r w:rsidR="00F536EF">
        <w:t xml:space="preserve">increase available funds for </w:t>
      </w:r>
      <w:r w:rsidRPr="00A775D1">
        <w:t>the LIBA program</w:t>
      </w:r>
      <w:r w:rsidR="00784DBB">
        <w:t>. This</w:t>
      </w:r>
      <w:r w:rsidRPr="00A775D1">
        <w:t xml:space="preserve"> increase </w:t>
      </w:r>
      <w:r w:rsidR="00F536EF">
        <w:t xml:space="preserve">impacted </w:t>
      </w:r>
      <w:r w:rsidRPr="00A775D1">
        <w:t>the administrative fee</w:t>
      </w:r>
      <w:r w:rsidR="002B2D26">
        <w:t>s</w:t>
      </w:r>
      <w:r w:rsidRPr="00A775D1">
        <w:t xml:space="preserve"> </w:t>
      </w:r>
      <w:r w:rsidR="00784DBB">
        <w:t>available</w:t>
      </w:r>
      <w:r w:rsidRPr="00A775D1">
        <w:t xml:space="preserve"> to the </w:t>
      </w:r>
      <w:r w:rsidR="00784DBB">
        <w:t>CAP</w:t>
      </w:r>
      <w:r w:rsidR="002B2D26">
        <w:t xml:space="preserve"> </w:t>
      </w:r>
      <w:r w:rsidRPr="00A775D1">
        <w:t xml:space="preserve">agencies </w:t>
      </w:r>
      <w:r w:rsidR="002B2D26">
        <w:t>for</w:t>
      </w:r>
      <w:r w:rsidRPr="00A775D1">
        <w:t xml:space="preserve"> the costs </w:t>
      </w:r>
      <w:r w:rsidR="002B2D26">
        <w:t xml:space="preserve">associated with </w:t>
      </w:r>
      <w:r w:rsidR="00784DBB">
        <w:t xml:space="preserve">processing </w:t>
      </w:r>
      <w:r w:rsidR="002B2D26">
        <w:t xml:space="preserve">low-income </w:t>
      </w:r>
      <w:r w:rsidRPr="00A775D1">
        <w:t xml:space="preserve">customers </w:t>
      </w:r>
      <w:r w:rsidR="00784DBB">
        <w:t>e</w:t>
      </w:r>
      <w:r w:rsidR="00441193">
        <w:t>ligibility</w:t>
      </w:r>
      <w:r w:rsidR="00784DBB">
        <w:t xml:space="preserve"> documentation</w:t>
      </w:r>
      <w:r w:rsidRPr="00A775D1">
        <w:t xml:space="preserve"> for LIBA assistance. </w:t>
      </w:r>
      <w:r w:rsidR="002B2D26">
        <w:t xml:space="preserve">During each of the five years, there is a </w:t>
      </w:r>
      <w:r w:rsidRPr="00A775D1">
        <w:t>$2.50</w:t>
      </w:r>
      <w:r w:rsidR="00121C1A">
        <w:t xml:space="preserve"> increase paid to the </w:t>
      </w:r>
      <w:r w:rsidR="00784DBB">
        <w:t>CAP</w:t>
      </w:r>
      <w:r w:rsidR="00121C1A">
        <w:t xml:space="preserve"> organizations</w:t>
      </w:r>
      <w:r w:rsidRPr="00A775D1">
        <w:t xml:space="preserve"> for each customer certified as eligible for LIBA</w:t>
      </w:r>
      <w:r w:rsidR="002B2D26">
        <w:t xml:space="preserve">, with a maximum of </w:t>
      </w:r>
      <w:r w:rsidRPr="00A775D1">
        <w:t xml:space="preserve"> $75.00 per certification by 2016.  This increase in the certifi</w:t>
      </w:r>
      <w:r w:rsidR="00784DBB">
        <w:t xml:space="preserve">cation fee </w:t>
      </w:r>
      <w:r w:rsidRPr="00A775D1">
        <w:t>occur</w:t>
      </w:r>
      <w:r w:rsidR="00F536EF">
        <w:t>s</w:t>
      </w:r>
      <w:r w:rsidRPr="00A775D1">
        <w:t xml:space="preserve"> each year regardless of any other LIBA program modification</w:t>
      </w:r>
      <w:r w:rsidR="00F536EF">
        <w:t>s</w:t>
      </w:r>
      <w:r w:rsidRPr="00A775D1">
        <w:t xml:space="preserve">.  </w:t>
      </w:r>
    </w:p>
    <w:p w:rsidR="00A775D1" w:rsidRPr="00F40936" w:rsidRDefault="00F536EF" w:rsidP="00ED08E3">
      <w:pPr>
        <w:spacing w:line="480" w:lineRule="auto"/>
        <w:ind w:left="720"/>
        <w:rPr>
          <w:b/>
        </w:rPr>
      </w:pPr>
      <w:r>
        <w:tab/>
      </w:r>
      <w:r w:rsidR="00A775D1" w:rsidRPr="00A775D1">
        <w:t xml:space="preserve">The 5-year plan </w:t>
      </w:r>
      <w:r w:rsidR="00784DBB">
        <w:t>also</w:t>
      </w:r>
      <w:r w:rsidR="00A775D1" w:rsidRPr="00A775D1">
        <w:t xml:space="preserve"> increased the number of customers eligible for </w:t>
      </w:r>
      <w:r w:rsidR="00441193">
        <w:t xml:space="preserve">LIBA </w:t>
      </w:r>
      <w:r w:rsidR="00A775D1" w:rsidRPr="00A775D1">
        <w:t>certification by 10% beginning in the year 2012</w:t>
      </w:r>
      <w:r w:rsidR="00121C1A">
        <w:t xml:space="preserve">, with a total of </w:t>
      </w:r>
      <w:r w:rsidR="00A775D1" w:rsidRPr="00A775D1">
        <w:t xml:space="preserve">25% of all eligible customers being certified by the year 2015. </w:t>
      </w:r>
      <w:r w:rsidR="00A775D1" w:rsidRPr="00EC717E">
        <w:rPr>
          <w:bCs/>
        </w:rPr>
        <w:t>For the 2015-2016 and 2016-2017 program years (November–April), there will be 4,720 participants certified; 1,181 of w</w:t>
      </w:r>
      <w:r w:rsidR="00CF1A60" w:rsidRPr="00EC717E">
        <w:rPr>
          <w:bCs/>
        </w:rPr>
        <w:t>hom are expected to be</w:t>
      </w:r>
      <w:r w:rsidR="00A775D1" w:rsidRPr="00EC717E">
        <w:rPr>
          <w:bCs/>
        </w:rPr>
        <w:t xml:space="preserve"> certified for two years</w:t>
      </w:r>
      <w:r w:rsidR="00EC717E" w:rsidRPr="00EC717E">
        <w:rPr>
          <w:rStyle w:val="FootnoteReference"/>
          <w:bCs/>
        </w:rPr>
        <w:footnoteReference w:id="2"/>
      </w:r>
      <w:r w:rsidR="00A775D1" w:rsidRPr="00EC717E">
        <w:rPr>
          <w:bCs/>
        </w:rPr>
        <w:t>.</w:t>
      </w:r>
      <w:r w:rsidR="00F40936">
        <w:rPr>
          <w:bCs/>
        </w:rPr>
        <w:t xml:space="preserve">  </w:t>
      </w:r>
    </w:p>
    <w:p w:rsidR="00CF1A60" w:rsidRPr="00CF1A60" w:rsidRDefault="00CF1A60" w:rsidP="00CF1A60">
      <w:pPr>
        <w:spacing w:line="480" w:lineRule="auto"/>
        <w:ind w:left="720" w:hanging="720"/>
        <w:rPr>
          <w:b/>
        </w:rPr>
      </w:pPr>
      <w:r w:rsidRPr="00CF1A60">
        <w:rPr>
          <w:b/>
        </w:rPr>
        <w:t>Q.</w:t>
      </w:r>
      <w:r w:rsidRPr="00CF1A60">
        <w:rPr>
          <w:b/>
        </w:rPr>
        <w:tab/>
        <w:t xml:space="preserve">What </w:t>
      </w:r>
      <w:r w:rsidR="007353ED">
        <w:rPr>
          <w:b/>
        </w:rPr>
        <w:t>was the direct result of the 5-year budget increase to low-income households receiving LIBA</w:t>
      </w:r>
      <w:r w:rsidRPr="00CF1A60">
        <w:rPr>
          <w:b/>
        </w:rPr>
        <w:t xml:space="preserve"> program benefits?</w:t>
      </w:r>
    </w:p>
    <w:p w:rsidR="00E34F23" w:rsidRPr="00234734" w:rsidRDefault="00CF1A60" w:rsidP="002B2D26">
      <w:pPr>
        <w:spacing w:line="480" w:lineRule="auto"/>
        <w:ind w:left="720" w:hanging="720"/>
        <w:rPr>
          <w:b/>
          <w:bCs/>
        </w:rPr>
      </w:pPr>
      <w:r w:rsidRPr="00CF1A60">
        <w:rPr>
          <w:b/>
        </w:rPr>
        <w:t>A.</w:t>
      </w:r>
      <w:r w:rsidRPr="00CF1A60">
        <w:rPr>
          <w:b/>
        </w:rPr>
        <w:tab/>
      </w:r>
      <w:r w:rsidR="002B2D26">
        <w:rPr>
          <w:b/>
        </w:rPr>
        <w:tab/>
      </w:r>
      <w:r w:rsidRPr="00CF1A60">
        <w:t>Program b</w:t>
      </w:r>
      <w:r w:rsidRPr="00CF1A60">
        <w:rPr>
          <w:bCs/>
        </w:rPr>
        <w:t xml:space="preserve">enefits to each customer </w:t>
      </w:r>
      <w:r w:rsidR="00A15ADC" w:rsidRPr="00CF1A60">
        <w:rPr>
          <w:bCs/>
        </w:rPr>
        <w:t xml:space="preserve">participating </w:t>
      </w:r>
      <w:r w:rsidR="00A15ADC">
        <w:rPr>
          <w:bCs/>
        </w:rPr>
        <w:t xml:space="preserve">in LIBA </w:t>
      </w:r>
      <w:r w:rsidRPr="00CF1A60">
        <w:rPr>
          <w:bCs/>
        </w:rPr>
        <w:t xml:space="preserve">have been increased to two times the percentage increase </w:t>
      </w:r>
      <w:r w:rsidR="00441193">
        <w:rPr>
          <w:bCs/>
        </w:rPr>
        <w:t>of</w:t>
      </w:r>
      <w:r w:rsidR="00A15ADC">
        <w:rPr>
          <w:bCs/>
        </w:rPr>
        <w:t xml:space="preserve"> residential rates </w:t>
      </w:r>
      <w:r w:rsidR="00B74F9A">
        <w:rPr>
          <w:bCs/>
        </w:rPr>
        <w:t>resulting from</w:t>
      </w:r>
      <w:r w:rsidR="00441193">
        <w:rPr>
          <w:bCs/>
        </w:rPr>
        <w:t xml:space="preserve"> </w:t>
      </w:r>
      <w:r w:rsidR="00B74F9A">
        <w:rPr>
          <w:bCs/>
        </w:rPr>
        <w:t>any</w:t>
      </w:r>
      <w:r w:rsidRPr="00CF1A60">
        <w:rPr>
          <w:bCs/>
        </w:rPr>
        <w:t xml:space="preserve"> general </w:t>
      </w:r>
      <w:r w:rsidR="00B74F9A">
        <w:rPr>
          <w:bCs/>
        </w:rPr>
        <w:t>case</w:t>
      </w:r>
      <w:r w:rsidRPr="00CF1A60">
        <w:rPr>
          <w:bCs/>
        </w:rPr>
        <w:t xml:space="preserve"> increase</w:t>
      </w:r>
      <w:r w:rsidR="00A15ADC">
        <w:rPr>
          <w:bCs/>
        </w:rPr>
        <w:t>s</w:t>
      </w:r>
      <w:r w:rsidR="00BA2CA1">
        <w:rPr>
          <w:bCs/>
        </w:rPr>
        <w:t xml:space="preserve"> </w:t>
      </w:r>
      <w:r w:rsidR="00BA2CA1" w:rsidRPr="00CF1A60">
        <w:rPr>
          <w:bCs/>
        </w:rPr>
        <w:t>between 2013 and 2016</w:t>
      </w:r>
      <w:r w:rsidR="00BA2CA1">
        <w:rPr>
          <w:bCs/>
        </w:rPr>
        <w:t>, as</w:t>
      </w:r>
      <w:r w:rsidRPr="00CF1A60">
        <w:rPr>
          <w:bCs/>
        </w:rPr>
        <w:t xml:space="preserve"> ordered</w:t>
      </w:r>
      <w:r w:rsidR="00BA2CA1">
        <w:rPr>
          <w:bCs/>
        </w:rPr>
        <w:t xml:space="preserve"> by</w:t>
      </w:r>
      <w:r w:rsidR="00B74F9A">
        <w:rPr>
          <w:bCs/>
        </w:rPr>
        <w:t xml:space="preserve"> the C</w:t>
      </w:r>
      <w:r w:rsidRPr="00CF1A60">
        <w:rPr>
          <w:bCs/>
        </w:rPr>
        <w:t xml:space="preserve">ommission.  </w:t>
      </w:r>
      <w:r w:rsidRPr="00911408">
        <w:rPr>
          <w:bCs/>
        </w:rPr>
        <w:t>I</w:t>
      </w:r>
      <w:r w:rsidR="00BA2CA1" w:rsidRPr="00911408">
        <w:rPr>
          <w:bCs/>
        </w:rPr>
        <w:t xml:space="preserve">t is important to note </w:t>
      </w:r>
      <w:r w:rsidRPr="00911408">
        <w:rPr>
          <w:bCs/>
        </w:rPr>
        <w:t>however, that in the testimonies filed in PPL's last rate case in 2014</w:t>
      </w:r>
      <w:r w:rsidR="00911408" w:rsidRPr="00911408">
        <w:rPr>
          <w:rStyle w:val="FootnoteReference"/>
          <w:bCs/>
        </w:rPr>
        <w:footnoteReference w:id="3"/>
      </w:r>
      <w:r w:rsidRPr="00911408">
        <w:rPr>
          <w:bCs/>
        </w:rPr>
        <w:t xml:space="preserve">, including </w:t>
      </w:r>
      <w:r w:rsidR="00B74F9A">
        <w:rPr>
          <w:bCs/>
        </w:rPr>
        <w:t xml:space="preserve">that of </w:t>
      </w:r>
      <w:r w:rsidRPr="00911408">
        <w:rPr>
          <w:bCs/>
        </w:rPr>
        <w:t xml:space="preserve">Staff witness Roger </w:t>
      </w:r>
      <w:proofErr w:type="spellStart"/>
      <w:r w:rsidRPr="00911408">
        <w:rPr>
          <w:bCs/>
        </w:rPr>
        <w:t>Kouchi</w:t>
      </w:r>
      <w:proofErr w:type="spellEnd"/>
      <w:r w:rsidRPr="00911408">
        <w:rPr>
          <w:bCs/>
        </w:rPr>
        <w:t xml:space="preserve">, </w:t>
      </w:r>
      <w:r w:rsidR="00A15ADC" w:rsidRPr="00911408">
        <w:rPr>
          <w:bCs/>
        </w:rPr>
        <w:t xml:space="preserve">it was </w:t>
      </w:r>
      <w:r w:rsidR="003C124E" w:rsidRPr="00911408">
        <w:rPr>
          <w:bCs/>
        </w:rPr>
        <w:lastRenderedPageBreak/>
        <w:t xml:space="preserve">stated </w:t>
      </w:r>
      <w:r w:rsidR="00A15ADC" w:rsidRPr="00911408">
        <w:rPr>
          <w:bCs/>
        </w:rPr>
        <w:t xml:space="preserve">that </w:t>
      </w:r>
      <w:r w:rsidRPr="00911408">
        <w:rPr>
          <w:bCs/>
        </w:rPr>
        <w:t>it is highly likely that the "proxy group" used to analyze the im</w:t>
      </w:r>
      <w:r w:rsidR="00A15ADC" w:rsidRPr="00911408">
        <w:rPr>
          <w:bCs/>
        </w:rPr>
        <w:t>pact of various measures on low-</w:t>
      </w:r>
      <w:r w:rsidRPr="00911408">
        <w:rPr>
          <w:bCs/>
        </w:rPr>
        <w:t xml:space="preserve">income customers only affected </w:t>
      </w:r>
      <w:r w:rsidR="00B74F9A">
        <w:rPr>
          <w:bCs/>
        </w:rPr>
        <w:t>approximately 5.6</w:t>
      </w:r>
      <w:r w:rsidR="007353ED" w:rsidRPr="00911408">
        <w:rPr>
          <w:bCs/>
        </w:rPr>
        <w:t>% of actual low-</w:t>
      </w:r>
      <w:r w:rsidRPr="00911408">
        <w:rPr>
          <w:bCs/>
        </w:rPr>
        <w:t>income customers</w:t>
      </w:r>
      <w:r w:rsidR="00E34F23" w:rsidRPr="00911408">
        <w:rPr>
          <w:bCs/>
        </w:rPr>
        <w:t>.</w:t>
      </w:r>
      <w:r w:rsidR="00234734">
        <w:rPr>
          <w:bCs/>
        </w:rPr>
        <w:t xml:space="preserve"> </w:t>
      </w:r>
    </w:p>
    <w:p w:rsidR="00BA2CA1" w:rsidRDefault="00BA2CA1" w:rsidP="00BA2CA1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  <w:t>What are the implicati</w:t>
      </w:r>
      <w:r w:rsidR="00B74F9A">
        <w:rPr>
          <w:b/>
        </w:rPr>
        <w:t>ons of serving a 5.6</w:t>
      </w:r>
      <w:r>
        <w:rPr>
          <w:b/>
        </w:rPr>
        <w:t xml:space="preserve">% of the </w:t>
      </w:r>
      <w:r w:rsidR="00B74F9A">
        <w:rPr>
          <w:b/>
        </w:rPr>
        <w:t xml:space="preserve">total customer base </w:t>
      </w:r>
      <w:r>
        <w:rPr>
          <w:b/>
        </w:rPr>
        <w:t xml:space="preserve">when </w:t>
      </w:r>
      <w:r w:rsidR="0083674F">
        <w:rPr>
          <w:b/>
        </w:rPr>
        <w:t>one</w:t>
      </w:r>
      <w:r>
        <w:rPr>
          <w:b/>
        </w:rPr>
        <w:t xml:space="preserve"> goal of the</w:t>
      </w:r>
      <w:r w:rsidR="00E34F23">
        <w:rPr>
          <w:b/>
        </w:rPr>
        <w:t xml:space="preserve"> LIBA</w:t>
      </w:r>
      <w:r>
        <w:rPr>
          <w:b/>
        </w:rPr>
        <w:t xml:space="preserve"> funding increase </w:t>
      </w:r>
      <w:r w:rsidR="0083674F">
        <w:rPr>
          <w:b/>
        </w:rPr>
        <w:t>is</w:t>
      </w:r>
      <w:r>
        <w:rPr>
          <w:b/>
        </w:rPr>
        <w:t xml:space="preserve"> to serve 25% of the total eligible </w:t>
      </w:r>
      <w:r w:rsidR="00B74F9A">
        <w:rPr>
          <w:b/>
        </w:rPr>
        <w:t>customers</w:t>
      </w:r>
      <w:r>
        <w:rPr>
          <w:b/>
        </w:rPr>
        <w:t xml:space="preserve">? </w:t>
      </w:r>
    </w:p>
    <w:p w:rsidR="00CF1A60" w:rsidRDefault="00BA2CA1" w:rsidP="002B2D26">
      <w:pPr>
        <w:spacing w:line="480" w:lineRule="auto"/>
        <w:ind w:left="720" w:hanging="720"/>
      </w:pPr>
      <w:r>
        <w:rPr>
          <w:b/>
        </w:rPr>
        <w:t>A.</w:t>
      </w:r>
      <w:r>
        <w:rPr>
          <w:b/>
        </w:rPr>
        <w:tab/>
      </w:r>
      <w:r w:rsidR="002B2D26">
        <w:rPr>
          <w:b/>
        </w:rPr>
        <w:tab/>
      </w:r>
      <w:r w:rsidR="00D553B2">
        <w:t>Basing program design and budgetary</w:t>
      </w:r>
      <w:r w:rsidR="00EC683A">
        <w:t xml:space="preserve"> decisions on data that significantly underestimates the size of the low-income pop</w:t>
      </w:r>
      <w:r w:rsidR="00D553B2">
        <w:t xml:space="preserve">ulation in PPL territory could </w:t>
      </w:r>
      <w:r w:rsidR="00EC683A">
        <w:t xml:space="preserve">severely limit access to </w:t>
      </w:r>
      <w:r w:rsidR="00A15ADC">
        <w:t xml:space="preserve">vital service for those in need by misaligning available resources with the actual need in the communities served by PPL. </w:t>
      </w:r>
      <w:r w:rsidR="00D553B2">
        <w:t>TEP believes that there should be a comprehensive understanding of the size and specific needs of the low-income population. A well structured study would provide this information.</w:t>
      </w:r>
    </w:p>
    <w:p w:rsidR="00B74F9A" w:rsidRPr="00CF1A60" w:rsidRDefault="00B74F9A" w:rsidP="00B74F9A">
      <w:pPr>
        <w:spacing w:line="480" w:lineRule="auto"/>
        <w:rPr>
          <w:b/>
        </w:rPr>
      </w:pPr>
      <w:r w:rsidRPr="00CF1A60">
        <w:rPr>
          <w:b/>
        </w:rPr>
        <w:t>Q.</w:t>
      </w:r>
      <w:r w:rsidRPr="00CF1A60">
        <w:rPr>
          <w:b/>
        </w:rPr>
        <w:tab/>
        <w:t xml:space="preserve">What are the </w:t>
      </w:r>
      <w:r>
        <w:rPr>
          <w:b/>
        </w:rPr>
        <w:t>timeframes that LIBA operates throughout the calendar year</w:t>
      </w:r>
      <w:r w:rsidRPr="00CF1A60">
        <w:rPr>
          <w:b/>
        </w:rPr>
        <w:t>?</w:t>
      </w:r>
    </w:p>
    <w:p w:rsidR="00B74F9A" w:rsidRPr="00CF1A60" w:rsidRDefault="00B74F9A" w:rsidP="00B74F9A">
      <w:pPr>
        <w:spacing w:line="480" w:lineRule="auto"/>
      </w:pPr>
      <w:r w:rsidRPr="00CF1A60">
        <w:rPr>
          <w:b/>
        </w:rPr>
        <w:t>A.</w:t>
      </w:r>
      <w:r w:rsidRPr="00CF1A60">
        <w:rPr>
          <w:b/>
        </w:rPr>
        <w:tab/>
      </w:r>
      <w:r>
        <w:rPr>
          <w:b/>
        </w:rPr>
        <w:tab/>
      </w:r>
      <w:r w:rsidRPr="00CF1A60">
        <w:t>Each year, the program year runs from November to April.</w:t>
      </w:r>
    </w:p>
    <w:p w:rsidR="00CF1A60" w:rsidRPr="00CF1A60" w:rsidRDefault="00CF1A60" w:rsidP="00CF1A60">
      <w:pPr>
        <w:spacing w:line="480" w:lineRule="auto"/>
        <w:ind w:left="720" w:hanging="720"/>
        <w:rPr>
          <w:b/>
        </w:rPr>
      </w:pPr>
      <w:r w:rsidRPr="00CF1A60">
        <w:rPr>
          <w:b/>
        </w:rPr>
        <w:t>Q.</w:t>
      </w:r>
      <w:r w:rsidRPr="00CF1A60">
        <w:rPr>
          <w:b/>
        </w:rPr>
        <w:tab/>
      </w:r>
      <w:r w:rsidR="00A20BD0">
        <w:rPr>
          <w:b/>
        </w:rPr>
        <w:t xml:space="preserve">What is TEP’s understanding of the process by which the Company makes annual funding adjustments </w:t>
      </w:r>
      <w:r w:rsidR="007353ED">
        <w:rPr>
          <w:b/>
        </w:rPr>
        <w:t xml:space="preserve">to the </w:t>
      </w:r>
      <w:r w:rsidR="00A20BD0">
        <w:rPr>
          <w:b/>
        </w:rPr>
        <w:t>L</w:t>
      </w:r>
      <w:r w:rsidR="007353ED">
        <w:rPr>
          <w:b/>
        </w:rPr>
        <w:t xml:space="preserve">IBA Program as outlined in the </w:t>
      </w:r>
      <w:r w:rsidR="00A20BD0">
        <w:rPr>
          <w:b/>
        </w:rPr>
        <w:t xml:space="preserve">rate </w:t>
      </w:r>
      <w:r w:rsidR="007353ED">
        <w:rPr>
          <w:b/>
        </w:rPr>
        <w:t>case</w:t>
      </w:r>
      <w:r w:rsidR="007353ED" w:rsidRPr="00A775D1">
        <w:t xml:space="preserve"> </w:t>
      </w:r>
      <w:r w:rsidR="002B2D26">
        <w:rPr>
          <w:b/>
        </w:rPr>
        <w:t>UE-</w:t>
      </w:r>
      <w:r w:rsidR="007353ED" w:rsidRPr="007353ED">
        <w:rPr>
          <w:b/>
        </w:rPr>
        <w:t>111190</w:t>
      </w:r>
      <w:r w:rsidRPr="00CF1A60">
        <w:rPr>
          <w:b/>
        </w:rPr>
        <w:t>?</w:t>
      </w:r>
      <w:r w:rsidRPr="00CF1A60">
        <w:rPr>
          <w:b/>
        </w:rPr>
        <w:tab/>
      </w:r>
    </w:p>
    <w:p w:rsidR="00583223" w:rsidRDefault="00CF1A60" w:rsidP="00ED08E3">
      <w:pPr>
        <w:spacing w:line="480" w:lineRule="auto"/>
        <w:ind w:left="720" w:hanging="720"/>
      </w:pPr>
      <w:r w:rsidRPr="00CF1A60">
        <w:rPr>
          <w:b/>
        </w:rPr>
        <w:t>A.</w:t>
      </w:r>
      <w:r w:rsidRPr="00CF1A60">
        <w:rPr>
          <w:b/>
        </w:rPr>
        <w:tab/>
      </w:r>
      <w:r w:rsidR="002B2D26">
        <w:rPr>
          <w:b/>
        </w:rPr>
        <w:tab/>
      </w:r>
      <w:r w:rsidRPr="00CF1A60">
        <w:rPr>
          <w:bCs/>
        </w:rPr>
        <w:t>The Company will file for an increase annually, around May 1, for the Schedule 91 surcharg</w:t>
      </w:r>
      <w:r w:rsidR="00A20BD0">
        <w:rPr>
          <w:bCs/>
        </w:rPr>
        <w:t>e, which funds the LIBA program. This adjustment will</w:t>
      </w:r>
      <w:r w:rsidRPr="00CF1A60">
        <w:rPr>
          <w:bCs/>
        </w:rPr>
        <w:t xml:space="preserve"> reflect </w:t>
      </w:r>
      <w:r w:rsidR="00A20BD0">
        <w:rPr>
          <w:bCs/>
        </w:rPr>
        <w:t xml:space="preserve">the </w:t>
      </w:r>
      <w:r w:rsidRPr="00CF1A60">
        <w:rPr>
          <w:bCs/>
        </w:rPr>
        <w:t>increased funding</w:t>
      </w:r>
      <w:r w:rsidR="00A15ADC">
        <w:rPr>
          <w:bCs/>
        </w:rPr>
        <w:t xml:space="preserve"> as outlined in the cited </w:t>
      </w:r>
      <w:r w:rsidR="00A20BD0">
        <w:rPr>
          <w:bCs/>
        </w:rPr>
        <w:t>r</w:t>
      </w:r>
      <w:r w:rsidR="00A15ADC">
        <w:rPr>
          <w:bCs/>
        </w:rPr>
        <w:t>a</w:t>
      </w:r>
      <w:r w:rsidR="00A20BD0">
        <w:rPr>
          <w:bCs/>
        </w:rPr>
        <w:t>te case</w:t>
      </w:r>
      <w:r w:rsidRPr="00CF1A60">
        <w:rPr>
          <w:bCs/>
        </w:rPr>
        <w:t>.  The Schedule 91 surcharge increases will be applied on an equal percentage basis to all rate schedules.</w:t>
      </w:r>
    </w:p>
    <w:p w:rsidR="00CF1A60" w:rsidRDefault="00583223" w:rsidP="00583223">
      <w:pPr>
        <w:spacing w:line="480" w:lineRule="auto"/>
        <w:ind w:left="720" w:hanging="720"/>
        <w:rPr>
          <w:b/>
        </w:rPr>
      </w:pPr>
      <w:r>
        <w:rPr>
          <w:b/>
        </w:rPr>
        <w:lastRenderedPageBreak/>
        <w:t>Q.</w:t>
      </w:r>
      <w:r>
        <w:rPr>
          <w:b/>
        </w:rPr>
        <w:tab/>
      </w:r>
      <w:r w:rsidRPr="00090E03">
        <w:rPr>
          <w:b/>
        </w:rPr>
        <w:t>Wh</w:t>
      </w:r>
      <w:r>
        <w:rPr>
          <w:b/>
        </w:rPr>
        <w:t>at is TEP’s response to the testimony of Joelle R. Steward concerning future modifications to the LIBA</w:t>
      </w:r>
      <w:r w:rsidRPr="00090E03">
        <w:rPr>
          <w:b/>
        </w:rPr>
        <w:t xml:space="preserve"> program?</w:t>
      </w:r>
    </w:p>
    <w:p w:rsidR="00D77687" w:rsidRDefault="004422D6" w:rsidP="00D77687">
      <w:pPr>
        <w:spacing w:line="480" w:lineRule="auto"/>
        <w:ind w:left="720" w:hanging="720"/>
      </w:pPr>
      <w:r w:rsidRPr="00BB5741">
        <w:rPr>
          <w:b/>
        </w:rPr>
        <w:t>A.</w:t>
      </w:r>
      <w:r>
        <w:tab/>
      </w:r>
      <w:r w:rsidR="002B2D26">
        <w:tab/>
      </w:r>
      <w:r w:rsidR="00391B81">
        <w:t xml:space="preserve">For this rate case, </w:t>
      </w:r>
      <w:r w:rsidR="00ED289C">
        <w:t xml:space="preserve">The Energy Project </w:t>
      </w:r>
      <w:r w:rsidR="00C17717">
        <w:t>agrees with the testimony of Joel</w:t>
      </w:r>
      <w:r w:rsidR="00924EE0">
        <w:t xml:space="preserve">le R. Steward on behalf of PPL pertaining to the funding increase </w:t>
      </w:r>
      <w:r w:rsidR="00D77687">
        <w:t>to LIBA through April 30, 2017:</w:t>
      </w:r>
    </w:p>
    <w:p w:rsidR="00754EB2" w:rsidRPr="0083674F" w:rsidRDefault="00D77687" w:rsidP="00ED08E3">
      <w:pPr>
        <w:spacing w:line="480" w:lineRule="auto"/>
        <w:ind w:left="1440"/>
      </w:pPr>
      <w:r w:rsidRPr="0083674F">
        <w:t>“</w:t>
      </w:r>
      <w:r w:rsidRPr="0083674F">
        <w:rPr>
          <w:bCs/>
        </w:rPr>
        <w:t>For May 1, 2016, t</w:t>
      </w:r>
      <w:r w:rsidRPr="0083674F">
        <w:t>he Company has applied an increase to Schedule 17 credits that is two times the average residential customer increase, which results in a 5.98 percent increase to the average LIBA participant benefit.  The proposed Energy Rate Credits are shown in Exhibit No. JRS-2.  The Company also proposes to apply a 5.98 percent increase to the average LIBA participant benefit for the May 1, 2017 increase, which is shown in Exhibit No. JRS-3.</w:t>
      </w:r>
      <w:r w:rsidRPr="0083674F">
        <w:rPr>
          <w:rStyle w:val="FootnoteReference"/>
        </w:rPr>
        <w:footnoteReference w:id="4"/>
      </w:r>
      <w:r w:rsidRPr="0083674F">
        <w:t>”</w:t>
      </w:r>
    </w:p>
    <w:p w:rsidR="002B2D26" w:rsidRDefault="002E038B" w:rsidP="00ED08E3">
      <w:pPr>
        <w:spacing w:line="480" w:lineRule="auto"/>
        <w:ind w:left="720" w:hanging="720"/>
        <w:rPr>
          <w:b/>
        </w:rPr>
      </w:pPr>
      <w:r>
        <w:rPr>
          <w:b/>
        </w:rPr>
        <w:t>Q.</w:t>
      </w:r>
      <w:r>
        <w:rPr>
          <w:b/>
        </w:rPr>
        <w:tab/>
      </w:r>
      <w:r w:rsidR="0008415B" w:rsidRPr="00090E03">
        <w:rPr>
          <w:b/>
        </w:rPr>
        <w:t xml:space="preserve">Why do you believe it is necessary to </w:t>
      </w:r>
      <w:r w:rsidR="00D77687">
        <w:rPr>
          <w:b/>
        </w:rPr>
        <w:t xml:space="preserve">make modifications </w:t>
      </w:r>
      <w:r w:rsidR="00EA3DAC">
        <w:rPr>
          <w:b/>
        </w:rPr>
        <w:t xml:space="preserve">to </w:t>
      </w:r>
      <w:r w:rsidR="00D77687">
        <w:rPr>
          <w:b/>
        </w:rPr>
        <w:t>the LIBA</w:t>
      </w:r>
      <w:r w:rsidR="0008415B" w:rsidRPr="00090E03">
        <w:rPr>
          <w:b/>
        </w:rPr>
        <w:t xml:space="preserve"> program?</w:t>
      </w:r>
    </w:p>
    <w:p w:rsidR="00420AAA" w:rsidRPr="00A15ADC" w:rsidRDefault="002B2D26" w:rsidP="00A15ADC">
      <w:pPr>
        <w:spacing w:line="480" w:lineRule="auto"/>
        <w:ind w:left="720" w:hanging="720"/>
        <w:rPr>
          <w:b/>
        </w:rPr>
      </w:pPr>
      <w:r>
        <w:rPr>
          <w:b/>
        </w:rPr>
        <w:t>A.</w:t>
      </w:r>
      <w:r>
        <w:rPr>
          <w:b/>
        </w:rPr>
        <w:tab/>
      </w:r>
      <w:r>
        <w:rPr>
          <w:b/>
        </w:rPr>
        <w:tab/>
      </w:r>
      <w:r w:rsidR="0008415B">
        <w:t xml:space="preserve">Any increase in energy costs puts low-income households who are already struggling to pay their bills in </w:t>
      </w:r>
      <w:r w:rsidR="00A15ADC">
        <w:t xml:space="preserve">further </w:t>
      </w:r>
      <w:r w:rsidR="0008415B">
        <w:t>jeopardy</w:t>
      </w:r>
      <w:r w:rsidR="00A15ADC">
        <w:t xml:space="preserve"> of bill nonpayment, utility service disconnection, and other financial hardships</w:t>
      </w:r>
      <w:r w:rsidR="0008415B">
        <w:t xml:space="preserve">.  If the program funding remains </w:t>
      </w:r>
      <w:r w:rsidR="00256554">
        <w:t>stagnant</w:t>
      </w:r>
      <w:r w:rsidR="0008415B">
        <w:t xml:space="preserve">, the </w:t>
      </w:r>
      <w:r w:rsidR="00F9493F">
        <w:t xml:space="preserve">result will be that fewer clients will receive assistance. </w:t>
      </w:r>
      <w:r w:rsidR="0008415B">
        <w:t xml:space="preserve">The </w:t>
      </w:r>
      <w:r w:rsidR="00F9493F">
        <w:t xml:space="preserve">Energy Project </w:t>
      </w:r>
      <w:r w:rsidR="00256554">
        <w:t>has seen firsthand th</w:t>
      </w:r>
      <w:r w:rsidR="005A3550">
        <w:t xml:space="preserve">e positive impact of </w:t>
      </w:r>
      <w:r w:rsidR="00256554">
        <w:t xml:space="preserve">the five-year funding plan established with </w:t>
      </w:r>
      <w:r w:rsidR="00256554" w:rsidRPr="002B2D26">
        <w:rPr>
          <w:bCs/>
        </w:rPr>
        <w:t>Docket UE-111190</w:t>
      </w:r>
      <w:r w:rsidR="00256554">
        <w:rPr>
          <w:rStyle w:val="FootnoteReference"/>
          <w:bCs/>
        </w:rPr>
        <w:footnoteReference w:id="5"/>
      </w:r>
      <w:r w:rsidR="005A3550" w:rsidRPr="002B2D26">
        <w:rPr>
          <w:bCs/>
        </w:rPr>
        <w:t>, and strongly advocates for a similar approach to addressing the long-term funding strategy for the LIBA program. Furthermore, as the needs of low-income populations in PPL</w:t>
      </w:r>
      <w:r w:rsidR="0025201C" w:rsidRPr="002B2D26">
        <w:rPr>
          <w:bCs/>
        </w:rPr>
        <w:t>’s</w:t>
      </w:r>
      <w:r w:rsidR="005A3550" w:rsidRPr="002B2D26">
        <w:rPr>
          <w:bCs/>
        </w:rPr>
        <w:t xml:space="preserve"> service territory </w:t>
      </w:r>
      <w:r w:rsidR="00111181" w:rsidRPr="002B2D26">
        <w:rPr>
          <w:bCs/>
        </w:rPr>
        <w:lastRenderedPageBreak/>
        <w:t xml:space="preserve">change and become better </w:t>
      </w:r>
      <w:r w:rsidR="005A3550" w:rsidRPr="002B2D26">
        <w:rPr>
          <w:bCs/>
        </w:rPr>
        <w:t xml:space="preserve">understood, modifications within the program can be implemented which will better serve those in need. </w:t>
      </w:r>
    </w:p>
    <w:p w:rsidR="0008415B" w:rsidRPr="00090E03" w:rsidRDefault="0008415B" w:rsidP="0008415B">
      <w:pPr>
        <w:spacing w:line="480" w:lineRule="auto"/>
        <w:ind w:left="720" w:hanging="720"/>
        <w:rPr>
          <w:b/>
        </w:rPr>
      </w:pPr>
      <w:r w:rsidRPr="00090E03">
        <w:rPr>
          <w:b/>
        </w:rPr>
        <w:t>Q</w:t>
      </w:r>
      <w:r>
        <w:t>.</w:t>
      </w:r>
      <w:r>
        <w:tab/>
      </w:r>
      <w:r w:rsidRPr="00090E03">
        <w:rPr>
          <w:b/>
        </w:rPr>
        <w:t>How d</w:t>
      </w:r>
      <w:r w:rsidR="005A3550">
        <w:rPr>
          <w:b/>
        </w:rPr>
        <w:t>o you propose to</w:t>
      </w:r>
      <w:r w:rsidR="00D77687">
        <w:rPr>
          <w:b/>
        </w:rPr>
        <w:t xml:space="preserve"> go about creating modifications to the LIBA program</w:t>
      </w:r>
      <w:r w:rsidRPr="00090E03">
        <w:rPr>
          <w:b/>
        </w:rPr>
        <w:t>?</w:t>
      </w:r>
    </w:p>
    <w:p w:rsidR="00111181" w:rsidRDefault="0008415B" w:rsidP="00111181">
      <w:pPr>
        <w:spacing w:line="480" w:lineRule="auto"/>
        <w:ind w:left="720" w:hanging="720"/>
      </w:pPr>
      <w:r w:rsidRPr="00090E03">
        <w:rPr>
          <w:b/>
        </w:rPr>
        <w:t>A.</w:t>
      </w:r>
      <w:r>
        <w:rPr>
          <w:b/>
        </w:rPr>
        <w:tab/>
      </w:r>
      <w:r w:rsidR="002B2D26">
        <w:rPr>
          <w:b/>
        </w:rPr>
        <w:tab/>
      </w:r>
      <w:r w:rsidR="00111181">
        <w:t>TEP agrees with PPL’s approach to addressing the continuing need for LIBA. As stated in the testimony of Joelle Steward,</w:t>
      </w:r>
    </w:p>
    <w:p w:rsidR="00420AAA" w:rsidRPr="0083674F" w:rsidRDefault="00D77687" w:rsidP="00ED08E3">
      <w:pPr>
        <w:spacing w:line="480" w:lineRule="auto"/>
        <w:ind w:left="1440"/>
      </w:pPr>
      <w:r w:rsidRPr="0083674F">
        <w:t>“The Company will convene a stakeholder group to discuss any additional program changes to be effective beginning with the 2017-2018 winter heating season, in conjunction with the end of the five-year plan.</w:t>
      </w:r>
      <w:r w:rsidR="00111181" w:rsidRPr="0083674F">
        <w:rPr>
          <w:rStyle w:val="FootnoteReference"/>
        </w:rPr>
        <w:footnoteReference w:id="6"/>
      </w:r>
      <w:r w:rsidRPr="0083674F">
        <w:t>”</w:t>
      </w:r>
    </w:p>
    <w:p w:rsidR="0008415B" w:rsidRPr="00335DB8" w:rsidRDefault="0008415B" w:rsidP="0008415B">
      <w:pPr>
        <w:spacing w:line="480" w:lineRule="auto"/>
        <w:ind w:left="720" w:hanging="720"/>
        <w:rPr>
          <w:b/>
        </w:rPr>
      </w:pPr>
      <w:r w:rsidRPr="00090E03">
        <w:rPr>
          <w:b/>
        </w:rPr>
        <w:t>Q</w:t>
      </w:r>
      <w:r>
        <w:t>.</w:t>
      </w:r>
      <w:r>
        <w:tab/>
      </w:r>
      <w:r w:rsidR="00111181">
        <w:rPr>
          <w:b/>
        </w:rPr>
        <w:t>Would you make any modifications to the approach outlined in the testimony of Joelle Steward</w:t>
      </w:r>
      <w:r>
        <w:rPr>
          <w:b/>
        </w:rPr>
        <w:t>?</w:t>
      </w:r>
      <w:r>
        <w:rPr>
          <w:b/>
        </w:rPr>
        <w:tab/>
      </w:r>
    </w:p>
    <w:p w:rsidR="00F9493F" w:rsidRDefault="0008415B" w:rsidP="00281098">
      <w:pPr>
        <w:spacing w:line="480" w:lineRule="auto"/>
        <w:ind w:left="540" w:hanging="540"/>
      </w:pPr>
      <w:r w:rsidRPr="00090E03">
        <w:rPr>
          <w:b/>
        </w:rPr>
        <w:t>A.</w:t>
      </w:r>
      <w:r>
        <w:rPr>
          <w:b/>
        </w:rPr>
        <w:tab/>
      </w:r>
      <w:r w:rsidR="002B2D26">
        <w:rPr>
          <w:b/>
        </w:rPr>
        <w:tab/>
      </w:r>
      <w:r w:rsidR="002B2D26">
        <w:rPr>
          <w:b/>
        </w:rPr>
        <w:tab/>
      </w:r>
      <w:r w:rsidR="00111181">
        <w:t xml:space="preserve">Yes, TEP suggests that the stakeholder group be tasked with </w:t>
      </w:r>
      <w:r w:rsidR="00DA1742">
        <w:t xml:space="preserve">not only </w:t>
      </w:r>
      <w:r w:rsidR="00EE291B">
        <w:t xml:space="preserve">addressing the </w:t>
      </w:r>
      <w:r w:rsidR="00DA1742">
        <w:t xml:space="preserve">LIBA Program, but also </w:t>
      </w:r>
      <w:r w:rsidR="00EE291B">
        <w:t>PPL</w:t>
      </w:r>
      <w:r w:rsidR="00DA1742">
        <w:t>’s</w:t>
      </w:r>
      <w:r w:rsidR="00EE291B">
        <w:t xml:space="preserve"> </w:t>
      </w:r>
      <w:r w:rsidR="00DA1742">
        <w:t>L</w:t>
      </w:r>
      <w:r w:rsidR="00EE291B">
        <w:t>ow-</w:t>
      </w:r>
      <w:r w:rsidR="00DA1742">
        <w:t>I</w:t>
      </w:r>
      <w:r w:rsidR="00EE291B">
        <w:t xml:space="preserve">ncome </w:t>
      </w:r>
      <w:r w:rsidR="00DA1742">
        <w:t>W</w:t>
      </w:r>
      <w:r w:rsidR="00EE291B">
        <w:t xml:space="preserve">eatherization </w:t>
      </w:r>
      <w:r w:rsidR="00DA1742">
        <w:t>P</w:t>
      </w:r>
      <w:r w:rsidR="00EE291B">
        <w:t>rogram</w:t>
      </w:r>
      <w:r w:rsidR="000F5737">
        <w:t xml:space="preserve">. </w:t>
      </w:r>
      <w:r w:rsidR="003C124E">
        <w:t xml:space="preserve">The PPL Low-Income Weatherization Program has some critical program design barriers that need to be overcome in order for low-income households to most effectively benefit.  </w:t>
      </w:r>
      <w:r w:rsidR="000F5737">
        <w:t>TEP also recommends that</w:t>
      </w:r>
      <w:r w:rsidR="00111181">
        <w:t xml:space="preserve"> a deadline of January 31, 2017 </w:t>
      </w:r>
      <w:r w:rsidR="000F5737">
        <w:t xml:space="preserve">be adopted </w:t>
      </w:r>
      <w:r w:rsidR="00111181">
        <w:t xml:space="preserve">for the submission to the UTC Commission </w:t>
      </w:r>
      <w:r w:rsidR="00D05B34">
        <w:t xml:space="preserve">of </w:t>
      </w:r>
      <w:r w:rsidR="00111181">
        <w:t>a completed comprehensive funding and program modification recommendation</w:t>
      </w:r>
      <w:r w:rsidR="00D754AA">
        <w:t xml:space="preserve"> report</w:t>
      </w:r>
      <w:r w:rsidR="00111181">
        <w:t xml:space="preserve"> </w:t>
      </w:r>
      <w:r w:rsidR="00EE291B">
        <w:t>for both LIBA and Low-Income Weatherization</w:t>
      </w:r>
      <w:r w:rsidR="00DA1742">
        <w:t xml:space="preserve"> Program. It is our desire to see program modifications</w:t>
      </w:r>
      <w:r w:rsidR="00EE291B">
        <w:t xml:space="preserve"> </w:t>
      </w:r>
      <w:r w:rsidR="00111181">
        <w:t xml:space="preserve">implemented </w:t>
      </w:r>
      <w:r w:rsidR="00DA1742">
        <w:t xml:space="preserve">by </w:t>
      </w:r>
      <w:r w:rsidR="00111181">
        <w:t>May 1, 2017</w:t>
      </w:r>
      <w:r w:rsidR="00DA1742">
        <w:t xml:space="preserve">, which coincides with the completion of a five-year funding plan authorized </w:t>
      </w:r>
      <w:r w:rsidR="00DA1742" w:rsidRPr="00EC683A">
        <w:t xml:space="preserve">by </w:t>
      </w:r>
      <w:r w:rsidR="00EC683A" w:rsidRPr="00A775D1">
        <w:t xml:space="preserve">case </w:t>
      </w:r>
      <w:r w:rsidR="00ED08E3">
        <w:t>UE-</w:t>
      </w:r>
      <w:r w:rsidR="00EC683A" w:rsidRPr="00A775D1">
        <w:t>111190</w:t>
      </w:r>
      <w:r w:rsidR="00EC683A">
        <w:t>.</w:t>
      </w:r>
      <w:r w:rsidR="00EC683A" w:rsidRPr="00A775D1">
        <w:t xml:space="preserve"> </w:t>
      </w:r>
      <w:r w:rsidR="00BD1564">
        <w:t>We also recommend a professional facilitator be hired for the stakeholder collaborative.</w:t>
      </w:r>
    </w:p>
    <w:p w:rsidR="00281098" w:rsidRPr="00234734" w:rsidRDefault="00281098" w:rsidP="00ED08E3">
      <w:pPr>
        <w:spacing w:line="480" w:lineRule="auto"/>
        <w:ind w:left="540" w:firstLine="900"/>
        <w:rPr>
          <w:b/>
        </w:rPr>
      </w:pPr>
      <w:r>
        <w:lastRenderedPageBreak/>
        <w:t>TEP also strongly recommends that funding and a timeline be established</w:t>
      </w:r>
      <w:r w:rsidR="0025201C">
        <w:t xml:space="preserve"> for a study that would</w:t>
      </w:r>
      <w:r>
        <w:t xml:space="preserve"> address the Commission’s stated expectation </w:t>
      </w:r>
      <w:r w:rsidR="0025201C">
        <w:t>for,</w:t>
      </w:r>
      <w:r>
        <w:t xml:space="preserve"> “</w:t>
      </w:r>
      <w:r w:rsidRPr="00281098">
        <w:t xml:space="preserve">the Company and others to continue developing data and undertaking analyses of low-income customer usage patterns in Pacific Power’s service territory.  These can inform thoughtful consideration in testimony in the Company’s next general rate case concerning the price signals a third block rate design will likely have on such </w:t>
      </w:r>
      <w:r w:rsidRPr="00BB75DD">
        <w:t>customers.</w:t>
      </w:r>
      <w:r w:rsidRPr="00BB75DD">
        <w:rPr>
          <w:rStyle w:val="FootnoteReference"/>
        </w:rPr>
        <w:footnoteReference w:id="7"/>
      </w:r>
      <w:r w:rsidRPr="00BB75DD">
        <w:t>”</w:t>
      </w:r>
      <w:r w:rsidR="00234734">
        <w:t xml:space="preserve"> </w:t>
      </w:r>
    </w:p>
    <w:p w:rsidR="0008415B" w:rsidRPr="00335DB8" w:rsidRDefault="00281098" w:rsidP="002B2D26">
      <w:pPr>
        <w:spacing w:line="480" w:lineRule="auto"/>
        <w:ind w:left="540" w:firstLine="900"/>
      </w:pPr>
      <w:r>
        <w:t xml:space="preserve">Through </w:t>
      </w:r>
      <w:r w:rsidR="007D4C85">
        <w:t xml:space="preserve">initial </w:t>
      </w:r>
      <w:r>
        <w:t xml:space="preserve">research that TEP has conducted, we </w:t>
      </w:r>
      <w:r w:rsidR="000F5737">
        <w:t xml:space="preserve">have begun compiling cost estimates for a study </w:t>
      </w:r>
      <w:r w:rsidR="000A6FA1">
        <w:t>to</w:t>
      </w:r>
      <w:r>
        <w:t xml:space="preserve"> determi</w:t>
      </w:r>
      <w:r w:rsidR="002B37CC">
        <w:t>ne the total number of low-inco</w:t>
      </w:r>
      <w:r>
        <w:t>m</w:t>
      </w:r>
      <w:r w:rsidR="002B37CC">
        <w:t xml:space="preserve">e </w:t>
      </w:r>
      <w:r w:rsidR="007D4C85">
        <w:t>customers residing</w:t>
      </w:r>
      <w:r>
        <w:t xml:space="preserve"> in PPL’s service territory. </w:t>
      </w:r>
      <w:r w:rsidR="000A6FA1">
        <w:t>In additional to simp</w:t>
      </w:r>
      <w:r w:rsidR="00EC683A">
        <w:t xml:space="preserve">ly knowing the total number of </w:t>
      </w:r>
      <w:r w:rsidR="000A6FA1">
        <w:t xml:space="preserve">low-income households reside within PPL territory, TEP is also interested in </w:t>
      </w:r>
      <w:r>
        <w:t>determin</w:t>
      </w:r>
      <w:r w:rsidR="000A6FA1">
        <w:t xml:space="preserve">ing </w:t>
      </w:r>
      <w:r>
        <w:t xml:space="preserve">what the usage patterns of this population are. The result of the comprehensive study would be to provide a solid understanding of </w:t>
      </w:r>
      <w:r w:rsidR="002B37CC">
        <w:t xml:space="preserve">what </w:t>
      </w:r>
      <w:r>
        <w:t>the impacts of the current LIBA program are</w:t>
      </w:r>
      <w:r w:rsidR="002B37CC">
        <w:t xml:space="preserve">, as well as inform all parties as to how potential changes in the rate structure may impact this at risk population. </w:t>
      </w:r>
      <w:r>
        <w:t xml:space="preserve"> </w:t>
      </w:r>
    </w:p>
    <w:p w:rsidR="00E34F23" w:rsidRPr="00E34F23" w:rsidRDefault="00E34F23" w:rsidP="00E34F23">
      <w:pPr>
        <w:spacing w:line="480" w:lineRule="auto"/>
        <w:ind w:left="540" w:hanging="540"/>
        <w:rPr>
          <w:b/>
        </w:rPr>
      </w:pPr>
      <w:r>
        <w:rPr>
          <w:b/>
        </w:rPr>
        <w:t>Q.</w:t>
      </w:r>
      <w:r>
        <w:rPr>
          <w:b/>
        </w:rPr>
        <w:tab/>
      </w:r>
      <w:r w:rsidRPr="00E34F23">
        <w:rPr>
          <w:b/>
        </w:rPr>
        <w:t xml:space="preserve">What is </w:t>
      </w:r>
      <w:r w:rsidR="00D05B34">
        <w:rPr>
          <w:b/>
        </w:rPr>
        <w:t xml:space="preserve">TEP’s </w:t>
      </w:r>
      <w:r w:rsidRPr="00E34F23">
        <w:rPr>
          <w:b/>
        </w:rPr>
        <w:t>response to the revenue requirement increase and rate spread proposed by the Company?</w:t>
      </w:r>
    </w:p>
    <w:p w:rsidR="009A7B9A" w:rsidRPr="009A7B9A" w:rsidRDefault="00E34F23" w:rsidP="00ED08E3">
      <w:pPr>
        <w:spacing w:line="480" w:lineRule="auto"/>
        <w:ind w:left="540" w:hanging="540"/>
      </w:pPr>
      <w:r w:rsidRPr="00E34F23">
        <w:rPr>
          <w:b/>
        </w:rPr>
        <w:t>A.</w:t>
      </w:r>
      <w:r w:rsidRPr="00E34F23">
        <w:rPr>
          <w:b/>
        </w:rPr>
        <w:tab/>
      </w:r>
      <w:r w:rsidR="002B2D26">
        <w:rPr>
          <w:b/>
        </w:rPr>
        <w:tab/>
      </w:r>
      <w:r w:rsidR="002B2D26">
        <w:rPr>
          <w:b/>
        </w:rPr>
        <w:tab/>
      </w:r>
      <w:r w:rsidRPr="00E34F23">
        <w:t xml:space="preserve">The Energy Project is naturally concerned about the impact that any rate increase will have on </w:t>
      </w:r>
      <w:r w:rsidR="00D553B2">
        <w:t>PPL’</w:t>
      </w:r>
      <w:r w:rsidRPr="00E34F23">
        <w:t xml:space="preserve">s low-income customers.  </w:t>
      </w:r>
      <w:r w:rsidR="00D05B34">
        <w:t>Additionally</w:t>
      </w:r>
      <w:r w:rsidRPr="00E34F23">
        <w:t xml:space="preserve">, </w:t>
      </w:r>
      <w:r w:rsidR="00D553B2">
        <w:t>PPL</w:t>
      </w:r>
      <w:r w:rsidRPr="00E34F23">
        <w:t xml:space="preserve"> is proposing a higher rate increase in this case for the residential class than the average class increase.  Utility bills are </w:t>
      </w:r>
      <w:r w:rsidR="00EB0590">
        <w:t>a</w:t>
      </w:r>
      <w:r w:rsidRPr="00E34F23">
        <w:t xml:space="preserve"> significant mont</w:t>
      </w:r>
      <w:r w:rsidR="00EB0590">
        <w:t>hly expense for</w:t>
      </w:r>
      <w:r w:rsidR="00D553B2">
        <w:t xml:space="preserve"> low-</w:t>
      </w:r>
      <w:r w:rsidR="00EB0590">
        <w:t xml:space="preserve">income </w:t>
      </w:r>
      <w:r w:rsidR="00D05B34">
        <w:t>households</w:t>
      </w:r>
      <w:r w:rsidR="00EB0590">
        <w:t xml:space="preserve"> to</w:t>
      </w:r>
      <w:r w:rsidRPr="00E34F23">
        <w:t xml:space="preserve"> pay.  The current trend of nearly annual general rate cases for regulated electric utilities seeking sizeable rate increases has taken an increasingly heavy toll on those </w:t>
      </w:r>
      <w:r w:rsidRPr="00E34F23">
        <w:lastRenderedPageBreak/>
        <w:t xml:space="preserve">customers who are financially at the margin in terms of their ability to pay.  While the 5-year plan for LIBA is of tremendous </w:t>
      </w:r>
      <w:r w:rsidR="00FF687A">
        <w:t>value</w:t>
      </w:r>
      <w:r w:rsidRPr="00E34F23">
        <w:t xml:space="preserve"> to the </w:t>
      </w:r>
      <w:r w:rsidR="00EB0590">
        <w:t>PPL's low-</w:t>
      </w:r>
      <w:r w:rsidRPr="00E34F23">
        <w:t xml:space="preserve">income customers, </w:t>
      </w:r>
      <w:r w:rsidR="00EB0590">
        <w:t>TEP</w:t>
      </w:r>
      <w:r w:rsidRPr="00E34F23">
        <w:t xml:space="preserve"> remains concerned about the frequent rate cases and the cu</w:t>
      </w:r>
      <w:r w:rsidR="00D05B34">
        <w:t>mulative toll this takes on low-</w:t>
      </w:r>
      <w:r w:rsidRPr="00E34F23">
        <w:t xml:space="preserve">income customers, especially those who are unable to participate in the LIBA program. </w:t>
      </w:r>
    </w:p>
    <w:p w:rsidR="00EC683A" w:rsidRPr="00EC683A" w:rsidRDefault="00EC683A" w:rsidP="00EC683A">
      <w:pPr>
        <w:spacing w:line="480" w:lineRule="auto"/>
      </w:pPr>
      <w:r w:rsidRPr="00EC683A">
        <w:rPr>
          <w:b/>
        </w:rPr>
        <w:t>Q.</w:t>
      </w:r>
      <w:r w:rsidRPr="00EC683A">
        <w:rPr>
          <w:b/>
        </w:rPr>
        <w:tab/>
      </w:r>
      <w:r w:rsidR="00EB0590">
        <w:rPr>
          <w:b/>
        </w:rPr>
        <w:t xml:space="preserve">Would TEP please provide a summary of their testimony </w:t>
      </w:r>
      <w:r w:rsidR="00D05B34">
        <w:rPr>
          <w:b/>
        </w:rPr>
        <w:t>in this</w:t>
      </w:r>
      <w:r w:rsidR="00EB0590">
        <w:rPr>
          <w:b/>
        </w:rPr>
        <w:t xml:space="preserve"> filing</w:t>
      </w:r>
      <w:r w:rsidRPr="00EC683A">
        <w:rPr>
          <w:b/>
        </w:rPr>
        <w:t>?</w:t>
      </w:r>
    </w:p>
    <w:p w:rsidR="00EC683A" w:rsidRPr="00EC683A" w:rsidRDefault="00EC683A" w:rsidP="00EC683A">
      <w:pPr>
        <w:spacing w:line="480" w:lineRule="auto"/>
        <w:ind w:left="720" w:hanging="720"/>
      </w:pPr>
      <w:r w:rsidRPr="00EC683A">
        <w:rPr>
          <w:b/>
        </w:rPr>
        <w:t>A:</w:t>
      </w:r>
      <w:r w:rsidRPr="00EC683A">
        <w:tab/>
      </w:r>
      <w:r w:rsidR="002B2D26">
        <w:tab/>
      </w:r>
      <w:r w:rsidRPr="00EC683A">
        <w:t>TEP supports this year's LIBA modifications as calculated by PPL witness Joelle Steward.  TEP believes that, as the Commission has previously made clear, LIBA is a</w:t>
      </w:r>
      <w:r w:rsidR="00ED08E3">
        <w:t xml:space="preserve">n </w:t>
      </w:r>
      <w:r w:rsidR="00EB0590">
        <w:t>essential</w:t>
      </w:r>
      <w:r w:rsidR="00ED08E3">
        <w:t xml:space="preserve"> program</w:t>
      </w:r>
      <w:r w:rsidR="00EB0590">
        <w:t xml:space="preserve"> </w:t>
      </w:r>
      <w:r w:rsidR="00D05B34">
        <w:t>f</w:t>
      </w:r>
      <w:r w:rsidR="00ED08E3">
        <w:t xml:space="preserve">or helping </w:t>
      </w:r>
      <w:r w:rsidR="00EB0590">
        <w:t>low-</w:t>
      </w:r>
      <w:r w:rsidRPr="00EC683A">
        <w:t xml:space="preserve">income customers </w:t>
      </w:r>
      <w:r w:rsidR="00D05B34">
        <w:t xml:space="preserve">who are </w:t>
      </w:r>
      <w:r w:rsidR="00ED08E3">
        <w:t>struggling</w:t>
      </w:r>
      <w:r w:rsidRPr="00EC683A">
        <w:t xml:space="preserve"> to </w:t>
      </w:r>
      <w:r w:rsidR="00EB0590">
        <w:t xml:space="preserve">stay connected to their </w:t>
      </w:r>
      <w:r w:rsidR="00D05B34">
        <w:t xml:space="preserve">electric </w:t>
      </w:r>
      <w:r w:rsidR="00EB0590">
        <w:t>utility service</w:t>
      </w:r>
      <w:r w:rsidRPr="00EC683A">
        <w:t xml:space="preserve">.  </w:t>
      </w:r>
      <w:r w:rsidR="008765B0">
        <w:t xml:space="preserve">TEP believes that additional LIBA modifications need to be made and would best be done in a stakeholder collaborative.  </w:t>
      </w:r>
      <w:r w:rsidRPr="00EC683A">
        <w:t xml:space="preserve">TEP </w:t>
      </w:r>
      <w:r w:rsidR="008765B0">
        <w:t xml:space="preserve">also </w:t>
      </w:r>
      <w:r w:rsidRPr="00EC683A">
        <w:t>believes th</w:t>
      </w:r>
      <w:r w:rsidR="00EB0590">
        <w:t>at it is</w:t>
      </w:r>
      <w:r w:rsidR="00A516C5">
        <w:t xml:space="preserve"> time to revisit PPL's Low-Inco</w:t>
      </w:r>
      <w:r w:rsidR="00EB0590">
        <w:t>m</w:t>
      </w:r>
      <w:r w:rsidR="00A516C5">
        <w:t>e</w:t>
      </w:r>
      <w:r w:rsidR="00EB0590">
        <w:t xml:space="preserve"> Weatherization</w:t>
      </w:r>
      <w:r w:rsidRPr="00EC683A">
        <w:t xml:space="preserve"> </w:t>
      </w:r>
      <w:r w:rsidR="00EB0590">
        <w:t>P</w:t>
      </w:r>
      <w:r w:rsidR="00A516C5">
        <w:t>r</w:t>
      </w:r>
      <w:r w:rsidR="00D05B34">
        <w:t xml:space="preserve">ogram and proposes doing so </w:t>
      </w:r>
      <w:r w:rsidR="00FF687A">
        <w:t>as part</w:t>
      </w:r>
      <w:r w:rsidRPr="00EC683A">
        <w:t xml:space="preserve"> of the collaborative </w:t>
      </w:r>
      <w:r w:rsidR="00FF687A">
        <w:t>for</w:t>
      </w:r>
      <w:r w:rsidRPr="00EC683A">
        <w:t xml:space="preserve"> LIBA proposed by PPL.  It is </w:t>
      </w:r>
      <w:r w:rsidR="00EB0590">
        <w:t xml:space="preserve">also </w:t>
      </w:r>
      <w:r w:rsidRPr="00EC683A">
        <w:t>TEP's po</w:t>
      </w:r>
      <w:r w:rsidR="00EB0590">
        <w:t xml:space="preserve">sition that there has not been any </w:t>
      </w:r>
      <w:r w:rsidR="00ED08E3">
        <w:t xml:space="preserve">significant </w:t>
      </w:r>
      <w:r w:rsidR="00D05B34">
        <w:t>effort on behalf</w:t>
      </w:r>
      <w:r w:rsidRPr="00EC683A">
        <w:t xml:space="preserve"> of PPL to engage in obtaining the type o</w:t>
      </w:r>
      <w:r w:rsidR="00EB0590">
        <w:t>f low-</w:t>
      </w:r>
      <w:r w:rsidRPr="00EC683A">
        <w:t xml:space="preserve">income data identified </w:t>
      </w:r>
      <w:r w:rsidRPr="00EC717E">
        <w:t xml:space="preserve">by Charles </w:t>
      </w:r>
      <w:proofErr w:type="spellStart"/>
      <w:r w:rsidRPr="00EC717E">
        <w:t>Eberdt</w:t>
      </w:r>
      <w:proofErr w:type="spellEnd"/>
      <w:r w:rsidRPr="00EC717E">
        <w:t xml:space="preserve"> in </w:t>
      </w:r>
      <w:r w:rsidR="00EC717E">
        <w:t>his testimony for UE-140762</w:t>
      </w:r>
      <w:r w:rsidRPr="00EC683A">
        <w:t xml:space="preserve">. The lack of </w:t>
      </w:r>
      <w:r w:rsidR="00165DAC">
        <w:t xml:space="preserve">accurate </w:t>
      </w:r>
      <w:r w:rsidRPr="00EC683A">
        <w:t xml:space="preserve">data will lead to </w:t>
      </w:r>
      <w:r w:rsidR="00D05B34">
        <w:t xml:space="preserve">unintended </w:t>
      </w:r>
      <w:r w:rsidRPr="00EC683A">
        <w:t xml:space="preserve">negative consequences and places the Commission in a difficult position in trying to make important decisions </w:t>
      </w:r>
      <w:r w:rsidR="00165DAC">
        <w:t>pertaining to rate design and low-</w:t>
      </w:r>
      <w:r w:rsidRPr="00EC683A">
        <w:t>income bill assistance.  TEP respectfully submits that the Company be ordered to finance and fully cooperate in a study designed to provide the Commission with the information that it needs.</w:t>
      </w:r>
    </w:p>
    <w:p w:rsidR="00651294" w:rsidRDefault="00651294" w:rsidP="0060413F">
      <w:pPr>
        <w:spacing w:line="480" w:lineRule="auto"/>
      </w:pPr>
    </w:p>
    <w:p w:rsidR="00AD4B42" w:rsidRDefault="00AD4B42" w:rsidP="004357D2">
      <w:pPr>
        <w:spacing w:line="480" w:lineRule="auto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>CONCLUSION</w:t>
      </w:r>
    </w:p>
    <w:p w:rsidR="00AD4B42" w:rsidRDefault="00AD4B42" w:rsidP="00AD4B42">
      <w:pPr>
        <w:spacing w:line="480" w:lineRule="auto"/>
        <w:ind w:left="540" w:hanging="540"/>
        <w:rPr>
          <w:b/>
        </w:rPr>
      </w:pPr>
      <w:r>
        <w:rPr>
          <w:b/>
        </w:rPr>
        <w:lastRenderedPageBreak/>
        <w:t>Q.</w:t>
      </w:r>
      <w:r>
        <w:rPr>
          <w:b/>
        </w:rPr>
        <w:tab/>
        <w:t>Does this conclude your testimony</w:t>
      </w:r>
      <w:r w:rsidR="00A059C8">
        <w:rPr>
          <w:b/>
        </w:rPr>
        <w:t>?</w:t>
      </w:r>
    </w:p>
    <w:p w:rsidR="00AD4B42" w:rsidRDefault="00AD4B42" w:rsidP="00AD4B42">
      <w:pPr>
        <w:spacing w:line="480" w:lineRule="auto"/>
        <w:ind w:left="540" w:hanging="540"/>
      </w:pPr>
      <w:r>
        <w:rPr>
          <w:b/>
        </w:rPr>
        <w:t>A.</w:t>
      </w:r>
      <w:r>
        <w:rPr>
          <w:b/>
        </w:rPr>
        <w:tab/>
      </w:r>
      <w:r w:rsidR="002B2D26">
        <w:rPr>
          <w:b/>
        </w:rPr>
        <w:tab/>
      </w:r>
      <w:r w:rsidR="002B2D26">
        <w:rPr>
          <w:b/>
        </w:rPr>
        <w:tab/>
      </w:r>
      <w:r w:rsidRPr="00AD4B42">
        <w:t xml:space="preserve">Yes. </w:t>
      </w:r>
    </w:p>
    <w:p w:rsidR="003746B9" w:rsidRPr="00AD4B42" w:rsidRDefault="003746B9" w:rsidP="00AD4B42">
      <w:pPr>
        <w:spacing w:line="480" w:lineRule="auto"/>
        <w:ind w:left="540" w:hanging="540"/>
        <w:rPr>
          <w:b/>
        </w:rPr>
      </w:pPr>
    </w:p>
    <w:sectPr w:rsidR="003746B9" w:rsidRPr="00AD4B42" w:rsidSect="00C979D6">
      <w:pgSz w:w="12240" w:h="15840"/>
      <w:pgMar w:top="1440" w:right="1800" w:bottom="1440" w:left="1800" w:header="720" w:footer="720" w:gutter="0"/>
      <w:lnNumType w:countBy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2E" w:rsidRDefault="00FE4C2E" w:rsidP="00061921">
      <w:r>
        <w:separator/>
      </w:r>
    </w:p>
  </w:endnote>
  <w:endnote w:type="continuationSeparator" w:id="0">
    <w:p w:rsidR="00FE4C2E" w:rsidRDefault="00FE4C2E" w:rsidP="00061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9A" w:rsidRPr="0015026F" w:rsidRDefault="00B74F9A" w:rsidP="00061921">
    <w:pPr>
      <w:pStyle w:val="Footer"/>
      <w:tabs>
        <w:tab w:val="right" w:pos="8910"/>
      </w:tabs>
      <w:rPr>
        <w:sz w:val="20"/>
        <w:szCs w:val="20"/>
      </w:rPr>
    </w:pPr>
    <w:r w:rsidRPr="0015026F">
      <w:rPr>
        <w:sz w:val="20"/>
        <w:szCs w:val="20"/>
      </w:rPr>
      <w:t>T</w:t>
    </w:r>
    <w:r>
      <w:rPr>
        <w:sz w:val="20"/>
        <w:szCs w:val="20"/>
      </w:rPr>
      <w:t>estimony</w:t>
    </w:r>
    <w:r w:rsidRPr="0015026F">
      <w:rPr>
        <w:sz w:val="20"/>
        <w:szCs w:val="20"/>
      </w:rPr>
      <w:t xml:space="preserve"> </w:t>
    </w:r>
    <w:r>
      <w:rPr>
        <w:sz w:val="20"/>
        <w:szCs w:val="20"/>
      </w:rPr>
      <w:t>of</w:t>
    </w:r>
    <w:r w:rsidRPr="0015026F">
      <w:rPr>
        <w:sz w:val="20"/>
        <w:szCs w:val="20"/>
      </w:rPr>
      <w:t xml:space="preserve"> </w:t>
    </w:r>
    <w:r>
      <w:rPr>
        <w:sz w:val="20"/>
        <w:szCs w:val="20"/>
      </w:rPr>
      <w:t>Shawn M. Collins</w:t>
    </w:r>
    <w:r w:rsidRPr="0015026F">
      <w:rPr>
        <w:sz w:val="20"/>
        <w:szCs w:val="20"/>
      </w:rPr>
      <w:t xml:space="preserve"> </w:t>
    </w:r>
    <w:r w:rsidRPr="0015026F">
      <w:rPr>
        <w:sz w:val="20"/>
        <w:szCs w:val="20"/>
      </w:rPr>
      <w:tab/>
    </w:r>
    <w:r w:rsidRPr="0015026F">
      <w:rPr>
        <w:sz w:val="20"/>
        <w:szCs w:val="20"/>
      </w:rPr>
      <w:tab/>
      <w:t xml:space="preserve">Exhibit No. </w:t>
    </w:r>
    <w:r w:rsidRPr="00363621">
      <w:rPr>
        <w:sz w:val="20"/>
        <w:szCs w:val="20"/>
      </w:rPr>
      <w:t>SMC-1T</w:t>
    </w:r>
  </w:p>
  <w:p w:rsidR="00B74F9A" w:rsidRPr="0015026F" w:rsidRDefault="00B74F9A" w:rsidP="00061921">
    <w:pPr>
      <w:pStyle w:val="Footer"/>
      <w:tabs>
        <w:tab w:val="right" w:pos="8910"/>
      </w:tabs>
      <w:rPr>
        <w:sz w:val="20"/>
        <w:szCs w:val="20"/>
      </w:rPr>
    </w:pPr>
    <w:r>
      <w:rPr>
        <w:sz w:val="20"/>
        <w:szCs w:val="20"/>
      </w:rPr>
      <w:t xml:space="preserve">Dockets </w:t>
    </w:r>
    <w:r w:rsidRPr="00A31AF4">
      <w:rPr>
        <w:sz w:val="20"/>
        <w:szCs w:val="20"/>
      </w:rPr>
      <w:t>UE-152253</w:t>
    </w:r>
    <w:r w:rsidRPr="0015026F">
      <w:rPr>
        <w:sz w:val="20"/>
        <w:szCs w:val="20"/>
      </w:rPr>
      <w:tab/>
    </w:r>
    <w:r w:rsidRPr="0015026F">
      <w:rPr>
        <w:sz w:val="20"/>
        <w:szCs w:val="20"/>
      </w:rPr>
      <w:tab/>
      <w:t xml:space="preserve">Page </w:t>
    </w:r>
    <w:r w:rsidR="00032F91" w:rsidRPr="0015026F">
      <w:rPr>
        <w:sz w:val="20"/>
        <w:szCs w:val="20"/>
      </w:rPr>
      <w:fldChar w:fldCharType="begin"/>
    </w:r>
    <w:r w:rsidRPr="0015026F">
      <w:rPr>
        <w:sz w:val="20"/>
        <w:szCs w:val="20"/>
      </w:rPr>
      <w:instrText xml:space="preserve"> PAGE   \* MERGEFORMAT </w:instrText>
    </w:r>
    <w:r w:rsidR="00032F91" w:rsidRPr="0015026F">
      <w:rPr>
        <w:sz w:val="20"/>
        <w:szCs w:val="20"/>
      </w:rPr>
      <w:fldChar w:fldCharType="separate"/>
    </w:r>
    <w:r w:rsidR="00C970B0">
      <w:rPr>
        <w:noProof/>
        <w:sz w:val="20"/>
        <w:szCs w:val="20"/>
      </w:rPr>
      <w:t>1</w:t>
    </w:r>
    <w:r w:rsidR="00032F91" w:rsidRPr="0015026F">
      <w:rPr>
        <w:noProof/>
        <w:sz w:val="20"/>
        <w:szCs w:val="20"/>
      </w:rPr>
      <w:fldChar w:fldCharType="end"/>
    </w:r>
  </w:p>
  <w:p w:rsidR="00B74F9A" w:rsidRDefault="00B74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2E" w:rsidRDefault="00FE4C2E" w:rsidP="00061921">
      <w:r>
        <w:separator/>
      </w:r>
    </w:p>
  </w:footnote>
  <w:footnote w:type="continuationSeparator" w:id="0">
    <w:p w:rsidR="00FE4C2E" w:rsidRDefault="00FE4C2E" w:rsidP="00061921">
      <w:r>
        <w:continuationSeparator/>
      </w:r>
    </w:p>
  </w:footnote>
  <w:footnote w:id="1">
    <w:p w:rsidR="00B74F9A" w:rsidRDefault="00B74F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1181">
        <w:rPr>
          <w:rFonts w:ascii="Times New Roman" w:hAnsi="Times New Roman"/>
          <w:i/>
          <w:sz w:val="20"/>
          <w:szCs w:val="20"/>
        </w:rPr>
        <w:t xml:space="preserve">Wash. </w:t>
      </w:r>
      <w:proofErr w:type="spellStart"/>
      <w:r w:rsidRPr="00111181">
        <w:rPr>
          <w:rFonts w:ascii="Times New Roman" w:hAnsi="Times New Roman"/>
          <w:i/>
          <w:sz w:val="20"/>
          <w:szCs w:val="20"/>
        </w:rPr>
        <w:t>Utils</w:t>
      </w:r>
      <w:proofErr w:type="spellEnd"/>
      <w:r w:rsidRPr="00111181">
        <w:rPr>
          <w:rFonts w:ascii="Times New Roman" w:hAnsi="Times New Roman"/>
          <w:i/>
          <w:sz w:val="20"/>
          <w:szCs w:val="20"/>
        </w:rPr>
        <w:t xml:space="preserve">. &amp; Transp. </w:t>
      </w:r>
      <w:proofErr w:type="spellStart"/>
      <w:r w:rsidRPr="00111181">
        <w:rPr>
          <w:rFonts w:ascii="Times New Roman" w:hAnsi="Times New Roman"/>
          <w:i/>
          <w:sz w:val="20"/>
          <w:szCs w:val="20"/>
        </w:rPr>
        <w:t>Comm’n</w:t>
      </w:r>
      <w:proofErr w:type="spellEnd"/>
      <w:r w:rsidRPr="00111181">
        <w:rPr>
          <w:rFonts w:ascii="Times New Roman" w:hAnsi="Times New Roman"/>
          <w:i/>
          <w:sz w:val="20"/>
          <w:szCs w:val="20"/>
        </w:rPr>
        <w:t xml:space="preserve"> v. PacifiCorp</w:t>
      </w:r>
      <w:r w:rsidRPr="00111181">
        <w:rPr>
          <w:rFonts w:ascii="Times New Roman" w:hAnsi="Times New Roman"/>
          <w:sz w:val="20"/>
          <w:szCs w:val="20"/>
        </w:rPr>
        <w:t>, D</w:t>
      </w:r>
      <w:r>
        <w:rPr>
          <w:rFonts w:ascii="Times New Roman" w:hAnsi="Times New Roman"/>
          <w:sz w:val="20"/>
          <w:szCs w:val="20"/>
        </w:rPr>
        <w:t xml:space="preserve">ocket UE-111190, Order 07, </w:t>
      </w:r>
      <w:r w:rsidRPr="00111181">
        <w:rPr>
          <w:rFonts w:ascii="Times New Roman" w:hAnsi="Times New Roman"/>
          <w:sz w:val="20"/>
          <w:szCs w:val="20"/>
        </w:rPr>
        <w:t>(Mar. 30, 2012).</w:t>
      </w:r>
    </w:p>
  </w:footnote>
  <w:footnote w:id="2">
    <w:p w:rsidR="00B74F9A" w:rsidRDefault="00B74F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7687">
        <w:rPr>
          <w:sz w:val="20"/>
          <w:szCs w:val="20"/>
        </w:rPr>
        <w:t>Docket UE-152253, Testimony of Joelle R</w:t>
      </w:r>
      <w:r>
        <w:rPr>
          <w:sz w:val="20"/>
          <w:szCs w:val="20"/>
        </w:rPr>
        <w:t>. Steward, Exhibit JRS-1T (page 8, Lines 7-11</w:t>
      </w:r>
      <w:r w:rsidRPr="00D77687">
        <w:rPr>
          <w:sz w:val="20"/>
          <w:szCs w:val="20"/>
        </w:rPr>
        <w:t>)</w:t>
      </w:r>
    </w:p>
  </w:footnote>
  <w:footnote w:id="3">
    <w:p w:rsidR="00B74F9A" w:rsidRDefault="00B74F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Docket UE-140762</w:t>
      </w:r>
      <w:r w:rsidRPr="00D77687">
        <w:rPr>
          <w:sz w:val="20"/>
          <w:szCs w:val="20"/>
        </w:rPr>
        <w:t xml:space="preserve">, Testimony of </w:t>
      </w:r>
      <w:r>
        <w:rPr>
          <w:sz w:val="20"/>
          <w:szCs w:val="20"/>
        </w:rPr>
        <w:t xml:space="preserve">Roger </w:t>
      </w:r>
      <w:proofErr w:type="spellStart"/>
      <w:r>
        <w:rPr>
          <w:sz w:val="20"/>
          <w:szCs w:val="20"/>
        </w:rPr>
        <w:t>Kouchi</w:t>
      </w:r>
      <w:proofErr w:type="spellEnd"/>
      <w:r>
        <w:rPr>
          <w:sz w:val="20"/>
          <w:szCs w:val="20"/>
        </w:rPr>
        <w:t xml:space="preserve"> (page </w:t>
      </w:r>
      <w:r w:rsidRPr="00D77687">
        <w:rPr>
          <w:sz w:val="20"/>
          <w:szCs w:val="20"/>
        </w:rPr>
        <w:t>9</w:t>
      </w:r>
      <w:r>
        <w:rPr>
          <w:sz w:val="20"/>
          <w:szCs w:val="20"/>
        </w:rPr>
        <w:t>, Lines 1-6</w:t>
      </w:r>
      <w:r w:rsidRPr="00D77687">
        <w:rPr>
          <w:sz w:val="20"/>
          <w:szCs w:val="20"/>
        </w:rPr>
        <w:t>)</w:t>
      </w:r>
    </w:p>
  </w:footnote>
  <w:footnote w:id="4">
    <w:p w:rsidR="00B74F9A" w:rsidRPr="00D77687" w:rsidRDefault="00B74F9A">
      <w:pPr>
        <w:pStyle w:val="FootnoteText"/>
        <w:rPr>
          <w:sz w:val="20"/>
          <w:szCs w:val="20"/>
        </w:rPr>
      </w:pPr>
      <w:r w:rsidRPr="00D77687">
        <w:rPr>
          <w:rStyle w:val="FootnoteReference"/>
          <w:sz w:val="20"/>
          <w:szCs w:val="20"/>
        </w:rPr>
        <w:footnoteRef/>
      </w:r>
      <w:r w:rsidRPr="00D77687">
        <w:rPr>
          <w:sz w:val="20"/>
          <w:szCs w:val="20"/>
        </w:rPr>
        <w:t xml:space="preserve"> Docket UE-152253, Testimony of Joelle R. Steward, Exhibit JRS-1T (pages 8-9) </w:t>
      </w:r>
    </w:p>
  </w:footnote>
  <w:footnote w:id="5">
    <w:p w:rsidR="00B74F9A" w:rsidRDefault="00B74F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1181">
        <w:rPr>
          <w:rFonts w:ascii="Times New Roman" w:hAnsi="Times New Roman"/>
          <w:i/>
          <w:sz w:val="20"/>
          <w:szCs w:val="20"/>
        </w:rPr>
        <w:t xml:space="preserve">Wash. </w:t>
      </w:r>
      <w:proofErr w:type="spellStart"/>
      <w:r w:rsidRPr="00111181">
        <w:rPr>
          <w:rFonts w:ascii="Times New Roman" w:hAnsi="Times New Roman"/>
          <w:i/>
          <w:sz w:val="20"/>
          <w:szCs w:val="20"/>
        </w:rPr>
        <w:t>Utils</w:t>
      </w:r>
      <w:proofErr w:type="spellEnd"/>
      <w:r w:rsidRPr="00111181">
        <w:rPr>
          <w:rFonts w:ascii="Times New Roman" w:hAnsi="Times New Roman"/>
          <w:i/>
          <w:sz w:val="20"/>
          <w:szCs w:val="20"/>
        </w:rPr>
        <w:t xml:space="preserve">. &amp; Transp. </w:t>
      </w:r>
      <w:proofErr w:type="spellStart"/>
      <w:r w:rsidRPr="00111181">
        <w:rPr>
          <w:rFonts w:ascii="Times New Roman" w:hAnsi="Times New Roman"/>
          <w:i/>
          <w:sz w:val="20"/>
          <w:szCs w:val="20"/>
        </w:rPr>
        <w:t>Comm’n</w:t>
      </w:r>
      <w:proofErr w:type="spellEnd"/>
      <w:r w:rsidRPr="00111181">
        <w:rPr>
          <w:rFonts w:ascii="Times New Roman" w:hAnsi="Times New Roman"/>
          <w:i/>
          <w:sz w:val="20"/>
          <w:szCs w:val="20"/>
        </w:rPr>
        <w:t xml:space="preserve"> v. PacifiCorp</w:t>
      </w:r>
      <w:r w:rsidRPr="00111181">
        <w:rPr>
          <w:rFonts w:ascii="Times New Roman" w:hAnsi="Times New Roman"/>
          <w:sz w:val="20"/>
          <w:szCs w:val="20"/>
        </w:rPr>
        <w:t>, Docket UE-111190, Order 07, ¶ 17 (Mar. 30, 2012).</w:t>
      </w:r>
    </w:p>
  </w:footnote>
  <w:footnote w:id="6">
    <w:p w:rsidR="00B74F9A" w:rsidRDefault="00B74F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7687">
        <w:rPr>
          <w:sz w:val="20"/>
          <w:szCs w:val="20"/>
        </w:rPr>
        <w:t>Docket UE-152253, Testimony of Joelle R. S</w:t>
      </w:r>
      <w:r>
        <w:rPr>
          <w:sz w:val="20"/>
          <w:szCs w:val="20"/>
        </w:rPr>
        <w:t xml:space="preserve">teward, Exhibit JRS-1T (page </w:t>
      </w:r>
      <w:r w:rsidRPr="00D77687">
        <w:rPr>
          <w:sz w:val="20"/>
          <w:szCs w:val="20"/>
        </w:rPr>
        <w:t>9)</w:t>
      </w:r>
    </w:p>
  </w:footnote>
  <w:footnote w:id="7">
    <w:p w:rsidR="00B74F9A" w:rsidRPr="00FA2A36" w:rsidRDefault="00B74F9A">
      <w:pPr>
        <w:pStyle w:val="FootnoteText"/>
        <w:rPr>
          <w:b/>
          <w:sz w:val="20"/>
          <w:szCs w:val="20"/>
        </w:rPr>
      </w:pPr>
      <w:r w:rsidRPr="00BB75DD">
        <w:rPr>
          <w:rStyle w:val="FootnoteReference"/>
          <w:sz w:val="20"/>
          <w:szCs w:val="20"/>
        </w:rPr>
        <w:footnoteRef/>
      </w:r>
      <w:r w:rsidRPr="00BB75DD">
        <w:rPr>
          <w:sz w:val="20"/>
          <w:szCs w:val="20"/>
        </w:rPr>
        <w:t xml:space="preserve"> UE-140762</w:t>
      </w:r>
      <w:r w:rsidRPr="00BB75DD">
        <w:rPr>
          <w:iCs/>
          <w:sz w:val="20"/>
          <w:szCs w:val="20"/>
        </w:rPr>
        <w:t xml:space="preserve">, Order 8 pp. 93, </w:t>
      </w:r>
      <w:r w:rsidRPr="00BB75DD">
        <w:rPr>
          <w:rFonts w:ascii="Times New Roman" w:hAnsi="Times New Roman"/>
          <w:sz w:val="20"/>
          <w:szCs w:val="20"/>
        </w:rPr>
        <w:t xml:space="preserve">¶ </w:t>
      </w:r>
      <w:r w:rsidRPr="00BB75DD">
        <w:rPr>
          <w:iCs/>
          <w:sz w:val="20"/>
          <w:szCs w:val="20"/>
        </w:rPr>
        <w:t xml:space="preserve">219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37E1"/>
    <w:multiLevelType w:val="hybridMultilevel"/>
    <w:tmpl w:val="14DCA4F2"/>
    <w:lvl w:ilvl="0" w:tplc="F7B6A1D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F271AD"/>
    <w:multiLevelType w:val="hybridMultilevel"/>
    <w:tmpl w:val="B8ECE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61921"/>
    <w:rsid w:val="00032F91"/>
    <w:rsid w:val="000461D4"/>
    <w:rsid w:val="00061921"/>
    <w:rsid w:val="0008415B"/>
    <w:rsid w:val="000A203F"/>
    <w:rsid w:val="000A6FA1"/>
    <w:rsid w:val="000E3338"/>
    <w:rsid w:val="000F5737"/>
    <w:rsid w:val="00111181"/>
    <w:rsid w:val="00121C1A"/>
    <w:rsid w:val="0013530E"/>
    <w:rsid w:val="00144816"/>
    <w:rsid w:val="0015505F"/>
    <w:rsid w:val="00155450"/>
    <w:rsid w:val="00162D89"/>
    <w:rsid w:val="00165DAC"/>
    <w:rsid w:val="00170A99"/>
    <w:rsid w:val="00187B79"/>
    <w:rsid w:val="001B15CA"/>
    <w:rsid w:val="001C5184"/>
    <w:rsid w:val="00234734"/>
    <w:rsid w:val="0025201C"/>
    <w:rsid w:val="002535A2"/>
    <w:rsid w:val="00256554"/>
    <w:rsid w:val="00277BC3"/>
    <w:rsid w:val="00281098"/>
    <w:rsid w:val="002B2D26"/>
    <w:rsid w:val="002B37CC"/>
    <w:rsid w:val="002C38B3"/>
    <w:rsid w:val="002E038B"/>
    <w:rsid w:val="002E2075"/>
    <w:rsid w:val="00316C1A"/>
    <w:rsid w:val="00363621"/>
    <w:rsid w:val="003746B9"/>
    <w:rsid w:val="00376C37"/>
    <w:rsid w:val="003821D6"/>
    <w:rsid w:val="00391B81"/>
    <w:rsid w:val="003A0629"/>
    <w:rsid w:val="003C124E"/>
    <w:rsid w:val="003E6FA8"/>
    <w:rsid w:val="00420AAA"/>
    <w:rsid w:val="004329DD"/>
    <w:rsid w:val="004357D2"/>
    <w:rsid w:val="00441193"/>
    <w:rsid w:val="004422D6"/>
    <w:rsid w:val="004502EB"/>
    <w:rsid w:val="00473C3F"/>
    <w:rsid w:val="00503838"/>
    <w:rsid w:val="00570EC4"/>
    <w:rsid w:val="00581D20"/>
    <w:rsid w:val="00583223"/>
    <w:rsid w:val="005A3550"/>
    <w:rsid w:val="005F1865"/>
    <w:rsid w:val="00600564"/>
    <w:rsid w:val="0060413F"/>
    <w:rsid w:val="00651294"/>
    <w:rsid w:val="006B7E11"/>
    <w:rsid w:val="0070421F"/>
    <w:rsid w:val="007353ED"/>
    <w:rsid w:val="00751BA6"/>
    <w:rsid w:val="00754EB2"/>
    <w:rsid w:val="00784DBB"/>
    <w:rsid w:val="007C780C"/>
    <w:rsid w:val="007D4C85"/>
    <w:rsid w:val="007D4D4B"/>
    <w:rsid w:val="00802EB4"/>
    <w:rsid w:val="00820152"/>
    <w:rsid w:val="0083674F"/>
    <w:rsid w:val="008765B0"/>
    <w:rsid w:val="008875D2"/>
    <w:rsid w:val="008970D0"/>
    <w:rsid w:val="008E5051"/>
    <w:rsid w:val="00911408"/>
    <w:rsid w:val="00923A1A"/>
    <w:rsid w:val="00924EE0"/>
    <w:rsid w:val="009510EF"/>
    <w:rsid w:val="0095295E"/>
    <w:rsid w:val="00954884"/>
    <w:rsid w:val="009A7B9A"/>
    <w:rsid w:val="00A059C8"/>
    <w:rsid w:val="00A15ADC"/>
    <w:rsid w:val="00A20BD0"/>
    <w:rsid w:val="00A31AF4"/>
    <w:rsid w:val="00A516C5"/>
    <w:rsid w:val="00A775D1"/>
    <w:rsid w:val="00AD143C"/>
    <w:rsid w:val="00AD4B42"/>
    <w:rsid w:val="00B3135C"/>
    <w:rsid w:val="00B45150"/>
    <w:rsid w:val="00B74F9A"/>
    <w:rsid w:val="00BA2CA1"/>
    <w:rsid w:val="00BA75E2"/>
    <w:rsid w:val="00BB4309"/>
    <w:rsid w:val="00BB5741"/>
    <w:rsid w:val="00BB75DD"/>
    <w:rsid w:val="00BC366C"/>
    <w:rsid w:val="00BC62F2"/>
    <w:rsid w:val="00BD1564"/>
    <w:rsid w:val="00BE4B27"/>
    <w:rsid w:val="00C17717"/>
    <w:rsid w:val="00C96C13"/>
    <w:rsid w:val="00C970B0"/>
    <w:rsid w:val="00C979D6"/>
    <w:rsid w:val="00CF1A60"/>
    <w:rsid w:val="00D0361B"/>
    <w:rsid w:val="00D05B34"/>
    <w:rsid w:val="00D26E94"/>
    <w:rsid w:val="00D44BB4"/>
    <w:rsid w:val="00D553B2"/>
    <w:rsid w:val="00D702DD"/>
    <w:rsid w:val="00D754AA"/>
    <w:rsid w:val="00D77687"/>
    <w:rsid w:val="00DA1742"/>
    <w:rsid w:val="00DD5000"/>
    <w:rsid w:val="00DD729C"/>
    <w:rsid w:val="00DE12F4"/>
    <w:rsid w:val="00DE68C9"/>
    <w:rsid w:val="00E1764C"/>
    <w:rsid w:val="00E34F23"/>
    <w:rsid w:val="00E536BA"/>
    <w:rsid w:val="00EA3DAC"/>
    <w:rsid w:val="00EB0590"/>
    <w:rsid w:val="00EC683A"/>
    <w:rsid w:val="00EC717E"/>
    <w:rsid w:val="00ED08E3"/>
    <w:rsid w:val="00ED289C"/>
    <w:rsid w:val="00EE291B"/>
    <w:rsid w:val="00EF5FF1"/>
    <w:rsid w:val="00F161C5"/>
    <w:rsid w:val="00F25110"/>
    <w:rsid w:val="00F40936"/>
    <w:rsid w:val="00F45DC3"/>
    <w:rsid w:val="00F536EF"/>
    <w:rsid w:val="00F65E88"/>
    <w:rsid w:val="00F9493F"/>
    <w:rsid w:val="00FA2A36"/>
    <w:rsid w:val="00FB5521"/>
    <w:rsid w:val="00FE4C2E"/>
    <w:rsid w:val="00FF68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21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9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2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19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2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061921"/>
    <w:pPr>
      <w:widowControl w:val="0"/>
      <w:autoSpaceDE w:val="0"/>
      <w:autoSpaceDN w:val="0"/>
      <w:adjustRightInd w:val="0"/>
    </w:pPr>
    <w:rPr>
      <w:rFonts w:ascii="TimesNewRoman" w:eastAsia="Times New Roman" w:hAnsi="TimesNewRoman"/>
      <w:szCs w:val="20"/>
    </w:rPr>
  </w:style>
  <w:style w:type="character" w:customStyle="1" w:styleId="SubtitleChar">
    <w:name w:val="Subtitle Char"/>
    <w:basedOn w:val="DefaultParagraphFont"/>
    <w:link w:val="Subtitle"/>
    <w:rsid w:val="00061921"/>
    <w:rPr>
      <w:rFonts w:ascii="TimesNewRoman" w:eastAsia="Times New Roman" w:hAnsi="TimesNew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42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2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F2"/>
    <w:rPr>
      <w:rFonts w:ascii="Lucida Grande" w:eastAsiaTheme="minorHAnsi" w:hAnsi="Lucida Grande" w:cs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6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2F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2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2F2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8415B"/>
    <w:rPr>
      <w:rFonts w:asciiTheme="minorHAnsi" w:eastAsiaTheme="minorEastAsia" w:hAnsiTheme="minorHAnsi" w:cstheme="minorBidi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15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8415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C979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21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9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2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19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21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061921"/>
    <w:pPr>
      <w:widowControl w:val="0"/>
      <w:autoSpaceDE w:val="0"/>
      <w:autoSpaceDN w:val="0"/>
      <w:adjustRightInd w:val="0"/>
    </w:pPr>
    <w:rPr>
      <w:rFonts w:ascii="TimesNewRoman" w:eastAsia="Times New Roman" w:hAnsi="TimesNewRoman"/>
      <w:szCs w:val="20"/>
    </w:rPr>
  </w:style>
  <w:style w:type="character" w:customStyle="1" w:styleId="SubtitleChar">
    <w:name w:val="Subtitle Char"/>
    <w:basedOn w:val="DefaultParagraphFont"/>
    <w:link w:val="Subtitle"/>
    <w:rsid w:val="00061921"/>
    <w:rPr>
      <w:rFonts w:ascii="TimesNewRoman" w:eastAsia="Times New Roman" w:hAnsi="TimesNew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42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2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F2"/>
    <w:rPr>
      <w:rFonts w:ascii="Lucida Grande" w:eastAsiaTheme="minorHAnsi" w:hAnsi="Lucida Grande" w:cs="Times New Rom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6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2F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2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2F2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8415B"/>
    <w:rPr>
      <w:rFonts w:asciiTheme="minorHAnsi" w:eastAsiaTheme="minorEastAsia" w:hAnsiTheme="minorHAnsi" w:cstheme="minorBidi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15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8415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C97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E60228-1620-4F34-8BD5-8F837D52CC24}"/>
</file>

<file path=customXml/itemProps2.xml><?xml version="1.0" encoding="utf-8"?>
<ds:datastoreItem xmlns:ds="http://schemas.openxmlformats.org/officeDocument/2006/customXml" ds:itemID="{305B6A13-6B1E-4EEA-A261-90BC78B7A797}"/>
</file>

<file path=customXml/itemProps3.xml><?xml version="1.0" encoding="utf-8"?>
<ds:datastoreItem xmlns:ds="http://schemas.openxmlformats.org/officeDocument/2006/customXml" ds:itemID="{E095738F-2701-466A-947A-71AAE943C3A8}"/>
</file>

<file path=customXml/itemProps4.xml><?xml version="1.0" encoding="utf-8"?>
<ds:datastoreItem xmlns:ds="http://schemas.openxmlformats.org/officeDocument/2006/customXml" ds:itemID="{CBE512EF-90B5-4EC8-82C4-8EA540584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Opportunity Council</Company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Collins</dc:creator>
  <cp:lastModifiedBy>Brad Purdy</cp:lastModifiedBy>
  <cp:revision>2</cp:revision>
  <dcterms:created xsi:type="dcterms:W3CDTF">2016-03-17T20:53:00Z</dcterms:created>
  <dcterms:modified xsi:type="dcterms:W3CDTF">2016-03-17T20:53:00Z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