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FBBFB" w14:textId="77777777" w:rsidR="00F73D54" w:rsidRPr="009D57C2" w:rsidRDefault="00DB2248" w:rsidP="00F73D54">
      <w:pPr>
        <w:pStyle w:val="Header"/>
        <w:tabs>
          <w:tab w:val="clear" w:pos="4320"/>
          <w:tab w:val="clear" w:pos="8640"/>
        </w:tabs>
        <w:jc w:val="center"/>
        <w:rPr>
          <w:rFonts w:ascii="Times New Roman" w:hAnsi="Times New Roman" w:cs="Times New Roman"/>
        </w:rPr>
      </w:pPr>
      <w:bookmarkStart w:id="0" w:name="_GoBack"/>
      <w:bookmarkEnd w:id="0"/>
      <w:r w:rsidRPr="009D57C2">
        <w:rPr>
          <w:rFonts w:ascii="Times New Roman" w:hAnsi="Times New Roman" w:cs="Times New Roman"/>
        </w:rPr>
        <w:t>BEFORE THE WASHINGTON UTILITIES AND TRANSPORTATION COMMISSION</w:t>
      </w:r>
    </w:p>
    <w:p w14:paraId="0C5FBBFC" w14:textId="77777777"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14:paraId="0C5FBC0A" w14:textId="77777777" w:rsidTr="00F73D54">
        <w:tc>
          <w:tcPr>
            <w:tcW w:w="4410" w:type="dxa"/>
            <w:tcBorders>
              <w:top w:val="single" w:sz="6" w:space="0" w:color="FFFFFF"/>
              <w:left w:val="single" w:sz="6" w:space="0" w:color="FFFFFF"/>
              <w:bottom w:val="single" w:sz="7" w:space="0" w:color="000000"/>
              <w:right w:val="single" w:sz="6" w:space="0" w:color="FFFFFF"/>
            </w:tcBorders>
          </w:tcPr>
          <w:p w14:paraId="0C5FBBFD" w14:textId="77777777"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0C5FBBFE" w14:textId="77777777" w:rsidR="00AE76C1" w:rsidRPr="009D57C2" w:rsidRDefault="00AE76C1" w:rsidP="00AE76C1">
            <w:pPr>
              <w:spacing w:line="240" w:lineRule="atLeast"/>
              <w:rPr>
                <w:rFonts w:ascii="Times New Roman" w:hAnsi="Times New Roman" w:cs="Times New Roman"/>
                <w:sz w:val="23"/>
                <w:szCs w:val="23"/>
              </w:rPr>
            </w:pPr>
          </w:p>
          <w:p w14:paraId="0C5FBBFF" w14:textId="77777777"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14:paraId="0C5FBC00" w14:textId="77777777" w:rsidR="00AE76C1" w:rsidRPr="009D57C2" w:rsidRDefault="00AE76C1" w:rsidP="00AE76C1">
            <w:pPr>
              <w:spacing w:line="240" w:lineRule="atLeast"/>
              <w:ind w:left="1496"/>
              <w:rPr>
                <w:rFonts w:ascii="Times New Roman" w:hAnsi="Times New Roman" w:cs="Times New Roman"/>
                <w:sz w:val="18"/>
                <w:szCs w:val="24"/>
              </w:rPr>
            </w:pPr>
          </w:p>
          <w:p w14:paraId="0C5FBC01" w14:textId="77777777" w:rsidR="00AE76C1" w:rsidRPr="009D57C2" w:rsidRDefault="00AE76C1" w:rsidP="00A975B6">
            <w:pPr>
              <w:spacing w:line="240" w:lineRule="atLeast"/>
              <w:ind w:left="56"/>
              <w:rPr>
                <w:rFonts w:ascii="Times New Roman" w:hAnsi="Times New Roman" w:cs="Times New Roman"/>
                <w:szCs w:val="24"/>
              </w:rPr>
            </w:pPr>
            <w:r w:rsidRPr="009D57C2">
              <w:rPr>
                <w:rFonts w:ascii="Times New Roman" w:hAnsi="Times New Roman" w:cs="Times New Roman"/>
                <w:szCs w:val="24"/>
              </w:rPr>
              <w:t>v.</w:t>
            </w:r>
          </w:p>
          <w:p w14:paraId="0C5FBC02" w14:textId="77777777" w:rsidR="00AE76C1" w:rsidRPr="009D57C2" w:rsidRDefault="00AE76C1" w:rsidP="00AE76C1">
            <w:pPr>
              <w:spacing w:line="240" w:lineRule="atLeast"/>
              <w:ind w:left="686"/>
              <w:rPr>
                <w:rFonts w:ascii="Times New Roman" w:hAnsi="Times New Roman" w:cs="Times New Roman"/>
                <w:sz w:val="18"/>
                <w:szCs w:val="24"/>
              </w:rPr>
            </w:pPr>
          </w:p>
          <w:p w14:paraId="0C5FBC03" w14:textId="77777777"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14:paraId="0C5FBC04" w14:textId="77777777" w:rsidR="00AE76C1" w:rsidRPr="009D57C2" w:rsidRDefault="00AE76C1" w:rsidP="00AE76C1">
            <w:pPr>
              <w:spacing w:line="240" w:lineRule="atLeast"/>
              <w:ind w:left="56"/>
              <w:rPr>
                <w:rFonts w:ascii="Times New Roman" w:hAnsi="Times New Roman" w:cs="Times New Roman"/>
                <w:sz w:val="20"/>
                <w:szCs w:val="24"/>
              </w:rPr>
            </w:pPr>
          </w:p>
          <w:p w14:paraId="0C5FBC05" w14:textId="77777777"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0C5FBC06" w14:textId="77777777"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14:paraId="0C5FBC07"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374EAF">
              <w:rPr>
                <w:rFonts w:ascii="Times New Roman" w:hAnsi="Times New Roman" w:cs="Times New Roman"/>
                <w:sz w:val="24"/>
                <w:szCs w:val="24"/>
              </w:rPr>
              <w:t>,</w:t>
            </w:r>
            <w:r w:rsidR="00292FB1" w:rsidRPr="009D57C2">
              <w:rPr>
                <w:rFonts w:ascii="Times New Roman" w:hAnsi="Times New Roman" w:cs="Times New Roman"/>
                <w:sz w:val="24"/>
                <w:szCs w:val="24"/>
              </w:rPr>
              <w:t xml:space="preserve"> TC-16</w:t>
            </w:r>
            <w:r w:rsidR="00DA001C" w:rsidRPr="009D57C2">
              <w:rPr>
                <w:rFonts w:ascii="Times New Roman" w:hAnsi="Times New Roman" w:cs="Times New Roman"/>
                <w:sz w:val="24"/>
                <w:szCs w:val="24"/>
              </w:rPr>
              <w:t>0516</w:t>
            </w:r>
            <w:r w:rsidR="00374EAF">
              <w:rPr>
                <w:rFonts w:ascii="Times New Roman" w:hAnsi="Times New Roman" w:cs="Times New Roman"/>
                <w:sz w:val="24"/>
                <w:szCs w:val="24"/>
              </w:rPr>
              <w:t xml:space="preserve"> &amp; TC-161257</w:t>
            </w:r>
          </w:p>
          <w:p w14:paraId="0C5FBC08" w14:textId="77777777" w:rsidR="00F73D54" w:rsidRPr="009D57C2" w:rsidRDefault="00F73D54" w:rsidP="00F73D54">
            <w:pPr>
              <w:rPr>
                <w:rFonts w:ascii="Times New Roman" w:hAnsi="Times New Roman" w:cs="Times New Roman"/>
                <w:sz w:val="24"/>
                <w:szCs w:val="24"/>
              </w:rPr>
            </w:pPr>
          </w:p>
          <w:p w14:paraId="0C5FBC09" w14:textId="77777777" w:rsidR="00F73D54" w:rsidRPr="009D57C2" w:rsidRDefault="00F84DD8" w:rsidP="00061CE9">
            <w:pPr>
              <w:pStyle w:val="Title"/>
            </w:pPr>
            <w:r w:rsidRPr="009D57C2">
              <w:t>SPEEDISHUTTLE</w:t>
            </w:r>
            <w:r w:rsidR="000D0522" w:rsidRPr="009D57C2">
              <w:t xml:space="preserve"> WASHINGTON, LLC</w:t>
            </w:r>
            <w:r w:rsidRPr="009D57C2">
              <w:t xml:space="preserve">’S MOTION </w:t>
            </w:r>
            <w:r w:rsidR="00E227B2">
              <w:t xml:space="preserve">IN LIMINE TO EXCLUDE </w:t>
            </w:r>
            <w:r w:rsidR="00F36F5F">
              <w:t>PRE</w:t>
            </w:r>
            <w:r w:rsidR="00061CE9">
              <w:t>FILED TESTIMONY</w:t>
            </w:r>
          </w:p>
        </w:tc>
      </w:tr>
      <w:tr w:rsidR="00A975B6" w:rsidRPr="009D57C2" w14:paraId="0C5FBC16" w14:textId="77777777" w:rsidTr="00A975B6">
        <w:tc>
          <w:tcPr>
            <w:tcW w:w="4410" w:type="dxa"/>
            <w:tcBorders>
              <w:top w:val="single" w:sz="6" w:space="0" w:color="FFFFFF"/>
              <w:left w:val="single" w:sz="6" w:space="0" w:color="FFFFFF"/>
              <w:bottom w:val="single" w:sz="7" w:space="0" w:color="000000"/>
              <w:right w:val="single" w:sz="6" w:space="0" w:color="FFFFFF"/>
            </w:tcBorders>
          </w:tcPr>
          <w:p w14:paraId="0C5FBC0B" w14:textId="77777777" w:rsidR="00263C51" w:rsidRDefault="00263C51" w:rsidP="003C474E">
            <w:pPr>
              <w:spacing w:line="240" w:lineRule="atLeast"/>
              <w:rPr>
                <w:rFonts w:ascii="Times New Roman" w:hAnsi="Times New Roman" w:cs="Times New Roman"/>
                <w:sz w:val="23"/>
                <w:szCs w:val="23"/>
              </w:rPr>
            </w:pPr>
          </w:p>
          <w:p w14:paraId="0C5FBC0C" w14:textId="77777777" w:rsidR="00A975B6" w:rsidRPr="009D57C2" w:rsidRDefault="00A975B6" w:rsidP="003C474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14:paraId="0C5FBC0D" w14:textId="77777777" w:rsidR="00A975B6" w:rsidRPr="009D57C2" w:rsidRDefault="00A975B6" w:rsidP="003C474E">
            <w:pPr>
              <w:spacing w:line="240" w:lineRule="atLeast"/>
              <w:rPr>
                <w:rFonts w:ascii="Times New Roman" w:hAnsi="Times New Roman" w:cs="Times New Roman"/>
                <w:sz w:val="23"/>
                <w:szCs w:val="23"/>
              </w:rPr>
            </w:pPr>
          </w:p>
          <w:p w14:paraId="0C5FBC0E" w14:textId="77777777" w:rsidR="00A975B6" w:rsidRPr="00A975B6" w:rsidRDefault="00A975B6" w:rsidP="00A975B6">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14:paraId="0C5FBC0F" w14:textId="77777777" w:rsidR="00A975B6" w:rsidRPr="00A975B6" w:rsidRDefault="00A975B6" w:rsidP="00A975B6">
            <w:pPr>
              <w:spacing w:line="240" w:lineRule="atLeast"/>
              <w:rPr>
                <w:rFonts w:ascii="Times New Roman" w:hAnsi="Times New Roman" w:cs="Times New Roman"/>
                <w:sz w:val="23"/>
                <w:szCs w:val="23"/>
              </w:rPr>
            </w:pPr>
          </w:p>
          <w:p w14:paraId="0C5FBC10" w14:textId="77777777" w:rsidR="00A975B6" w:rsidRPr="00A975B6" w:rsidRDefault="00A975B6" w:rsidP="00A975B6">
            <w:pPr>
              <w:spacing w:line="240" w:lineRule="atLeast"/>
              <w:rPr>
                <w:rFonts w:ascii="Times New Roman" w:hAnsi="Times New Roman" w:cs="Times New Roman"/>
                <w:sz w:val="23"/>
                <w:szCs w:val="23"/>
              </w:rPr>
            </w:pPr>
            <w:r w:rsidRPr="00A975B6">
              <w:rPr>
                <w:rFonts w:ascii="Times New Roman" w:hAnsi="Times New Roman" w:cs="Times New Roman"/>
                <w:sz w:val="23"/>
                <w:szCs w:val="23"/>
              </w:rPr>
              <w:t>v.</w:t>
            </w:r>
          </w:p>
          <w:p w14:paraId="0C5FBC11" w14:textId="77777777" w:rsidR="00A975B6" w:rsidRPr="00A975B6" w:rsidRDefault="00A975B6" w:rsidP="00A975B6">
            <w:pPr>
              <w:spacing w:line="240" w:lineRule="atLeast"/>
              <w:rPr>
                <w:rFonts w:ascii="Times New Roman" w:hAnsi="Times New Roman" w:cs="Times New Roman"/>
                <w:sz w:val="23"/>
                <w:szCs w:val="23"/>
              </w:rPr>
            </w:pPr>
          </w:p>
          <w:p w14:paraId="0C5FBC12" w14:textId="77777777" w:rsidR="00A975B6" w:rsidRPr="009D57C2" w:rsidRDefault="00A975B6" w:rsidP="00A975B6">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0C5FBC13" w14:textId="77777777" w:rsidR="00A975B6" w:rsidRPr="00A975B6" w:rsidRDefault="00A975B6" w:rsidP="00A975B6">
            <w:pPr>
              <w:spacing w:line="240" w:lineRule="atLeast"/>
              <w:rPr>
                <w:rFonts w:ascii="Times New Roman" w:hAnsi="Times New Roman" w:cs="Times New Roman"/>
                <w:sz w:val="23"/>
                <w:szCs w:val="23"/>
              </w:rPr>
            </w:pPr>
          </w:p>
          <w:p w14:paraId="0C5FBC14" w14:textId="77777777" w:rsidR="00A975B6" w:rsidRPr="00A975B6" w:rsidRDefault="00A975B6" w:rsidP="003C474E">
            <w:pPr>
              <w:spacing w:line="240" w:lineRule="atLeast"/>
              <w:rPr>
                <w:rFonts w:ascii="Times New Roman" w:hAnsi="Times New Roman" w:cs="Times New Roman"/>
                <w:sz w:val="23"/>
                <w:szCs w:val="23"/>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14:paraId="0C5FBC15" w14:textId="77777777" w:rsidR="00A975B6" w:rsidRPr="00A975B6" w:rsidRDefault="00A975B6" w:rsidP="00A975B6">
            <w:pPr>
              <w:rPr>
                <w:rFonts w:ascii="Times New Roman" w:hAnsi="Times New Roman" w:cs="Times New Roman"/>
                <w:sz w:val="24"/>
                <w:szCs w:val="24"/>
              </w:rPr>
            </w:pPr>
          </w:p>
        </w:tc>
      </w:tr>
    </w:tbl>
    <w:p w14:paraId="0C5FBC17" w14:textId="77777777" w:rsidR="00AE76C1" w:rsidRPr="009D57C2" w:rsidRDefault="00AE76C1" w:rsidP="00CC63A9">
      <w:pPr>
        <w:rPr>
          <w:rFonts w:ascii="Times New Roman" w:hAnsi="Times New Roman" w:cs="Times New Roman"/>
        </w:rPr>
      </w:pPr>
    </w:p>
    <w:p w14:paraId="0C5FBC18" w14:textId="77777777" w:rsidR="00375946" w:rsidRPr="009D57C2" w:rsidRDefault="00375946" w:rsidP="00375946">
      <w:pPr>
        <w:pStyle w:val="Heading3"/>
      </w:pPr>
      <w:r w:rsidRPr="009D57C2">
        <w:t xml:space="preserve">Pursuant to WAC </w:t>
      </w:r>
      <w:r w:rsidR="006B3E8E">
        <w:t>480-07-375</w:t>
      </w:r>
      <w:r w:rsidR="005D36A1" w:rsidRPr="009D57C2">
        <w:t xml:space="preserve">, </w:t>
      </w:r>
      <w:r w:rsidRPr="009D57C2">
        <w:t xml:space="preserve">Respondent, </w:t>
      </w:r>
      <w:r w:rsidR="00BA7DFB" w:rsidRPr="009D57C2">
        <w:t>Speedishuttle</w:t>
      </w:r>
      <w:r w:rsidRPr="009D57C2">
        <w:t xml:space="preserve"> Washington LLC d/b/a </w:t>
      </w:r>
      <w:r w:rsidR="00BA7DFB" w:rsidRPr="009D57C2">
        <w:t>Speedishuttle</w:t>
      </w:r>
      <w:r w:rsidRPr="009D57C2">
        <w:t xml:space="preserve"> Seattle (“</w:t>
      </w:r>
      <w:r w:rsidR="00BA7DFB" w:rsidRPr="009D57C2">
        <w:t>Speedishuttle</w:t>
      </w:r>
      <w:r w:rsidRPr="009D57C2">
        <w:t xml:space="preserve">”), files this Motion </w:t>
      </w:r>
      <w:r w:rsidR="009D7B3C">
        <w:t>in L</w:t>
      </w:r>
      <w:r w:rsidR="00E13D64">
        <w:t xml:space="preserve">imine to Exclude </w:t>
      </w:r>
      <w:r w:rsidR="00F36F5F">
        <w:t>Pre</w:t>
      </w:r>
      <w:r w:rsidR="001A4D44">
        <w:t>f</w:t>
      </w:r>
      <w:r w:rsidR="00061CE9">
        <w:t>iled Testimony in order to exclude irrelevant and otherwise inadmissible testimony and evidence</w:t>
      </w:r>
      <w:r w:rsidR="00713F24">
        <w:t>.</w:t>
      </w:r>
    </w:p>
    <w:p w14:paraId="0C5FBC19" w14:textId="77777777" w:rsidR="009D7B3C" w:rsidRPr="00713F24" w:rsidRDefault="00A33115" w:rsidP="00A53F7D">
      <w:pPr>
        <w:pStyle w:val="Heading1"/>
        <w:numPr>
          <w:ilvl w:val="0"/>
          <w:numId w:val="15"/>
        </w:numPr>
        <w:rPr>
          <w:b/>
        </w:rPr>
      </w:pPr>
      <w:r w:rsidRPr="009D57C2">
        <w:rPr>
          <w:b/>
        </w:rPr>
        <w:t xml:space="preserve">INTRODUCTION AND </w:t>
      </w:r>
      <w:r w:rsidR="007474EB" w:rsidRPr="009D57C2">
        <w:rPr>
          <w:b/>
        </w:rPr>
        <w:t>S</w:t>
      </w:r>
      <w:r w:rsidR="003349DD" w:rsidRPr="009D57C2">
        <w:rPr>
          <w:b/>
        </w:rPr>
        <w:t>UMMARY</w:t>
      </w:r>
    </w:p>
    <w:p w14:paraId="0C5FBC1A" w14:textId="77777777" w:rsidR="00231982" w:rsidRDefault="00231982" w:rsidP="00713F24">
      <w:pPr>
        <w:pStyle w:val="Heading3"/>
      </w:pPr>
      <w:r>
        <w:t xml:space="preserve">Speedishuttle files this Motion in Limine </w:t>
      </w:r>
      <w:r w:rsidR="002A26D6">
        <w:t xml:space="preserve">to seek exclusion of evidence which exceeds the scope of issues to be determined by the Commission and the Administrative Law Judge, as </w:t>
      </w:r>
      <w:r w:rsidR="007945B8">
        <w:t xml:space="preserve">already </w:t>
      </w:r>
      <w:r w:rsidR="00B12BA8">
        <w:t>ruled upon</w:t>
      </w:r>
      <w:r w:rsidR="002A26D6">
        <w:t xml:space="preserve"> by same, in the instant consolidate</w:t>
      </w:r>
      <w:r w:rsidR="001A4D44">
        <w:t>d proceeding on Shuttle Express</w:t>
      </w:r>
      <w:r w:rsidR="00203C5E">
        <w:t xml:space="preserve">’ </w:t>
      </w:r>
      <w:r w:rsidR="002A26D6">
        <w:t>Petition for Rehearing and Formal Complaint.</w:t>
      </w:r>
      <w:r w:rsidR="00061CE9">
        <w:t xml:space="preserve">  This M</w:t>
      </w:r>
      <w:r w:rsidR="00F36F5F">
        <w:t>otion also seeks to exclude pre</w:t>
      </w:r>
      <w:r w:rsidR="00061CE9">
        <w:t xml:space="preserve">filed testimony which is inadmissible on other </w:t>
      </w:r>
      <w:r w:rsidR="00343AF0">
        <w:t xml:space="preserve">enumerated </w:t>
      </w:r>
      <w:r w:rsidR="00061CE9">
        <w:t>grounds.</w:t>
      </w:r>
    </w:p>
    <w:p w14:paraId="0C5FBC1B" w14:textId="77777777" w:rsidR="005824A8" w:rsidRDefault="005A0948" w:rsidP="00713F24">
      <w:pPr>
        <w:pStyle w:val="Heading3"/>
      </w:pPr>
      <w:r>
        <w:t>By Order 08, the Commission previously ruled that the scope of r</w:t>
      </w:r>
      <w:r w:rsidR="007945B8">
        <w:t xml:space="preserve">ehearing would be </w:t>
      </w:r>
      <w:r w:rsidR="00343AF0">
        <w:t xml:space="preserve">significantly </w:t>
      </w:r>
      <w:r w:rsidR="007945B8">
        <w:t>limited in contrast to the original r</w:t>
      </w:r>
      <w:r w:rsidR="00934A17">
        <w:t xml:space="preserve">ehearing petition and complaint. </w:t>
      </w:r>
      <w:r>
        <w:t xml:space="preserve"> Subsequent rulings by Administrative Law Judge Pearson also </w:t>
      </w:r>
      <w:r w:rsidR="00343AF0">
        <w:t xml:space="preserve">articulated </w:t>
      </w:r>
      <w:r>
        <w:t xml:space="preserve">and refined the scope of </w:t>
      </w:r>
      <w:r w:rsidR="00F8333B">
        <w:t>this consolidated</w:t>
      </w:r>
      <w:r>
        <w:t xml:space="preserve"> </w:t>
      </w:r>
      <w:r>
        <w:lastRenderedPageBreak/>
        <w:t>proceeding.  Despite these</w:t>
      </w:r>
      <w:r w:rsidR="007945B8">
        <w:t xml:space="preserve"> clear</w:t>
      </w:r>
      <w:r>
        <w:t xml:space="preserve"> limitations, Shuttle Express</w:t>
      </w:r>
      <w:r w:rsidR="00F8333B">
        <w:t xml:space="preserve"> </w:t>
      </w:r>
      <w:r w:rsidR="007945B8">
        <w:t xml:space="preserve">has now </w:t>
      </w:r>
      <w:r w:rsidR="00F8333B">
        <w:t>prof</w:t>
      </w:r>
      <w:r w:rsidR="00F36F5F">
        <w:t>fered voluminous pre</w:t>
      </w:r>
      <w:r w:rsidR="00F8333B">
        <w:t>filed testimony</w:t>
      </w:r>
      <w:r w:rsidR="005824A8">
        <w:t xml:space="preserve"> (including that of a purported expert)</w:t>
      </w:r>
      <w:r w:rsidR="00F8333B">
        <w:t xml:space="preserve"> on December 21, 2016</w:t>
      </w:r>
      <w:r w:rsidR="005824A8">
        <w:t>, the overwhelming majority of which</w:t>
      </w:r>
      <w:r w:rsidR="00F8333B">
        <w:t xml:space="preserve"> do</w:t>
      </w:r>
      <w:r w:rsidR="005824A8">
        <w:t>es</w:t>
      </w:r>
      <w:r w:rsidR="00F8333B">
        <w:t xml:space="preserve"> not relate to the issues to be determined by the Commission.  </w:t>
      </w:r>
    </w:p>
    <w:p w14:paraId="0C5FBC1C" w14:textId="77777777" w:rsidR="00795016" w:rsidRDefault="001A4D44" w:rsidP="00713F24">
      <w:pPr>
        <w:pStyle w:val="Heading3"/>
      </w:pPr>
      <w:r>
        <w:t>Much</w:t>
      </w:r>
      <w:r w:rsidR="00795016">
        <w:t xml:space="preserve"> of the testimony submitted by Shuttle Express is </w:t>
      </w:r>
      <w:r w:rsidR="00343AF0">
        <w:t xml:space="preserve">also </w:t>
      </w:r>
      <w:r w:rsidR="00795016">
        <w:t xml:space="preserve">plainly inadmissible under the Rules of Evidence, and appears to be proffered </w:t>
      </w:r>
      <w:r>
        <w:t>in</w:t>
      </w:r>
      <w:r w:rsidR="00795016">
        <w:t xml:space="preserve"> an underhanded attempt to “ring a bell that cannot be un-rung” and taint this proceeding with testimony, which even if excluded, will have been read by the Administrative Law Judge and possibly the Commission.  </w:t>
      </w:r>
      <w:r>
        <w:t xml:space="preserve">This is done </w:t>
      </w:r>
      <w:r w:rsidR="00343AF0">
        <w:t xml:space="preserve">in </w:t>
      </w:r>
      <w:r>
        <w:t xml:space="preserve">a number of ways, including by presenting testimony that is </w:t>
      </w:r>
      <w:r w:rsidR="00795016">
        <w:t>inflammatory</w:t>
      </w:r>
      <w:r>
        <w:t>,</w:t>
      </w:r>
      <w:r w:rsidR="00795016">
        <w:t xml:space="preserve"> prejudicial</w:t>
      </w:r>
      <w:r>
        <w:t xml:space="preserve">, and </w:t>
      </w:r>
      <w:r w:rsidR="00795016">
        <w:t xml:space="preserve">objectively and demonstrably false.  </w:t>
      </w:r>
    </w:p>
    <w:p w14:paraId="0C5FBC1D" w14:textId="77777777" w:rsidR="00F32D49" w:rsidRDefault="00795016" w:rsidP="00795016">
      <w:pPr>
        <w:pStyle w:val="Heading3"/>
      </w:pPr>
      <w:r>
        <w:t xml:space="preserve">However much Speedishuttle would like to set the record straight and demonstrate its </w:t>
      </w:r>
      <w:r w:rsidR="00B12BA8">
        <w:t xml:space="preserve">own </w:t>
      </w:r>
      <w:r>
        <w:t xml:space="preserve">good faith, doing so </w:t>
      </w:r>
      <w:r w:rsidR="00343AF0">
        <w:t xml:space="preserve">at present </w:t>
      </w:r>
      <w:r>
        <w:t>will require Speedishuttle to</w:t>
      </w:r>
      <w:r w:rsidR="005824A8">
        <w:t xml:space="preserve"> </w:t>
      </w:r>
      <w:r>
        <w:t xml:space="preserve">submit </w:t>
      </w:r>
      <w:r w:rsidR="001A4D44">
        <w:t xml:space="preserve">a </w:t>
      </w:r>
      <w:r>
        <w:t>voluminous</w:t>
      </w:r>
      <w:r w:rsidR="001A4D44">
        <w:t xml:space="preserve"> response</w:t>
      </w:r>
      <w:r>
        <w:t xml:space="preserve">, as disproving an inaccuracy </w:t>
      </w:r>
      <w:r w:rsidR="005D3C17">
        <w:t xml:space="preserve">or falsehood </w:t>
      </w:r>
      <w:r>
        <w:t>is often more time consuming than creating one</w:t>
      </w:r>
      <w:r w:rsidR="005824A8">
        <w:t xml:space="preserve">.  </w:t>
      </w:r>
      <w:r>
        <w:t xml:space="preserve">Yet most of the inaccuracies (and frankly, most of the testimony submitted by Shuttle Express) are made in the context of subject matters the Commission </w:t>
      </w:r>
      <w:r w:rsidR="005D3C17">
        <w:t xml:space="preserve">has </w:t>
      </w:r>
      <w:r>
        <w:t xml:space="preserve">previously ruled would not be considered.  </w:t>
      </w:r>
      <w:r w:rsidR="00BA1FFC">
        <w:t>Thus</w:t>
      </w:r>
      <w:r w:rsidR="001A4D44">
        <w:t>, responding to the testimony at issue</w:t>
      </w:r>
      <w:r>
        <w:t xml:space="preserve"> will effectively </w:t>
      </w:r>
      <w:r w:rsidR="005D3C17">
        <w:t xml:space="preserve">enable </w:t>
      </w:r>
      <w:r>
        <w:t xml:space="preserve">Shuttle Express to create </w:t>
      </w:r>
      <w:r w:rsidR="005824A8">
        <w:t xml:space="preserve">a distraction </w:t>
      </w:r>
      <w:r w:rsidR="00203C5E">
        <w:t>and distorti</w:t>
      </w:r>
      <w:r w:rsidR="00884FDE">
        <w:t xml:space="preserve">on </w:t>
      </w:r>
      <w:r w:rsidR="00203C5E">
        <w:t xml:space="preserve">and </w:t>
      </w:r>
      <w:r w:rsidR="007945B8">
        <w:t>unnecessarily protract</w:t>
      </w:r>
      <w:r w:rsidR="005824A8">
        <w:t xml:space="preserve"> the hearing on this consolidated proceeding.</w:t>
      </w:r>
    </w:p>
    <w:p w14:paraId="0C5FBC1E" w14:textId="77777777" w:rsidR="005A0948" w:rsidRDefault="00F32D49" w:rsidP="00795016">
      <w:pPr>
        <w:pStyle w:val="Heading3"/>
      </w:pPr>
      <w:r>
        <w:t xml:space="preserve">Shuttle Express will likely respond to this Motion with some attempt to defend the veracity of its prefiled testimony.  Thus, it is important to note that this Motion is not filed to challenge or demonstrate the truth of any particular fact to be determined (and </w:t>
      </w:r>
      <w:r w:rsidR="0066055D">
        <w:t xml:space="preserve">ironically </w:t>
      </w:r>
      <w:r>
        <w:t xml:space="preserve">such a response by Shuttle Express would only bolster the point of this Motion).  </w:t>
      </w:r>
      <w:r w:rsidR="005824A8">
        <w:t>In</w:t>
      </w:r>
      <w:r>
        <w:t xml:space="preserve">stead, the pertinent issue raised in this Motion is:  will the Commission and Administrative Law Judge permit this proceeding to </w:t>
      </w:r>
      <w:r>
        <w:lastRenderedPageBreak/>
        <w:t xml:space="preserve">be diverted by endless litigation over immaterial issues and topics that have already been excluded?  In order to avoid that waste of </w:t>
      </w:r>
      <w:r w:rsidR="004945C5">
        <w:t xml:space="preserve">time </w:t>
      </w:r>
      <w:r w:rsidR="005D3C17">
        <w:t>and expense</w:t>
      </w:r>
      <w:r w:rsidR="005824A8">
        <w:t xml:space="preserve">, Speedishuttle moves </w:t>
      </w:r>
      <w:r w:rsidR="005D3C17">
        <w:t xml:space="preserve">at this pivotal juncture </w:t>
      </w:r>
      <w:r w:rsidR="005824A8">
        <w:t xml:space="preserve">to have the irrelevant </w:t>
      </w:r>
      <w:r w:rsidR="00795016">
        <w:t>and otherwise inadmissible testimony</w:t>
      </w:r>
      <w:r w:rsidR="005824A8">
        <w:t xml:space="preserve"> </w:t>
      </w:r>
      <w:r w:rsidR="00343AF0">
        <w:t xml:space="preserve">identified below </w:t>
      </w:r>
      <w:r w:rsidR="005824A8">
        <w:t>properly excluded.</w:t>
      </w:r>
    </w:p>
    <w:p w14:paraId="0C5FBC1F" w14:textId="77777777" w:rsidR="005824A8" w:rsidRDefault="002978CE" w:rsidP="002978CE">
      <w:pPr>
        <w:pStyle w:val="Heading1"/>
        <w:rPr>
          <w:b/>
        </w:rPr>
      </w:pPr>
      <w:r>
        <w:rPr>
          <w:b/>
        </w:rPr>
        <w:t>relevant procedural background</w:t>
      </w:r>
    </w:p>
    <w:p w14:paraId="0C5FBC20" w14:textId="77777777" w:rsidR="003B70BB" w:rsidRPr="003B70BB" w:rsidRDefault="003B70BB" w:rsidP="003B70BB">
      <w:pPr>
        <w:pStyle w:val="Heading2"/>
      </w:pPr>
      <w:r>
        <w:rPr>
          <w:u w:val="none"/>
        </w:rPr>
        <w:t xml:space="preserve">The Commission previously ruled that Speedishuttle’s proposed service was not the same service as that offered by Shuttle Express and </w:t>
      </w:r>
      <w:r w:rsidR="00343AF0">
        <w:rPr>
          <w:u w:val="none"/>
        </w:rPr>
        <w:t xml:space="preserve">articulated </w:t>
      </w:r>
      <w:r>
        <w:rPr>
          <w:u w:val="none"/>
        </w:rPr>
        <w:t>what it considered to be Speedishuttle’s “business model”</w:t>
      </w:r>
    </w:p>
    <w:p w14:paraId="0C5FBC21" w14:textId="77777777" w:rsidR="00A872C4" w:rsidRDefault="00CE5ADE" w:rsidP="00A872C4">
      <w:pPr>
        <w:pStyle w:val="Heading3"/>
      </w:pPr>
      <w:r>
        <w:t>On March 3</w:t>
      </w:r>
      <w:r w:rsidR="007945B8">
        <w:t>0</w:t>
      </w:r>
      <w:r>
        <w:t xml:space="preserve">, 2015, the Commission entered Order 04 in the </w:t>
      </w:r>
      <w:r w:rsidR="00B12BA8">
        <w:t>Docket No. TC-143691</w:t>
      </w:r>
      <w:r>
        <w:t xml:space="preserve">, granting Speedishuttle’s application for authority to provide </w:t>
      </w:r>
      <w:r w:rsidR="00343AF0">
        <w:t>“</w:t>
      </w:r>
      <w:r>
        <w:t xml:space="preserve">door-to-door auto transportation services </w:t>
      </w:r>
      <w:r w:rsidR="005D3C17">
        <w:t>between Sea</w:t>
      </w:r>
      <w:r>
        <w:t>Tac International Airport and points in King County, Washington.</w:t>
      </w:r>
      <w:r w:rsidR="00343AF0">
        <w:t>”</w:t>
      </w:r>
      <w:r>
        <w:t xml:space="preserve">  </w:t>
      </w:r>
      <w:r w:rsidR="00A872C4">
        <w:t>In Order 04</w:t>
      </w:r>
      <w:r w:rsidR="007945B8">
        <w:t>,</w:t>
      </w:r>
      <w:r w:rsidR="00A872C4">
        <w:t xml:space="preserve"> the Commission found Speedishuttle’s </w:t>
      </w:r>
      <w:r w:rsidR="007945B8">
        <w:t>“</w:t>
      </w:r>
      <w:r w:rsidR="00A872C4">
        <w:t>business model</w:t>
      </w:r>
      <w:r w:rsidR="007945B8">
        <w:t>”</w:t>
      </w:r>
      <w:r w:rsidR="00A872C4">
        <w:t xml:space="preserve"> represented a different service from that offered by Shuttle Express, describing in ¶ 21 of Order 04:</w:t>
      </w:r>
    </w:p>
    <w:p w14:paraId="0C5FBC22" w14:textId="77777777" w:rsidR="00A872C4" w:rsidRDefault="00A872C4" w:rsidP="00A872C4">
      <w:pPr>
        <w:pStyle w:val="Default"/>
        <w:ind w:left="720" w:right="720"/>
      </w:pPr>
      <w:r w:rsidRPr="005A0948">
        <w:t>[T]he totality of these</w:t>
      </w:r>
      <w:r w:rsidRPr="005A0948">
        <w:rPr>
          <w:b/>
        </w:rPr>
        <w:t xml:space="preserve"> </w:t>
      </w:r>
      <w:r w:rsidRPr="005A0948">
        <w:t>features demonstrate that the proposed service uniquely targets a specific subset of consumers seeking door-to-door service to and from the airport: those who are tourists, tech-savvy, or non-English speaking. Speedishuttle’s business model thus includes luxury vehicles, significantly increased accessibility for non-English speaking customers, individually-tailored customer service, tourism information, and Wi-Fi service.</w:t>
      </w:r>
      <w:r>
        <w:rPr>
          <w:rStyle w:val="FootnoteReference"/>
        </w:rPr>
        <w:footnoteReference w:id="1"/>
      </w:r>
      <w:r w:rsidRPr="005A0948">
        <w:t xml:space="preserve"> </w:t>
      </w:r>
    </w:p>
    <w:p w14:paraId="0C5FBC23" w14:textId="77777777" w:rsidR="00A872C4" w:rsidRDefault="00A872C4" w:rsidP="00A872C4">
      <w:pPr>
        <w:pStyle w:val="Default"/>
        <w:ind w:left="720" w:right="720"/>
      </w:pPr>
    </w:p>
    <w:p w14:paraId="0C5FBC24" w14:textId="77777777" w:rsidR="00CE5ADE" w:rsidRDefault="00CE5ADE" w:rsidP="002978CE">
      <w:pPr>
        <w:pStyle w:val="Heading3"/>
      </w:pPr>
      <w:r>
        <w:t>The Commission then issued Speedishuttle unrestricted Certificate C-65854 on April 13, 2015.</w:t>
      </w:r>
    </w:p>
    <w:p w14:paraId="0C5FBC25" w14:textId="77777777" w:rsidR="003B70BB" w:rsidRDefault="003B70BB" w:rsidP="003B70BB">
      <w:pPr>
        <w:pStyle w:val="Heading2"/>
      </w:pPr>
      <w:r>
        <w:rPr>
          <w:u w:val="none"/>
        </w:rPr>
        <w:t>The Commission previously determined that Speedishuttle’s operating authority and UTC rules permit</w:t>
      </w:r>
      <w:r w:rsidR="000D09FE">
        <w:rPr>
          <w:u w:val="none"/>
        </w:rPr>
        <w:t xml:space="preserve"> it</w:t>
      </w:r>
      <w:r>
        <w:rPr>
          <w:u w:val="none"/>
        </w:rPr>
        <w:t xml:space="preserve"> to provide walk-up service</w:t>
      </w:r>
      <w:r w:rsidR="000D09FE">
        <w:rPr>
          <w:u w:val="none"/>
        </w:rPr>
        <w:t xml:space="preserve"> at Sea-Tac Airport</w:t>
      </w:r>
    </w:p>
    <w:p w14:paraId="0C5FBC26" w14:textId="77777777" w:rsidR="001F6FD4" w:rsidRDefault="00CE5ADE" w:rsidP="002978CE">
      <w:pPr>
        <w:pStyle w:val="Heading3"/>
      </w:pPr>
      <w:r>
        <w:t xml:space="preserve">Subsequently, </w:t>
      </w:r>
      <w:r w:rsidR="007945B8">
        <w:t>Shuttle Express</w:t>
      </w:r>
      <w:r>
        <w:t xml:space="preserve"> </w:t>
      </w:r>
      <w:r w:rsidR="005D3C17">
        <w:t>complained</w:t>
      </w:r>
      <w:r w:rsidR="009F498C">
        <w:t xml:space="preserve"> to the Commission </w:t>
      </w:r>
      <w:r>
        <w:t>that Speedishuttle had commenced p</w:t>
      </w:r>
      <w:r w:rsidR="005D3C17">
        <w:t>roviding walk-up service at Sea</w:t>
      </w:r>
      <w:r>
        <w:t>Tac airport</w:t>
      </w:r>
      <w:r w:rsidR="00AA7A80">
        <w:t>.  Apparently</w:t>
      </w:r>
      <w:r w:rsidR="007945B8">
        <w:t>, then</w:t>
      </w:r>
      <w:r w:rsidR="00AA7A80">
        <w:t xml:space="preserve"> believing that Speedishuttle’s provision of walk-up service might </w:t>
      </w:r>
      <w:r w:rsidR="009F498C">
        <w:t xml:space="preserve">potentially </w:t>
      </w:r>
      <w:r w:rsidR="00AA7A80">
        <w:t xml:space="preserve">violate </w:t>
      </w:r>
      <w:r w:rsidR="001A4D44">
        <w:t xml:space="preserve">the </w:t>
      </w:r>
      <w:r w:rsidR="00AA7A80">
        <w:t xml:space="preserve">operating authority </w:t>
      </w:r>
      <w:r w:rsidR="00AA7A80">
        <w:lastRenderedPageBreak/>
        <w:t xml:space="preserve">issued </w:t>
      </w:r>
      <w:r w:rsidR="001A4D44">
        <w:t xml:space="preserve">in </w:t>
      </w:r>
      <w:r w:rsidR="00AA7A80">
        <w:t xml:space="preserve">Certificate C-65854, </w:t>
      </w:r>
      <w:r>
        <w:t>on November 4, 2015, the Commission</w:t>
      </w:r>
      <w:r w:rsidR="00AA7A80">
        <w:t xml:space="preserve"> issued a Notice </w:t>
      </w:r>
      <w:r w:rsidR="005D3C17">
        <w:t>P</w:t>
      </w:r>
      <w:r w:rsidR="00AA7A80">
        <w:t>roposing</w:t>
      </w:r>
      <w:r>
        <w:t xml:space="preserve"> </w:t>
      </w:r>
      <w:r w:rsidR="005D3C17">
        <w:t>A</w:t>
      </w:r>
      <w:r w:rsidR="00AA7A80">
        <w:t>mendment of</w:t>
      </w:r>
      <w:r>
        <w:t xml:space="preserve"> Order 04.  </w:t>
      </w:r>
    </w:p>
    <w:p w14:paraId="0C5FBC27" w14:textId="77777777" w:rsidR="00CE5ADE" w:rsidRDefault="001F6FD4" w:rsidP="002978CE">
      <w:pPr>
        <w:pStyle w:val="Heading3"/>
      </w:pPr>
      <w:r>
        <w:t xml:space="preserve">After receiving </w:t>
      </w:r>
      <w:r w:rsidR="007945B8">
        <w:t>arguments</w:t>
      </w:r>
      <w:r>
        <w:t xml:space="preserve"> from Speedishuttle, Shuttle Express and </w:t>
      </w:r>
      <w:r w:rsidR="007945B8">
        <w:t xml:space="preserve">the </w:t>
      </w:r>
      <w:r>
        <w:t>Commission Staff, o</w:t>
      </w:r>
      <w:r w:rsidR="00CE5ADE">
        <w:t xml:space="preserve">n December 14, 2015, the Commission filed its Notice of Determination Not to Amend Order 04.   In that unappealed </w:t>
      </w:r>
      <w:r w:rsidR="00274A68">
        <w:t>ruling</w:t>
      </w:r>
      <w:r w:rsidR="00CE5ADE">
        <w:t>, the Commission noted that Commission Staff argued that Speedishuttle applied for “DOOR TO DOOR PASSENGER SERVICE…” without limitation to pre-arranged versus walk-up service.</w:t>
      </w:r>
      <w:r w:rsidR="00CE5ADE">
        <w:rPr>
          <w:rStyle w:val="FootnoteReference"/>
        </w:rPr>
        <w:footnoteReference w:id="2"/>
      </w:r>
      <w:r w:rsidR="00CE5ADE">
        <w:t xml:space="preserve">  The Commission went on to </w:t>
      </w:r>
      <w:r w:rsidR="005D3C17">
        <w:t xml:space="preserve">find </w:t>
      </w:r>
      <w:r w:rsidR="00CE5ADE">
        <w:t>that</w:t>
      </w:r>
      <w:r w:rsidR="00274A68">
        <w:t xml:space="preserve"> because </w:t>
      </w:r>
      <w:r w:rsidR="005D3C17">
        <w:t xml:space="preserve">its </w:t>
      </w:r>
      <w:r w:rsidR="00274A68">
        <w:t>rules make no distinction between “prearranged” and “walk-up” door-to-door service</w:t>
      </w:r>
      <w:r w:rsidR="001A4D44">
        <w:t>,</w:t>
      </w:r>
      <w:r w:rsidR="00CE5ADE">
        <w:t xml:space="preserve"> “the rules do not prohibit Speedishuttle from offering ‘walk-up’ service…”</w:t>
      </w:r>
      <w:r w:rsidR="00CE5ADE">
        <w:rPr>
          <w:rStyle w:val="FootnoteReference"/>
        </w:rPr>
        <w:footnoteReference w:id="3"/>
      </w:r>
      <w:r w:rsidR="0029337E">
        <w:t xml:space="preserve">   Shuttle Express sought neither administrative nor judicial review of that ruling.</w:t>
      </w:r>
    </w:p>
    <w:p w14:paraId="0C5FBC28" w14:textId="77777777" w:rsidR="00C808B7" w:rsidRPr="008845B2" w:rsidRDefault="000D09FE" w:rsidP="008845B2">
      <w:pPr>
        <w:pStyle w:val="Heading2"/>
        <w:rPr>
          <w:u w:val="none"/>
        </w:rPr>
      </w:pPr>
      <w:r>
        <w:rPr>
          <w:u w:val="none"/>
        </w:rPr>
        <w:t xml:space="preserve">Shuttle Express </w:t>
      </w:r>
      <w:r w:rsidR="001A4D44">
        <w:rPr>
          <w:u w:val="none"/>
        </w:rPr>
        <w:t xml:space="preserve">incorrectly continues to </w:t>
      </w:r>
      <w:r>
        <w:rPr>
          <w:u w:val="none"/>
        </w:rPr>
        <w:t xml:space="preserve">treat this proceeding as a lawsuit in superior court, wherein the issues of evidence are as broad as the issues raised in </w:t>
      </w:r>
      <w:r w:rsidR="001A4D44">
        <w:rPr>
          <w:u w:val="none"/>
        </w:rPr>
        <w:t>its</w:t>
      </w:r>
      <w:r>
        <w:rPr>
          <w:u w:val="none"/>
        </w:rPr>
        <w:t xml:space="preserve"> pleading</w:t>
      </w:r>
      <w:r w:rsidR="004229DB">
        <w:rPr>
          <w:u w:val="none"/>
        </w:rPr>
        <w:t>, but the Commission previously ruled it would not permit relitigation of the BAP.</w:t>
      </w:r>
    </w:p>
    <w:p w14:paraId="0C5FBC29" w14:textId="77777777" w:rsidR="002978CE" w:rsidRDefault="002978CE" w:rsidP="002978CE">
      <w:pPr>
        <w:pStyle w:val="Heading3"/>
      </w:pPr>
      <w:r>
        <w:t>The ins</w:t>
      </w:r>
      <w:r w:rsidR="007945B8">
        <w:t xml:space="preserve">tant consolidated proceeding on </w:t>
      </w:r>
      <w:r>
        <w:t>Shuttle Express’ Petition for Rehearing of Speedishuttle’s certificate application and its Formal Complaint was initiated by a petition filed by Shuttle Express</w:t>
      </w:r>
      <w:r w:rsidR="009F498C">
        <w:t xml:space="preserve"> on</w:t>
      </w:r>
      <w:r>
        <w:t xml:space="preserve"> May 16, 2016</w:t>
      </w:r>
      <w:r w:rsidR="00C67E6E">
        <w:t xml:space="preserve"> (the “Petition for Rehearing and Formal Complaint”</w:t>
      </w:r>
      <w:r w:rsidR="00810047">
        <w:t xml:space="preserve"> or, when discussed separately, the “Petition for Rehearing</w:t>
      </w:r>
      <w:r w:rsidR="009F498C">
        <w:t>”).</w:t>
      </w:r>
    </w:p>
    <w:p w14:paraId="0C5FBC2A" w14:textId="77777777" w:rsidR="00A872C4" w:rsidRDefault="002978CE" w:rsidP="00C67E6E">
      <w:pPr>
        <w:pStyle w:val="Heading3"/>
      </w:pPr>
      <w:r>
        <w:t>In</w:t>
      </w:r>
      <w:r w:rsidR="00C67E6E">
        <w:t xml:space="preserve"> the</w:t>
      </w:r>
      <w:r w:rsidR="005D3C17">
        <w:t xml:space="preserve"> first</w:t>
      </w:r>
      <w:r w:rsidR="00C67E6E">
        <w:t xml:space="preserve"> 16 pages of </w:t>
      </w:r>
      <w:r>
        <w:t>its Petition for Rehearing</w:t>
      </w:r>
      <w:r w:rsidR="009F498C">
        <w:t xml:space="preserve"> and Formal C</w:t>
      </w:r>
      <w:r w:rsidR="00C67E6E">
        <w:t>omplaint dedicated to its Petition for Rehearing</w:t>
      </w:r>
      <w:r>
        <w:t>,</w:t>
      </w:r>
      <w:r w:rsidR="00CD5B3B">
        <w:rPr>
          <w:rStyle w:val="FootnoteReference"/>
        </w:rPr>
        <w:footnoteReference w:id="4"/>
      </w:r>
      <w:r>
        <w:t xml:space="preserve"> Shuttle Express </w:t>
      </w:r>
      <w:r w:rsidR="00C67E6E">
        <w:t xml:space="preserve">set forth its </w:t>
      </w:r>
      <w:r w:rsidR="007945B8">
        <w:t xml:space="preserve">various </w:t>
      </w:r>
      <w:r w:rsidR="00C67E6E">
        <w:t xml:space="preserve">bases for rehearing.  Those </w:t>
      </w:r>
      <w:r w:rsidR="009F498C">
        <w:t xml:space="preserve">various theories </w:t>
      </w:r>
      <w:r w:rsidR="00C67E6E">
        <w:t>can be summarized as:</w:t>
      </w:r>
    </w:p>
    <w:p w14:paraId="0C5FBC2B" w14:textId="77777777" w:rsidR="00A872C4" w:rsidRDefault="00C67E6E" w:rsidP="00A872C4">
      <w:pPr>
        <w:pStyle w:val="Heading3"/>
        <w:numPr>
          <w:ilvl w:val="0"/>
          <w:numId w:val="0"/>
        </w:numPr>
        <w:spacing w:after="240" w:line="240" w:lineRule="auto"/>
        <w:ind w:left="720"/>
      </w:pPr>
      <w:r>
        <w:lastRenderedPageBreak/>
        <w:t xml:space="preserve">1) </w:t>
      </w:r>
      <w:r w:rsidR="00A872C4">
        <w:t>T</w:t>
      </w:r>
      <w:r>
        <w:t>he Commission’s decision in Order 04 was incorrect</w:t>
      </w:r>
      <w:r w:rsidR="00CD5B3B">
        <w:t xml:space="preserve"> in its ruling that Speedishuttle’s service was not the same as that provided by Shuttle Express</w:t>
      </w:r>
      <w:r w:rsidR="000B361E">
        <w:t>;</w:t>
      </w:r>
      <w:r>
        <w:t xml:space="preserve"> </w:t>
      </w:r>
    </w:p>
    <w:p w14:paraId="0C5FBC2C" w14:textId="77777777" w:rsidR="00A872C4" w:rsidRDefault="00C67E6E" w:rsidP="00A872C4">
      <w:pPr>
        <w:pStyle w:val="Heading3"/>
        <w:numPr>
          <w:ilvl w:val="0"/>
          <w:numId w:val="0"/>
        </w:numPr>
        <w:spacing w:after="240" w:line="240" w:lineRule="auto"/>
        <w:ind w:left="720"/>
      </w:pPr>
      <w:r>
        <w:t>2) Speedishuttle provided walk-up service after Order 04 was issued despite testimony that it did not intend to offer w</w:t>
      </w:r>
      <w:r w:rsidR="000B361E">
        <w:t>alk up service;</w:t>
      </w:r>
    </w:p>
    <w:p w14:paraId="0C5FBC2D" w14:textId="77777777" w:rsidR="00A872C4" w:rsidRDefault="00C67E6E" w:rsidP="00A872C4">
      <w:pPr>
        <w:pStyle w:val="Heading3"/>
        <w:numPr>
          <w:ilvl w:val="0"/>
          <w:numId w:val="0"/>
        </w:numPr>
        <w:spacing w:after="240" w:line="240" w:lineRule="auto"/>
        <w:ind w:left="720"/>
      </w:pPr>
      <w:r>
        <w:t>3) Speedishuttle is not offering multi-lingual greeters</w:t>
      </w:r>
      <w:r w:rsidR="000B361E">
        <w:t>;</w:t>
      </w:r>
      <w:r w:rsidR="00915BC2">
        <w:rPr>
          <w:rStyle w:val="FootnoteReference"/>
        </w:rPr>
        <w:footnoteReference w:id="5"/>
      </w:r>
    </w:p>
    <w:p w14:paraId="0C5FBC2E" w14:textId="77777777" w:rsidR="00A872C4" w:rsidRDefault="00A872C4" w:rsidP="00A872C4">
      <w:pPr>
        <w:pStyle w:val="Heading3"/>
        <w:numPr>
          <w:ilvl w:val="0"/>
          <w:numId w:val="0"/>
        </w:numPr>
        <w:spacing w:after="240" w:line="240" w:lineRule="auto"/>
        <w:ind w:left="720"/>
      </w:pPr>
      <w:r>
        <w:t>4) M</w:t>
      </w:r>
      <w:r w:rsidR="00AA7A80">
        <w:t>ulti</w:t>
      </w:r>
      <w:r>
        <w:t xml:space="preserve">lingual service may be offered to </w:t>
      </w:r>
      <w:r w:rsidR="005D3C17">
        <w:t xml:space="preserve">only </w:t>
      </w:r>
      <w:r>
        <w:t xml:space="preserve">a </w:t>
      </w:r>
      <w:r>
        <w:rPr>
          <w:i/>
        </w:rPr>
        <w:t>de minimi</w:t>
      </w:r>
      <w:r w:rsidRPr="00A872C4">
        <w:rPr>
          <w:i/>
        </w:rPr>
        <w:t>s</w:t>
      </w:r>
      <w:r>
        <w:t xml:space="preserve"> number of passengers</w:t>
      </w:r>
      <w:r w:rsidR="000B361E">
        <w:t>;</w:t>
      </w:r>
    </w:p>
    <w:p w14:paraId="0C5FBC2F" w14:textId="77777777" w:rsidR="00A872C4" w:rsidRDefault="00A872C4" w:rsidP="00A872C4">
      <w:pPr>
        <w:pStyle w:val="Heading3"/>
        <w:numPr>
          <w:ilvl w:val="0"/>
          <w:numId w:val="0"/>
        </w:numPr>
        <w:spacing w:after="240" w:line="240" w:lineRule="auto"/>
        <w:ind w:left="720"/>
      </w:pPr>
      <w:r>
        <w:t>5</w:t>
      </w:r>
      <w:r w:rsidR="00915BC2">
        <w:t>) Speedishuttle was not complying with the 20-minute departure gua</w:t>
      </w:r>
      <w:r w:rsidR="000B361E">
        <w:t>rantee discussed at the hearing;</w:t>
      </w:r>
      <w:r w:rsidR="00915BC2">
        <w:t xml:space="preserve"> </w:t>
      </w:r>
      <w:r w:rsidR="00C67E6E">
        <w:t xml:space="preserve">and </w:t>
      </w:r>
    </w:p>
    <w:p w14:paraId="0C5FBC30" w14:textId="77777777" w:rsidR="006F7F55" w:rsidRDefault="00A872C4" w:rsidP="00A872C4">
      <w:pPr>
        <w:pStyle w:val="Heading3"/>
        <w:numPr>
          <w:ilvl w:val="0"/>
          <w:numId w:val="0"/>
        </w:numPr>
        <w:spacing w:after="240" w:line="240" w:lineRule="auto"/>
        <w:ind w:left="720"/>
      </w:pPr>
      <w:r>
        <w:t>6</w:t>
      </w:r>
      <w:r w:rsidR="00C67E6E">
        <w:t xml:space="preserve">) </w:t>
      </w:r>
      <w:r>
        <w:t>P</w:t>
      </w:r>
      <w:r w:rsidR="00C67E6E">
        <w:t xml:space="preserve">ost-hearing passenger </w:t>
      </w:r>
      <w:r w:rsidR="006F7F55">
        <w:t xml:space="preserve">volume </w:t>
      </w:r>
      <w:r w:rsidR="00C67E6E">
        <w:t>declines for Shuttle Express establish that Speedishuttle is serving passengers who were previously served by Shuttle Express and somehow this makes Speedishuttle’s service the same service as Shuttle Express.</w:t>
      </w:r>
      <w:r w:rsidR="00CD5B3B">
        <w:t xml:space="preserve"> </w:t>
      </w:r>
      <w:r>
        <w:t xml:space="preserve"> </w:t>
      </w:r>
    </w:p>
    <w:p w14:paraId="0C5FBC31" w14:textId="77777777" w:rsidR="00C67E6E" w:rsidRDefault="00A872C4" w:rsidP="00035649">
      <w:pPr>
        <w:pStyle w:val="Heading3"/>
        <w:numPr>
          <w:ilvl w:val="0"/>
          <w:numId w:val="0"/>
        </w:numPr>
      </w:pPr>
      <w:r>
        <w:t xml:space="preserve">Shuttle Express also stated it </w:t>
      </w:r>
      <w:r w:rsidR="009F498C">
        <w:t xml:space="preserve">was uncertain </w:t>
      </w:r>
      <w:r>
        <w:t xml:space="preserve">whether </w:t>
      </w:r>
      <w:r w:rsidR="00CD5B3B">
        <w:t xml:space="preserve">Speedishuttle </w:t>
      </w:r>
      <w:r>
        <w:t>was</w:t>
      </w:r>
      <w:r w:rsidR="00CD5B3B">
        <w:t xml:space="preserve"> actually providing Wi</w:t>
      </w:r>
      <w:r w:rsidR="006F7F55">
        <w:t>-</w:t>
      </w:r>
      <w:r w:rsidR="00CD5B3B">
        <w:t>Fi or TV in its vans.</w:t>
      </w:r>
      <w:r w:rsidR="00CD5B3B">
        <w:rPr>
          <w:rStyle w:val="FootnoteReference"/>
        </w:rPr>
        <w:footnoteReference w:id="6"/>
      </w:r>
    </w:p>
    <w:p w14:paraId="0C5FBC32" w14:textId="77777777" w:rsidR="0029337E" w:rsidRDefault="00C67E6E" w:rsidP="0029337E">
      <w:pPr>
        <w:pStyle w:val="Heading3"/>
      </w:pPr>
      <w:r>
        <w:t>Speedishutt</w:t>
      </w:r>
      <w:r w:rsidR="0032551A">
        <w:t>l</w:t>
      </w:r>
      <w:r>
        <w:t>e’s</w:t>
      </w:r>
      <w:r w:rsidR="0032551A">
        <w:t xml:space="preserve"> Answer to the Petition for Rehearing and Formal Complaint set forth </w:t>
      </w:r>
      <w:r w:rsidR="00915BC2">
        <w:t>various arguments</w:t>
      </w:r>
      <w:r w:rsidR="00AA7A80">
        <w:t>, among other issues,</w:t>
      </w:r>
      <w:r w:rsidR="00915BC2">
        <w:t xml:space="preserve"> </w:t>
      </w:r>
      <w:r w:rsidR="009E4952">
        <w:t xml:space="preserve">establishing </w:t>
      </w:r>
      <w:r w:rsidR="00AA7A80">
        <w:t>that</w:t>
      </w:r>
      <w:r w:rsidR="00915BC2">
        <w:t xml:space="preserve"> Shuttle Express’ Petition for Rehearing constituted a collateral attack on the Commission’s ruling in Order 04 and was not based on new evidence or changed circumstances</w:t>
      </w:r>
      <w:r w:rsidR="00AA7A80">
        <w:t xml:space="preserve"> and should not be permitted</w:t>
      </w:r>
      <w:r w:rsidR="00915BC2">
        <w:t xml:space="preserve">. </w:t>
      </w:r>
      <w:r w:rsidR="0029337E">
        <w:t xml:space="preserve">  </w:t>
      </w:r>
    </w:p>
    <w:p w14:paraId="0C5FBC33" w14:textId="77777777" w:rsidR="0029337E" w:rsidRDefault="0029337E" w:rsidP="0029337E">
      <w:pPr>
        <w:pStyle w:val="Heading3"/>
      </w:pPr>
      <w:r>
        <w:t xml:space="preserve">Commission Staff also filed an Answer to the Petition for Rehearing and Formal Complaint, taking the position that rehearing should be permitted, but limited to a </w:t>
      </w:r>
      <w:r w:rsidR="00AA7A80">
        <w:t>brief adjudicative proceeding</w:t>
      </w:r>
      <w:r>
        <w:t xml:space="preserve"> on the issues of whether Speedishuttle promised to</w:t>
      </w:r>
      <w:r w:rsidR="00AA7A80">
        <w:t>,</w:t>
      </w:r>
      <w:r>
        <w:t xml:space="preserve"> but is failing to provide multilingual greeters at Sea-Tac Airport, in-vehicle televisions and wireless internet, and guaranteed 20-minute departure times.</w:t>
      </w:r>
      <w:r>
        <w:rPr>
          <w:rStyle w:val="FootnoteReference"/>
        </w:rPr>
        <w:footnoteReference w:id="7"/>
      </w:r>
    </w:p>
    <w:p w14:paraId="0C5FBC34" w14:textId="77777777" w:rsidR="0029337E" w:rsidRDefault="0029337E" w:rsidP="00713F24">
      <w:pPr>
        <w:pStyle w:val="Heading3"/>
      </w:pPr>
      <w:r>
        <w:lastRenderedPageBreak/>
        <w:t>Following the filing of Staff’s Response to the Petition for Rehearing,</w:t>
      </w:r>
      <w:r w:rsidR="00AA7A80">
        <w:t xml:space="preserve"> </w:t>
      </w:r>
      <w:r>
        <w:t xml:space="preserve">Shuttle Express filed a Motion to Strike </w:t>
      </w:r>
      <w:r w:rsidR="001A4D44">
        <w:t xml:space="preserve">the </w:t>
      </w:r>
      <w:r>
        <w:t>response</w:t>
      </w:r>
      <w:r w:rsidR="001A4D44">
        <w:t>s</w:t>
      </w:r>
      <w:r w:rsidR="00AA7A80">
        <w:t xml:space="preserve">.  In that motion, Shuttle Express took the position that its Petition for Rehearing was </w:t>
      </w:r>
      <w:r w:rsidR="009F498C">
        <w:t xml:space="preserve">equivalent </w:t>
      </w:r>
      <w:r w:rsidR="00AA7A80">
        <w:t>to a Complaint in superior court, for which an answer admitting or denying each paragraph of the Petition for Rehearing was required.</w:t>
      </w:r>
      <w:r w:rsidR="00AA7A80">
        <w:rPr>
          <w:rStyle w:val="FootnoteReference"/>
        </w:rPr>
        <w:footnoteReference w:id="8"/>
      </w:r>
      <w:r w:rsidR="008D12FE">
        <w:t xml:space="preserve">  Therefore, Shuttle Express argued, Commission Staff’s Response </w:t>
      </w:r>
      <w:r w:rsidR="00343AF0">
        <w:t xml:space="preserve">(and Speedishuttle’s) </w:t>
      </w:r>
      <w:r w:rsidR="008D12FE">
        <w:t>to the Petition for Rehearing</w:t>
      </w:r>
      <w:r w:rsidR="00A11D26">
        <w:t xml:space="preserve"> was akin to a post-hearing brief and inappropriate at that stage in the proceeding</w:t>
      </w:r>
      <w:r w:rsidR="00311816">
        <w:t xml:space="preserve"> and should be stricken</w:t>
      </w:r>
      <w:r w:rsidR="00A11D26">
        <w:t>.</w:t>
      </w:r>
      <w:r w:rsidR="001A4D44">
        <w:t xml:space="preserve">  After considering the </w:t>
      </w:r>
      <w:r w:rsidR="00343AF0">
        <w:t>R</w:t>
      </w:r>
      <w:r w:rsidR="001A4D44">
        <w:t>esponse</w:t>
      </w:r>
      <w:r w:rsidR="00343AF0">
        <w:t>s</w:t>
      </w:r>
      <w:r w:rsidR="001A4D44">
        <w:t>, that motion was denied.</w:t>
      </w:r>
    </w:p>
    <w:p w14:paraId="0C5FBC35" w14:textId="77777777" w:rsidR="00670C9D" w:rsidRDefault="006F7F55" w:rsidP="00713F24">
      <w:pPr>
        <w:pStyle w:val="Heading3"/>
      </w:pPr>
      <w:r>
        <w:t xml:space="preserve">Administrative Law Judge Pearson initially granted the Petition for Rehearing without limitation on the scope of issues raised by the Petition for Rehearing in Order 06.  However, </w:t>
      </w:r>
      <w:r w:rsidR="00343AF0">
        <w:t xml:space="preserve">Speedishuttle and Shuttle Express </w:t>
      </w:r>
      <w:r>
        <w:t xml:space="preserve">took issue with Order 06 and sought administrative review.  Shuttle Express </w:t>
      </w:r>
      <w:r w:rsidR="00E72E14">
        <w:t xml:space="preserve">objected to </w:t>
      </w:r>
      <w:r>
        <w:t xml:space="preserve">the determination that the Commission has discretion to grant rehearing, arguing that it was a matter of statutory right, while Speedishuttle, among other </w:t>
      </w:r>
      <w:r w:rsidR="005D3C17">
        <w:t>arguments</w:t>
      </w:r>
      <w:r w:rsidR="00311816">
        <w:t>,</w:t>
      </w:r>
      <w:r>
        <w:t xml:space="preserve"> asserted that the rehearing was tantamount to yet another attempt to reopen the application for purposes of relitigation.</w:t>
      </w:r>
    </w:p>
    <w:p w14:paraId="0C5FBC36" w14:textId="77777777" w:rsidR="00644C60" w:rsidRDefault="006F7F55" w:rsidP="00644C60">
      <w:pPr>
        <w:pStyle w:val="Heading3"/>
      </w:pPr>
      <w:r>
        <w:t>The Commission, by Order 08,</w:t>
      </w:r>
      <w:r w:rsidR="00644C60" w:rsidRPr="00644C60">
        <w:rPr>
          <w:rStyle w:val="FootnoteReference"/>
        </w:rPr>
        <w:t xml:space="preserve"> </w:t>
      </w:r>
      <w:r>
        <w:t xml:space="preserve">addressed both of these assertions.  It found that Shuttle Express had no </w:t>
      </w:r>
      <w:r w:rsidR="00E72E14">
        <w:t xml:space="preserve">automatic </w:t>
      </w:r>
      <w:r>
        <w:t>right to rehearing</w:t>
      </w:r>
      <w:r w:rsidR="00366949">
        <w:t xml:space="preserve">, </w:t>
      </w:r>
      <w:r w:rsidR="00E72E14">
        <w:t xml:space="preserve">and </w:t>
      </w:r>
      <w:r w:rsidR="00366949">
        <w:t xml:space="preserve">ruled </w:t>
      </w:r>
      <w:r w:rsidR="00E72E14">
        <w:t xml:space="preserve">it </w:t>
      </w:r>
      <w:r w:rsidR="00366949">
        <w:t>was within the discretion of the Commission to permit</w:t>
      </w:r>
      <w:r>
        <w:t>.</w:t>
      </w:r>
      <w:r>
        <w:rPr>
          <w:rStyle w:val="FootnoteReference"/>
        </w:rPr>
        <w:footnoteReference w:id="9"/>
      </w:r>
      <w:r w:rsidR="00644C60">
        <w:t xml:space="preserve">  </w:t>
      </w:r>
      <w:r w:rsidR="004E5696">
        <w:t>However, on administrative review</w:t>
      </w:r>
      <w:r w:rsidR="005D3C17">
        <w:t>,</w:t>
      </w:r>
      <w:r w:rsidR="004E5696">
        <w:t xml:space="preserve"> i</w:t>
      </w:r>
      <w:r w:rsidR="00644C60">
        <w:t xml:space="preserve">t also </w:t>
      </w:r>
      <w:r w:rsidR="00343AF0">
        <w:t xml:space="preserve">noted approvingly </w:t>
      </w:r>
      <w:r w:rsidR="00644C60">
        <w:t>the concerns of Speedishuttle and Staff regarding the scope of the rehearing and ruled</w:t>
      </w:r>
      <w:r w:rsidR="0051595B">
        <w:t xml:space="preserve"> that it would be limited</w:t>
      </w:r>
      <w:r w:rsidR="00644C60">
        <w:t>:</w:t>
      </w:r>
    </w:p>
    <w:p w14:paraId="0C5FBC37" w14:textId="77777777" w:rsidR="00644C60" w:rsidRDefault="00644C60" w:rsidP="00644C60">
      <w:pPr>
        <w:pStyle w:val="Default"/>
        <w:ind w:left="1440" w:right="1440" w:hanging="720"/>
      </w:pPr>
      <w:r w:rsidRPr="00644C60">
        <w:rPr>
          <w:i/>
          <w:iCs/>
        </w:rPr>
        <w:t xml:space="preserve">24 </w:t>
      </w:r>
      <w:r w:rsidRPr="00644C60">
        <w:rPr>
          <w:i/>
          <w:iCs/>
        </w:rPr>
        <w:tab/>
      </w:r>
      <w:r w:rsidRPr="00644C60">
        <w:t xml:space="preserve">We nevertheless share the concerns Speedishuttle and Staff express about the scope of rehearing. </w:t>
      </w:r>
      <w:r w:rsidRPr="004E5696">
        <w:rPr>
          <w:u w:val="single"/>
        </w:rPr>
        <w:t xml:space="preserve">We will not allow Shuttle Express to relitigate the BAP. The Commission will not alter its conclusion that the business model Speedishuttle described in its application </w:t>
      </w:r>
      <w:r w:rsidRPr="004E5696">
        <w:rPr>
          <w:u w:val="single"/>
        </w:rPr>
        <w:lastRenderedPageBreak/>
        <w:t>and during the evidentiary hearings represents a different service than the service Shuttle Express provides. Nor will we permit a collateral attack on our rules that do not distinguish between “prearranged” and “walk up” door-to-door service.</w:t>
      </w:r>
      <w:r w:rsidR="0051595B" w:rsidRPr="004E5696">
        <w:rPr>
          <w:u w:val="single"/>
        </w:rPr>
        <w:t xml:space="preserve"> </w:t>
      </w:r>
      <w:r w:rsidRPr="00644C60">
        <w:t xml:space="preserve"> At the same time, however, the Commission based its conclusions in Order 04 on the totality of the circumstances, and Speedishuttle’s and Staff’s proposal to limit rehearing to an examination of the individual components of the business model is at odds with that approach.</w:t>
      </w:r>
      <w:r w:rsidR="0035001A">
        <w:rPr>
          <w:rStyle w:val="FootnoteReference"/>
        </w:rPr>
        <w:footnoteReference w:id="10"/>
      </w:r>
      <w:r w:rsidRPr="00644C60">
        <w:t xml:space="preserve"> </w:t>
      </w:r>
    </w:p>
    <w:p w14:paraId="0C5FBC38" w14:textId="77777777" w:rsidR="00644C60" w:rsidRDefault="00644C60" w:rsidP="00644C60">
      <w:pPr>
        <w:pStyle w:val="Default"/>
        <w:ind w:left="1440" w:right="1440" w:hanging="720"/>
      </w:pPr>
    </w:p>
    <w:p w14:paraId="0C5FBC39" w14:textId="77777777" w:rsidR="00644C60" w:rsidRPr="00644C60" w:rsidRDefault="00644C60" w:rsidP="00644C60">
      <w:pPr>
        <w:pStyle w:val="Heading3"/>
      </w:pPr>
      <w:r>
        <w:t xml:space="preserve">Subsequent to the Commission’s ruling in Order 08, the scope of the rehearing has been </w:t>
      </w:r>
      <w:r w:rsidR="005D3C17">
        <w:t xml:space="preserve">challenged and repeatedly </w:t>
      </w:r>
      <w:r>
        <w:t>relitigated by Shuttle Express in t</w:t>
      </w:r>
      <w:r w:rsidR="0051595B">
        <w:t>he context of discovery motions</w:t>
      </w:r>
      <w:r w:rsidR="00366949">
        <w:t xml:space="preserve"> and discovery conferences</w:t>
      </w:r>
      <w:r w:rsidR="000F7374">
        <w:t xml:space="preserve"> seeking records which Speedishuttle asserted were irrelevant to the scope of this proceeding</w:t>
      </w:r>
      <w:r w:rsidR="00157327">
        <w:t>.  I</w:t>
      </w:r>
      <w:r w:rsidR="00343AF0">
        <w:t xml:space="preserve">n each instance, </w:t>
      </w:r>
      <w:r w:rsidR="0051595B">
        <w:t>the Administrative Law Judge ruled that the scope of the issues to be determine</w:t>
      </w:r>
      <w:r w:rsidR="000F7374">
        <w:t>d by the Commission in this consolidated proceeding</w:t>
      </w:r>
      <w:r w:rsidR="00810047">
        <w:t xml:space="preserve"> w</w:t>
      </w:r>
      <w:r w:rsidR="005D3C17">
        <w:t>as</w:t>
      </w:r>
      <w:r w:rsidR="00810047">
        <w:t xml:space="preserve"> </w:t>
      </w:r>
      <w:r w:rsidR="000F7374">
        <w:t>narrow</w:t>
      </w:r>
      <w:r w:rsidR="00810047">
        <w:t xml:space="preserve">er than the </w:t>
      </w:r>
      <w:r w:rsidR="000B361E">
        <w:t xml:space="preserve">scope of </w:t>
      </w:r>
      <w:r w:rsidR="00810047">
        <w:t>records sought by Shuttle Express</w:t>
      </w:r>
      <w:r w:rsidR="000F7374">
        <w:t xml:space="preserve">.  </w:t>
      </w:r>
      <w:r w:rsidR="00366949">
        <w:t>A</w:t>
      </w:r>
      <w:r w:rsidR="000F7374">
        <w:t>t the</w:t>
      </w:r>
      <w:r w:rsidR="00E72E14">
        <w:t xml:space="preserve"> initial</w:t>
      </w:r>
      <w:r w:rsidR="000F7374">
        <w:t xml:space="preserve"> September 27, 2016 discovery hearing, Administrative Law Judge Pearson ruled:</w:t>
      </w:r>
    </w:p>
    <w:p w14:paraId="0C5FBC3A" w14:textId="77777777" w:rsidR="003B70BB" w:rsidRDefault="000F7374" w:rsidP="000F7374">
      <w:pPr>
        <w:pStyle w:val="BodyText"/>
        <w:ind w:left="1440" w:right="1440" w:firstLine="0"/>
        <w:rPr>
          <w:rFonts w:ascii="Times New Roman" w:hAnsi="Times New Roman"/>
          <w:sz w:val="24"/>
        </w:rPr>
      </w:pPr>
      <w:r w:rsidRPr="000F7374">
        <w:rPr>
          <w:rFonts w:ascii="Times New Roman" w:hAnsi="Times New Roman"/>
          <w:sz w:val="24"/>
        </w:rPr>
        <w:t>…I want to clarify the scope of the proceeding at this point, and just make it clear that it's limited to, number one, whether SpeediShuttle is providing the service the Commission authorized it to provide consistent with the business model approved by the Commission in Docket TC-143691, and whether SpeediShuttle is providing service below cost as alleged in the complaint in Docket TC-160516. And those are the only issues that we're looking at.</w:t>
      </w:r>
      <w:r>
        <w:rPr>
          <w:rStyle w:val="FootnoteReference"/>
          <w:rFonts w:ascii="Times New Roman" w:hAnsi="Times New Roman"/>
          <w:sz w:val="24"/>
        </w:rPr>
        <w:footnoteReference w:id="11"/>
      </w:r>
    </w:p>
    <w:p w14:paraId="0C5FBC3B" w14:textId="77777777" w:rsidR="00D94561" w:rsidRDefault="00BF048E" w:rsidP="00BF048E">
      <w:pPr>
        <w:pStyle w:val="Heading3"/>
      </w:pPr>
      <w:r>
        <w:t>At the most recent discovery conference, on December 28, 2016, Administrative Law Judge Pearson reiterated this limitation</w:t>
      </w:r>
      <w:r w:rsidR="00157327">
        <w:t xml:space="preserve"> despite an </w:t>
      </w:r>
      <w:r w:rsidR="00E72E14">
        <w:t xml:space="preserve">equivalent </w:t>
      </w:r>
      <w:r w:rsidR="00157327">
        <w:t>oral request for reconsideration by Shuttle Express</w:t>
      </w:r>
      <w:r>
        <w:t xml:space="preserve">.  </w:t>
      </w:r>
    </w:p>
    <w:p w14:paraId="0C5FBC3C" w14:textId="77777777" w:rsidR="00BF048E" w:rsidRDefault="00BF048E" w:rsidP="00BF048E">
      <w:pPr>
        <w:pStyle w:val="Heading3"/>
      </w:pPr>
      <w:r>
        <w:t xml:space="preserve">Though </w:t>
      </w:r>
      <w:r w:rsidR="001721C7">
        <w:t>Shuttle Express</w:t>
      </w:r>
      <w:r>
        <w:t xml:space="preserve"> </w:t>
      </w:r>
      <w:r w:rsidR="00E72E14">
        <w:t xml:space="preserve">transparently </w:t>
      </w:r>
      <w:r>
        <w:t xml:space="preserve">disregards rulings when it comes to the evidence it </w:t>
      </w:r>
      <w:r w:rsidR="00FD2F87">
        <w:t>offers</w:t>
      </w:r>
      <w:r>
        <w:t xml:space="preserve">, </w:t>
      </w:r>
      <w:r w:rsidR="001721C7">
        <w:t xml:space="preserve">in arguing that Speedishuttle’s unclean hands </w:t>
      </w:r>
      <w:r w:rsidR="00F45503">
        <w:t xml:space="preserve">affirmative </w:t>
      </w:r>
      <w:r w:rsidR="001721C7">
        <w:t xml:space="preserve">defense </w:t>
      </w:r>
      <w:r w:rsidR="00F45503">
        <w:t>sh</w:t>
      </w:r>
      <w:r w:rsidR="001721C7">
        <w:t xml:space="preserve">ould not be considered, </w:t>
      </w:r>
      <w:r>
        <w:lastRenderedPageBreak/>
        <w:t xml:space="preserve">Shuttle Express </w:t>
      </w:r>
      <w:r w:rsidR="005D3C17">
        <w:t xml:space="preserve">itself </w:t>
      </w:r>
      <w:r w:rsidR="00157327">
        <w:t xml:space="preserve">duly </w:t>
      </w:r>
      <w:r w:rsidR="00686D7F">
        <w:t>acknowledged</w:t>
      </w:r>
      <w:r w:rsidR="005D3C17">
        <w:t xml:space="preserve"> in Petitioner’s </w:t>
      </w:r>
      <w:r>
        <w:t xml:space="preserve">Answer to Motion to Consolidate, </w:t>
      </w:r>
      <w:r w:rsidR="00E55CC5">
        <w:t>o</w:t>
      </w:r>
      <w:r>
        <w:t>f December 30, 2016,</w:t>
      </w:r>
      <w:r w:rsidR="001721C7">
        <w:t xml:space="preserve"> </w:t>
      </w:r>
      <w:r w:rsidR="000B361E">
        <w:t xml:space="preserve">that </w:t>
      </w:r>
      <w:r w:rsidR="001721C7">
        <w:t>the Administrative Law Judge</w:t>
      </w:r>
      <w:r>
        <w:t xml:space="preserve"> “indicated the Commission intends to limit the issues in these dockets to what service Speedishuttle is actually providing and whether the service being provided is what the Commission intended.”</w:t>
      </w:r>
      <w:r>
        <w:rPr>
          <w:rStyle w:val="FootnoteReference"/>
        </w:rPr>
        <w:footnoteReference w:id="12"/>
      </w:r>
      <w:r w:rsidR="001721C7">
        <w:t xml:space="preserve">  Shuttle Express went on to</w:t>
      </w:r>
      <w:r w:rsidR="00157327">
        <w:t xml:space="preserve"> further</w:t>
      </w:r>
      <w:r w:rsidR="001721C7">
        <w:t xml:space="preserve"> recognize “…the Commission has made it clear that it wants to keep the issues narrow—narrower than both parties have sought.”</w:t>
      </w:r>
      <w:r w:rsidR="001721C7">
        <w:rPr>
          <w:rStyle w:val="FootnoteReference"/>
        </w:rPr>
        <w:footnoteReference w:id="13"/>
      </w:r>
    </w:p>
    <w:p w14:paraId="0C5FBC3D" w14:textId="77777777" w:rsidR="001721C7" w:rsidRDefault="00E55CC5" w:rsidP="00BF048E">
      <w:pPr>
        <w:pStyle w:val="Heading3"/>
      </w:pPr>
      <w:r>
        <w:t>Alt</w:t>
      </w:r>
      <w:r w:rsidR="000B361E">
        <w:t>hough</w:t>
      </w:r>
      <w:r w:rsidR="00F45503">
        <w:t xml:space="preserve"> Shuttle Express seemingly </w:t>
      </w:r>
      <w:r w:rsidR="00343AF0">
        <w:t xml:space="preserve">now </w:t>
      </w:r>
      <w:r w:rsidR="00F45503">
        <w:t xml:space="preserve">acknowledged </w:t>
      </w:r>
      <w:r w:rsidR="001721C7">
        <w:t>the limitation in the scope of this proceeding</w:t>
      </w:r>
      <w:r>
        <w:t xml:space="preserve"> in </w:t>
      </w:r>
      <w:r w:rsidR="00F45503">
        <w:t xml:space="preserve">that </w:t>
      </w:r>
      <w:r>
        <w:t>pleading</w:t>
      </w:r>
      <w:r w:rsidR="001721C7">
        <w:t xml:space="preserve">, one of </w:t>
      </w:r>
      <w:r w:rsidR="00F45503">
        <w:t xml:space="preserve">the </w:t>
      </w:r>
      <w:r>
        <w:t xml:space="preserve">other </w:t>
      </w:r>
      <w:r w:rsidR="001721C7">
        <w:t xml:space="preserve">positions </w:t>
      </w:r>
      <w:r w:rsidR="00F45503">
        <w:t xml:space="preserve">it took </w:t>
      </w:r>
      <w:r w:rsidR="001721C7">
        <w:t xml:space="preserve">opposing the </w:t>
      </w:r>
      <w:r w:rsidR="00884FDE">
        <w:t xml:space="preserve">consolidation </w:t>
      </w:r>
      <w:r w:rsidR="001721C7">
        <w:t xml:space="preserve">motion </w:t>
      </w:r>
      <w:r>
        <w:t xml:space="preserve">is </w:t>
      </w:r>
      <w:r w:rsidR="00343AF0">
        <w:t xml:space="preserve">dramatically </w:t>
      </w:r>
      <w:r w:rsidR="001721C7">
        <w:t xml:space="preserve">inapposite.  </w:t>
      </w:r>
      <w:r w:rsidR="00157327">
        <w:t>There, Shuttle Express argued</w:t>
      </w:r>
      <w:r w:rsidR="001721C7">
        <w:t xml:space="preserve">, at ¶2 of its </w:t>
      </w:r>
      <w:r w:rsidR="00157327">
        <w:t>A</w:t>
      </w:r>
      <w:r w:rsidR="001721C7">
        <w:t>nswe</w:t>
      </w:r>
      <w:r w:rsidR="000B361E">
        <w:t>r</w:t>
      </w:r>
      <w:r w:rsidR="001721C7">
        <w:t>:</w:t>
      </w:r>
    </w:p>
    <w:p w14:paraId="0C5FBC3E" w14:textId="77777777" w:rsidR="001721C7" w:rsidRDefault="001721C7" w:rsidP="00035649">
      <w:pPr>
        <w:pStyle w:val="Heading3"/>
        <w:numPr>
          <w:ilvl w:val="0"/>
          <w:numId w:val="0"/>
        </w:numPr>
        <w:spacing w:after="240" w:line="240" w:lineRule="auto"/>
        <w:ind w:left="1440" w:right="1440"/>
      </w:pPr>
      <w:r>
        <w:t>[a]s the direct testimony filed herein on December 21</w:t>
      </w:r>
      <w:r w:rsidRPr="001721C7">
        <w:rPr>
          <w:vertAlign w:val="superscript"/>
        </w:rPr>
        <w:t>st</w:t>
      </w:r>
      <w:r>
        <w:t xml:space="preserve"> makes clear, what is at stake in these dockets is the ultimate survival of share ride as a public service in King County.  Speedishuttle is losing prodigious amounts of money and will likely never be profitable in its current business model.  Worse, Speedishuttle’s entry into the market has put Shuttle Express into a loss situation.  The current duopoly is not sustainable in the long term.</w:t>
      </w:r>
    </w:p>
    <w:p w14:paraId="0C5FBC3F" w14:textId="77777777" w:rsidR="001721C7" w:rsidRDefault="001721C7" w:rsidP="004D6752">
      <w:pPr>
        <w:pStyle w:val="Heading3"/>
      </w:pPr>
      <w:r>
        <w:t>When Speedishuttle responded by letter to</w:t>
      </w:r>
      <w:r w:rsidR="004D6752">
        <w:t xml:space="preserve"> point out that Shuttle Express </w:t>
      </w:r>
      <w:r w:rsidR="000B361E">
        <w:t xml:space="preserve">was “at it again” and </w:t>
      </w:r>
      <w:r w:rsidR="00343AF0">
        <w:t xml:space="preserve">had, </w:t>
      </w:r>
      <w:r w:rsidR="00AE3CDC">
        <w:t>in its Answer in Oppo</w:t>
      </w:r>
      <w:r w:rsidR="00343AF0">
        <w:t xml:space="preserve">sition to Motion to Consolidate, </w:t>
      </w:r>
      <w:r w:rsidR="004D6752">
        <w:t xml:space="preserve">relied upon </w:t>
      </w:r>
      <w:r w:rsidR="00B12BA8">
        <w:t xml:space="preserve">unfounded </w:t>
      </w:r>
      <w:r>
        <w:t>arguments outside the record</w:t>
      </w:r>
      <w:r w:rsidR="004D6752">
        <w:t>,</w:t>
      </w:r>
      <w:r w:rsidR="00157327">
        <w:rPr>
          <w:rStyle w:val="FootnoteReference"/>
        </w:rPr>
        <w:footnoteReference w:id="14"/>
      </w:r>
      <w:r w:rsidR="004D6752">
        <w:t xml:space="preserve"> Shuttle Express</w:t>
      </w:r>
      <w:r w:rsidR="00E55CC5">
        <w:t xml:space="preserve">, </w:t>
      </w:r>
      <w:r w:rsidR="00ED4F9A">
        <w:t xml:space="preserve">always </w:t>
      </w:r>
      <w:r w:rsidR="00343AF0">
        <w:t xml:space="preserve">routinely </w:t>
      </w:r>
      <w:r w:rsidR="00E55CC5">
        <w:t>getting the last word,</w:t>
      </w:r>
      <w:r w:rsidR="004D6752">
        <w:t xml:space="preserve"> responded by its own letter and once again demonstrated that it believes that the scope of issues are th</w:t>
      </w:r>
      <w:r w:rsidR="00F45503">
        <w:t xml:space="preserve">ose defined by Shuttle Express’ pleadings </w:t>
      </w:r>
      <w:r w:rsidR="004D6752">
        <w:t>rather than the Commission</w:t>
      </w:r>
      <w:r w:rsidR="00F45503">
        <w:t>’s Order</w:t>
      </w:r>
      <w:r w:rsidR="00E55CC5">
        <w:t xml:space="preserve">.  </w:t>
      </w:r>
      <w:r w:rsidR="00F45503">
        <w:t xml:space="preserve">Indeed, </w:t>
      </w:r>
      <w:r w:rsidR="00E55CC5">
        <w:t>it opined</w:t>
      </w:r>
      <w:r w:rsidR="00884FDE">
        <w:t xml:space="preserve"> there</w:t>
      </w:r>
      <w:r w:rsidR="00E55CC5">
        <w:t xml:space="preserve">: </w:t>
      </w:r>
      <w:r w:rsidR="004D6752" w:rsidRPr="00F45503">
        <w:rPr>
          <w:b/>
        </w:rPr>
        <w:t>“[w]hat is ‘at stake’ or ‘at issue’ is necessarily framed by the pleadings and subsequent related filings” and “</w:t>
      </w:r>
      <w:r w:rsidR="00F45503" w:rsidRPr="00F45503">
        <w:rPr>
          <w:b/>
        </w:rPr>
        <w:t>…</w:t>
      </w:r>
      <w:r w:rsidR="004D6752" w:rsidRPr="00F45503">
        <w:rPr>
          <w:b/>
        </w:rPr>
        <w:t xml:space="preserve">[s]ince these facts have been and will be offered into evidence, they frame the issues that will be under consideration, regardless of the objections and </w:t>
      </w:r>
      <w:r w:rsidR="004D6752" w:rsidRPr="00F45503">
        <w:rPr>
          <w:b/>
        </w:rPr>
        <w:lastRenderedPageBreak/>
        <w:t>responsive testimonies that are likely to come.</w:t>
      </w:r>
      <w:r w:rsidR="004D6752">
        <w:t>”</w:t>
      </w:r>
      <w:r w:rsidR="004D6752">
        <w:rPr>
          <w:rStyle w:val="FootnoteReference"/>
        </w:rPr>
        <w:footnoteReference w:id="15"/>
      </w:r>
      <w:r w:rsidR="005D3C17">
        <w:t xml:space="preserve">  </w:t>
      </w:r>
      <w:r w:rsidR="00F45503">
        <w:t xml:space="preserve">Truly, who does Shuttle Express believe is in </w:t>
      </w:r>
      <w:r w:rsidR="00E55CC5">
        <w:t xml:space="preserve">charge </w:t>
      </w:r>
      <w:r w:rsidR="00343AF0">
        <w:t xml:space="preserve">of determining evidence </w:t>
      </w:r>
      <w:r w:rsidR="00E55CC5">
        <w:t xml:space="preserve">here?  </w:t>
      </w:r>
      <w:r w:rsidR="005D3C17">
        <w:t>While the C</w:t>
      </w:r>
      <w:r w:rsidR="00157327">
        <w:t>ommission</w:t>
      </w:r>
      <w:r w:rsidR="00B12BA8">
        <w:t>,</w:t>
      </w:r>
      <w:r w:rsidR="00157327">
        <w:t xml:space="preserve"> in Order 12 Granting Motion to Consolidate</w:t>
      </w:r>
      <w:r w:rsidR="00B12BA8">
        <w:t>,</w:t>
      </w:r>
      <w:r w:rsidR="00157327">
        <w:t xml:space="preserve"> </w:t>
      </w:r>
      <w:r w:rsidR="00343AF0">
        <w:t xml:space="preserve">subsequently </w:t>
      </w:r>
      <w:r w:rsidR="00157327">
        <w:t>indicates it did not consider these arguments, they re</w:t>
      </w:r>
      <w:r w:rsidR="005D3C17">
        <w:t>main</w:t>
      </w:r>
      <w:r w:rsidR="00157327">
        <w:t xml:space="preserve"> </w:t>
      </w:r>
      <w:r w:rsidR="0079163B">
        <w:t xml:space="preserve">stark reflections of </w:t>
      </w:r>
      <w:r w:rsidR="00157327">
        <w:t>the parties’ disparate understandings of the present evidentiary parameters of the hearing.</w:t>
      </w:r>
    </w:p>
    <w:p w14:paraId="0C5FBC40" w14:textId="77777777" w:rsidR="00ED4F9A" w:rsidRPr="00ED4F9A" w:rsidRDefault="00ED4F9A" w:rsidP="00ED4F9A">
      <w:pPr>
        <w:pStyle w:val="Heading2"/>
        <w:rPr>
          <w:u w:val="none"/>
        </w:rPr>
      </w:pPr>
      <w:r>
        <w:tab/>
      </w:r>
      <w:r>
        <w:rPr>
          <w:u w:val="none"/>
        </w:rPr>
        <w:t>The Public Interest Doctrine is not a shield for interjecting irrelevant evidentiary issues or theories that are already excluded</w:t>
      </w:r>
    </w:p>
    <w:p w14:paraId="0C5FBC41" w14:textId="77777777" w:rsidR="00ED4F9A" w:rsidRDefault="00320BBD" w:rsidP="00ED4F9A">
      <w:pPr>
        <w:pStyle w:val="Heading3"/>
      </w:pPr>
      <w:r>
        <w:t xml:space="preserve">Shuttle Express’ </w:t>
      </w:r>
      <w:r w:rsidR="00ED4F9A">
        <w:t xml:space="preserve">overarching, recurring claim of late is that the power to regulate in the public interest under Title 81 RCW subordinates any attempts to limit the evidence or otherwise observe previous rulings limiting the issues in this proceeding.  Not only are such arguments now contrary to the law of the case, they morph “the public interest” into “Shuttle Express’ interest,” singularly advancing </w:t>
      </w:r>
      <w:r w:rsidR="00797318">
        <w:t xml:space="preserve">its </w:t>
      </w:r>
      <w:r w:rsidR="00ED4F9A">
        <w:t>version of market sustainability as if it were an existing issue in the proceeding and not the collateral attack on both the BAP and the 2013 Rulemaking that it is.</w:t>
      </w:r>
    </w:p>
    <w:p w14:paraId="0C5FBC42" w14:textId="77777777" w:rsidR="00ED4F9A" w:rsidRDefault="00ED4F9A" w:rsidP="00ED4F9A">
      <w:pPr>
        <w:pStyle w:val="Heading3"/>
      </w:pPr>
      <w:r>
        <w:t>Indeed, both the Commission and the administrative law judge each repeatedly admonished Shuttle Express as to the</w:t>
      </w:r>
      <w:r w:rsidR="00320BBD">
        <w:t xml:space="preserve"> </w:t>
      </w:r>
      <w:r>
        <w:t>narrowed scope and collat</w:t>
      </w:r>
      <w:r w:rsidR="00320BBD">
        <w:t xml:space="preserve">eral attack holdings, including, as recently as mid-December, </w:t>
      </w:r>
      <w:r>
        <w:t xml:space="preserve">in </w:t>
      </w:r>
      <w:r w:rsidR="00320BBD">
        <w:t>O</w:t>
      </w:r>
      <w:r>
        <w:t>rder 10</w:t>
      </w:r>
      <w:r w:rsidR="00320BBD">
        <w:t>/03 §12</w:t>
      </w:r>
      <w:r w:rsidR="00A53F7D">
        <w:t>.  Shuttle Express simply does not want to hear it.  It inhabits its own reality, rhetorically responding to its own pleading allegations, inter</w:t>
      </w:r>
      <w:r w:rsidR="00797318">
        <w:t xml:space="preserve">weaving </w:t>
      </w:r>
      <w:r w:rsidR="00A53F7D">
        <w:t>unadmitted prefiled tes</w:t>
      </w:r>
      <w:r w:rsidR="008A6D30">
        <w:t xml:space="preserve">timony accusations in argument </w:t>
      </w:r>
      <w:r w:rsidR="00A53F7D">
        <w:t>and tireless</w:t>
      </w:r>
      <w:r w:rsidR="00797318">
        <w:t>ly</w:t>
      </w:r>
      <w:r w:rsidR="00A53F7D">
        <w:t xml:space="preserve"> advocating for its self-serving perception of the public interest.  Through its fixation on monopoly service entitlement, it advances its never-ending quest to refocus this proceeding on the market sustainability theory upon which it failed to succeed at the BAP.</w:t>
      </w:r>
    </w:p>
    <w:p w14:paraId="0C5FBC43" w14:textId="77777777" w:rsidR="008845B2" w:rsidRDefault="008845B2" w:rsidP="00F45503">
      <w:pPr>
        <w:pStyle w:val="Heading2"/>
      </w:pPr>
      <w:r>
        <w:lastRenderedPageBreak/>
        <w:tab/>
      </w:r>
      <w:r w:rsidRPr="00F45503">
        <w:rPr>
          <w:u w:val="none"/>
        </w:rPr>
        <w:t xml:space="preserve">Shuttle Express continues to </w:t>
      </w:r>
      <w:r w:rsidR="005D3C17" w:rsidRPr="00F45503">
        <w:rPr>
          <w:u w:val="none"/>
        </w:rPr>
        <w:t xml:space="preserve">expand </w:t>
      </w:r>
      <w:r w:rsidRPr="00F45503">
        <w:rPr>
          <w:u w:val="none"/>
        </w:rPr>
        <w:t xml:space="preserve">the scope of </w:t>
      </w:r>
      <w:r w:rsidR="00F36F5F" w:rsidRPr="00F45503">
        <w:rPr>
          <w:u w:val="none"/>
        </w:rPr>
        <w:t>this proceeding through its pre</w:t>
      </w:r>
      <w:r w:rsidRPr="00F45503">
        <w:rPr>
          <w:u w:val="none"/>
        </w:rPr>
        <w:t>filed testimony</w:t>
      </w:r>
    </w:p>
    <w:p w14:paraId="0C5FBC44" w14:textId="77777777" w:rsidR="00366949" w:rsidRDefault="00E55CC5" w:rsidP="00713F24">
      <w:pPr>
        <w:pStyle w:val="Heading3"/>
      </w:pPr>
      <w:r>
        <w:t>As noted, o</w:t>
      </w:r>
      <w:r w:rsidR="00366949">
        <w:t>n December 21, 2016</w:t>
      </w:r>
      <w:r w:rsidR="008845B2">
        <w:t>,</w:t>
      </w:r>
      <w:r w:rsidR="00366949">
        <w:t xml:space="preserve"> Shuttle Express submitted prefiled testimony in this consolidated proceeding from Paul Kajanoff, Wesley Marks, Jason Deleo and Don Wood.  </w:t>
      </w:r>
      <w:r w:rsidR="00810047">
        <w:t xml:space="preserve">The subject matter of the testimony </w:t>
      </w:r>
      <w:r w:rsidR="00B12BA8">
        <w:t xml:space="preserve">submitted </w:t>
      </w:r>
      <w:r w:rsidR="005D3C17">
        <w:t xml:space="preserve">unquestionably </w:t>
      </w:r>
      <w:r w:rsidR="00810047">
        <w:t>exceeds the scope of the rehearing</w:t>
      </w:r>
      <w:r w:rsidR="004D6752">
        <w:t xml:space="preserve"> as defined by the Commission</w:t>
      </w:r>
      <w:r w:rsidR="00810047">
        <w:t xml:space="preserve">, and </w:t>
      </w:r>
      <w:r w:rsidR="005D3C17">
        <w:t xml:space="preserve">exceeds </w:t>
      </w:r>
      <w:r w:rsidR="00F45503">
        <w:t xml:space="preserve">even </w:t>
      </w:r>
      <w:r w:rsidR="00810047">
        <w:t>the issues raised in</w:t>
      </w:r>
      <w:r w:rsidR="00F45503">
        <w:t xml:space="preserve"> Shuttle Express’</w:t>
      </w:r>
      <w:r w:rsidR="00810047">
        <w:t xml:space="preserve"> </w:t>
      </w:r>
      <w:r w:rsidR="00F45503">
        <w:t xml:space="preserve">“pleadings” (the </w:t>
      </w:r>
      <w:r w:rsidR="00810047">
        <w:t>Petition for Rehearing and Formal Complaint</w:t>
      </w:r>
      <w:r w:rsidR="00F45503">
        <w:t>)</w:t>
      </w:r>
      <w:r w:rsidR="00810047">
        <w:t>.</w:t>
      </w:r>
      <w:r w:rsidR="004D6752">
        <w:t xml:space="preserve">  Thus, </w:t>
      </w:r>
      <w:r w:rsidR="00B12BA8">
        <w:t xml:space="preserve">Speedishuttle </w:t>
      </w:r>
      <w:r>
        <w:t xml:space="preserve">is </w:t>
      </w:r>
      <w:r w:rsidR="0079163B">
        <w:t xml:space="preserve">necessarily </w:t>
      </w:r>
      <w:r>
        <w:t xml:space="preserve">compelled to </w:t>
      </w:r>
      <w:r w:rsidR="00B12BA8">
        <w:t>file this Motion in Limine.</w:t>
      </w:r>
    </w:p>
    <w:p w14:paraId="0C5FBC45" w14:textId="77777777" w:rsidR="00810047" w:rsidRDefault="00BD3C92" w:rsidP="00810047">
      <w:pPr>
        <w:pStyle w:val="Heading1"/>
        <w:rPr>
          <w:b/>
        </w:rPr>
      </w:pPr>
      <w:r>
        <w:rPr>
          <w:b/>
        </w:rPr>
        <w:t>analysis</w:t>
      </w:r>
    </w:p>
    <w:p w14:paraId="0C5FBC46" w14:textId="77777777" w:rsidR="0039480B" w:rsidRPr="0039480B" w:rsidRDefault="0039480B" w:rsidP="0039480B">
      <w:pPr>
        <w:pStyle w:val="Heading2"/>
        <w:rPr>
          <w:u w:val="none"/>
        </w:rPr>
      </w:pPr>
      <w:r>
        <w:rPr>
          <w:u w:val="none"/>
        </w:rPr>
        <w:t>Purpose and basis</w:t>
      </w:r>
      <w:r w:rsidRPr="0039480B">
        <w:rPr>
          <w:u w:val="none"/>
        </w:rPr>
        <w:t xml:space="preserve"> for this Motion</w:t>
      </w:r>
    </w:p>
    <w:p w14:paraId="0C5FBC47" w14:textId="77777777" w:rsidR="00810047" w:rsidRDefault="00672B04" w:rsidP="00810047">
      <w:pPr>
        <w:pStyle w:val="Heading3"/>
      </w:pPr>
      <w:r>
        <w:t xml:space="preserve">Motions in limine, that is pre-hearing motions to exclude objectionable evidence, are </w:t>
      </w:r>
      <w:r w:rsidR="00E55CC5">
        <w:t xml:space="preserve">expressly authorized </w:t>
      </w:r>
      <w:r>
        <w:t>in Commission proceedings by WAC 480-07-375(1)(d).</w:t>
      </w:r>
      <w:r w:rsidR="005D3C17">
        <w:t xml:space="preserve">  While motions in limine are not common in Commission proceedings, neither is the abject refusal of </w:t>
      </w:r>
      <w:r w:rsidR="00BE41C8">
        <w:t xml:space="preserve">a Petitioner to accept the delineation of the </w:t>
      </w:r>
      <w:r w:rsidR="00340014">
        <w:t xml:space="preserve">hearing </w:t>
      </w:r>
      <w:r w:rsidR="00BE41C8">
        <w:t xml:space="preserve">issues as articulated by the Commission and </w:t>
      </w:r>
      <w:r w:rsidR="0079163B">
        <w:t xml:space="preserve">the </w:t>
      </w:r>
      <w:r w:rsidR="00BE41C8">
        <w:t>administrative law judge.</w:t>
      </w:r>
    </w:p>
    <w:p w14:paraId="0C5FBC48" w14:textId="77777777" w:rsidR="00374EAF" w:rsidRDefault="00374EAF" w:rsidP="00810047">
      <w:pPr>
        <w:pStyle w:val="Heading3"/>
      </w:pPr>
      <w:r>
        <w:t xml:space="preserve">This Motion is filed </w:t>
      </w:r>
      <w:r w:rsidR="00F45503">
        <w:t xml:space="preserve">in hopes of a </w:t>
      </w:r>
      <w:r>
        <w:t xml:space="preserve">pre-hearing ruling on the admissibility of </w:t>
      </w:r>
      <w:r w:rsidR="003C474E">
        <w:t xml:space="preserve">irrelevant </w:t>
      </w:r>
      <w:r>
        <w:t>evidence</w:t>
      </w:r>
      <w:r w:rsidR="003C474E">
        <w:t xml:space="preserve"> proffered by Shuttle Express</w:t>
      </w:r>
      <w:r>
        <w:t xml:space="preserve"> and </w:t>
      </w:r>
      <w:r w:rsidR="00340014">
        <w:t xml:space="preserve">designed </w:t>
      </w:r>
      <w:r>
        <w:t>to increase the efficiency of the hearing</w:t>
      </w:r>
      <w:r w:rsidR="00BE41C8">
        <w:t xml:space="preserve"> process</w:t>
      </w:r>
      <w:r>
        <w:t xml:space="preserve"> </w:t>
      </w:r>
      <w:r w:rsidR="003C474E">
        <w:t>in this consolidated proceeding, by permitting consideration of these issues well in advance of the hearing</w:t>
      </w:r>
      <w:r w:rsidR="00BE41C8">
        <w:t xml:space="preserve"> and additional testimonial phases</w:t>
      </w:r>
      <w:r w:rsidR="003C474E">
        <w:t xml:space="preserve">, rather than occupying </w:t>
      </w:r>
      <w:r w:rsidR="00157327">
        <w:t>valuable</w:t>
      </w:r>
      <w:r w:rsidR="003C474E">
        <w:t xml:space="preserve"> time during the hearing.  </w:t>
      </w:r>
    </w:p>
    <w:p w14:paraId="0C5FBC49" w14:textId="77777777" w:rsidR="003C474E" w:rsidRDefault="003C474E" w:rsidP="00810047">
      <w:pPr>
        <w:pStyle w:val="Heading3"/>
      </w:pPr>
      <w:r>
        <w:t xml:space="preserve">As discussed briefly above, this Motion was necessitated by the filing of voluminous testimony on issues outside the scope of the rehearing by Shuttle Express.  As has </w:t>
      </w:r>
      <w:r w:rsidR="00AE3CDC">
        <w:t xml:space="preserve">also </w:t>
      </w:r>
      <w:r>
        <w:t>been the case throughout Shut</w:t>
      </w:r>
      <w:r w:rsidR="00686D7F">
        <w:t>tle Express’ frequent attacks on</w:t>
      </w:r>
      <w:r>
        <w:t xml:space="preserve"> the </w:t>
      </w:r>
      <w:r w:rsidR="00157327">
        <w:t>veracity</w:t>
      </w:r>
      <w:r w:rsidR="00686D7F">
        <w:t>, character,</w:t>
      </w:r>
      <w:r w:rsidR="0039480B">
        <w:t xml:space="preserve"> and service</w:t>
      </w:r>
      <w:r>
        <w:t xml:space="preserve"> of </w:t>
      </w:r>
      <w:r>
        <w:lastRenderedPageBreak/>
        <w:t>Speedishuttle, much of that irrelevant evidence is inaccurate, and in many instances can be readily controverted through documentary evidence. Were the irrelevant testimony</w:t>
      </w:r>
      <w:r w:rsidR="00AE3CDC">
        <w:t xml:space="preserve"> </w:t>
      </w:r>
      <w:r w:rsidR="00157327">
        <w:t>submitted</w:t>
      </w:r>
      <w:r w:rsidR="00AE3CDC">
        <w:t xml:space="preserve"> by Shuttle Express</w:t>
      </w:r>
      <w:r>
        <w:t xml:space="preserve"> permitted</w:t>
      </w:r>
      <w:r w:rsidR="00B12BA8">
        <w:t xml:space="preserve"> into evidence</w:t>
      </w:r>
      <w:r>
        <w:t>, in order to draw out and rebut the numerous inaccuracies</w:t>
      </w:r>
      <w:r w:rsidR="0039480B">
        <w:t xml:space="preserve"> made by Shuttle Express and to demonstrate Speedishuttle’s own veracity</w:t>
      </w:r>
      <w:r w:rsidR="00157327">
        <w:t xml:space="preserve"> and good faith</w:t>
      </w:r>
      <w:r>
        <w:t>, Speedishuttle would be required to file</w:t>
      </w:r>
      <w:r w:rsidR="0039480B">
        <w:t xml:space="preserve"> equally (if not more) voluminous response testimony and exhibits on the same irrelevant subject matters.  However, the time spent by both sides</w:t>
      </w:r>
      <w:r w:rsidR="00340014">
        <w:t xml:space="preserve">, staff </w:t>
      </w:r>
      <w:r w:rsidR="00B12BA8">
        <w:t>and</w:t>
      </w:r>
      <w:r w:rsidR="0039480B">
        <w:t xml:space="preserve"> the Administrative Law Judge dealing with this testimony would be </w:t>
      </w:r>
      <w:r w:rsidR="00157327">
        <w:t>wasted</w:t>
      </w:r>
      <w:r w:rsidR="0039480B">
        <w:t xml:space="preserve">, as none of the testimony at issue bears on any of the pertinent </w:t>
      </w:r>
      <w:r w:rsidR="00F45503">
        <w:t xml:space="preserve">remaining </w:t>
      </w:r>
      <w:r w:rsidR="0039480B">
        <w:t xml:space="preserve">issues to be </w:t>
      </w:r>
      <w:r w:rsidR="00157327">
        <w:t>adjudicated</w:t>
      </w:r>
      <w:r w:rsidR="0039480B">
        <w:t xml:space="preserve"> by the Commission.</w:t>
      </w:r>
    </w:p>
    <w:p w14:paraId="0C5FBC4A" w14:textId="77777777" w:rsidR="0039480B" w:rsidRDefault="0039480B" w:rsidP="00810047">
      <w:pPr>
        <w:pStyle w:val="Heading3"/>
      </w:pPr>
      <w:r>
        <w:t>Thus, Speedishuttle seeks a ruling excluding irrelevant subject matters, and the testimony relating to those subjects matters, now,</w:t>
      </w:r>
      <w:r w:rsidR="00B12BA8">
        <w:t xml:space="preserve"> so that the limitation on the scope of evidence may be reiterated before Speedishuttle prepares and files </w:t>
      </w:r>
      <w:r>
        <w:t xml:space="preserve">its </w:t>
      </w:r>
      <w:r w:rsidR="0079163B">
        <w:t xml:space="preserve">own </w:t>
      </w:r>
      <w:r>
        <w:t xml:space="preserve">response testimony and exhibits, which would both enlarge the volume of material for the Administrative Law Judge </w:t>
      </w:r>
      <w:r w:rsidR="00BE41C8">
        <w:t xml:space="preserve">to </w:t>
      </w:r>
      <w:r w:rsidR="0079163B">
        <w:t xml:space="preserve">analyze </w:t>
      </w:r>
      <w:r>
        <w:t>and</w:t>
      </w:r>
      <w:r w:rsidR="00AA61D5">
        <w:t xml:space="preserve"> expand the topic and issues for the</w:t>
      </w:r>
      <w:r>
        <w:t xml:space="preserve"> Commission to sift through in seeking </w:t>
      </w:r>
      <w:r w:rsidR="00AA61D5">
        <w:t>credible and material</w:t>
      </w:r>
      <w:r>
        <w:t xml:space="preserve"> evidence</w:t>
      </w:r>
      <w:r w:rsidR="00F45503">
        <w:t xml:space="preserve">.  </w:t>
      </w:r>
      <w:r w:rsidR="0079163B">
        <w:t xml:space="preserve">Moreover, </w:t>
      </w:r>
      <w:r w:rsidR="00BE41C8">
        <w:t xml:space="preserve">in the process of responding, </w:t>
      </w:r>
      <w:r w:rsidR="00F45503">
        <w:t xml:space="preserve">Speedishuttle might </w:t>
      </w:r>
      <w:r w:rsidR="0079163B">
        <w:t xml:space="preserve">conceivably </w:t>
      </w:r>
      <w:r w:rsidR="00F45503">
        <w:t xml:space="preserve">also </w:t>
      </w:r>
      <w:r w:rsidR="00B12BA8">
        <w:t>waive</w:t>
      </w:r>
      <w:r>
        <w:t xml:space="preserve"> </w:t>
      </w:r>
      <w:r w:rsidR="00F45503">
        <w:t xml:space="preserve">its </w:t>
      </w:r>
      <w:r>
        <w:t>objections to the admissibility of the objectionable evidence proffered by Shuttle Express.</w:t>
      </w:r>
    </w:p>
    <w:p w14:paraId="0C5FBC4B" w14:textId="77777777" w:rsidR="0039480B" w:rsidRDefault="0039480B" w:rsidP="0039480B">
      <w:pPr>
        <w:pStyle w:val="Heading2"/>
      </w:pPr>
      <w:r>
        <w:rPr>
          <w:u w:val="none"/>
        </w:rPr>
        <w:t>Legal basis for exclusion of irrelevant and time-wasting evidence</w:t>
      </w:r>
    </w:p>
    <w:p w14:paraId="0C5FBC4C" w14:textId="77777777" w:rsidR="00672B04" w:rsidRDefault="00672B04" w:rsidP="00810047">
      <w:pPr>
        <w:pStyle w:val="Heading3"/>
      </w:pPr>
      <w:r>
        <w:t>The instant Motion in Limine is filed to exclude evidence which is irrelevant to the instant proceeding pursuant to Washing</w:t>
      </w:r>
      <w:r w:rsidR="00374EAF">
        <w:t>ton Rules of Evidence 401-403</w:t>
      </w:r>
      <w:r>
        <w:t>.</w:t>
      </w:r>
      <w:r w:rsidR="00374EAF">
        <w:t xml:space="preserve">   </w:t>
      </w:r>
      <w:r>
        <w:t>Washington Rule of Evidence 402 states:</w:t>
      </w:r>
    </w:p>
    <w:p w14:paraId="0C5FBC4D" w14:textId="77777777" w:rsidR="00672B04" w:rsidRDefault="00672B04" w:rsidP="00672B04">
      <w:pPr>
        <w:pStyle w:val="Heading3"/>
        <w:numPr>
          <w:ilvl w:val="0"/>
          <w:numId w:val="0"/>
        </w:numPr>
        <w:spacing w:after="240" w:line="240" w:lineRule="auto"/>
        <w:ind w:left="1440" w:right="1440"/>
      </w:pPr>
      <w:r>
        <w:t>[a]ll relevant evidence is admissible, except as limited by constitutional requirements or as otherwise provided by statute, by these rules, or by other rules or regulations applicable in the courts of this state. Evidence which is not relevant is not admissible.</w:t>
      </w:r>
    </w:p>
    <w:p w14:paraId="0C5FBC4E" w14:textId="77777777" w:rsidR="00672B04" w:rsidRDefault="00672B04" w:rsidP="00672B04">
      <w:pPr>
        <w:pStyle w:val="Heading3"/>
        <w:numPr>
          <w:ilvl w:val="0"/>
          <w:numId w:val="0"/>
        </w:numPr>
        <w:spacing w:after="240" w:line="240" w:lineRule="auto"/>
      </w:pPr>
      <w:r>
        <w:lastRenderedPageBreak/>
        <w:t>Relevant evidence is defined by Washington Rule of Evidence 401, which provides relevant evidence is:</w:t>
      </w:r>
    </w:p>
    <w:p w14:paraId="0C5FBC4F" w14:textId="77777777" w:rsidR="00374EAF" w:rsidRPr="00810047" w:rsidRDefault="00672B04" w:rsidP="00672B04">
      <w:pPr>
        <w:pStyle w:val="Heading3"/>
        <w:numPr>
          <w:ilvl w:val="0"/>
          <w:numId w:val="0"/>
        </w:numPr>
        <w:spacing w:after="240" w:line="240" w:lineRule="auto"/>
        <w:ind w:left="1440" w:right="1440"/>
      </w:pPr>
      <w:r>
        <w:t>[e]vidence having any tendency to make the existence of any fact that is of consequence to the determination of the action more probable or less probable than it would be without the evidence.</w:t>
      </w:r>
    </w:p>
    <w:p w14:paraId="0C5FBC50" w14:textId="77777777" w:rsidR="00374EAF" w:rsidRDefault="00374EAF" w:rsidP="00713F24">
      <w:pPr>
        <w:pStyle w:val="Heading3"/>
      </w:pPr>
      <w:r>
        <w:t>The Commission may also exclude otherwise relevant evidence in order to avoid wasting time pursuant to Rule of Evidence 403.</w:t>
      </w:r>
    </w:p>
    <w:p w14:paraId="0C5FBC51" w14:textId="77777777" w:rsidR="00B5207A" w:rsidRDefault="00FE284E" w:rsidP="00713F24">
      <w:pPr>
        <w:pStyle w:val="Heading3"/>
      </w:pPr>
      <w:r>
        <w:t xml:space="preserve">Here, Speedishuttle will demonstrate </w:t>
      </w:r>
      <w:r w:rsidR="00AA61D5">
        <w:t xml:space="preserve">that </w:t>
      </w:r>
      <w:r>
        <w:t xml:space="preserve">the evidence at issue is </w:t>
      </w:r>
      <w:r w:rsidR="00DE5C69">
        <w:t xml:space="preserve">completely </w:t>
      </w:r>
      <w:r>
        <w:t>irrelevant, and due to its inaccura</w:t>
      </w:r>
      <w:r w:rsidR="00AA61D5">
        <w:t>cy, necessarily leads to a time-</w:t>
      </w:r>
      <w:r>
        <w:t>consuming</w:t>
      </w:r>
      <w:r w:rsidR="00AA61D5">
        <w:t xml:space="preserve"> and wasteful</w:t>
      </w:r>
      <w:r w:rsidR="00BE41C8">
        <w:t xml:space="preserve"> process</w:t>
      </w:r>
      <w:r w:rsidR="00DE5C69">
        <w:t xml:space="preserve"> of examination </w:t>
      </w:r>
      <w:r w:rsidR="00F45503">
        <w:t xml:space="preserve">of </w:t>
      </w:r>
      <w:r w:rsidR="00DE5C69">
        <w:t>responses and/or rejoinders</w:t>
      </w:r>
      <w:r w:rsidR="00F45503">
        <w:t xml:space="preserve"> to that proffered testimony</w:t>
      </w:r>
      <w:r>
        <w:t xml:space="preserve">. </w:t>
      </w:r>
    </w:p>
    <w:p w14:paraId="0C5FBC52" w14:textId="77777777" w:rsidR="00B5207A" w:rsidRDefault="00FE284E" w:rsidP="00B5207A">
      <w:pPr>
        <w:pStyle w:val="Heading2"/>
      </w:pPr>
      <w:r>
        <w:rPr>
          <w:u w:val="none"/>
        </w:rPr>
        <w:t>Scope of this proceeding</w:t>
      </w:r>
    </w:p>
    <w:p w14:paraId="0C5FBC53" w14:textId="77777777" w:rsidR="00035649" w:rsidRDefault="00035649" w:rsidP="00713F24">
      <w:pPr>
        <w:pStyle w:val="Heading3"/>
      </w:pPr>
      <w:r>
        <w:t>As set forth above, the Commission determined in Order 08 that</w:t>
      </w:r>
      <w:r w:rsidR="00AA61D5">
        <w:t>:</w:t>
      </w:r>
      <w:r>
        <w:t xml:space="preserve"> it would not permit Shuttle Express to relitigate the brief adjudicative proceeding which ultimately led to the issuance of Order 04</w:t>
      </w:r>
      <w:r w:rsidR="00AA61D5">
        <w:t>;</w:t>
      </w:r>
      <w:r>
        <w:t xml:space="preserve"> permit a collateral attack on its rules which do not distinguish between</w:t>
      </w:r>
      <w:r w:rsidR="00AA61D5">
        <w:t xml:space="preserve"> prearranged or walk-up service;</w:t>
      </w:r>
      <w:r>
        <w:t xml:space="preserve"> or permit a reconsideration of whether the business model described in Order 04 constituted the same service as that provided by Shuttle Express.</w:t>
      </w:r>
      <w:r>
        <w:rPr>
          <w:rStyle w:val="FootnoteReference"/>
        </w:rPr>
        <w:footnoteReference w:id="16"/>
      </w:r>
      <w:r>
        <w:t xml:space="preserve">  Instead, </w:t>
      </w:r>
      <w:r w:rsidR="00FF4B1B">
        <w:t>as</w:t>
      </w:r>
      <w:r w:rsidR="00AA61D5">
        <w:t xml:space="preserve"> further</w:t>
      </w:r>
      <w:r w:rsidR="00FF4B1B">
        <w:t xml:space="preserve"> clarified by the Administrative Law Judge, </w:t>
      </w:r>
      <w:r>
        <w:t xml:space="preserve">this proceeding will focus </w:t>
      </w:r>
      <w:r w:rsidR="00FF4B1B">
        <w:t>on “</w:t>
      </w:r>
      <w:r w:rsidR="00FF4B1B" w:rsidRPr="000F7374">
        <w:t>whether SpeediShuttle is providing the service the Commission authorized it to provide consistent with the business model approved by the Commission in Docket TC-143691, and whether SpeediShuttle is providing service below cost as alleged in the complaint in Docket TC-160516</w:t>
      </w:r>
      <w:r w:rsidR="00FF4B1B">
        <w:t>.”</w:t>
      </w:r>
      <w:r w:rsidR="00985CFE">
        <w:rPr>
          <w:rStyle w:val="FootnoteReference"/>
        </w:rPr>
        <w:footnoteReference w:id="17"/>
      </w:r>
    </w:p>
    <w:p w14:paraId="0C5FBC54" w14:textId="77777777" w:rsidR="000B361E" w:rsidRDefault="0079163B" w:rsidP="00713F24">
      <w:pPr>
        <w:pStyle w:val="Heading3"/>
      </w:pPr>
      <w:r>
        <w:lastRenderedPageBreak/>
        <w:t xml:space="preserve">While </w:t>
      </w:r>
      <w:r w:rsidR="000B361E">
        <w:t xml:space="preserve">the Commission and Administrative Law Judge Pearson have indicated the </w:t>
      </w:r>
      <w:r w:rsidR="004B7779">
        <w:t>re</w:t>
      </w:r>
      <w:r w:rsidR="000B361E">
        <w:t xml:space="preserve">hearing would focus on the service actually provided by Speedishuttle, Shuttle Express’ </w:t>
      </w:r>
      <w:r>
        <w:t xml:space="preserve">initial </w:t>
      </w:r>
      <w:r w:rsidR="000B361E">
        <w:t xml:space="preserve">Petition for Rehearing raised only a handful </w:t>
      </w:r>
      <w:r w:rsidR="004B7779">
        <w:t xml:space="preserve">of </w:t>
      </w:r>
      <w:r w:rsidR="000B361E">
        <w:t>bases for its assertion</w:t>
      </w:r>
      <w:r w:rsidR="00AA61D5">
        <w:t>s</w:t>
      </w:r>
      <w:r w:rsidR="000B361E">
        <w:t xml:space="preserve"> that Speedishuttle had not followed through with providing the service features it testified about in its application hearing.  As addressed above, those bases</w:t>
      </w:r>
      <w:r w:rsidR="00BE41C8">
        <w:t xml:space="preserve"> again</w:t>
      </w:r>
      <w:r w:rsidR="000B361E">
        <w:t xml:space="preserve"> are:</w:t>
      </w:r>
    </w:p>
    <w:p w14:paraId="0C5FBC55" w14:textId="77777777" w:rsidR="000B361E" w:rsidRDefault="000B361E" w:rsidP="000B361E">
      <w:pPr>
        <w:pStyle w:val="Heading3"/>
        <w:numPr>
          <w:ilvl w:val="0"/>
          <w:numId w:val="0"/>
        </w:numPr>
        <w:spacing w:after="240" w:line="240" w:lineRule="auto"/>
        <w:ind w:left="720"/>
      </w:pPr>
      <w:r>
        <w:t xml:space="preserve">2) Speedishuttle provided walk-up service after Order 04 was issued despite testimony that it did not intend to offer walk up service; </w:t>
      </w:r>
    </w:p>
    <w:p w14:paraId="0C5FBC56" w14:textId="77777777" w:rsidR="000B361E" w:rsidRDefault="000B361E" w:rsidP="000B361E">
      <w:pPr>
        <w:pStyle w:val="Heading3"/>
        <w:numPr>
          <w:ilvl w:val="0"/>
          <w:numId w:val="0"/>
        </w:numPr>
        <w:spacing w:after="240" w:line="240" w:lineRule="auto"/>
        <w:ind w:left="720"/>
      </w:pPr>
      <w:r>
        <w:t xml:space="preserve">3) Speedishuttle is not offering multi-lingual greeters; </w:t>
      </w:r>
    </w:p>
    <w:p w14:paraId="0C5FBC57" w14:textId="77777777" w:rsidR="000B361E" w:rsidRDefault="000B361E" w:rsidP="000B361E">
      <w:pPr>
        <w:pStyle w:val="Heading3"/>
        <w:numPr>
          <w:ilvl w:val="0"/>
          <w:numId w:val="0"/>
        </w:numPr>
        <w:spacing w:after="240" w:line="240" w:lineRule="auto"/>
        <w:ind w:left="720"/>
      </w:pPr>
      <w:r>
        <w:t xml:space="preserve">4) Multilingual service may </w:t>
      </w:r>
      <w:r w:rsidR="00AA61D5">
        <w:t xml:space="preserve">only </w:t>
      </w:r>
      <w:r>
        <w:t xml:space="preserve">be offered to a </w:t>
      </w:r>
      <w:r>
        <w:rPr>
          <w:i/>
        </w:rPr>
        <w:t>de minimi</w:t>
      </w:r>
      <w:r w:rsidRPr="00A872C4">
        <w:rPr>
          <w:i/>
        </w:rPr>
        <w:t>s</w:t>
      </w:r>
      <w:r>
        <w:t xml:space="preserve"> number of passengers; and</w:t>
      </w:r>
    </w:p>
    <w:p w14:paraId="0C5FBC58" w14:textId="77777777" w:rsidR="000B361E" w:rsidRDefault="000B361E" w:rsidP="000B361E">
      <w:pPr>
        <w:pStyle w:val="Heading3"/>
        <w:numPr>
          <w:ilvl w:val="0"/>
          <w:numId w:val="0"/>
        </w:numPr>
        <w:spacing w:after="240" w:line="240" w:lineRule="auto"/>
        <w:ind w:left="720"/>
      </w:pPr>
      <w:r>
        <w:t>5) Speedishuttle was not complying with the 20-minute departure guarantee discussed at the hearing.</w:t>
      </w:r>
    </w:p>
    <w:p w14:paraId="0C5FBC59" w14:textId="77777777" w:rsidR="000B361E" w:rsidRDefault="000B361E" w:rsidP="00EF4C9D">
      <w:pPr>
        <w:pStyle w:val="Heading3"/>
      </w:pPr>
      <w:r>
        <w:t>The Commission previously ruled in its Notice of Determination not to Amend Order 04 that Speedishuttle was permitted to provide walk-up service</w:t>
      </w:r>
      <w:r w:rsidR="00EF4C9D">
        <w:t xml:space="preserve"> and that it would not reconsider that ruling.  Thus, </w:t>
      </w:r>
      <w:r w:rsidR="004B7779">
        <w:t xml:space="preserve">this issue </w:t>
      </w:r>
      <w:r w:rsidR="00EF4C9D">
        <w:t>is not with</w:t>
      </w:r>
      <w:r w:rsidR="00DE5C69">
        <w:t xml:space="preserve">in the scope of this proceeding and </w:t>
      </w:r>
      <w:r w:rsidR="0079163B">
        <w:t xml:space="preserve">evidence thereon </w:t>
      </w:r>
      <w:r w:rsidR="00DE5C69">
        <w:t xml:space="preserve">should conclusively be excluded on that basis as well as </w:t>
      </w:r>
      <w:r w:rsidR="004B7779">
        <w:t xml:space="preserve">on </w:t>
      </w:r>
      <w:r w:rsidR="00DE5C69">
        <w:t xml:space="preserve">the </w:t>
      </w:r>
      <w:r w:rsidR="004B7779">
        <w:t xml:space="preserve">basis of a </w:t>
      </w:r>
      <w:r w:rsidR="00DE5C69">
        <w:t xml:space="preserve">collateral attack </w:t>
      </w:r>
      <w:r w:rsidR="004B7779">
        <w:t xml:space="preserve">on the </w:t>
      </w:r>
      <w:r w:rsidR="00DE5C69">
        <w:t xml:space="preserve">ruling in Order 08 </w:t>
      </w:r>
      <w:r w:rsidR="004B7779">
        <w:t xml:space="preserve">as </w:t>
      </w:r>
      <w:r w:rsidR="00DE5C69">
        <w:t>quoted in ¶18, above.</w:t>
      </w:r>
    </w:p>
    <w:p w14:paraId="0C5FBC5A" w14:textId="77777777" w:rsidR="00EF4C9D" w:rsidRDefault="00EF4C9D" w:rsidP="00EF4C9D">
      <w:pPr>
        <w:pStyle w:val="Heading3"/>
      </w:pPr>
      <w:r>
        <w:t xml:space="preserve">With respect to multi-lingual greeters, Shuttle Express </w:t>
      </w:r>
      <w:r w:rsidR="004B7779">
        <w:t xml:space="preserve">has </w:t>
      </w:r>
      <w:r>
        <w:t>actually acknowledged that Speedishuttle never represented it would provide multi-lingual greeters,</w:t>
      </w:r>
      <w:r w:rsidR="0079163B">
        <w:t xml:space="preserve"> noting</w:t>
      </w:r>
      <w:r>
        <w:t>:</w:t>
      </w:r>
    </w:p>
    <w:p w14:paraId="0C5FBC5B" w14:textId="77777777" w:rsidR="00EF4C9D" w:rsidRDefault="00EF4C9D" w:rsidP="00EF4C9D">
      <w:pPr>
        <w:pStyle w:val="Heading3"/>
        <w:numPr>
          <w:ilvl w:val="0"/>
          <w:numId w:val="0"/>
        </w:numPr>
        <w:spacing w:after="240" w:line="240" w:lineRule="auto"/>
        <w:ind w:left="1440" w:right="1440"/>
      </w:pPr>
      <w:r>
        <w:t>But at the airport, the only commitment was to ‘do our best to hire multilingual receptive teams.’ Application Case, Transcript at 24. This was the extent of Respondent’s proposal to offer a ‘different’ service and what the Commission had reason to believe it was granting.</w:t>
      </w:r>
      <w:r w:rsidR="00B12BA8">
        <w:rPr>
          <w:rStyle w:val="FootnoteReference"/>
        </w:rPr>
        <w:footnoteReference w:id="18"/>
      </w:r>
    </w:p>
    <w:p w14:paraId="0C5FBC5C" w14:textId="77777777" w:rsidR="00EF4C9D" w:rsidRDefault="00EF4C9D" w:rsidP="000B361E">
      <w:pPr>
        <w:pStyle w:val="Heading3"/>
        <w:numPr>
          <w:ilvl w:val="0"/>
          <w:numId w:val="0"/>
        </w:numPr>
      </w:pPr>
      <w:r>
        <w:t xml:space="preserve">The </w:t>
      </w:r>
      <w:r w:rsidR="00AA61D5">
        <w:t>argument</w:t>
      </w:r>
      <w:r>
        <w:t xml:space="preserve"> made </w:t>
      </w:r>
      <w:r w:rsidR="00BE41C8">
        <w:t xml:space="preserve">here </w:t>
      </w:r>
      <w:r>
        <w:t>by Shuttle Express highlights why its complaint about Speedishuttle’s conduct is misplaced.  “Do our best” is not equivalent to “will only hire</w:t>
      </w:r>
      <w:r w:rsidR="00934A17">
        <w:t>,</w:t>
      </w:r>
      <w:r>
        <w:t xml:space="preserve">” and “receptive teams” </w:t>
      </w:r>
      <w:r>
        <w:lastRenderedPageBreak/>
        <w:t xml:space="preserve">are not necessarily </w:t>
      </w:r>
      <w:r w:rsidR="004B7779">
        <w:t>“</w:t>
      </w:r>
      <w:r>
        <w:t>greeters.</w:t>
      </w:r>
      <w:r w:rsidR="004B7779">
        <w:t>”</w:t>
      </w:r>
      <w:r>
        <w:t xml:space="preserve">  Thus, Speedishuttle’s testimony cannot and should not </w:t>
      </w:r>
      <w:r w:rsidR="00BE41C8">
        <w:t xml:space="preserve">even </w:t>
      </w:r>
      <w:r>
        <w:t xml:space="preserve">be reinterpreted to </w:t>
      </w:r>
      <w:r w:rsidR="004B7779">
        <w:t xml:space="preserve">facilely </w:t>
      </w:r>
      <w:r>
        <w:t xml:space="preserve">suggest that it committed </w:t>
      </w:r>
      <w:r w:rsidR="00AA61D5">
        <w:t>“</w:t>
      </w:r>
      <w:r>
        <w:t>to hiring only multilingual greeters.</w:t>
      </w:r>
      <w:r w:rsidR="00AA61D5">
        <w:t>”</w:t>
      </w:r>
      <w:r>
        <w:t xml:space="preserve">  Thus, whether it hired multilingual </w:t>
      </w:r>
      <w:r w:rsidR="0079163B">
        <w:t xml:space="preserve">“greeters” </w:t>
      </w:r>
      <w:r>
        <w:t xml:space="preserve">should </w:t>
      </w:r>
      <w:r w:rsidR="004B7779">
        <w:t xml:space="preserve">also </w:t>
      </w:r>
      <w:r>
        <w:t>not be within the scope of this proceeding.</w:t>
      </w:r>
    </w:p>
    <w:p w14:paraId="0C5FBC5D" w14:textId="77777777" w:rsidR="00EF4C9D" w:rsidRDefault="00BE41C8" w:rsidP="00EF4C9D">
      <w:pPr>
        <w:pStyle w:val="Heading3"/>
      </w:pPr>
      <w:r>
        <w:t>Moreover, i</w:t>
      </w:r>
      <w:r w:rsidR="00AA61D5">
        <w:t>n raising</w:t>
      </w:r>
      <w:r w:rsidR="00EF4C9D">
        <w:t xml:space="preserve"> the number of multilingual passengers actually transported by Speedishuttle, Shuttle Express’ complaint </w:t>
      </w:r>
      <w:r w:rsidR="00AA61D5">
        <w:t xml:space="preserve">unquestionably </w:t>
      </w:r>
      <w:r w:rsidR="00EF4C9D">
        <w:t>constitutes a collateral attack on the Commission’s findings in Order 04.  The Commission determined</w:t>
      </w:r>
      <w:r w:rsidR="00AA61D5">
        <w:t xml:space="preserve"> there</w:t>
      </w:r>
      <w:r w:rsidR="00EF4C9D">
        <w:t xml:space="preserve"> that the provision by Speedishuttle of its multilingual website and efforts to attract multilingual receptive teams provided “significantly increased accessibility for</w:t>
      </w:r>
      <w:r w:rsidR="00A111F0">
        <w:t xml:space="preserve"> non-English speaking customers</w:t>
      </w:r>
      <w:r w:rsidR="00EF4C9D">
        <w:t>”</w:t>
      </w:r>
      <w:r w:rsidR="00A111F0">
        <w:t xml:space="preserve"> and thereby, as a factor among the totality of features, demonstrated that Speedishuttle would not offer the same service as Shuttle Express.</w:t>
      </w:r>
      <w:r w:rsidR="00A111F0">
        <w:rPr>
          <w:rStyle w:val="FootnoteReference"/>
        </w:rPr>
        <w:footnoteReference w:id="19"/>
      </w:r>
      <w:r w:rsidR="00A111F0">
        <w:t xml:space="preserve">  Thus, the issue of whether Speedishuttle has transported any particular number</w:t>
      </w:r>
      <w:r w:rsidR="00AA61D5">
        <w:t xml:space="preserve"> or percentage</w:t>
      </w:r>
      <w:r w:rsidR="00A111F0">
        <w:t xml:space="preserve"> of multilingual</w:t>
      </w:r>
      <w:r w:rsidR="00AA61D5">
        <w:t xml:space="preserve"> passengers, again, </w:t>
      </w:r>
      <w:r w:rsidR="00A111F0">
        <w:t>is not within the scope of this proceeding</w:t>
      </w:r>
      <w:r w:rsidR="00DE5C69">
        <w:t>.</w:t>
      </w:r>
    </w:p>
    <w:p w14:paraId="0C5FBC5E" w14:textId="77777777" w:rsidR="00A111F0" w:rsidRDefault="00A111F0" w:rsidP="00EF4C9D">
      <w:pPr>
        <w:pStyle w:val="Heading3"/>
      </w:pPr>
      <w:r>
        <w:t xml:space="preserve">Finally, in order to make its argument regarding the 20-minute departure guarantee, Shuttle Express points (correctly) only to the Initial Order in the Application Case.  This is because the </w:t>
      </w:r>
      <w:r w:rsidR="00BE41C8">
        <w:t>F</w:t>
      </w:r>
      <w:r>
        <w:t xml:space="preserve">inal </w:t>
      </w:r>
      <w:r w:rsidR="00BE41C8">
        <w:t>O</w:t>
      </w:r>
      <w:r>
        <w:t xml:space="preserve">rder, Order 04, </w:t>
      </w:r>
      <w:r w:rsidR="00AA61D5">
        <w:t>failed to</w:t>
      </w:r>
      <w:r>
        <w:t xml:space="preserve"> mention departure times as a factor </w:t>
      </w:r>
      <w:r w:rsidR="00AA61D5">
        <w:t>which</w:t>
      </w:r>
      <w:r>
        <w:t xml:space="preserve"> the Commission determined to be</w:t>
      </w:r>
      <w:r w:rsidR="00AA61D5">
        <w:t xml:space="preserve"> a</w:t>
      </w:r>
      <w:r>
        <w:t xml:space="preserve"> part </w:t>
      </w:r>
      <w:r w:rsidR="00AA61D5">
        <w:t xml:space="preserve">of </w:t>
      </w:r>
      <w:r>
        <w:t xml:space="preserve">what it considered different about Speedishuttle’s service.  Thus, </w:t>
      </w:r>
      <w:r w:rsidR="00BE41C8">
        <w:t xml:space="preserve">this issue </w:t>
      </w:r>
      <w:r>
        <w:t>too</w:t>
      </w:r>
      <w:r w:rsidR="00AA61D5">
        <w:t>,</w:t>
      </w:r>
      <w:r>
        <w:t xml:space="preserve"> </w:t>
      </w:r>
      <w:r w:rsidR="0079163B">
        <w:t xml:space="preserve">can and </w:t>
      </w:r>
      <w:r>
        <w:t>should be excluded from the scope of this proceeding.</w:t>
      </w:r>
    </w:p>
    <w:p w14:paraId="0C5FBC5F" w14:textId="77777777" w:rsidR="00A111F0" w:rsidRDefault="00A111F0" w:rsidP="00EF4C9D">
      <w:pPr>
        <w:pStyle w:val="Heading3"/>
      </w:pPr>
      <w:r>
        <w:t xml:space="preserve">In </w:t>
      </w:r>
      <w:r w:rsidR="00BE41C8">
        <w:t xml:space="preserve">light </w:t>
      </w:r>
      <w:r>
        <w:t xml:space="preserve">of the </w:t>
      </w:r>
      <w:r w:rsidR="00DE5C69">
        <w:t xml:space="preserve">totality of the </w:t>
      </w:r>
      <w:r>
        <w:t xml:space="preserve">above, Speedishuttle </w:t>
      </w:r>
      <w:r w:rsidR="004B7779">
        <w:t>initially</w:t>
      </w:r>
      <w:r w:rsidR="00DE5C69">
        <w:t xml:space="preserve"> </w:t>
      </w:r>
      <w:r w:rsidR="00AA61D5">
        <w:t>questioned</w:t>
      </w:r>
      <w:r>
        <w:t xml:space="preserve"> why this proceeding ha</w:t>
      </w:r>
      <w:r w:rsidR="0079163B">
        <w:t>d</w:t>
      </w:r>
      <w:r>
        <w:t xml:space="preserve"> been </w:t>
      </w:r>
      <w:r w:rsidR="00AA61D5">
        <w:t>authorized</w:t>
      </w:r>
      <w:r>
        <w:t xml:space="preserve">.  </w:t>
      </w:r>
      <w:r w:rsidR="00DE5C69">
        <w:t xml:space="preserve">The </w:t>
      </w:r>
      <w:r>
        <w:t xml:space="preserve">entire rehearing was </w:t>
      </w:r>
      <w:r w:rsidR="00DE5C69">
        <w:t xml:space="preserve">ostensibly triggered by </w:t>
      </w:r>
      <w:r>
        <w:t xml:space="preserve">supposed violations of operating authority via the provision of walk-up service, and that issue had </w:t>
      </w:r>
      <w:r w:rsidR="0079163B">
        <w:t xml:space="preserve">already </w:t>
      </w:r>
      <w:r>
        <w:t>been finally adjudicated by the Commission</w:t>
      </w:r>
      <w:r w:rsidR="00DE5C69">
        <w:t>.</w:t>
      </w:r>
      <w:r>
        <w:t xml:space="preserve">  The </w:t>
      </w:r>
      <w:r w:rsidR="00686D7F">
        <w:t>remaining portions</w:t>
      </w:r>
      <w:r>
        <w:t xml:space="preserve"> of Shuttle Express’ allegations </w:t>
      </w:r>
      <w:r w:rsidR="00AA61D5">
        <w:t>are</w:t>
      </w:r>
      <w:r>
        <w:t xml:space="preserve"> </w:t>
      </w:r>
      <w:r>
        <w:lastRenderedPageBreak/>
        <w:t>based on reinterpretation</w:t>
      </w:r>
      <w:r w:rsidR="00BE41C8">
        <w:t xml:space="preserve">, </w:t>
      </w:r>
      <w:r w:rsidR="004B7779">
        <w:t xml:space="preserve">unilateral </w:t>
      </w:r>
      <w:r w:rsidR="00BE41C8">
        <w:t>parsing</w:t>
      </w:r>
      <w:r w:rsidR="00DE5C69">
        <w:t xml:space="preserve"> of</w:t>
      </w:r>
      <w:r w:rsidR="00BE41C8">
        <w:t xml:space="preserve"> </w:t>
      </w:r>
      <w:r w:rsidR="00AA61D5">
        <w:t>a</w:t>
      </w:r>
      <w:r w:rsidR="00934A17">
        <w:t xml:space="preserve">nd outright revisions </w:t>
      </w:r>
      <w:r w:rsidR="00DE5C69">
        <w:t xml:space="preserve">to </w:t>
      </w:r>
      <w:r>
        <w:t xml:space="preserve">the Commission’s findings in Order 04 to </w:t>
      </w:r>
      <w:r w:rsidR="00DE5C69">
        <w:t xml:space="preserve">contend </w:t>
      </w:r>
      <w:r>
        <w:t xml:space="preserve">that Speedishuttle was somehow required to </w:t>
      </w:r>
      <w:r w:rsidR="00AA61D5">
        <w:t>perform something</w:t>
      </w:r>
      <w:r>
        <w:t xml:space="preserve"> it never proposed and which the Commission never required it to do</w:t>
      </w:r>
      <w:r w:rsidR="00703678">
        <w:t xml:space="preserve"> and which differentiation model restrictions were </w:t>
      </w:r>
      <w:r w:rsidR="00884FDE">
        <w:t xml:space="preserve">also </w:t>
      </w:r>
      <w:r w:rsidR="00703678">
        <w:t>expressly rejected by the Commission in Order 04.</w:t>
      </w:r>
      <w:r>
        <w:rPr>
          <w:rStyle w:val="FootnoteReference"/>
        </w:rPr>
        <w:footnoteReference w:id="20"/>
      </w:r>
      <w:r w:rsidR="00703678">
        <w:t xml:space="preserve"> </w:t>
      </w:r>
    </w:p>
    <w:p w14:paraId="0C5FBC60" w14:textId="77777777" w:rsidR="00684B38" w:rsidRDefault="00684B38" w:rsidP="00684B38">
      <w:pPr>
        <w:pStyle w:val="Heading2"/>
        <w:rPr>
          <w:u w:val="none"/>
        </w:rPr>
      </w:pPr>
      <w:r>
        <w:rPr>
          <w:u w:val="none"/>
        </w:rPr>
        <w:t>Objectionable testimony and evidence</w:t>
      </w:r>
    </w:p>
    <w:p w14:paraId="0C5FBC61" w14:textId="77777777" w:rsidR="00FF4B1B" w:rsidRDefault="00703678" w:rsidP="00713F24">
      <w:pPr>
        <w:pStyle w:val="Heading3"/>
      </w:pPr>
      <w:r>
        <w:t>Thus</w:t>
      </w:r>
      <w:r w:rsidR="00391C19">
        <w:t>, it is not altogether</w:t>
      </w:r>
      <w:r w:rsidR="007B1E92">
        <w:t xml:space="preserve"> </w:t>
      </w:r>
      <w:r w:rsidR="00391C19">
        <w:t xml:space="preserve">clear </w:t>
      </w:r>
      <w:r w:rsidR="007B1E92">
        <w:t xml:space="preserve">exactly </w:t>
      </w:r>
      <w:r w:rsidR="00AA61D5">
        <w:t>which</w:t>
      </w:r>
      <w:r w:rsidR="007B1E92">
        <w:t xml:space="preserve"> issues conceivably remain</w:t>
      </w:r>
      <w:r w:rsidR="00DE55AD">
        <w:t xml:space="preserve"> unresolved</w:t>
      </w:r>
      <w:r w:rsidR="007B1E92">
        <w:t xml:space="preserve"> in this proceeding</w:t>
      </w:r>
      <w:r w:rsidR="00391C19">
        <w:t xml:space="preserve"> aside from Order 08’s </w:t>
      </w:r>
      <w:r w:rsidR="004B7779">
        <w:t xml:space="preserve">overall </w:t>
      </w:r>
      <w:r w:rsidR="00391C19">
        <w:t xml:space="preserve">reference to </w:t>
      </w:r>
      <w:r>
        <w:t xml:space="preserve">rehearing on the issue of </w:t>
      </w:r>
      <w:r w:rsidR="00391C19">
        <w:t xml:space="preserve">adherence to </w:t>
      </w:r>
      <w:r>
        <w:t>“</w:t>
      </w:r>
      <w:r w:rsidR="00391C19">
        <w:t>the business model.”</w:t>
      </w:r>
      <w:r w:rsidR="007B1E92">
        <w:t xml:space="preserve">  </w:t>
      </w:r>
      <w:r>
        <w:t xml:space="preserve">But putting aside </w:t>
      </w:r>
      <w:r w:rsidR="00884FDE">
        <w:t>tho</w:t>
      </w:r>
      <w:r w:rsidR="004B7779">
        <w:t>se</w:t>
      </w:r>
      <w:r>
        <w:t xml:space="preserve"> basic concerns</w:t>
      </w:r>
      <w:r w:rsidR="0079163B">
        <w:t xml:space="preserve"> here, </w:t>
      </w:r>
      <w:r w:rsidR="007B1E92">
        <w:t xml:space="preserve">much of Shuttle Express’ proffered testimony can be excluded on </w:t>
      </w:r>
      <w:r w:rsidR="00DE55AD">
        <w:t>far</w:t>
      </w:r>
      <w:r w:rsidR="007B1E92">
        <w:t xml:space="preserve"> simpler</w:t>
      </w:r>
      <w:r w:rsidR="0079163B">
        <w:t xml:space="preserve">, </w:t>
      </w:r>
      <w:r w:rsidR="004B7779">
        <w:t xml:space="preserve">indisputable </w:t>
      </w:r>
      <w:r>
        <w:t>grounds</w:t>
      </w:r>
      <w:r w:rsidR="007B1E92">
        <w:t>, because r</w:t>
      </w:r>
      <w:r w:rsidR="00FF4B1B">
        <w:t xml:space="preserve">ather than treating </w:t>
      </w:r>
      <w:r w:rsidR="00684B38">
        <w:t>the Commission’s and Administrative Law Judge’s</w:t>
      </w:r>
      <w:r w:rsidR="00FF4B1B">
        <w:t xml:space="preserve"> rulings</w:t>
      </w:r>
      <w:r w:rsidR="007B1E92">
        <w:t xml:space="preserve"> about the scope of this proceeding</w:t>
      </w:r>
      <w:r w:rsidR="00FF4B1B">
        <w:t xml:space="preserve"> as </w:t>
      </w:r>
      <w:r w:rsidR="00DE55AD">
        <w:t>benchmarks</w:t>
      </w:r>
      <w:r w:rsidR="00FF4B1B">
        <w:t xml:space="preserve"> guiding the</w:t>
      </w:r>
      <w:r w:rsidR="00DE55AD">
        <w:t xml:space="preserve"> presentation and</w:t>
      </w:r>
      <w:r w:rsidR="00FF4B1B">
        <w:t xml:space="preserve"> limitations on its te</w:t>
      </w:r>
      <w:r w:rsidR="00DE55AD">
        <w:t xml:space="preserve">stimony, Shuttle Express </w:t>
      </w:r>
      <w:r w:rsidR="004B7779">
        <w:t xml:space="preserve">has </w:t>
      </w:r>
      <w:r w:rsidR="00391C19">
        <w:t xml:space="preserve">instead </w:t>
      </w:r>
      <w:r w:rsidR="004B7779">
        <w:t xml:space="preserve">used </w:t>
      </w:r>
      <w:r w:rsidR="00FF4B1B">
        <w:t xml:space="preserve">them </w:t>
      </w:r>
      <w:r w:rsidR="00DE55AD">
        <w:t>simply as signposts or “exit ramps” for diversion to topics it seeks to retry on rehearing</w:t>
      </w:r>
      <w:r w:rsidR="007B1E92">
        <w:t xml:space="preserve">.  This, in turn, leads to </w:t>
      </w:r>
      <w:r w:rsidR="00985CFE">
        <w:t xml:space="preserve">readily identifiable categories </w:t>
      </w:r>
      <w:r w:rsidR="00C93C50">
        <w:t xml:space="preserve">or topics </w:t>
      </w:r>
      <w:r w:rsidR="00985CFE">
        <w:t>of objectionable testimony</w:t>
      </w:r>
      <w:r w:rsidR="007B1E92">
        <w:t>,</w:t>
      </w:r>
      <w:r w:rsidR="00985CFE">
        <w:t xml:space="preserve"> which </w:t>
      </w:r>
      <w:r w:rsidR="00FF4B1B">
        <w:t xml:space="preserve">can be </w:t>
      </w:r>
      <w:r w:rsidR="00985CFE">
        <w:t>described</w:t>
      </w:r>
      <w:r w:rsidR="00FF4B1B">
        <w:t xml:space="preserve"> </w:t>
      </w:r>
      <w:r w:rsidR="0079163B">
        <w:t xml:space="preserve">or categorized </w:t>
      </w:r>
      <w:r w:rsidR="00FF4B1B">
        <w:t>as follows</w:t>
      </w:r>
      <w:r w:rsidR="00884FDE">
        <w:t xml:space="preserve">, </w:t>
      </w:r>
      <w:r w:rsidR="004B7779">
        <w:t>and which Speedishuttle separately analyzes below</w:t>
      </w:r>
      <w:r w:rsidR="00FF4B1B">
        <w:t>:</w:t>
      </w:r>
    </w:p>
    <w:p w14:paraId="0C5FBC62" w14:textId="77777777" w:rsidR="00FF4B1B" w:rsidRDefault="00FF4B1B" w:rsidP="00A53F7D">
      <w:pPr>
        <w:pStyle w:val="Heading3"/>
        <w:numPr>
          <w:ilvl w:val="0"/>
          <w:numId w:val="16"/>
        </w:numPr>
        <w:spacing w:after="240" w:line="240" w:lineRule="auto"/>
      </w:pPr>
      <w:r>
        <w:t>Testimony</w:t>
      </w:r>
      <w:r w:rsidR="000A52A2">
        <w:t xml:space="preserve"> which collaterally attacks the “business model” in Order 04,</w:t>
      </w:r>
      <w:r>
        <w:t xml:space="preserve"> </w:t>
      </w:r>
      <w:r w:rsidR="000A52A2">
        <w:t xml:space="preserve">attempting to establish that the service features in the business model do not </w:t>
      </w:r>
      <w:r w:rsidR="00C93C50">
        <w:t xml:space="preserve">actually </w:t>
      </w:r>
      <w:r w:rsidR="000A52A2">
        <w:t>distinguish Speedishuttle’s service from that of Shuttle Express</w:t>
      </w:r>
      <w:r>
        <w:t>;</w:t>
      </w:r>
    </w:p>
    <w:p w14:paraId="0C5FBC63" w14:textId="77777777" w:rsidR="00591FF0" w:rsidRDefault="00591FF0" w:rsidP="00A53F7D">
      <w:pPr>
        <w:pStyle w:val="Heading3"/>
        <w:numPr>
          <w:ilvl w:val="0"/>
          <w:numId w:val="16"/>
        </w:numPr>
        <w:spacing w:after="240" w:line="240" w:lineRule="auto"/>
      </w:pPr>
      <w:r>
        <w:t>Testimony which collaterally attacks the Commission’s findings in Order 04 by attempting to reopen and argue market sustainability;</w:t>
      </w:r>
    </w:p>
    <w:p w14:paraId="0C5FBC64" w14:textId="77777777" w:rsidR="003A1DB8" w:rsidRDefault="00FF4B1B" w:rsidP="00A53F7D">
      <w:pPr>
        <w:pStyle w:val="Heading3"/>
        <w:numPr>
          <w:ilvl w:val="0"/>
          <w:numId w:val="16"/>
        </w:numPr>
        <w:spacing w:after="240" w:line="240" w:lineRule="auto"/>
      </w:pPr>
      <w:r>
        <w:lastRenderedPageBreak/>
        <w:t>Testimony which</w:t>
      </w:r>
      <w:r w:rsidR="00DE55AD">
        <w:t xml:space="preserve"> collaterally</w:t>
      </w:r>
      <w:r w:rsidR="00985CFE">
        <w:t xml:space="preserve"> attacks the Commission’s </w:t>
      </w:r>
      <w:r w:rsidR="00F36F5F">
        <w:t xml:space="preserve">unappealed </w:t>
      </w:r>
      <w:r w:rsidR="00985CFE">
        <w:t xml:space="preserve">2013 </w:t>
      </w:r>
      <w:r w:rsidR="00F36F5F">
        <w:t>R</w:t>
      </w:r>
      <w:r w:rsidR="00985CFE">
        <w:t>ulemaking</w:t>
      </w:r>
      <w:r w:rsidR="00F36F5F">
        <w:rPr>
          <w:rStyle w:val="FootnoteReference"/>
        </w:rPr>
        <w:footnoteReference w:id="21"/>
      </w:r>
      <w:r w:rsidR="00985CFE">
        <w:t xml:space="preserve"> by which it identified standards for what is the “same service”</w:t>
      </w:r>
      <w:r w:rsidR="000A52A2">
        <w:t xml:space="preserve"> and/or</w:t>
      </w:r>
      <w:r w:rsidR="003A1DB8">
        <w:t xml:space="preserve"> which attempts to reinterpret the inclusive same service standards set forth in WAC 480-30-140(2);</w:t>
      </w:r>
    </w:p>
    <w:p w14:paraId="0C5FBC65" w14:textId="77777777" w:rsidR="003A1DB8" w:rsidRDefault="003A1DB8" w:rsidP="00A53F7D">
      <w:pPr>
        <w:pStyle w:val="Heading3"/>
        <w:numPr>
          <w:ilvl w:val="0"/>
          <w:numId w:val="16"/>
        </w:numPr>
        <w:spacing w:after="240" w:line="240" w:lineRule="auto"/>
      </w:pPr>
      <w:r>
        <w:t>Testimony which relates to the provision by Speedish</w:t>
      </w:r>
      <w:r w:rsidR="00F36F5F">
        <w:t>uttle of walk-up service at Sea</w:t>
      </w:r>
      <w:r>
        <w:t>Tac International Airport;</w:t>
      </w:r>
    </w:p>
    <w:p w14:paraId="0C5FBC66" w14:textId="77777777" w:rsidR="00985CFE" w:rsidRDefault="00985CFE" w:rsidP="00A53F7D">
      <w:pPr>
        <w:pStyle w:val="Heading3"/>
        <w:numPr>
          <w:ilvl w:val="0"/>
          <w:numId w:val="16"/>
        </w:numPr>
        <w:spacing w:after="240" w:line="240" w:lineRule="auto"/>
      </w:pPr>
      <w:r>
        <w:t>Testimony which attempts to</w:t>
      </w:r>
      <w:r w:rsidR="00DE55AD">
        <w:t xml:space="preserve"> reinvent and/or </w:t>
      </w:r>
      <w:r>
        <w:t>reinterpret the testimony given at the hearing on Speedishuttle’s application (whic</w:t>
      </w:r>
      <w:r w:rsidR="00495CB8">
        <w:t xml:space="preserve">h is its own best evidence); </w:t>
      </w:r>
    </w:p>
    <w:p w14:paraId="0C5FBC67" w14:textId="77777777" w:rsidR="00591FF0" w:rsidRDefault="00985CFE" w:rsidP="00A53F7D">
      <w:pPr>
        <w:pStyle w:val="Heading3"/>
        <w:numPr>
          <w:ilvl w:val="0"/>
          <w:numId w:val="16"/>
        </w:numPr>
        <w:spacing w:after="240" w:line="240" w:lineRule="auto"/>
      </w:pPr>
      <w:r>
        <w:t xml:space="preserve">Testimony which attacks the </w:t>
      </w:r>
      <w:r w:rsidR="00DE55AD">
        <w:t xml:space="preserve">means, methods, </w:t>
      </w:r>
      <w:r>
        <w:t>benefits or manner of providing the service features inc</w:t>
      </w:r>
      <w:r w:rsidR="00495CB8">
        <w:t>luded within the business model;</w:t>
      </w:r>
    </w:p>
    <w:p w14:paraId="0C5FBC68" w14:textId="77777777" w:rsidR="00BB1DD5" w:rsidRDefault="00BB1DD5" w:rsidP="00A53F7D">
      <w:pPr>
        <w:pStyle w:val="Heading3"/>
        <w:numPr>
          <w:ilvl w:val="0"/>
          <w:numId w:val="16"/>
        </w:numPr>
        <w:spacing w:after="240" w:line="240" w:lineRule="auto"/>
      </w:pPr>
      <w:r>
        <w:t>Testimony purporting to establish predatory pricing</w:t>
      </w:r>
      <w:r w:rsidR="00514FBC">
        <w:t>, but</w:t>
      </w:r>
      <w:r>
        <w:t xml:space="preserve"> whi</w:t>
      </w:r>
      <w:r w:rsidR="00495CB8">
        <w:t>ch addresses average total cost; and</w:t>
      </w:r>
    </w:p>
    <w:p w14:paraId="0C5FBC69" w14:textId="77777777" w:rsidR="00901C3E" w:rsidRDefault="00686D7F" w:rsidP="00A53F7D">
      <w:pPr>
        <w:pStyle w:val="Heading3"/>
        <w:numPr>
          <w:ilvl w:val="0"/>
          <w:numId w:val="16"/>
        </w:numPr>
        <w:spacing w:after="240" w:line="240" w:lineRule="auto"/>
      </w:pPr>
      <w:r>
        <w:t>Improper</w:t>
      </w:r>
      <w:r w:rsidR="00C93C50">
        <w:t>,</w:t>
      </w:r>
      <w:r w:rsidR="00391C19">
        <w:t xml:space="preserve"> ad hominem </w:t>
      </w:r>
      <w:r>
        <w:t>attacks on Speedishuttle’s character.</w:t>
      </w:r>
    </w:p>
    <w:p w14:paraId="0C5FBC6A" w14:textId="77777777" w:rsidR="00591FF0" w:rsidRPr="00591FF0" w:rsidRDefault="000A52A2" w:rsidP="00A53F7D">
      <w:pPr>
        <w:pStyle w:val="Heading3"/>
        <w:numPr>
          <w:ilvl w:val="0"/>
          <w:numId w:val="17"/>
        </w:numPr>
        <w:spacing w:line="240" w:lineRule="auto"/>
        <w:rPr>
          <w:b/>
        </w:rPr>
      </w:pPr>
      <w:r>
        <w:rPr>
          <w:b/>
        </w:rPr>
        <w:t>Collateral attack on the Commission’s finding in Order 04</w:t>
      </w:r>
      <w:r w:rsidR="00591FF0">
        <w:rPr>
          <w:b/>
        </w:rPr>
        <w:t xml:space="preserve"> relating to the “business model”</w:t>
      </w:r>
    </w:p>
    <w:p w14:paraId="0C5FBC6B" w14:textId="77777777" w:rsidR="009D1D50" w:rsidRDefault="00BD3C92" w:rsidP="00BD3C92">
      <w:pPr>
        <w:pStyle w:val="Heading3"/>
      </w:pPr>
      <w:r>
        <w:t xml:space="preserve">Voluminous testimony from multiple witnesses filed by Shuttle Express are </w:t>
      </w:r>
      <w:r w:rsidR="00882DDC">
        <w:t>directed</w:t>
      </w:r>
      <w:r>
        <w:t xml:space="preserve"> </w:t>
      </w:r>
      <w:r w:rsidR="00C93C50">
        <w:t xml:space="preserve">squarely </w:t>
      </w:r>
      <w:r>
        <w:t>to a collateral attack on the Commission’s determination in Order 04</w:t>
      </w:r>
      <w:r w:rsidR="000A52A2">
        <w:t xml:space="preserve"> that the “business model” proposed by Speedishuttle </w:t>
      </w:r>
      <w:r w:rsidR="004B7779">
        <w:t>constitutes</w:t>
      </w:r>
      <w:r w:rsidR="000A52A2">
        <w:t xml:space="preserve"> a different service from that offered by Shuttle Express. </w:t>
      </w:r>
      <w:r>
        <w:t xml:space="preserve"> </w:t>
      </w:r>
      <w:r w:rsidR="006C131C">
        <w:t xml:space="preserve">This is </w:t>
      </w:r>
      <w:r w:rsidR="00C93C50">
        <w:t xml:space="preserve">accomplished </w:t>
      </w:r>
      <w:r w:rsidR="006C131C">
        <w:t xml:space="preserve">in a </w:t>
      </w:r>
      <w:r w:rsidR="00C93C50">
        <w:t xml:space="preserve">variety </w:t>
      </w:r>
      <w:r w:rsidR="006C131C">
        <w:t xml:space="preserve">of ways, most prominently </w:t>
      </w:r>
      <w:r>
        <w:t xml:space="preserve">by claiming that the failure of Speedishuttle to reverse Shuttle Express’ continued </w:t>
      </w:r>
      <w:r w:rsidR="0079163B">
        <w:t xml:space="preserve">ongoing </w:t>
      </w:r>
      <w:r>
        <w:t xml:space="preserve">decline in </w:t>
      </w:r>
      <w:r w:rsidR="00934A17">
        <w:t>passenger count</w:t>
      </w:r>
      <w:r w:rsidR="004B7779">
        <w:t>s</w:t>
      </w:r>
      <w:r>
        <w:t xml:space="preserve"> establishes that the service offered by Speedishuttle is the </w:t>
      </w:r>
      <w:r w:rsidR="00C93C50">
        <w:t>“</w:t>
      </w:r>
      <w:r>
        <w:t>same service</w:t>
      </w:r>
      <w:r w:rsidR="00C93C50">
        <w:t>”</w:t>
      </w:r>
      <w:r>
        <w:t xml:space="preserve"> offered by Shuttle Express.  Even if these market analytics could somehow </w:t>
      </w:r>
      <w:r w:rsidR="004B7779">
        <w:t>prove</w:t>
      </w:r>
      <w:r w:rsidR="00C93C50">
        <w:t xml:space="preserve"> </w:t>
      </w:r>
      <w:r>
        <w:t xml:space="preserve">that passengers who use Speedishuttle’s service </w:t>
      </w:r>
      <w:r w:rsidR="004B7779">
        <w:t xml:space="preserve">(as opposed to unregulated or alternative services) </w:t>
      </w:r>
      <w:r>
        <w:t xml:space="preserve">would have </w:t>
      </w:r>
      <w:r w:rsidR="00882DDC">
        <w:t xml:space="preserve">always </w:t>
      </w:r>
      <w:r>
        <w:t xml:space="preserve">opted alternatively to </w:t>
      </w:r>
      <w:r w:rsidR="0035001A">
        <w:t xml:space="preserve">use Shuttle Express’ service </w:t>
      </w:r>
      <w:r w:rsidR="00882DDC">
        <w:t>without</w:t>
      </w:r>
      <w:r w:rsidR="00591FF0">
        <w:t xml:space="preserve"> Speedishuttle (which they do no</w:t>
      </w:r>
      <w:r w:rsidR="0035001A">
        <w:t>t), they do nothing to establish how Speedishuttle</w:t>
      </w:r>
      <w:r w:rsidR="004B7779">
        <w:t xml:space="preserve"> currently</w:t>
      </w:r>
      <w:r w:rsidR="0035001A">
        <w:t xml:space="preserve"> operates or </w:t>
      </w:r>
      <w:r w:rsidR="00882DDC">
        <w:t>implicate</w:t>
      </w:r>
      <w:r w:rsidR="0035001A">
        <w:t xml:space="preserve"> Speedishuttle’s fares or its cost of service</w:t>
      </w:r>
      <w:r w:rsidR="00882DDC">
        <w:t xml:space="preserve"> as being impermissible</w:t>
      </w:r>
      <w:r w:rsidR="00C93C50">
        <w:t xml:space="preserve"> or unlawful.</w:t>
      </w:r>
    </w:p>
    <w:p w14:paraId="0C5FBC6C" w14:textId="77777777" w:rsidR="0035001A" w:rsidRDefault="0035001A" w:rsidP="00BD3C92">
      <w:pPr>
        <w:pStyle w:val="Heading3"/>
      </w:pPr>
      <w:r>
        <w:lastRenderedPageBreak/>
        <w:t>By way of example</w:t>
      </w:r>
      <w:r w:rsidR="00C93C50">
        <w:t xml:space="preserve"> on this point</w:t>
      </w:r>
      <w:r>
        <w:t>, Sh</w:t>
      </w:r>
      <w:r w:rsidR="00F36F5F">
        <w:t xml:space="preserve">uttle Express submitted the prefiled testimony of Don </w:t>
      </w:r>
      <w:r>
        <w:t>Wood, Shuttle Express’ retained expert witness</w:t>
      </w:r>
      <w:r w:rsidR="004B7779">
        <w:t>,</w:t>
      </w:r>
      <w:r w:rsidR="0001734E">
        <w:rPr>
          <w:rStyle w:val="FootnoteReference"/>
        </w:rPr>
        <w:footnoteReference w:id="22"/>
      </w:r>
      <w:r>
        <w:t xml:space="preserve"> who stated the following:</w:t>
      </w:r>
    </w:p>
    <w:p w14:paraId="0C5FBC6D" w14:textId="77777777" w:rsidR="0035001A" w:rsidRPr="00BD3C92" w:rsidRDefault="0035001A" w:rsidP="0035001A">
      <w:pPr>
        <w:pStyle w:val="Heading3"/>
        <w:numPr>
          <w:ilvl w:val="0"/>
          <w:numId w:val="0"/>
        </w:numPr>
        <w:spacing w:line="240" w:lineRule="auto"/>
        <w:ind w:left="1440" w:right="1440"/>
      </w:pPr>
      <w:r>
        <w:t xml:space="preserve">At the time that these orders were issued, any knowledge of Speedishuttle’s operations was purely conceptual and could only be based on the commitments made by Speedishuttle through its pleadings and sworn testimony.  A </w:t>
      </w:r>
      <w:r w:rsidRPr="00036F99">
        <w:rPr>
          <w:i/>
        </w:rPr>
        <w:t>prospective</w:t>
      </w:r>
      <w:r>
        <w:t xml:space="preserve"> public interest finding could be made because Speedishuttle did not “</w:t>
      </w:r>
      <w:r w:rsidRPr="00036F99">
        <w:rPr>
          <w:i/>
        </w:rPr>
        <w:t>propose</w:t>
      </w:r>
      <w:r>
        <w:t xml:space="preserve"> to offer the same service Shuttle Express provides;” instead, the “entirely different business model” that Speedishuttle </w:t>
      </w:r>
      <w:r w:rsidRPr="00036F99">
        <w:rPr>
          <w:i/>
        </w:rPr>
        <w:t>proposed</w:t>
      </w:r>
      <w:r>
        <w:t xml:space="preserve"> to offer could result in service to previously unserved markets or market segments.  At the current time, however, the knowledge of Speedishuttle’s operations has moved from the conceptual to the empirical.  It is possible to ascertain, as a factual matter, whether Speedishuttle is </w:t>
      </w:r>
      <w:r w:rsidRPr="004A4163">
        <w:rPr>
          <w:i/>
        </w:rPr>
        <w:t>actually</w:t>
      </w:r>
      <w:r>
        <w:t xml:space="preserve"> offering the same service that Shuttle Express provides and whether Speedishuttle is </w:t>
      </w:r>
      <w:r w:rsidRPr="004A4163">
        <w:rPr>
          <w:i/>
        </w:rPr>
        <w:t>actually</w:t>
      </w:r>
      <w:r>
        <w:t xml:space="preserve"> providing service pursuant to an “entirely different business model” that provides service to previously unserved customers.  Put directly, the question of whether the service actually provided by Speedishuttle “is precisely the type of service differentiation contemplated by the new rules” can and should be answered by the direct empirical evidence now available.</w:t>
      </w:r>
      <w:r>
        <w:rPr>
          <w:rStyle w:val="FootnoteReference"/>
        </w:rPr>
        <w:footnoteReference w:id="23"/>
      </w:r>
    </w:p>
    <w:p w14:paraId="0C5FBC6E" w14:textId="77777777" w:rsidR="009D7B3C" w:rsidRDefault="009D7B3C" w:rsidP="009D7B3C">
      <w:pPr>
        <w:pStyle w:val="ListParagraph"/>
      </w:pPr>
    </w:p>
    <w:p w14:paraId="0C5FBC6F" w14:textId="77777777" w:rsidR="009D7B3C" w:rsidRDefault="0035001A" w:rsidP="0035001A">
      <w:pPr>
        <w:pStyle w:val="ListParagraph"/>
        <w:spacing w:line="480" w:lineRule="auto"/>
      </w:pPr>
      <w:r>
        <w:t xml:space="preserve">Mr. Wood thus </w:t>
      </w:r>
      <w:r w:rsidR="002428CD">
        <w:t>suggests</w:t>
      </w:r>
      <w:r w:rsidR="00495CB8">
        <w:t xml:space="preserve"> that</w:t>
      </w:r>
      <w:r>
        <w:t xml:space="preserve"> he can establish that the Commission was wrong in determining Speedishuttle’s proposed service was different from that offered by Shuttle Express, </w:t>
      </w:r>
      <w:r w:rsidR="004B7779">
        <w:t xml:space="preserve">once again </w:t>
      </w:r>
      <w:r w:rsidR="002428CD">
        <w:t>evidence</w:t>
      </w:r>
      <w:r>
        <w:t xml:space="preserve"> the Commission clearly ruled</w:t>
      </w:r>
      <w:r w:rsidR="00495CB8">
        <w:t xml:space="preserve"> in Order 08</w:t>
      </w:r>
      <w:r>
        <w:t xml:space="preserve"> it would not allow.</w:t>
      </w:r>
      <w:r>
        <w:rPr>
          <w:rStyle w:val="FootnoteReference"/>
        </w:rPr>
        <w:footnoteReference w:id="24"/>
      </w:r>
    </w:p>
    <w:p w14:paraId="0C5FBC70" w14:textId="77777777" w:rsidR="00B96A4D" w:rsidRDefault="00B96A4D" w:rsidP="00B96A4D">
      <w:pPr>
        <w:pStyle w:val="Heading3"/>
      </w:pPr>
      <w:r>
        <w:t xml:space="preserve">Similarly, Mr. Wood attempts to </w:t>
      </w:r>
      <w:r w:rsidR="00C93C50">
        <w:t xml:space="preserve">further </w:t>
      </w:r>
      <w:r w:rsidR="00203C5E">
        <w:t>supersede</w:t>
      </w:r>
      <w:r w:rsidR="004B7779">
        <w:t xml:space="preserve"> </w:t>
      </w:r>
      <w:r>
        <w:t xml:space="preserve">the </w:t>
      </w:r>
      <w:r w:rsidR="00934A17">
        <w:t>Commission’s</w:t>
      </w:r>
      <w:r>
        <w:t xml:space="preserve"> judgment in issuing Order 04 when he states:</w:t>
      </w:r>
    </w:p>
    <w:p w14:paraId="0C5FBC71" w14:textId="77777777" w:rsidR="003D1231" w:rsidRDefault="003D1231" w:rsidP="003D1231">
      <w:pPr>
        <w:tabs>
          <w:tab w:val="left" w:pos="-1440"/>
        </w:tabs>
        <w:ind w:left="1440" w:right="1440"/>
        <w:rPr>
          <w:rFonts w:ascii="Times New Roman" w:hAnsi="Times New Roman" w:cs="Times New Roman"/>
          <w:sz w:val="24"/>
          <w:szCs w:val="24"/>
        </w:rPr>
      </w:pPr>
      <w:r w:rsidRPr="00B96A4D">
        <w:rPr>
          <w:rFonts w:ascii="Times New Roman" w:hAnsi="Times New Roman" w:cs="Times New Roman"/>
          <w:sz w:val="24"/>
          <w:szCs w:val="24"/>
        </w:rPr>
        <w:t xml:space="preserve">Speedishuttle’s “multilingual business model” consists of two key elements.  First, Speedishuttle promises a multilingual website that would permit reservations to be made in Chinese, Japanese, and Korean in addition to English.  The value of such a website would be to enable a visitor who is not fluent in English to make a reservation for prearranged service through the Speedishuttle </w:t>
      </w:r>
      <w:r w:rsidRPr="00B96A4D">
        <w:rPr>
          <w:rFonts w:ascii="Times New Roman" w:hAnsi="Times New Roman" w:cs="Times New Roman"/>
          <w:sz w:val="24"/>
          <w:szCs w:val="24"/>
        </w:rPr>
        <w:lastRenderedPageBreak/>
        <w:t>website.  In order to determine whether the promise of “significantly increased accessibility for non-English-speaking customers” has been met, it would be instructive to review how many customers have actually made reservations through the non-English pages of Speedishuttle’s website.</w:t>
      </w:r>
    </w:p>
    <w:p w14:paraId="0C5FBC72" w14:textId="77777777" w:rsidR="003D1231" w:rsidRDefault="003D1231" w:rsidP="003D1231">
      <w:pPr>
        <w:tabs>
          <w:tab w:val="left" w:pos="-1440"/>
        </w:tabs>
        <w:ind w:left="1440" w:right="1440"/>
        <w:rPr>
          <w:rFonts w:ascii="Times New Roman" w:hAnsi="Times New Roman" w:cs="Times New Roman"/>
          <w:sz w:val="24"/>
          <w:szCs w:val="24"/>
        </w:rPr>
      </w:pPr>
    </w:p>
    <w:p w14:paraId="0C5FBC73" w14:textId="77777777" w:rsidR="00B96A4D" w:rsidRDefault="003D1231" w:rsidP="00B96A4D">
      <w:pPr>
        <w:pStyle w:val="Heading3"/>
        <w:numPr>
          <w:ilvl w:val="0"/>
          <w:numId w:val="0"/>
        </w:numPr>
      </w:pPr>
      <w:r>
        <w:t xml:space="preserve">This </w:t>
      </w:r>
      <w:r w:rsidR="00C93C50">
        <w:t>opinion testimony</w:t>
      </w:r>
      <w:r>
        <w:t xml:space="preserve"> attempts to challenge </w:t>
      </w:r>
      <w:r w:rsidR="00C93C50">
        <w:t>the</w:t>
      </w:r>
      <w:r>
        <w:t xml:space="preserve"> finding made by the Commission in Order 04 that Speedishuttle’s multi-lingual website provides increased access to</w:t>
      </w:r>
      <w:r w:rsidR="00934A17">
        <w:t xml:space="preserve"> non-English speaking customers by </w:t>
      </w:r>
      <w:r w:rsidR="0079163B">
        <w:t xml:space="preserve">inverting </w:t>
      </w:r>
      <w:r w:rsidR="00934A17">
        <w:t>the Comm</w:t>
      </w:r>
      <w:r w:rsidR="004B7779">
        <w:t>ission’s position. This witness</w:t>
      </w:r>
      <w:r w:rsidR="00934A17">
        <w:t xml:space="preserve"> challenges not whether Speedishuttle offers the multi-lingual website in actuality, but whether the website increases accessibility for multi-lingual customers.  Whether the website has yet been effective in converting internet webpage traffic into reservations for </w:t>
      </w:r>
      <w:r w:rsidR="005475F0">
        <w:t xml:space="preserve">non-English speaking passengers </w:t>
      </w:r>
      <w:r w:rsidR="004B7779">
        <w:t xml:space="preserve">obviously </w:t>
      </w:r>
      <w:r w:rsidR="005475F0">
        <w:t xml:space="preserve">does not inform the Commission on how Speedishuttle is operating, it challenges the Commission’s rationale in issuing Order </w:t>
      </w:r>
      <w:r w:rsidR="009D1D50">
        <w:t>04, which, again, the Commission</w:t>
      </w:r>
      <w:r w:rsidR="002428CD">
        <w:t xml:space="preserve"> has</w:t>
      </w:r>
      <w:r w:rsidR="009D1D50">
        <w:t xml:space="preserve"> said it would not allow.</w:t>
      </w:r>
    </w:p>
    <w:p w14:paraId="0C5FBC74" w14:textId="77777777" w:rsidR="00466FA6" w:rsidRDefault="00466FA6" w:rsidP="00466FA6">
      <w:pPr>
        <w:pStyle w:val="Heading3"/>
      </w:pPr>
      <w:r>
        <w:t xml:space="preserve">Other significant examples of this </w:t>
      </w:r>
      <w:r w:rsidR="009D1D50">
        <w:t xml:space="preserve">type of testimony </w:t>
      </w:r>
      <w:r>
        <w:t>are</w:t>
      </w:r>
      <w:r w:rsidR="009D1D50">
        <w:t xml:space="preserve"> provided</w:t>
      </w:r>
      <w:r>
        <w:t xml:space="preserve"> in Shuttle Express’ attempt to redefine the “business model” </w:t>
      </w:r>
      <w:r w:rsidR="004B7779">
        <w:t>in</w:t>
      </w:r>
      <w:r>
        <w:t xml:space="preserve"> Order 04, by claiming that it required all personal greeters to be multilingual.  Yet, as discussed above, the use of personal greeters is never discussed in Order 04.  Instead, Shuttle Express</w:t>
      </w:r>
      <w:r w:rsidR="006F6F56">
        <w:t>’s testimony</w:t>
      </w:r>
      <w:r>
        <w:t xml:space="preserve"> relies upon statements made in Order 02</w:t>
      </w:r>
      <w:r w:rsidR="006F6F56">
        <w:t>.</w:t>
      </w:r>
      <w:r>
        <w:rPr>
          <w:rStyle w:val="FootnoteReference"/>
        </w:rPr>
        <w:footnoteReference w:id="25"/>
      </w:r>
      <w:r w:rsidR="006F6F56">
        <w:t xml:space="preserve">  The same tactic is taken with respect to the departure time</w:t>
      </w:r>
      <w:r w:rsidR="002428CD">
        <w:t>s</w:t>
      </w:r>
      <w:r w:rsidR="006F6F56">
        <w:t>, which</w:t>
      </w:r>
      <w:r w:rsidR="004B7779">
        <w:t>,</w:t>
      </w:r>
      <w:r w:rsidR="006F6F56">
        <w:t xml:space="preserve"> </w:t>
      </w:r>
      <w:r w:rsidR="002428CD">
        <w:t xml:space="preserve">again </w:t>
      </w:r>
      <w:r w:rsidR="004B7779">
        <w:t xml:space="preserve">is </w:t>
      </w:r>
      <w:r w:rsidR="006F6F56">
        <w:t xml:space="preserve">never </w:t>
      </w:r>
      <w:r w:rsidR="004B7779">
        <w:t xml:space="preserve">featured </w:t>
      </w:r>
      <w:r w:rsidR="006F6F56">
        <w:t>in Order 04.</w:t>
      </w:r>
    </w:p>
    <w:p w14:paraId="0C5FBC75" w14:textId="77777777" w:rsidR="005D464B" w:rsidRDefault="004B7779" w:rsidP="00466FA6">
      <w:pPr>
        <w:pStyle w:val="Heading3"/>
      </w:pPr>
      <w:r>
        <w:t>Ironically</w:t>
      </w:r>
      <w:r w:rsidR="00495CB8">
        <w:t xml:space="preserve">, </w:t>
      </w:r>
      <w:r w:rsidR="005D464B">
        <w:t xml:space="preserve">Wesley Marks </w:t>
      </w:r>
      <w:r w:rsidR="002428CD">
        <w:t xml:space="preserve">in effect </w:t>
      </w:r>
      <w:r w:rsidR="005D464B">
        <w:t>states that one of the primary purposes of his testimony is to collaterally attack the Commission’s decision in Order 04, stating “[a]lso, I will discuss how the operations of Speedishuttle are functionally the same as the longstanding operations of Shuttle Express</w:t>
      </w:r>
      <w:r w:rsidR="00F835FA">
        <w:t>…”</w:t>
      </w:r>
      <w:r w:rsidR="00F835FA">
        <w:rPr>
          <w:rStyle w:val="FootnoteReference"/>
        </w:rPr>
        <w:footnoteReference w:id="26"/>
      </w:r>
      <w:r w:rsidR="00F835FA">
        <w:t xml:space="preserve">  He </w:t>
      </w:r>
      <w:r>
        <w:t xml:space="preserve">then </w:t>
      </w:r>
      <w:r w:rsidR="00F835FA">
        <w:t xml:space="preserve">follows through on that statement, submitting testimony which attempts to </w:t>
      </w:r>
      <w:r w:rsidR="00F835FA">
        <w:lastRenderedPageBreak/>
        <w:t>demonstrate that the service features the Commission found differentiated Speedishuttle’s service were no different from those provided by Shuttle Express</w:t>
      </w:r>
      <w:r w:rsidR="00C93C50">
        <w:t>,</w:t>
      </w:r>
      <w:r w:rsidR="002428CD">
        <w:t xml:space="preserve"> albeit </w:t>
      </w:r>
      <w:r w:rsidR="00C93C50">
        <w:t xml:space="preserve">now </w:t>
      </w:r>
      <w:r w:rsidR="002428CD">
        <w:t>almost two years after the original hearing</w:t>
      </w:r>
      <w:r w:rsidR="00F835FA">
        <w:t xml:space="preserve">. </w:t>
      </w:r>
    </w:p>
    <w:p w14:paraId="0C5FBC76" w14:textId="77777777" w:rsidR="006B6FD4" w:rsidRDefault="002428CD" w:rsidP="00466FA6">
      <w:pPr>
        <w:pStyle w:val="Heading3"/>
      </w:pPr>
      <w:r>
        <w:t xml:space="preserve">One maneuver relied upon by Mr. Marks is to attack </w:t>
      </w:r>
      <w:r w:rsidR="006B6FD4">
        <w:t xml:space="preserve">Speedishuttle’s </w:t>
      </w:r>
      <w:r>
        <w:t xml:space="preserve">focus on </w:t>
      </w:r>
      <w:r w:rsidR="006B6FD4">
        <w:t xml:space="preserve">tourists, which </w:t>
      </w:r>
      <w:r>
        <w:t xml:space="preserve">again, </w:t>
      </w:r>
      <w:r w:rsidR="006B6FD4">
        <w:t xml:space="preserve">were a demographic identified by the Commission as being part of Speedishuttle’s “business model” in Order 04.  Marks challenges the </w:t>
      </w:r>
      <w:r>
        <w:t xml:space="preserve">Commission’s finding </w:t>
      </w:r>
      <w:r w:rsidR="0079163B">
        <w:t xml:space="preserve">there </w:t>
      </w:r>
      <w:r>
        <w:t>by stating:</w:t>
      </w:r>
    </w:p>
    <w:p w14:paraId="0C5FBC77" w14:textId="77777777" w:rsidR="006B6FD4" w:rsidRDefault="006B6FD4" w:rsidP="006B6FD4">
      <w:pPr>
        <w:pStyle w:val="Heading3"/>
        <w:numPr>
          <w:ilvl w:val="0"/>
          <w:numId w:val="0"/>
        </w:numPr>
        <w:spacing w:line="240" w:lineRule="auto"/>
        <w:ind w:left="1440" w:right="1440"/>
      </w:pPr>
      <w:r>
        <w:t>[f]or Speedishuttle to have attracted a new demographic to serve hotels and piers, they would have to do something more than just serve plain “tourists</w:t>
      </w:r>
      <w:r w:rsidR="002428CD">
        <w:t>,</w:t>
      </w:r>
      <w:r>
        <w:t xml:space="preserve">” as that has always been part of the serviced market </w:t>
      </w:r>
      <w:r w:rsidR="00D94561">
        <w:t xml:space="preserve">[sic] </w:t>
      </w:r>
      <w:r>
        <w:t>by Shuttle Express. Somehow the new service would have to be unserved “</w:t>
      </w:r>
      <w:r w:rsidRPr="006B6FD4">
        <w:rPr>
          <w:b/>
        </w:rPr>
        <w:t>tech-savvy</w:t>
      </w:r>
      <w:r>
        <w:t xml:space="preserve"> tourists.”</w:t>
      </w:r>
      <w:r>
        <w:rPr>
          <w:rStyle w:val="FootnoteReference"/>
        </w:rPr>
        <w:footnoteReference w:id="27"/>
      </w:r>
    </w:p>
    <w:p w14:paraId="0C5FBC78" w14:textId="77777777" w:rsidR="006B6FD4" w:rsidRDefault="006B6FD4" w:rsidP="006B6FD4">
      <w:pPr>
        <w:pStyle w:val="Heading3"/>
        <w:numPr>
          <w:ilvl w:val="0"/>
          <w:numId w:val="0"/>
        </w:numPr>
        <w:spacing w:line="240" w:lineRule="auto"/>
        <w:ind w:left="1440" w:right="1440"/>
      </w:pPr>
    </w:p>
    <w:p w14:paraId="0C5FBC79" w14:textId="77777777" w:rsidR="006B6FD4" w:rsidRDefault="002428CD" w:rsidP="006B6FD4">
      <w:pPr>
        <w:pStyle w:val="Heading3"/>
        <w:numPr>
          <w:ilvl w:val="0"/>
          <w:numId w:val="0"/>
        </w:numPr>
      </w:pPr>
      <w:r>
        <w:t xml:space="preserve">Again, this </w:t>
      </w:r>
      <w:r w:rsidR="00C93C50">
        <w:t xml:space="preserve">flatly </w:t>
      </w:r>
      <w:r>
        <w:t>contravenes the Commission’s ruling.</w:t>
      </w:r>
      <w:r w:rsidR="00495CB8">
        <w:t xml:space="preserve">  Order 04 plainly stated that the </w:t>
      </w:r>
      <w:r>
        <w:t xml:space="preserve">proposed </w:t>
      </w:r>
      <w:r w:rsidR="00495CB8">
        <w:t xml:space="preserve">service would uniquely target a specific subset of consumers: “those who are tourists, tech-savvy, </w:t>
      </w:r>
      <w:r w:rsidR="00495CB8" w:rsidRPr="00495CB8">
        <w:rPr>
          <w:b/>
          <w:u w:val="single"/>
        </w:rPr>
        <w:t>or</w:t>
      </w:r>
      <w:r w:rsidR="00495CB8">
        <w:t xml:space="preserve"> non-English speaking.”</w:t>
      </w:r>
      <w:r w:rsidR="00495CB8">
        <w:rPr>
          <w:rStyle w:val="FootnoteReference"/>
        </w:rPr>
        <w:footnoteReference w:id="28"/>
      </w:r>
      <w:r w:rsidR="00495CB8">
        <w:t xml:space="preserve">  </w:t>
      </w:r>
      <w:r>
        <w:t>By slight of preposition</w:t>
      </w:r>
      <w:r w:rsidR="0012337D">
        <w:t>, Shuttle Express</w:t>
      </w:r>
      <w:r w:rsidR="006B6FD4">
        <w:t xml:space="preserve"> attempts to </w:t>
      </w:r>
      <w:r>
        <w:t xml:space="preserve">substitute </w:t>
      </w:r>
      <w:r w:rsidR="006B6FD4">
        <w:t xml:space="preserve">the Commission’s ruling with an interpretation </w:t>
      </w:r>
      <w:r>
        <w:t xml:space="preserve">of the business model </w:t>
      </w:r>
      <w:r w:rsidR="006B6FD4">
        <w:t>that is more to Shuttle Express’ liking</w:t>
      </w:r>
      <w:r>
        <w:t xml:space="preserve"> and </w:t>
      </w:r>
      <w:r w:rsidR="00C93C50">
        <w:t xml:space="preserve">to its </w:t>
      </w:r>
      <w:r>
        <w:t xml:space="preserve">omnibus </w:t>
      </w:r>
      <w:r w:rsidR="00C93C50">
        <w:t xml:space="preserve">original </w:t>
      </w:r>
      <w:r>
        <w:t>argument on Petition for Rehearing</w:t>
      </w:r>
      <w:r w:rsidR="006B6FD4">
        <w:t>.</w:t>
      </w:r>
    </w:p>
    <w:p w14:paraId="0C5FBC7A" w14:textId="77777777" w:rsidR="003A1DB8" w:rsidRDefault="003A1DB8" w:rsidP="003A1DB8">
      <w:pPr>
        <w:pStyle w:val="Heading3"/>
      </w:pPr>
      <w:r>
        <w:t xml:space="preserve">Similar attempts to collaterally attack the Commission’s finding in Order 04 are </w:t>
      </w:r>
      <w:r w:rsidR="002428CD">
        <w:t xml:space="preserve">sprinkled </w:t>
      </w:r>
      <w:r>
        <w:t>throughout the testimony offered by Shuttle Express</w:t>
      </w:r>
      <w:r w:rsidR="009D1D50">
        <w:t xml:space="preserve">, including nearly all of </w:t>
      </w:r>
      <w:r w:rsidR="00C93C50">
        <w:t xml:space="preserve">the testimony submitted by Don </w:t>
      </w:r>
      <w:r w:rsidR="009D1D50">
        <w:t>Wood</w:t>
      </w:r>
      <w:r w:rsidR="005475F0">
        <w:t>.  The following table provides each page and line of testimon</w:t>
      </w:r>
      <w:r w:rsidR="002428CD">
        <w:t xml:space="preserve">y which Shuttle Express offers </w:t>
      </w:r>
      <w:r w:rsidR="005475F0">
        <w:t xml:space="preserve">in </w:t>
      </w:r>
      <w:r w:rsidR="0001734E">
        <w:t>a</w:t>
      </w:r>
      <w:r w:rsidR="005475F0">
        <w:t xml:space="preserve"> collateral attack on Order 04</w:t>
      </w:r>
      <w:r w:rsidR="0001734E">
        <w:t>’s findings regarding “same service”:</w:t>
      </w:r>
    </w:p>
    <w:p w14:paraId="0C5FBC7B" w14:textId="77777777" w:rsidR="003A1DB8" w:rsidRPr="003A1DB8" w:rsidRDefault="003A1DB8" w:rsidP="003A1DB8">
      <w:pPr>
        <w:pStyle w:val="Heading3"/>
        <w:numPr>
          <w:ilvl w:val="0"/>
          <w:numId w:val="0"/>
        </w:numPr>
        <w:jc w:val="center"/>
        <w:rPr>
          <w:b/>
        </w:rPr>
      </w:pPr>
      <w:r w:rsidRPr="003A1DB8">
        <w:rPr>
          <w:b/>
        </w:rPr>
        <w:t xml:space="preserve">Exhibit ___ (DJW-1T); </w:t>
      </w:r>
      <w:r w:rsidR="000A52A2">
        <w:rPr>
          <w:b/>
        </w:rPr>
        <w:t>Testimony of Don J. Wood</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3A1DB8" w:rsidRPr="003A1DB8" w14:paraId="0C5FBC7E" w14:textId="77777777" w:rsidTr="003A1DB8">
        <w:tc>
          <w:tcPr>
            <w:tcW w:w="1620" w:type="dxa"/>
            <w:tcBorders>
              <w:bottom w:val="single" w:sz="4" w:space="0" w:color="auto"/>
            </w:tcBorders>
          </w:tcPr>
          <w:p w14:paraId="0C5FBC7C" w14:textId="77777777" w:rsidR="003A1DB8" w:rsidRPr="003A1DB8" w:rsidRDefault="003A1DB8" w:rsidP="003A1DB8">
            <w:pPr>
              <w:pStyle w:val="ListParagraph"/>
              <w:jc w:val="center"/>
              <w:rPr>
                <w:b/>
              </w:rPr>
            </w:pPr>
            <w:r w:rsidRPr="003A1DB8">
              <w:rPr>
                <w:b/>
              </w:rPr>
              <w:t>Page</w:t>
            </w:r>
          </w:p>
        </w:tc>
        <w:tc>
          <w:tcPr>
            <w:tcW w:w="1440" w:type="dxa"/>
            <w:tcBorders>
              <w:bottom w:val="single" w:sz="4" w:space="0" w:color="auto"/>
            </w:tcBorders>
          </w:tcPr>
          <w:p w14:paraId="0C5FBC7D" w14:textId="77777777" w:rsidR="003A1DB8" w:rsidRPr="003A1DB8" w:rsidRDefault="003A1DB8" w:rsidP="003A1DB8">
            <w:pPr>
              <w:pStyle w:val="ListParagraph"/>
              <w:jc w:val="center"/>
              <w:rPr>
                <w:b/>
              </w:rPr>
            </w:pPr>
            <w:r w:rsidRPr="003A1DB8">
              <w:rPr>
                <w:b/>
              </w:rPr>
              <w:t>Lines</w:t>
            </w:r>
          </w:p>
        </w:tc>
      </w:tr>
      <w:tr w:rsidR="003A1DB8" w14:paraId="0C5FBC81" w14:textId="77777777" w:rsidTr="003A1DB8">
        <w:tc>
          <w:tcPr>
            <w:tcW w:w="1620" w:type="dxa"/>
            <w:tcBorders>
              <w:top w:val="single" w:sz="4" w:space="0" w:color="auto"/>
            </w:tcBorders>
          </w:tcPr>
          <w:p w14:paraId="0C5FBC7F" w14:textId="77777777" w:rsidR="003A1DB8" w:rsidRDefault="00B96A4D" w:rsidP="007B3F69">
            <w:pPr>
              <w:pStyle w:val="ListParagraph"/>
            </w:pPr>
            <w:r>
              <w:t>5</w:t>
            </w:r>
          </w:p>
        </w:tc>
        <w:tc>
          <w:tcPr>
            <w:tcW w:w="1440" w:type="dxa"/>
            <w:tcBorders>
              <w:top w:val="single" w:sz="4" w:space="0" w:color="auto"/>
            </w:tcBorders>
          </w:tcPr>
          <w:p w14:paraId="0C5FBC80" w14:textId="77777777" w:rsidR="003A1DB8" w:rsidRDefault="00B96A4D" w:rsidP="007B3F69">
            <w:pPr>
              <w:pStyle w:val="ListParagraph"/>
            </w:pPr>
            <w:r>
              <w:t>13-20</w:t>
            </w:r>
          </w:p>
        </w:tc>
      </w:tr>
      <w:tr w:rsidR="003A1DB8" w14:paraId="0C5FBC84" w14:textId="77777777" w:rsidTr="003A1DB8">
        <w:tc>
          <w:tcPr>
            <w:tcW w:w="1620" w:type="dxa"/>
          </w:tcPr>
          <w:p w14:paraId="0C5FBC82" w14:textId="77777777" w:rsidR="003A1DB8" w:rsidRDefault="00B96A4D" w:rsidP="007B3F69">
            <w:pPr>
              <w:pStyle w:val="ListParagraph"/>
            </w:pPr>
            <w:r>
              <w:lastRenderedPageBreak/>
              <w:t>6</w:t>
            </w:r>
          </w:p>
        </w:tc>
        <w:tc>
          <w:tcPr>
            <w:tcW w:w="1440" w:type="dxa"/>
          </w:tcPr>
          <w:p w14:paraId="0C5FBC83" w14:textId="77777777" w:rsidR="003A1DB8" w:rsidRDefault="00B96A4D" w:rsidP="007B3F69">
            <w:pPr>
              <w:pStyle w:val="ListParagraph"/>
            </w:pPr>
            <w:r>
              <w:t>1-20</w:t>
            </w:r>
          </w:p>
        </w:tc>
      </w:tr>
      <w:tr w:rsidR="003A1DB8" w14:paraId="0C5FBC87" w14:textId="77777777" w:rsidTr="003A1DB8">
        <w:tc>
          <w:tcPr>
            <w:tcW w:w="1620" w:type="dxa"/>
          </w:tcPr>
          <w:p w14:paraId="0C5FBC85" w14:textId="77777777" w:rsidR="003A1DB8" w:rsidRDefault="00B96A4D" w:rsidP="007B3F69">
            <w:pPr>
              <w:pStyle w:val="ListParagraph"/>
            </w:pPr>
            <w:r>
              <w:t>7</w:t>
            </w:r>
          </w:p>
        </w:tc>
        <w:tc>
          <w:tcPr>
            <w:tcW w:w="1440" w:type="dxa"/>
          </w:tcPr>
          <w:p w14:paraId="0C5FBC86" w14:textId="77777777" w:rsidR="003A1DB8" w:rsidRDefault="00B96A4D" w:rsidP="007B3F69">
            <w:pPr>
              <w:pStyle w:val="ListParagraph"/>
            </w:pPr>
            <w:r>
              <w:t>1-17</w:t>
            </w:r>
          </w:p>
        </w:tc>
      </w:tr>
      <w:tr w:rsidR="003A1DB8" w14:paraId="0C5FBC8A" w14:textId="77777777" w:rsidTr="003A1DB8">
        <w:tc>
          <w:tcPr>
            <w:tcW w:w="1620" w:type="dxa"/>
          </w:tcPr>
          <w:p w14:paraId="0C5FBC88" w14:textId="77777777" w:rsidR="003A1DB8" w:rsidRDefault="00B96A4D" w:rsidP="007B3F69">
            <w:pPr>
              <w:pStyle w:val="ListParagraph"/>
            </w:pPr>
            <w:r>
              <w:t>8</w:t>
            </w:r>
          </w:p>
        </w:tc>
        <w:tc>
          <w:tcPr>
            <w:tcW w:w="1440" w:type="dxa"/>
          </w:tcPr>
          <w:p w14:paraId="0C5FBC89" w14:textId="77777777" w:rsidR="003A1DB8" w:rsidRDefault="00B96A4D" w:rsidP="007B3F69">
            <w:pPr>
              <w:pStyle w:val="ListParagraph"/>
            </w:pPr>
            <w:r>
              <w:t>1-16</w:t>
            </w:r>
          </w:p>
        </w:tc>
      </w:tr>
      <w:tr w:rsidR="003A1DB8" w14:paraId="0C5FBC8D" w14:textId="77777777" w:rsidTr="003A1DB8">
        <w:tc>
          <w:tcPr>
            <w:tcW w:w="1620" w:type="dxa"/>
          </w:tcPr>
          <w:p w14:paraId="0C5FBC8B" w14:textId="77777777" w:rsidR="003A1DB8" w:rsidRDefault="00B96A4D" w:rsidP="007B3F69">
            <w:pPr>
              <w:pStyle w:val="ListParagraph"/>
            </w:pPr>
            <w:r>
              <w:t>9</w:t>
            </w:r>
          </w:p>
        </w:tc>
        <w:tc>
          <w:tcPr>
            <w:tcW w:w="1440" w:type="dxa"/>
          </w:tcPr>
          <w:p w14:paraId="0C5FBC8C" w14:textId="77777777" w:rsidR="003A1DB8" w:rsidRDefault="00466FA6" w:rsidP="007B3F69">
            <w:pPr>
              <w:pStyle w:val="ListParagraph"/>
            </w:pPr>
            <w:r>
              <w:t>9-19</w:t>
            </w:r>
          </w:p>
        </w:tc>
      </w:tr>
      <w:tr w:rsidR="003A1DB8" w14:paraId="0C5FBC90" w14:textId="77777777" w:rsidTr="003A1DB8">
        <w:tc>
          <w:tcPr>
            <w:tcW w:w="1620" w:type="dxa"/>
          </w:tcPr>
          <w:p w14:paraId="0C5FBC8E" w14:textId="77777777" w:rsidR="003A1DB8" w:rsidRDefault="00466FA6" w:rsidP="007B3F69">
            <w:pPr>
              <w:pStyle w:val="ListParagraph"/>
            </w:pPr>
            <w:r>
              <w:t>10</w:t>
            </w:r>
          </w:p>
        </w:tc>
        <w:tc>
          <w:tcPr>
            <w:tcW w:w="1440" w:type="dxa"/>
          </w:tcPr>
          <w:p w14:paraId="0C5FBC8F" w14:textId="77777777" w:rsidR="003A1DB8" w:rsidRDefault="00466FA6" w:rsidP="007B3F69">
            <w:pPr>
              <w:pStyle w:val="ListParagraph"/>
            </w:pPr>
            <w:r>
              <w:t>1-13</w:t>
            </w:r>
            <w:r w:rsidR="00A4057D">
              <w:t>, 19</w:t>
            </w:r>
          </w:p>
        </w:tc>
      </w:tr>
      <w:tr w:rsidR="003A1DB8" w14:paraId="0C5FBC93" w14:textId="77777777" w:rsidTr="003A1DB8">
        <w:tc>
          <w:tcPr>
            <w:tcW w:w="1620" w:type="dxa"/>
          </w:tcPr>
          <w:p w14:paraId="0C5FBC91" w14:textId="77777777" w:rsidR="003A1DB8" w:rsidRDefault="00466FA6" w:rsidP="007B3F69">
            <w:pPr>
              <w:pStyle w:val="ListParagraph"/>
            </w:pPr>
            <w:r>
              <w:t>11</w:t>
            </w:r>
          </w:p>
        </w:tc>
        <w:tc>
          <w:tcPr>
            <w:tcW w:w="1440" w:type="dxa"/>
          </w:tcPr>
          <w:p w14:paraId="0C5FBC92" w14:textId="77777777" w:rsidR="003A1DB8" w:rsidRDefault="00A4057D" w:rsidP="007B3F69">
            <w:pPr>
              <w:pStyle w:val="ListParagraph"/>
            </w:pPr>
            <w:r>
              <w:t>1-</w:t>
            </w:r>
            <w:r w:rsidR="00466FA6">
              <w:t>18</w:t>
            </w:r>
          </w:p>
        </w:tc>
      </w:tr>
      <w:tr w:rsidR="003A1DB8" w14:paraId="0C5FBC96" w14:textId="77777777" w:rsidTr="003A1DB8">
        <w:tc>
          <w:tcPr>
            <w:tcW w:w="1620" w:type="dxa"/>
          </w:tcPr>
          <w:p w14:paraId="0C5FBC94" w14:textId="77777777" w:rsidR="003A1DB8" w:rsidRDefault="006F6F56" w:rsidP="007B3F69">
            <w:pPr>
              <w:pStyle w:val="ListParagraph"/>
            </w:pPr>
            <w:r>
              <w:t>12</w:t>
            </w:r>
          </w:p>
        </w:tc>
        <w:tc>
          <w:tcPr>
            <w:tcW w:w="1440" w:type="dxa"/>
          </w:tcPr>
          <w:p w14:paraId="0C5FBC95" w14:textId="77777777" w:rsidR="003A1DB8" w:rsidRDefault="006F6F56" w:rsidP="007B3F69">
            <w:pPr>
              <w:pStyle w:val="ListParagraph"/>
            </w:pPr>
            <w:r>
              <w:t>1-15, 19</w:t>
            </w:r>
          </w:p>
        </w:tc>
      </w:tr>
      <w:tr w:rsidR="006F6F56" w14:paraId="0C5FBC99" w14:textId="77777777" w:rsidTr="003A1DB8">
        <w:tc>
          <w:tcPr>
            <w:tcW w:w="1620" w:type="dxa"/>
          </w:tcPr>
          <w:p w14:paraId="0C5FBC97" w14:textId="77777777" w:rsidR="006F6F56" w:rsidRDefault="006F6F56" w:rsidP="007B3F69">
            <w:pPr>
              <w:pStyle w:val="ListParagraph"/>
            </w:pPr>
            <w:r>
              <w:t>13</w:t>
            </w:r>
          </w:p>
        </w:tc>
        <w:tc>
          <w:tcPr>
            <w:tcW w:w="1440" w:type="dxa"/>
          </w:tcPr>
          <w:p w14:paraId="0C5FBC98" w14:textId="77777777" w:rsidR="006F6F56" w:rsidRDefault="006F6F56" w:rsidP="007B3F69">
            <w:pPr>
              <w:pStyle w:val="ListParagraph"/>
            </w:pPr>
            <w:r>
              <w:t>1-</w:t>
            </w:r>
            <w:r w:rsidR="00A4057D">
              <w:t>16</w:t>
            </w:r>
          </w:p>
        </w:tc>
      </w:tr>
      <w:tr w:rsidR="00A4057D" w14:paraId="0C5FBC9C" w14:textId="77777777" w:rsidTr="003A1DB8">
        <w:tc>
          <w:tcPr>
            <w:tcW w:w="1620" w:type="dxa"/>
          </w:tcPr>
          <w:p w14:paraId="0C5FBC9A" w14:textId="77777777" w:rsidR="00A4057D" w:rsidRDefault="00A4057D" w:rsidP="007B3F69">
            <w:pPr>
              <w:pStyle w:val="ListParagraph"/>
            </w:pPr>
            <w:r>
              <w:t>14</w:t>
            </w:r>
          </w:p>
        </w:tc>
        <w:tc>
          <w:tcPr>
            <w:tcW w:w="1440" w:type="dxa"/>
          </w:tcPr>
          <w:p w14:paraId="0C5FBC9B" w14:textId="77777777" w:rsidR="00A4057D" w:rsidRDefault="00A4057D" w:rsidP="007B3F69">
            <w:pPr>
              <w:pStyle w:val="ListParagraph"/>
            </w:pPr>
            <w:r>
              <w:t>1-</w:t>
            </w:r>
            <w:r w:rsidR="00246275">
              <w:t>21</w:t>
            </w:r>
          </w:p>
        </w:tc>
      </w:tr>
      <w:tr w:rsidR="00A4057D" w14:paraId="0C5FBC9F" w14:textId="77777777" w:rsidTr="003A1DB8">
        <w:tc>
          <w:tcPr>
            <w:tcW w:w="1620" w:type="dxa"/>
          </w:tcPr>
          <w:p w14:paraId="0C5FBC9D" w14:textId="77777777" w:rsidR="00A4057D" w:rsidRDefault="00246275" w:rsidP="007B3F69">
            <w:pPr>
              <w:pStyle w:val="ListParagraph"/>
            </w:pPr>
            <w:r>
              <w:t>15</w:t>
            </w:r>
          </w:p>
        </w:tc>
        <w:tc>
          <w:tcPr>
            <w:tcW w:w="1440" w:type="dxa"/>
          </w:tcPr>
          <w:p w14:paraId="0C5FBC9E" w14:textId="77777777" w:rsidR="00A4057D" w:rsidRDefault="00246275" w:rsidP="007B3F69">
            <w:pPr>
              <w:pStyle w:val="ListParagraph"/>
            </w:pPr>
            <w:r>
              <w:t>1-</w:t>
            </w:r>
            <w:r w:rsidR="0001734E">
              <w:t>20</w:t>
            </w:r>
          </w:p>
        </w:tc>
      </w:tr>
      <w:tr w:rsidR="00A4057D" w14:paraId="0C5FBCA2" w14:textId="77777777" w:rsidTr="003A1DB8">
        <w:tc>
          <w:tcPr>
            <w:tcW w:w="1620" w:type="dxa"/>
          </w:tcPr>
          <w:p w14:paraId="0C5FBCA0" w14:textId="77777777" w:rsidR="00A4057D" w:rsidRDefault="0001734E" w:rsidP="007B3F69">
            <w:pPr>
              <w:pStyle w:val="ListParagraph"/>
            </w:pPr>
            <w:r>
              <w:t>16</w:t>
            </w:r>
          </w:p>
        </w:tc>
        <w:tc>
          <w:tcPr>
            <w:tcW w:w="1440" w:type="dxa"/>
          </w:tcPr>
          <w:p w14:paraId="0C5FBCA1" w14:textId="77777777" w:rsidR="00A4057D" w:rsidRDefault="0001734E" w:rsidP="007B3F69">
            <w:pPr>
              <w:pStyle w:val="ListParagraph"/>
            </w:pPr>
            <w:r>
              <w:t>1-19</w:t>
            </w:r>
          </w:p>
        </w:tc>
      </w:tr>
      <w:tr w:rsidR="00A4057D" w14:paraId="0C5FBCA5" w14:textId="77777777" w:rsidTr="003A1DB8">
        <w:tc>
          <w:tcPr>
            <w:tcW w:w="1620" w:type="dxa"/>
          </w:tcPr>
          <w:p w14:paraId="0C5FBCA3" w14:textId="77777777" w:rsidR="00A4057D" w:rsidRDefault="0001734E" w:rsidP="007B3F69">
            <w:pPr>
              <w:pStyle w:val="ListParagraph"/>
            </w:pPr>
            <w:r>
              <w:t>17</w:t>
            </w:r>
          </w:p>
        </w:tc>
        <w:tc>
          <w:tcPr>
            <w:tcW w:w="1440" w:type="dxa"/>
          </w:tcPr>
          <w:p w14:paraId="0C5FBCA4" w14:textId="77777777" w:rsidR="00A4057D" w:rsidRDefault="0001734E" w:rsidP="007B3F69">
            <w:pPr>
              <w:pStyle w:val="ListParagraph"/>
            </w:pPr>
            <w:r>
              <w:t>1-18</w:t>
            </w:r>
          </w:p>
        </w:tc>
      </w:tr>
      <w:tr w:rsidR="00A4057D" w14:paraId="0C5FBCA8" w14:textId="77777777" w:rsidTr="003A1DB8">
        <w:tc>
          <w:tcPr>
            <w:tcW w:w="1620" w:type="dxa"/>
          </w:tcPr>
          <w:p w14:paraId="0C5FBCA6" w14:textId="77777777" w:rsidR="00A4057D" w:rsidRDefault="0001734E" w:rsidP="007B3F69">
            <w:pPr>
              <w:pStyle w:val="ListParagraph"/>
            </w:pPr>
            <w:r>
              <w:t>18</w:t>
            </w:r>
          </w:p>
        </w:tc>
        <w:tc>
          <w:tcPr>
            <w:tcW w:w="1440" w:type="dxa"/>
          </w:tcPr>
          <w:p w14:paraId="0C5FBCA7" w14:textId="77777777" w:rsidR="00A4057D" w:rsidRDefault="0001734E" w:rsidP="007B3F69">
            <w:pPr>
              <w:pStyle w:val="ListParagraph"/>
            </w:pPr>
            <w:r>
              <w:t>1-18</w:t>
            </w:r>
          </w:p>
        </w:tc>
      </w:tr>
      <w:tr w:rsidR="00A4057D" w14:paraId="0C5FBCAB" w14:textId="77777777" w:rsidTr="003A1DB8">
        <w:tc>
          <w:tcPr>
            <w:tcW w:w="1620" w:type="dxa"/>
          </w:tcPr>
          <w:p w14:paraId="0C5FBCA9" w14:textId="77777777" w:rsidR="00A4057D" w:rsidRDefault="0001734E" w:rsidP="007B3F69">
            <w:pPr>
              <w:pStyle w:val="ListParagraph"/>
            </w:pPr>
            <w:r>
              <w:t>19</w:t>
            </w:r>
          </w:p>
        </w:tc>
        <w:tc>
          <w:tcPr>
            <w:tcW w:w="1440" w:type="dxa"/>
          </w:tcPr>
          <w:p w14:paraId="0C5FBCAA" w14:textId="77777777" w:rsidR="00A4057D" w:rsidRDefault="0001734E" w:rsidP="007B3F69">
            <w:pPr>
              <w:pStyle w:val="ListParagraph"/>
            </w:pPr>
            <w:r>
              <w:t>1-7</w:t>
            </w:r>
          </w:p>
        </w:tc>
      </w:tr>
      <w:tr w:rsidR="00A4057D" w14:paraId="0C5FBCAE" w14:textId="77777777" w:rsidTr="003A1DB8">
        <w:tc>
          <w:tcPr>
            <w:tcW w:w="1620" w:type="dxa"/>
          </w:tcPr>
          <w:p w14:paraId="0C5FBCAC" w14:textId="77777777" w:rsidR="00A4057D" w:rsidRDefault="0001734E" w:rsidP="007B3F69">
            <w:pPr>
              <w:pStyle w:val="ListParagraph"/>
            </w:pPr>
            <w:r>
              <w:t>20</w:t>
            </w:r>
          </w:p>
        </w:tc>
        <w:tc>
          <w:tcPr>
            <w:tcW w:w="1440" w:type="dxa"/>
          </w:tcPr>
          <w:p w14:paraId="0C5FBCAD" w14:textId="77777777" w:rsidR="00A4057D" w:rsidRDefault="0001734E" w:rsidP="007B3F69">
            <w:pPr>
              <w:pStyle w:val="ListParagraph"/>
            </w:pPr>
            <w:r>
              <w:t>1-19</w:t>
            </w:r>
          </w:p>
        </w:tc>
      </w:tr>
      <w:tr w:rsidR="0001734E" w14:paraId="0C5FBCB1" w14:textId="77777777" w:rsidTr="003A1DB8">
        <w:tc>
          <w:tcPr>
            <w:tcW w:w="1620" w:type="dxa"/>
          </w:tcPr>
          <w:p w14:paraId="0C5FBCAF" w14:textId="77777777" w:rsidR="0001734E" w:rsidRDefault="0001734E" w:rsidP="007B3F69">
            <w:pPr>
              <w:pStyle w:val="ListParagraph"/>
            </w:pPr>
            <w:r>
              <w:t>21</w:t>
            </w:r>
          </w:p>
        </w:tc>
        <w:tc>
          <w:tcPr>
            <w:tcW w:w="1440" w:type="dxa"/>
          </w:tcPr>
          <w:p w14:paraId="0C5FBCB0" w14:textId="77777777" w:rsidR="0001734E" w:rsidRDefault="0001734E" w:rsidP="007B3F69">
            <w:pPr>
              <w:pStyle w:val="ListParagraph"/>
            </w:pPr>
            <w:r>
              <w:t>2-19</w:t>
            </w:r>
          </w:p>
        </w:tc>
      </w:tr>
      <w:tr w:rsidR="0001734E" w14:paraId="0C5FBCB4" w14:textId="77777777" w:rsidTr="003A1DB8">
        <w:tc>
          <w:tcPr>
            <w:tcW w:w="1620" w:type="dxa"/>
          </w:tcPr>
          <w:p w14:paraId="0C5FBCB2" w14:textId="77777777" w:rsidR="0001734E" w:rsidRDefault="0001734E" w:rsidP="007B3F69">
            <w:pPr>
              <w:pStyle w:val="ListParagraph"/>
            </w:pPr>
            <w:r>
              <w:t>22</w:t>
            </w:r>
          </w:p>
        </w:tc>
        <w:tc>
          <w:tcPr>
            <w:tcW w:w="1440" w:type="dxa"/>
          </w:tcPr>
          <w:p w14:paraId="0C5FBCB3" w14:textId="77777777" w:rsidR="0001734E" w:rsidRDefault="0001734E" w:rsidP="007B3F69">
            <w:pPr>
              <w:pStyle w:val="ListParagraph"/>
            </w:pPr>
            <w:r>
              <w:t>1-5</w:t>
            </w:r>
          </w:p>
        </w:tc>
      </w:tr>
      <w:tr w:rsidR="0001734E" w14:paraId="0C5FBCB7" w14:textId="77777777" w:rsidTr="003A1DB8">
        <w:tc>
          <w:tcPr>
            <w:tcW w:w="1620" w:type="dxa"/>
          </w:tcPr>
          <w:p w14:paraId="0C5FBCB5" w14:textId="77777777" w:rsidR="0001734E" w:rsidRDefault="0001734E" w:rsidP="007B3F69">
            <w:pPr>
              <w:pStyle w:val="ListParagraph"/>
            </w:pPr>
            <w:r>
              <w:t>23</w:t>
            </w:r>
          </w:p>
        </w:tc>
        <w:tc>
          <w:tcPr>
            <w:tcW w:w="1440" w:type="dxa"/>
          </w:tcPr>
          <w:p w14:paraId="0C5FBCB6" w14:textId="77777777" w:rsidR="0001734E" w:rsidRDefault="0001734E" w:rsidP="007B3F69">
            <w:pPr>
              <w:pStyle w:val="ListParagraph"/>
            </w:pPr>
            <w:r>
              <w:t>12-21</w:t>
            </w:r>
          </w:p>
        </w:tc>
      </w:tr>
      <w:tr w:rsidR="0001734E" w14:paraId="0C5FBCBA" w14:textId="77777777" w:rsidTr="003A1DB8">
        <w:tc>
          <w:tcPr>
            <w:tcW w:w="1620" w:type="dxa"/>
          </w:tcPr>
          <w:p w14:paraId="0C5FBCB8" w14:textId="77777777" w:rsidR="0001734E" w:rsidRDefault="0001734E" w:rsidP="007B3F69">
            <w:pPr>
              <w:pStyle w:val="ListParagraph"/>
            </w:pPr>
            <w:r>
              <w:t>24</w:t>
            </w:r>
          </w:p>
        </w:tc>
        <w:tc>
          <w:tcPr>
            <w:tcW w:w="1440" w:type="dxa"/>
          </w:tcPr>
          <w:p w14:paraId="0C5FBCB9" w14:textId="77777777" w:rsidR="0001734E" w:rsidRDefault="0001734E" w:rsidP="007B3F69">
            <w:pPr>
              <w:pStyle w:val="ListParagraph"/>
            </w:pPr>
            <w:r>
              <w:t>1-24</w:t>
            </w:r>
          </w:p>
        </w:tc>
      </w:tr>
      <w:tr w:rsidR="0001734E" w14:paraId="0C5FBCBD" w14:textId="77777777" w:rsidTr="003A1DB8">
        <w:tc>
          <w:tcPr>
            <w:tcW w:w="1620" w:type="dxa"/>
          </w:tcPr>
          <w:p w14:paraId="0C5FBCBB" w14:textId="77777777" w:rsidR="0001734E" w:rsidRDefault="0001734E" w:rsidP="007B3F69">
            <w:pPr>
              <w:pStyle w:val="ListParagraph"/>
            </w:pPr>
            <w:r>
              <w:t>25</w:t>
            </w:r>
          </w:p>
        </w:tc>
        <w:tc>
          <w:tcPr>
            <w:tcW w:w="1440" w:type="dxa"/>
          </w:tcPr>
          <w:p w14:paraId="0C5FBCBC" w14:textId="77777777" w:rsidR="0001734E" w:rsidRDefault="0001734E" w:rsidP="007B3F69">
            <w:pPr>
              <w:pStyle w:val="ListParagraph"/>
            </w:pPr>
            <w:r>
              <w:t>1-18</w:t>
            </w:r>
          </w:p>
        </w:tc>
      </w:tr>
      <w:tr w:rsidR="0001734E" w14:paraId="0C5FBCC0" w14:textId="77777777" w:rsidTr="003A1DB8">
        <w:tc>
          <w:tcPr>
            <w:tcW w:w="1620" w:type="dxa"/>
          </w:tcPr>
          <w:p w14:paraId="0C5FBCBE" w14:textId="77777777" w:rsidR="0001734E" w:rsidRDefault="0001734E" w:rsidP="007B3F69">
            <w:pPr>
              <w:pStyle w:val="ListParagraph"/>
            </w:pPr>
            <w:r>
              <w:t>26</w:t>
            </w:r>
          </w:p>
        </w:tc>
        <w:tc>
          <w:tcPr>
            <w:tcW w:w="1440" w:type="dxa"/>
          </w:tcPr>
          <w:p w14:paraId="0C5FBCBF" w14:textId="77777777" w:rsidR="0001734E" w:rsidRDefault="0001734E" w:rsidP="007B3F69">
            <w:pPr>
              <w:pStyle w:val="ListParagraph"/>
            </w:pPr>
            <w:r>
              <w:t>1-26</w:t>
            </w:r>
          </w:p>
        </w:tc>
      </w:tr>
      <w:tr w:rsidR="0001734E" w14:paraId="0C5FBCC3" w14:textId="77777777" w:rsidTr="003A1DB8">
        <w:tc>
          <w:tcPr>
            <w:tcW w:w="1620" w:type="dxa"/>
          </w:tcPr>
          <w:p w14:paraId="0C5FBCC1" w14:textId="77777777" w:rsidR="0001734E" w:rsidRDefault="0001734E" w:rsidP="007B3F69">
            <w:pPr>
              <w:pStyle w:val="ListParagraph"/>
            </w:pPr>
            <w:r>
              <w:t>27</w:t>
            </w:r>
          </w:p>
        </w:tc>
        <w:tc>
          <w:tcPr>
            <w:tcW w:w="1440" w:type="dxa"/>
          </w:tcPr>
          <w:p w14:paraId="0C5FBCC2" w14:textId="77777777" w:rsidR="0001734E" w:rsidRDefault="0001734E" w:rsidP="007B3F69">
            <w:pPr>
              <w:pStyle w:val="ListParagraph"/>
            </w:pPr>
            <w:r>
              <w:t>1-21</w:t>
            </w:r>
          </w:p>
        </w:tc>
      </w:tr>
      <w:tr w:rsidR="0001734E" w14:paraId="0C5FBCC6" w14:textId="77777777" w:rsidTr="003A1DB8">
        <w:tc>
          <w:tcPr>
            <w:tcW w:w="1620" w:type="dxa"/>
          </w:tcPr>
          <w:p w14:paraId="0C5FBCC4" w14:textId="77777777" w:rsidR="0001734E" w:rsidRDefault="00F474FA" w:rsidP="007B3F69">
            <w:pPr>
              <w:pStyle w:val="ListParagraph"/>
            </w:pPr>
            <w:r>
              <w:t>28</w:t>
            </w:r>
          </w:p>
        </w:tc>
        <w:tc>
          <w:tcPr>
            <w:tcW w:w="1440" w:type="dxa"/>
          </w:tcPr>
          <w:p w14:paraId="0C5FBCC5" w14:textId="77777777" w:rsidR="0001734E" w:rsidRDefault="00F474FA" w:rsidP="007B3F69">
            <w:pPr>
              <w:pStyle w:val="ListParagraph"/>
            </w:pPr>
            <w:r>
              <w:t>10-15</w:t>
            </w:r>
          </w:p>
        </w:tc>
      </w:tr>
      <w:tr w:rsidR="0001734E" w14:paraId="0C5FBCC9" w14:textId="77777777" w:rsidTr="003A1DB8">
        <w:tc>
          <w:tcPr>
            <w:tcW w:w="1620" w:type="dxa"/>
          </w:tcPr>
          <w:p w14:paraId="0C5FBCC7" w14:textId="77777777" w:rsidR="0001734E" w:rsidRDefault="007834AE" w:rsidP="007B3F69">
            <w:pPr>
              <w:pStyle w:val="ListParagraph"/>
            </w:pPr>
            <w:r>
              <w:t>29</w:t>
            </w:r>
          </w:p>
        </w:tc>
        <w:tc>
          <w:tcPr>
            <w:tcW w:w="1440" w:type="dxa"/>
          </w:tcPr>
          <w:p w14:paraId="0C5FBCC8" w14:textId="77777777" w:rsidR="0001734E" w:rsidRDefault="007834AE" w:rsidP="007B3F69">
            <w:pPr>
              <w:pStyle w:val="ListParagraph"/>
            </w:pPr>
            <w:r>
              <w:t>1-20</w:t>
            </w:r>
          </w:p>
        </w:tc>
      </w:tr>
      <w:tr w:rsidR="007834AE" w14:paraId="0C5FBCCC" w14:textId="77777777" w:rsidTr="003A1DB8">
        <w:tc>
          <w:tcPr>
            <w:tcW w:w="1620" w:type="dxa"/>
          </w:tcPr>
          <w:p w14:paraId="0C5FBCCA" w14:textId="77777777" w:rsidR="007834AE" w:rsidRDefault="007834AE" w:rsidP="007B3F69">
            <w:pPr>
              <w:pStyle w:val="ListParagraph"/>
            </w:pPr>
            <w:r>
              <w:t>30</w:t>
            </w:r>
          </w:p>
        </w:tc>
        <w:tc>
          <w:tcPr>
            <w:tcW w:w="1440" w:type="dxa"/>
          </w:tcPr>
          <w:p w14:paraId="0C5FBCCB" w14:textId="77777777" w:rsidR="007834AE" w:rsidRDefault="007834AE" w:rsidP="007B3F69">
            <w:pPr>
              <w:pStyle w:val="ListParagraph"/>
            </w:pPr>
            <w:r>
              <w:t>1-20</w:t>
            </w:r>
          </w:p>
        </w:tc>
      </w:tr>
      <w:tr w:rsidR="007834AE" w14:paraId="0C5FBCCF" w14:textId="77777777" w:rsidTr="003A1DB8">
        <w:tc>
          <w:tcPr>
            <w:tcW w:w="1620" w:type="dxa"/>
          </w:tcPr>
          <w:p w14:paraId="0C5FBCCD" w14:textId="77777777" w:rsidR="007834AE" w:rsidRDefault="007834AE" w:rsidP="007B3F69">
            <w:pPr>
              <w:pStyle w:val="ListParagraph"/>
            </w:pPr>
            <w:r>
              <w:t>31</w:t>
            </w:r>
          </w:p>
        </w:tc>
        <w:tc>
          <w:tcPr>
            <w:tcW w:w="1440" w:type="dxa"/>
          </w:tcPr>
          <w:p w14:paraId="0C5FBCCE" w14:textId="77777777" w:rsidR="007834AE" w:rsidRDefault="007834AE" w:rsidP="007B3F69">
            <w:pPr>
              <w:pStyle w:val="ListParagraph"/>
            </w:pPr>
            <w:r>
              <w:t>1-18</w:t>
            </w:r>
          </w:p>
        </w:tc>
      </w:tr>
      <w:tr w:rsidR="007834AE" w14:paraId="0C5FBCD2" w14:textId="77777777" w:rsidTr="003A1DB8">
        <w:tc>
          <w:tcPr>
            <w:tcW w:w="1620" w:type="dxa"/>
          </w:tcPr>
          <w:p w14:paraId="0C5FBCD0" w14:textId="77777777" w:rsidR="007834AE" w:rsidRDefault="007834AE" w:rsidP="007B3F69">
            <w:pPr>
              <w:pStyle w:val="ListParagraph"/>
            </w:pPr>
            <w:r>
              <w:t>32</w:t>
            </w:r>
          </w:p>
        </w:tc>
        <w:tc>
          <w:tcPr>
            <w:tcW w:w="1440" w:type="dxa"/>
          </w:tcPr>
          <w:p w14:paraId="0C5FBCD1" w14:textId="77777777" w:rsidR="007834AE" w:rsidRDefault="007834AE" w:rsidP="007B3F69">
            <w:pPr>
              <w:pStyle w:val="ListParagraph"/>
            </w:pPr>
            <w:r>
              <w:t>1-19</w:t>
            </w:r>
          </w:p>
        </w:tc>
      </w:tr>
    </w:tbl>
    <w:p w14:paraId="0C5FBCD3" w14:textId="77777777" w:rsidR="009D7B3C" w:rsidRDefault="009D7B3C" w:rsidP="003A1DB8">
      <w:pPr>
        <w:pStyle w:val="ListParagraph"/>
        <w:jc w:val="center"/>
      </w:pPr>
    </w:p>
    <w:p w14:paraId="0C5FBCD4" w14:textId="77777777" w:rsidR="003A1DB8" w:rsidRDefault="003A1DB8" w:rsidP="003A1DB8">
      <w:pPr>
        <w:pStyle w:val="ListParagraph"/>
        <w:jc w:val="center"/>
        <w:rPr>
          <w:b/>
        </w:rPr>
      </w:pPr>
      <w:r>
        <w:rPr>
          <w:b/>
        </w:rPr>
        <w:t>Exhibit ___</w:t>
      </w:r>
      <w:r w:rsidR="000A52A2">
        <w:rPr>
          <w:b/>
        </w:rPr>
        <w:t xml:space="preserve"> (PK-1T); Testimony of Paul Kajanoff</w:t>
      </w:r>
    </w:p>
    <w:p w14:paraId="0C5FBCD5" w14:textId="77777777" w:rsidR="000A52A2" w:rsidRDefault="000A52A2" w:rsidP="003A1DB8">
      <w:pPr>
        <w:pStyle w:val="ListParagraph"/>
        <w:jc w:val="center"/>
        <w:rPr>
          <w:b/>
        </w:rPr>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CD8" w14:textId="77777777" w:rsidTr="00903975">
        <w:tc>
          <w:tcPr>
            <w:tcW w:w="1620" w:type="dxa"/>
            <w:tcBorders>
              <w:bottom w:val="single" w:sz="4" w:space="0" w:color="auto"/>
            </w:tcBorders>
          </w:tcPr>
          <w:p w14:paraId="0C5FBCD6"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CD7" w14:textId="77777777" w:rsidR="000A52A2" w:rsidRPr="003A1DB8" w:rsidRDefault="000A52A2" w:rsidP="00903975">
            <w:pPr>
              <w:pStyle w:val="ListParagraph"/>
              <w:jc w:val="center"/>
              <w:rPr>
                <w:b/>
              </w:rPr>
            </w:pPr>
            <w:r w:rsidRPr="003A1DB8">
              <w:rPr>
                <w:b/>
              </w:rPr>
              <w:t>Lines</w:t>
            </w:r>
          </w:p>
        </w:tc>
      </w:tr>
      <w:tr w:rsidR="000A52A2" w14:paraId="0C5FBCDB" w14:textId="77777777" w:rsidTr="00903975">
        <w:tc>
          <w:tcPr>
            <w:tcW w:w="1620" w:type="dxa"/>
            <w:tcBorders>
              <w:top w:val="single" w:sz="4" w:space="0" w:color="auto"/>
            </w:tcBorders>
          </w:tcPr>
          <w:p w14:paraId="0C5FBCD9" w14:textId="77777777" w:rsidR="000A52A2" w:rsidRDefault="00743D2E" w:rsidP="007B3F69">
            <w:pPr>
              <w:pStyle w:val="ListParagraph"/>
            </w:pPr>
            <w:r>
              <w:t>9</w:t>
            </w:r>
          </w:p>
        </w:tc>
        <w:tc>
          <w:tcPr>
            <w:tcW w:w="1440" w:type="dxa"/>
            <w:tcBorders>
              <w:top w:val="single" w:sz="4" w:space="0" w:color="auto"/>
            </w:tcBorders>
          </w:tcPr>
          <w:p w14:paraId="0C5FBCDA" w14:textId="77777777" w:rsidR="000A52A2" w:rsidRDefault="00743D2E" w:rsidP="007B3F69">
            <w:pPr>
              <w:pStyle w:val="ListParagraph"/>
            </w:pPr>
            <w:r>
              <w:t>11-19</w:t>
            </w:r>
          </w:p>
        </w:tc>
      </w:tr>
      <w:tr w:rsidR="000A52A2" w14:paraId="0C5FBCDE" w14:textId="77777777" w:rsidTr="00903975">
        <w:tc>
          <w:tcPr>
            <w:tcW w:w="1620" w:type="dxa"/>
          </w:tcPr>
          <w:p w14:paraId="0C5FBCDC" w14:textId="77777777" w:rsidR="000A52A2" w:rsidRDefault="00743D2E" w:rsidP="007B3F69">
            <w:pPr>
              <w:pStyle w:val="ListParagraph"/>
            </w:pPr>
            <w:r>
              <w:t>10</w:t>
            </w:r>
          </w:p>
        </w:tc>
        <w:tc>
          <w:tcPr>
            <w:tcW w:w="1440" w:type="dxa"/>
          </w:tcPr>
          <w:p w14:paraId="0C5FBCDD" w14:textId="77777777" w:rsidR="000A52A2" w:rsidRDefault="00743D2E" w:rsidP="007B3F69">
            <w:pPr>
              <w:pStyle w:val="ListParagraph"/>
            </w:pPr>
            <w:r>
              <w:t>4-5</w:t>
            </w:r>
          </w:p>
        </w:tc>
      </w:tr>
      <w:tr w:rsidR="000A52A2" w14:paraId="0C5FBCE1" w14:textId="77777777" w:rsidTr="00903975">
        <w:tc>
          <w:tcPr>
            <w:tcW w:w="1620" w:type="dxa"/>
          </w:tcPr>
          <w:p w14:paraId="0C5FBCDF" w14:textId="77777777" w:rsidR="000A52A2" w:rsidRDefault="00743D2E" w:rsidP="007B3F69">
            <w:pPr>
              <w:pStyle w:val="ListParagraph"/>
            </w:pPr>
            <w:r>
              <w:t>11</w:t>
            </w:r>
          </w:p>
        </w:tc>
        <w:tc>
          <w:tcPr>
            <w:tcW w:w="1440" w:type="dxa"/>
          </w:tcPr>
          <w:p w14:paraId="0C5FBCE0" w14:textId="77777777" w:rsidR="000A52A2" w:rsidRDefault="00743D2E" w:rsidP="007B3F69">
            <w:pPr>
              <w:pStyle w:val="ListParagraph"/>
            </w:pPr>
            <w:r>
              <w:t>10-21</w:t>
            </w:r>
          </w:p>
        </w:tc>
      </w:tr>
      <w:tr w:rsidR="000A52A2" w14:paraId="0C5FBCE4" w14:textId="77777777" w:rsidTr="00903975">
        <w:tc>
          <w:tcPr>
            <w:tcW w:w="1620" w:type="dxa"/>
          </w:tcPr>
          <w:p w14:paraId="0C5FBCE2" w14:textId="77777777" w:rsidR="000A52A2" w:rsidRDefault="00743D2E" w:rsidP="007B3F69">
            <w:pPr>
              <w:pStyle w:val="ListParagraph"/>
            </w:pPr>
            <w:r>
              <w:t>12</w:t>
            </w:r>
          </w:p>
        </w:tc>
        <w:tc>
          <w:tcPr>
            <w:tcW w:w="1440" w:type="dxa"/>
          </w:tcPr>
          <w:p w14:paraId="0C5FBCE3" w14:textId="77777777" w:rsidR="000A52A2" w:rsidRDefault="00743D2E" w:rsidP="007B3F69">
            <w:pPr>
              <w:pStyle w:val="ListParagraph"/>
            </w:pPr>
            <w:r>
              <w:t>1, 3-8</w:t>
            </w:r>
          </w:p>
        </w:tc>
      </w:tr>
    </w:tbl>
    <w:p w14:paraId="0C5FBCE5" w14:textId="77777777" w:rsidR="000A52A2" w:rsidRDefault="000A52A2" w:rsidP="003A1DB8">
      <w:pPr>
        <w:pStyle w:val="ListParagraph"/>
        <w:jc w:val="center"/>
        <w:rPr>
          <w:b/>
        </w:rPr>
      </w:pPr>
    </w:p>
    <w:p w14:paraId="0C5FBCE6" w14:textId="77777777" w:rsidR="000A52A2" w:rsidRPr="000A52A2" w:rsidRDefault="000A52A2" w:rsidP="003A1DB8">
      <w:pPr>
        <w:pStyle w:val="ListParagraph"/>
        <w:jc w:val="center"/>
        <w:rPr>
          <w:b/>
        </w:rPr>
      </w:pPr>
      <w:r>
        <w:rPr>
          <w:b/>
        </w:rPr>
        <w:t>Exhibit ___ (WAM-1T); Testimony of Wesley A. Marks</w:t>
      </w:r>
    </w:p>
    <w:p w14:paraId="0C5FBCE7" w14:textId="77777777" w:rsidR="009D7B3C" w:rsidRDefault="009D7B3C" w:rsidP="009D7B3C">
      <w:pPr>
        <w:pStyle w:val="ListParagraph"/>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CEA" w14:textId="77777777" w:rsidTr="00903975">
        <w:tc>
          <w:tcPr>
            <w:tcW w:w="1620" w:type="dxa"/>
            <w:tcBorders>
              <w:bottom w:val="single" w:sz="4" w:space="0" w:color="auto"/>
            </w:tcBorders>
          </w:tcPr>
          <w:p w14:paraId="0C5FBCE8"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CE9" w14:textId="77777777" w:rsidR="000A52A2" w:rsidRPr="003A1DB8" w:rsidRDefault="000A52A2" w:rsidP="00903975">
            <w:pPr>
              <w:pStyle w:val="ListParagraph"/>
              <w:jc w:val="center"/>
              <w:rPr>
                <w:b/>
              </w:rPr>
            </w:pPr>
            <w:r w:rsidRPr="003A1DB8">
              <w:rPr>
                <w:b/>
              </w:rPr>
              <w:t>Lines</w:t>
            </w:r>
          </w:p>
        </w:tc>
      </w:tr>
      <w:tr w:rsidR="000A52A2" w14:paraId="0C5FBCED" w14:textId="77777777" w:rsidTr="00903975">
        <w:tc>
          <w:tcPr>
            <w:tcW w:w="1620" w:type="dxa"/>
            <w:tcBorders>
              <w:top w:val="single" w:sz="4" w:space="0" w:color="auto"/>
            </w:tcBorders>
          </w:tcPr>
          <w:p w14:paraId="0C5FBCEB" w14:textId="77777777" w:rsidR="000A52A2" w:rsidRDefault="00F835FA" w:rsidP="007B3F69">
            <w:pPr>
              <w:pStyle w:val="ListParagraph"/>
            </w:pPr>
            <w:r>
              <w:t>2</w:t>
            </w:r>
          </w:p>
        </w:tc>
        <w:tc>
          <w:tcPr>
            <w:tcW w:w="1440" w:type="dxa"/>
            <w:tcBorders>
              <w:top w:val="single" w:sz="4" w:space="0" w:color="auto"/>
            </w:tcBorders>
          </w:tcPr>
          <w:p w14:paraId="0C5FBCEC" w14:textId="77777777" w:rsidR="000A52A2" w:rsidRDefault="00F835FA" w:rsidP="007B3F69">
            <w:pPr>
              <w:pStyle w:val="ListParagraph"/>
            </w:pPr>
            <w:r>
              <w:t>7-12</w:t>
            </w:r>
          </w:p>
        </w:tc>
      </w:tr>
      <w:tr w:rsidR="000A52A2" w14:paraId="0C5FBCF0" w14:textId="77777777" w:rsidTr="00903975">
        <w:tc>
          <w:tcPr>
            <w:tcW w:w="1620" w:type="dxa"/>
          </w:tcPr>
          <w:p w14:paraId="0C5FBCEE" w14:textId="77777777" w:rsidR="000A52A2" w:rsidRDefault="00F835FA" w:rsidP="007B3F69">
            <w:pPr>
              <w:pStyle w:val="ListParagraph"/>
            </w:pPr>
            <w:r>
              <w:t>5</w:t>
            </w:r>
          </w:p>
        </w:tc>
        <w:tc>
          <w:tcPr>
            <w:tcW w:w="1440" w:type="dxa"/>
          </w:tcPr>
          <w:p w14:paraId="0C5FBCEF" w14:textId="77777777" w:rsidR="000A52A2" w:rsidRDefault="00F835FA" w:rsidP="007B3F69">
            <w:pPr>
              <w:pStyle w:val="ListParagraph"/>
            </w:pPr>
            <w:r>
              <w:t>6-20</w:t>
            </w:r>
          </w:p>
        </w:tc>
      </w:tr>
      <w:tr w:rsidR="000A52A2" w14:paraId="0C5FBCF3" w14:textId="77777777" w:rsidTr="00903975">
        <w:tc>
          <w:tcPr>
            <w:tcW w:w="1620" w:type="dxa"/>
          </w:tcPr>
          <w:p w14:paraId="0C5FBCF1" w14:textId="77777777" w:rsidR="000A52A2" w:rsidRDefault="00F835FA" w:rsidP="007B3F69">
            <w:pPr>
              <w:pStyle w:val="ListParagraph"/>
            </w:pPr>
            <w:r>
              <w:t>6</w:t>
            </w:r>
          </w:p>
        </w:tc>
        <w:tc>
          <w:tcPr>
            <w:tcW w:w="1440" w:type="dxa"/>
          </w:tcPr>
          <w:p w14:paraId="0C5FBCF2" w14:textId="77777777" w:rsidR="000A52A2" w:rsidRDefault="00F835FA" w:rsidP="007B3F69">
            <w:pPr>
              <w:pStyle w:val="ListParagraph"/>
            </w:pPr>
            <w:r>
              <w:t>1-21</w:t>
            </w:r>
          </w:p>
        </w:tc>
      </w:tr>
      <w:tr w:rsidR="000A52A2" w14:paraId="0C5FBCF6" w14:textId="77777777" w:rsidTr="00903975">
        <w:tc>
          <w:tcPr>
            <w:tcW w:w="1620" w:type="dxa"/>
          </w:tcPr>
          <w:p w14:paraId="0C5FBCF4" w14:textId="77777777" w:rsidR="000A52A2" w:rsidRDefault="00F835FA" w:rsidP="007B3F69">
            <w:pPr>
              <w:pStyle w:val="ListParagraph"/>
            </w:pPr>
            <w:r>
              <w:t>7</w:t>
            </w:r>
          </w:p>
        </w:tc>
        <w:tc>
          <w:tcPr>
            <w:tcW w:w="1440" w:type="dxa"/>
          </w:tcPr>
          <w:p w14:paraId="0C5FBCF5" w14:textId="77777777" w:rsidR="000A52A2" w:rsidRDefault="00F835FA" w:rsidP="007B3F69">
            <w:pPr>
              <w:pStyle w:val="ListParagraph"/>
            </w:pPr>
            <w:r>
              <w:t>1-21</w:t>
            </w:r>
          </w:p>
        </w:tc>
      </w:tr>
      <w:tr w:rsidR="000A52A2" w14:paraId="0C5FBCF9" w14:textId="77777777" w:rsidTr="00903975">
        <w:tc>
          <w:tcPr>
            <w:tcW w:w="1620" w:type="dxa"/>
          </w:tcPr>
          <w:p w14:paraId="0C5FBCF7" w14:textId="77777777" w:rsidR="000A52A2" w:rsidRDefault="00F835FA" w:rsidP="007B3F69">
            <w:pPr>
              <w:pStyle w:val="ListParagraph"/>
            </w:pPr>
            <w:r>
              <w:t>8</w:t>
            </w:r>
          </w:p>
        </w:tc>
        <w:tc>
          <w:tcPr>
            <w:tcW w:w="1440" w:type="dxa"/>
          </w:tcPr>
          <w:p w14:paraId="0C5FBCF8" w14:textId="77777777" w:rsidR="000A52A2" w:rsidRDefault="00F835FA" w:rsidP="007B3F69">
            <w:pPr>
              <w:pStyle w:val="ListParagraph"/>
            </w:pPr>
            <w:r>
              <w:t>5-17</w:t>
            </w:r>
          </w:p>
        </w:tc>
      </w:tr>
      <w:tr w:rsidR="000A52A2" w14:paraId="0C5FBCFC" w14:textId="77777777" w:rsidTr="00903975">
        <w:tc>
          <w:tcPr>
            <w:tcW w:w="1620" w:type="dxa"/>
          </w:tcPr>
          <w:p w14:paraId="0C5FBCFA" w14:textId="77777777" w:rsidR="000A52A2" w:rsidRDefault="00F835FA" w:rsidP="007B3F69">
            <w:pPr>
              <w:pStyle w:val="ListParagraph"/>
            </w:pPr>
            <w:r>
              <w:t>9</w:t>
            </w:r>
          </w:p>
        </w:tc>
        <w:tc>
          <w:tcPr>
            <w:tcW w:w="1440" w:type="dxa"/>
          </w:tcPr>
          <w:p w14:paraId="0C5FBCFB" w14:textId="77777777" w:rsidR="000A52A2" w:rsidRDefault="00F835FA" w:rsidP="007B3F69">
            <w:pPr>
              <w:pStyle w:val="ListParagraph"/>
            </w:pPr>
            <w:r>
              <w:t>1-6, 8-</w:t>
            </w:r>
            <w:r w:rsidR="0098426D">
              <w:t>16</w:t>
            </w:r>
          </w:p>
        </w:tc>
      </w:tr>
      <w:tr w:rsidR="000A52A2" w14:paraId="0C5FBCFF" w14:textId="77777777" w:rsidTr="00903975">
        <w:tc>
          <w:tcPr>
            <w:tcW w:w="1620" w:type="dxa"/>
          </w:tcPr>
          <w:p w14:paraId="0C5FBCFD" w14:textId="77777777" w:rsidR="000A52A2" w:rsidRDefault="0098426D" w:rsidP="007B3F69">
            <w:pPr>
              <w:pStyle w:val="ListParagraph"/>
            </w:pPr>
            <w:r>
              <w:lastRenderedPageBreak/>
              <w:t>10</w:t>
            </w:r>
          </w:p>
        </w:tc>
        <w:tc>
          <w:tcPr>
            <w:tcW w:w="1440" w:type="dxa"/>
          </w:tcPr>
          <w:p w14:paraId="0C5FBCFE" w14:textId="77777777" w:rsidR="000A52A2" w:rsidRDefault="0098426D" w:rsidP="007B3F69">
            <w:pPr>
              <w:pStyle w:val="ListParagraph"/>
            </w:pPr>
            <w:r>
              <w:t xml:space="preserve">4-6, 9-11, 15-20 </w:t>
            </w:r>
          </w:p>
        </w:tc>
      </w:tr>
      <w:tr w:rsidR="000A52A2" w14:paraId="0C5FBD02" w14:textId="77777777" w:rsidTr="00903975">
        <w:tc>
          <w:tcPr>
            <w:tcW w:w="1620" w:type="dxa"/>
          </w:tcPr>
          <w:p w14:paraId="0C5FBD00" w14:textId="77777777" w:rsidR="000A52A2" w:rsidRDefault="0098426D" w:rsidP="007B3F69">
            <w:pPr>
              <w:pStyle w:val="ListParagraph"/>
            </w:pPr>
            <w:r>
              <w:t>11</w:t>
            </w:r>
          </w:p>
        </w:tc>
        <w:tc>
          <w:tcPr>
            <w:tcW w:w="1440" w:type="dxa"/>
          </w:tcPr>
          <w:p w14:paraId="0C5FBD01" w14:textId="77777777" w:rsidR="000A52A2" w:rsidRDefault="0098426D" w:rsidP="007B3F69">
            <w:pPr>
              <w:pStyle w:val="ListParagraph"/>
            </w:pPr>
            <w:r>
              <w:t>1-12</w:t>
            </w:r>
          </w:p>
        </w:tc>
      </w:tr>
      <w:tr w:rsidR="00246275" w14:paraId="0C5FBD05" w14:textId="77777777" w:rsidTr="00903975">
        <w:tc>
          <w:tcPr>
            <w:tcW w:w="1620" w:type="dxa"/>
          </w:tcPr>
          <w:p w14:paraId="0C5FBD03" w14:textId="77777777" w:rsidR="00246275" w:rsidRDefault="0098426D" w:rsidP="007B3F69">
            <w:pPr>
              <w:pStyle w:val="ListParagraph"/>
            </w:pPr>
            <w:r>
              <w:t>12</w:t>
            </w:r>
          </w:p>
        </w:tc>
        <w:tc>
          <w:tcPr>
            <w:tcW w:w="1440" w:type="dxa"/>
          </w:tcPr>
          <w:p w14:paraId="0C5FBD04" w14:textId="77777777" w:rsidR="00246275" w:rsidRDefault="0098426D" w:rsidP="007B3F69">
            <w:pPr>
              <w:pStyle w:val="ListParagraph"/>
            </w:pPr>
            <w:r>
              <w:t>1-21</w:t>
            </w:r>
          </w:p>
        </w:tc>
      </w:tr>
      <w:tr w:rsidR="0098426D" w14:paraId="0C5FBD08" w14:textId="77777777" w:rsidTr="00903975">
        <w:tc>
          <w:tcPr>
            <w:tcW w:w="1620" w:type="dxa"/>
          </w:tcPr>
          <w:p w14:paraId="0C5FBD06" w14:textId="77777777" w:rsidR="0098426D" w:rsidRDefault="0098426D" w:rsidP="007B3F69">
            <w:pPr>
              <w:pStyle w:val="ListParagraph"/>
            </w:pPr>
            <w:r>
              <w:t>13</w:t>
            </w:r>
          </w:p>
        </w:tc>
        <w:tc>
          <w:tcPr>
            <w:tcW w:w="1440" w:type="dxa"/>
          </w:tcPr>
          <w:p w14:paraId="0C5FBD07" w14:textId="77777777" w:rsidR="0098426D" w:rsidRDefault="0098426D" w:rsidP="007B3F69">
            <w:pPr>
              <w:pStyle w:val="ListParagraph"/>
            </w:pPr>
            <w:r>
              <w:t>1-19</w:t>
            </w:r>
          </w:p>
        </w:tc>
      </w:tr>
      <w:tr w:rsidR="0098426D" w14:paraId="0C5FBD0B" w14:textId="77777777" w:rsidTr="00903975">
        <w:tc>
          <w:tcPr>
            <w:tcW w:w="1620" w:type="dxa"/>
          </w:tcPr>
          <w:p w14:paraId="0C5FBD09" w14:textId="77777777" w:rsidR="0098426D" w:rsidRDefault="0098426D" w:rsidP="007B3F69">
            <w:pPr>
              <w:pStyle w:val="ListParagraph"/>
            </w:pPr>
            <w:r>
              <w:t>14</w:t>
            </w:r>
          </w:p>
        </w:tc>
        <w:tc>
          <w:tcPr>
            <w:tcW w:w="1440" w:type="dxa"/>
          </w:tcPr>
          <w:p w14:paraId="0C5FBD0A" w14:textId="77777777" w:rsidR="0098426D" w:rsidRDefault="0098426D" w:rsidP="007B3F69">
            <w:pPr>
              <w:pStyle w:val="ListParagraph"/>
            </w:pPr>
            <w:r>
              <w:t>1-5</w:t>
            </w:r>
          </w:p>
        </w:tc>
      </w:tr>
      <w:tr w:rsidR="0098426D" w14:paraId="0C5FBD0E" w14:textId="77777777" w:rsidTr="00903975">
        <w:tc>
          <w:tcPr>
            <w:tcW w:w="1620" w:type="dxa"/>
          </w:tcPr>
          <w:p w14:paraId="0C5FBD0C" w14:textId="77777777" w:rsidR="0098426D" w:rsidRDefault="0098426D" w:rsidP="007B3F69">
            <w:pPr>
              <w:pStyle w:val="ListParagraph"/>
            </w:pPr>
            <w:r>
              <w:t>15</w:t>
            </w:r>
          </w:p>
        </w:tc>
        <w:tc>
          <w:tcPr>
            <w:tcW w:w="1440" w:type="dxa"/>
          </w:tcPr>
          <w:p w14:paraId="0C5FBD0D" w14:textId="77777777" w:rsidR="0098426D" w:rsidRDefault="0098426D" w:rsidP="007B3F69">
            <w:pPr>
              <w:pStyle w:val="ListParagraph"/>
            </w:pPr>
            <w:r>
              <w:t>15-20</w:t>
            </w:r>
          </w:p>
        </w:tc>
      </w:tr>
      <w:tr w:rsidR="0098426D" w14:paraId="0C5FBD11" w14:textId="77777777" w:rsidTr="00903975">
        <w:tc>
          <w:tcPr>
            <w:tcW w:w="1620" w:type="dxa"/>
          </w:tcPr>
          <w:p w14:paraId="0C5FBD0F" w14:textId="77777777" w:rsidR="0098426D" w:rsidRDefault="0098426D" w:rsidP="007B3F69">
            <w:pPr>
              <w:pStyle w:val="ListParagraph"/>
            </w:pPr>
            <w:r>
              <w:t>16</w:t>
            </w:r>
          </w:p>
        </w:tc>
        <w:tc>
          <w:tcPr>
            <w:tcW w:w="1440" w:type="dxa"/>
          </w:tcPr>
          <w:p w14:paraId="0C5FBD10" w14:textId="77777777" w:rsidR="0098426D" w:rsidRDefault="0098426D" w:rsidP="007B3F69">
            <w:pPr>
              <w:pStyle w:val="ListParagraph"/>
            </w:pPr>
            <w:r>
              <w:t>1-3</w:t>
            </w:r>
          </w:p>
        </w:tc>
      </w:tr>
      <w:tr w:rsidR="0098426D" w14:paraId="0C5FBD14" w14:textId="77777777" w:rsidTr="00903975">
        <w:tc>
          <w:tcPr>
            <w:tcW w:w="1620" w:type="dxa"/>
          </w:tcPr>
          <w:p w14:paraId="0C5FBD12" w14:textId="77777777" w:rsidR="0098426D" w:rsidRDefault="006B6FD4" w:rsidP="007B3F69">
            <w:pPr>
              <w:pStyle w:val="ListParagraph"/>
            </w:pPr>
            <w:r>
              <w:t>19</w:t>
            </w:r>
          </w:p>
        </w:tc>
        <w:tc>
          <w:tcPr>
            <w:tcW w:w="1440" w:type="dxa"/>
          </w:tcPr>
          <w:p w14:paraId="0C5FBD13" w14:textId="77777777" w:rsidR="0098426D" w:rsidRDefault="006B6FD4" w:rsidP="007B3F69">
            <w:pPr>
              <w:pStyle w:val="ListParagraph"/>
            </w:pPr>
            <w:r>
              <w:t>8-20</w:t>
            </w:r>
          </w:p>
        </w:tc>
      </w:tr>
      <w:tr w:rsidR="006B6FD4" w14:paraId="0C5FBD17" w14:textId="77777777" w:rsidTr="00903975">
        <w:tc>
          <w:tcPr>
            <w:tcW w:w="1620" w:type="dxa"/>
          </w:tcPr>
          <w:p w14:paraId="0C5FBD15" w14:textId="77777777" w:rsidR="006B6FD4" w:rsidRDefault="006B6FD4" w:rsidP="007B3F69">
            <w:pPr>
              <w:pStyle w:val="ListParagraph"/>
            </w:pPr>
            <w:r>
              <w:t>20</w:t>
            </w:r>
          </w:p>
        </w:tc>
        <w:tc>
          <w:tcPr>
            <w:tcW w:w="1440" w:type="dxa"/>
          </w:tcPr>
          <w:p w14:paraId="0C5FBD16" w14:textId="77777777" w:rsidR="006B6FD4" w:rsidRDefault="006B6FD4" w:rsidP="007B3F69">
            <w:pPr>
              <w:pStyle w:val="ListParagraph"/>
            </w:pPr>
            <w:r>
              <w:t>1-21</w:t>
            </w:r>
          </w:p>
        </w:tc>
      </w:tr>
      <w:tr w:rsidR="006B6FD4" w14:paraId="0C5FBD1A" w14:textId="77777777" w:rsidTr="00903975">
        <w:tc>
          <w:tcPr>
            <w:tcW w:w="1620" w:type="dxa"/>
          </w:tcPr>
          <w:p w14:paraId="0C5FBD18" w14:textId="77777777" w:rsidR="006B6FD4" w:rsidRDefault="006B6FD4" w:rsidP="007B3F69">
            <w:pPr>
              <w:pStyle w:val="ListParagraph"/>
            </w:pPr>
            <w:r>
              <w:t>21</w:t>
            </w:r>
          </w:p>
        </w:tc>
        <w:tc>
          <w:tcPr>
            <w:tcW w:w="1440" w:type="dxa"/>
          </w:tcPr>
          <w:p w14:paraId="0C5FBD19" w14:textId="77777777" w:rsidR="006B6FD4" w:rsidRDefault="006B6FD4" w:rsidP="007B3F69">
            <w:pPr>
              <w:pStyle w:val="ListParagraph"/>
            </w:pPr>
            <w:r>
              <w:t>1-11</w:t>
            </w:r>
          </w:p>
        </w:tc>
      </w:tr>
      <w:tr w:rsidR="006B6FD4" w14:paraId="0C5FBD1D" w14:textId="77777777" w:rsidTr="00903975">
        <w:tc>
          <w:tcPr>
            <w:tcW w:w="1620" w:type="dxa"/>
          </w:tcPr>
          <w:p w14:paraId="0C5FBD1B" w14:textId="77777777" w:rsidR="006B6FD4" w:rsidRDefault="006B6FD4" w:rsidP="007B3F69">
            <w:pPr>
              <w:pStyle w:val="ListParagraph"/>
            </w:pPr>
            <w:r>
              <w:t>22</w:t>
            </w:r>
          </w:p>
        </w:tc>
        <w:tc>
          <w:tcPr>
            <w:tcW w:w="1440" w:type="dxa"/>
          </w:tcPr>
          <w:p w14:paraId="0C5FBD1C" w14:textId="77777777" w:rsidR="006B6FD4" w:rsidRDefault="006B6FD4" w:rsidP="007B3F69">
            <w:pPr>
              <w:pStyle w:val="ListParagraph"/>
            </w:pPr>
            <w:r>
              <w:t>3-21</w:t>
            </w:r>
          </w:p>
        </w:tc>
      </w:tr>
      <w:tr w:rsidR="006B6FD4" w14:paraId="0C5FBD20" w14:textId="77777777" w:rsidTr="00903975">
        <w:tc>
          <w:tcPr>
            <w:tcW w:w="1620" w:type="dxa"/>
          </w:tcPr>
          <w:p w14:paraId="0C5FBD1E" w14:textId="77777777" w:rsidR="006B6FD4" w:rsidRDefault="006B6FD4" w:rsidP="007B3F69">
            <w:pPr>
              <w:pStyle w:val="ListParagraph"/>
            </w:pPr>
            <w:r>
              <w:t>23</w:t>
            </w:r>
          </w:p>
        </w:tc>
        <w:tc>
          <w:tcPr>
            <w:tcW w:w="1440" w:type="dxa"/>
          </w:tcPr>
          <w:p w14:paraId="0C5FBD1F" w14:textId="77777777" w:rsidR="006B6FD4" w:rsidRDefault="006B6FD4" w:rsidP="007B3F69">
            <w:pPr>
              <w:pStyle w:val="ListParagraph"/>
            </w:pPr>
            <w:r>
              <w:t>1-21</w:t>
            </w:r>
          </w:p>
        </w:tc>
      </w:tr>
      <w:tr w:rsidR="006B6FD4" w14:paraId="0C5FBD23" w14:textId="77777777" w:rsidTr="00903975">
        <w:tc>
          <w:tcPr>
            <w:tcW w:w="1620" w:type="dxa"/>
          </w:tcPr>
          <w:p w14:paraId="0C5FBD21" w14:textId="77777777" w:rsidR="006B6FD4" w:rsidRDefault="006B6FD4" w:rsidP="007B3F69">
            <w:pPr>
              <w:pStyle w:val="ListParagraph"/>
            </w:pPr>
            <w:r>
              <w:t>24</w:t>
            </w:r>
          </w:p>
        </w:tc>
        <w:tc>
          <w:tcPr>
            <w:tcW w:w="1440" w:type="dxa"/>
          </w:tcPr>
          <w:p w14:paraId="0C5FBD22" w14:textId="77777777" w:rsidR="006B6FD4" w:rsidRDefault="006B6FD4" w:rsidP="007B3F69">
            <w:pPr>
              <w:pStyle w:val="ListParagraph"/>
            </w:pPr>
            <w:r>
              <w:t>1-13</w:t>
            </w:r>
          </w:p>
        </w:tc>
      </w:tr>
    </w:tbl>
    <w:p w14:paraId="0C5FBD24" w14:textId="77777777" w:rsidR="009D7B3C" w:rsidRDefault="009D7B3C" w:rsidP="009D7B3C">
      <w:pPr>
        <w:pStyle w:val="ListParagraph"/>
      </w:pPr>
    </w:p>
    <w:p w14:paraId="0C5FBD25" w14:textId="77777777" w:rsidR="000A52A2" w:rsidRDefault="006C131C" w:rsidP="00A53F7D">
      <w:pPr>
        <w:pStyle w:val="Heading3"/>
        <w:numPr>
          <w:ilvl w:val="0"/>
          <w:numId w:val="17"/>
        </w:numPr>
        <w:spacing w:line="240" w:lineRule="auto"/>
        <w:rPr>
          <w:b/>
        </w:rPr>
      </w:pPr>
      <w:r>
        <w:rPr>
          <w:b/>
        </w:rPr>
        <w:t xml:space="preserve">Attempts to reopen the application record </w:t>
      </w:r>
      <w:r w:rsidR="000A3B40">
        <w:rPr>
          <w:b/>
        </w:rPr>
        <w:t>by arguing</w:t>
      </w:r>
      <w:r>
        <w:rPr>
          <w:b/>
        </w:rPr>
        <w:t xml:space="preserve"> about market sustainability</w:t>
      </w:r>
    </w:p>
    <w:p w14:paraId="0C5FBD26" w14:textId="77777777" w:rsidR="00F474FA" w:rsidRDefault="00E473DC" w:rsidP="00F474FA">
      <w:pPr>
        <w:pStyle w:val="Heading3"/>
      </w:pPr>
      <w:r>
        <w:t xml:space="preserve">As part of </w:t>
      </w:r>
      <w:r w:rsidR="009D1D50">
        <w:t>an</w:t>
      </w:r>
      <w:r>
        <w:t xml:space="preserve"> </w:t>
      </w:r>
      <w:r w:rsidR="002428CD">
        <w:t xml:space="preserve">auto transportation </w:t>
      </w:r>
      <w:r>
        <w:t>application proceeding, the Commission is permitted to consider evidence regarding the sustainability of a particular service pursuant to WAC 480-30-140(b), which provides in part: “[t]he Commission will also consider whether increased competition will benefit the travelling public, including its possible impact on sustainability of service.”  Shuttle Express fully participated in the BAP</w:t>
      </w:r>
      <w:r w:rsidR="009D1D50">
        <w:t xml:space="preserve"> by which Speedishuttle’s certificate was granted,</w:t>
      </w:r>
      <w:r>
        <w:t xml:space="preserve"> and had </w:t>
      </w:r>
      <w:r w:rsidR="000A3B40">
        <w:t>ample</w:t>
      </w:r>
      <w:r>
        <w:t xml:space="preserve"> opportunity to submit evidence of sustainability of service at that time.  After considering the evidence actually presented</w:t>
      </w:r>
      <w:r w:rsidR="009D1D50">
        <w:t xml:space="preserve"> in the BAP</w:t>
      </w:r>
      <w:r>
        <w:t xml:space="preserve">, the Commission </w:t>
      </w:r>
      <w:r w:rsidR="002428CD">
        <w:t xml:space="preserve">nevertheless </w:t>
      </w:r>
      <w:r>
        <w:t xml:space="preserve">determined that </w:t>
      </w:r>
      <w:r w:rsidR="000A3B40">
        <w:t xml:space="preserve">Shuttle Express’ objection should be </w:t>
      </w:r>
      <w:r w:rsidR="0079163B">
        <w:t xml:space="preserve">overruled and </w:t>
      </w:r>
      <w:r>
        <w:t>Speedishuttle’s application should be granted.</w:t>
      </w:r>
    </w:p>
    <w:p w14:paraId="0C5FBD27" w14:textId="77777777" w:rsidR="00E473DC" w:rsidRDefault="00E473DC" w:rsidP="00F474FA">
      <w:pPr>
        <w:pStyle w:val="Heading3"/>
      </w:pPr>
      <w:r>
        <w:t xml:space="preserve">Now, Shuttle Express attempts to inject into this rehearing </w:t>
      </w:r>
      <w:r w:rsidR="009D1D50">
        <w:t xml:space="preserve">(which </w:t>
      </w:r>
      <w:r w:rsidR="002428CD">
        <w:t xml:space="preserve">again </w:t>
      </w:r>
      <w:r w:rsidR="009D1D50">
        <w:t xml:space="preserve">has been limited to determining </w:t>
      </w:r>
      <w:r>
        <w:t>what service Speedishuttle is actually providing</w:t>
      </w:r>
      <w:r w:rsidR="009D1D50">
        <w:t>)</w:t>
      </w:r>
      <w:r>
        <w:t xml:space="preserve"> it</w:t>
      </w:r>
      <w:r w:rsidR="009D1D50">
        <w:t xml:space="preserve">s contention that it has a natural monopoly </w:t>
      </w:r>
      <w:r w:rsidR="002428CD">
        <w:t xml:space="preserve">under RCW 81.68 </w:t>
      </w:r>
      <w:r w:rsidR="009D1D50">
        <w:t>and that</w:t>
      </w:r>
      <w:r>
        <w:t xml:space="preserve"> the market cannot sustain multiple providers.  Shuttle Express’ analysis is fatally flawed and can never support the conclusion offered with respect to sustainability of service</w:t>
      </w:r>
      <w:r w:rsidR="002428CD">
        <w:t xml:space="preserve">. </w:t>
      </w:r>
      <w:r>
        <w:t xml:space="preserve"> </w:t>
      </w:r>
      <w:r w:rsidR="002428CD" w:rsidRPr="00C36CCA">
        <w:rPr>
          <w:u w:val="single"/>
        </w:rPr>
        <w:t>T</w:t>
      </w:r>
      <w:r w:rsidRPr="00C36CCA">
        <w:rPr>
          <w:u w:val="single"/>
        </w:rPr>
        <w:t xml:space="preserve">his </w:t>
      </w:r>
      <w:r w:rsidR="002428CD" w:rsidRPr="00C36CCA">
        <w:rPr>
          <w:u w:val="single"/>
        </w:rPr>
        <w:t xml:space="preserve">factor </w:t>
      </w:r>
      <w:r w:rsidRPr="00C36CCA">
        <w:rPr>
          <w:u w:val="single"/>
        </w:rPr>
        <w:t>should be and has been excluded from this proceeding</w:t>
      </w:r>
      <w:r>
        <w:t>.</w:t>
      </w:r>
    </w:p>
    <w:p w14:paraId="0C5FBD28" w14:textId="77777777" w:rsidR="00E473DC" w:rsidRDefault="00E473DC" w:rsidP="00F474FA">
      <w:pPr>
        <w:pStyle w:val="Heading3"/>
      </w:pPr>
      <w:r>
        <w:lastRenderedPageBreak/>
        <w:t xml:space="preserve">Not only does </w:t>
      </w:r>
      <w:r w:rsidR="00C36CCA">
        <w:t xml:space="preserve">market </w:t>
      </w:r>
      <w:r w:rsidR="002428CD">
        <w:t xml:space="preserve">sustainability </w:t>
      </w:r>
      <w:r>
        <w:t xml:space="preserve">exceed the scope of the Commission’s ruling on this proceeding in Order 08, the argument is not </w:t>
      </w:r>
      <w:r w:rsidR="00C36CCA">
        <w:t xml:space="preserve">actually </w:t>
      </w:r>
      <w:r>
        <w:t>based on new evidence.  In Docket No. TC-132141,</w:t>
      </w:r>
      <w:r w:rsidR="00C60E7F">
        <w:t xml:space="preserve"> the proceeding on</w:t>
      </w:r>
      <w:r>
        <w:t xml:space="preserve"> Shuttle Express’ </w:t>
      </w:r>
      <w:r w:rsidR="002428CD">
        <w:t xml:space="preserve">earlier </w:t>
      </w:r>
      <w:r w:rsidR="00C60E7F">
        <w:t>Petition for Exemption from WAC 480-30-213(2) and WAC 480-30-456, Shuttle Expre</w:t>
      </w:r>
      <w:r w:rsidR="002951D3">
        <w:t>ss filed the Declaration of Jim</w:t>
      </w:r>
      <w:r w:rsidR="00B14FB0">
        <w:t>m</w:t>
      </w:r>
      <w:r w:rsidR="00C60E7F">
        <w:t>y</w:t>
      </w:r>
      <w:r w:rsidR="00B14FB0">
        <w:t xml:space="preserve"> [sic]</w:t>
      </w:r>
      <w:r w:rsidR="00C60E7F">
        <w:t xml:space="preserve"> Sherrell</w:t>
      </w:r>
      <w:r w:rsidR="000A3B40">
        <w:t>, which is attached hereto as Exhibit 1 and incorporated by reference herein</w:t>
      </w:r>
      <w:r w:rsidR="00C60E7F">
        <w:t>.  In that declaration, dated November 19, 2013, Mr. Sherrell stated</w:t>
      </w:r>
      <w:r w:rsidR="002951D3">
        <w:t>,</w:t>
      </w:r>
      <w:r w:rsidR="00C60E7F">
        <w:t xml:space="preserve"> under oath</w:t>
      </w:r>
      <w:r w:rsidR="002951D3">
        <w:t>,</w:t>
      </w:r>
      <w:r w:rsidR="00C60E7F">
        <w:t xml:space="preserve"> “[f]rom its inception, we have had to use some form of rescue service for its door-to-door service due to the unique type of operation that we are.  This share ride door-to-door service we offer is </w:t>
      </w:r>
      <w:r w:rsidR="00C36CCA">
        <w:t xml:space="preserve">not </w:t>
      </w:r>
      <w:r w:rsidR="00C60E7F">
        <w:t>viable without rescue service.”</w:t>
      </w:r>
      <w:r w:rsidR="000A3B40">
        <w:rPr>
          <w:rStyle w:val="FootnoteReference"/>
        </w:rPr>
        <w:footnoteReference w:id="29"/>
      </w:r>
      <w:r w:rsidR="00C60E7F">
        <w:t xml:space="preserve">  Similarly, in its </w:t>
      </w:r>
      <w:r w:rsidR="002951D3">
        <w:t xml:space="preserve">recent </w:t>
      </w:r>
      <w:r w:rsidR="00C60E7F">
        <w:t xml:space="preserve">Petition for Limited and Conditional Exemption, filed June 17, 2016, Shuttle Express represented to the Commission “[i]t has always been a challenge to provide a regulated share ride service in the Seattle area as an auto transportation company on a sustainable basis.” </w:t>
      </w:r>
      <w:r w:rsidR="00C60E7F">
        <w:rPr>
          <w:rStyle w:val="FootnoteReference"/>
        </w:rPr>
        <w:footnoteReference w:id="30"/>
      </w:r>
      <w:r w:rsidR="0079163B">
        <w:t xml:space="preserve">  In short, Shuttle Express’ increasingly alarming contentions about marke</w:t>
      </w:r>
      <w:r w:rsidR="00884FDE">
        <w:t xml:space="preserve">t sustainability are hardly new, </w:t>
      </w:r>
      <w:r w:rsidR="0079163B">
        <w:t>unfamiliar</w:t>
      </w:r>
      <w:r w:rsidR="00884FDE">
        <w:t xml:space="preserve"> or unique to this proceeding</w:t>
      </w:r>
      <w:r w:rsidR="0079163B">
        <w:t>.</w:t>
      </w:r>
    </w:p>
    <w:p w14:paraId="0C5FBD29" w14:textId="77777777" w:rsidR="009D1D50" w:rsidRDefault="009C6BCF" w:rsidP="000A3B40">
      <w:pPr>
        <w:pStyle w:val="Heading3"/>
      </w:pPr>
      <w:r>
        <w:t>Despite Shuttle Express’ long insistence that a regulated door-to-door service is unviable</w:t>
      </w:r>
      <w:r w:rsidR="002951D3">
        <w:t xml:space="preserve"> </w:t>
      </w:r>
      <w:r w:rsidR="00C36CCA">
        <w:t xml:space="preserve">without changes or exceptions to law and rule </w:t>
      </w:r>
      <w:r w:rsidR="002951D3">
        <w:t xml:space="preserve">which it now seeks to blame </w:t>
      </w:r>
      <w:r w:rsidR="000A3B40">
        <w:t xml:space="preserve">solely </w:t>
      </w:r>
      <w:r w:rsidR="002951D3">
        <w:t>on Speedishuttle</w:t>
      </w:r>
      <w:r w:rsidR="00C36CCA">
        <w:t>,</w:t>
      </w:r>
      <w:r w:rsidR="000A3B40">
        <w:t xml:space="preserve"> </w:t>
      </w:r>
      <w:r w:rsidR="00C36CCA">
        <w:t xml:space="preserve">its testimony </w:t>
      </w:r>
      <w:r w:rsidR="0079163B">
        <w:t xml:space="preserve">brazenly and </w:t>
      </w:r>
      <w:r w:rsidR="002951D3">
        <w:t xml:space="preserve">retroactively </w:t>
      </w:r>
      <w:r>
        <w:t xml:space="preserve">attacks the Commission’s determination in Order 04 under the guise of </w:t>
      </w:r>
      <w:r w:rsidR="002951D3">
        <w:t>“</w:t>
      </w:r>
      <w:r>
        <w:t>new evidence.</w:t>
      </w:r>
      <w:r w:rsidR="002951D3">
        <w:t>”</w:t>
      </w:r>
      <w:r>
        <w:t xml:space="preserve">  </w:t>
      </w:r>
    </w:p>
    <w:p w14:paraId="0C5FBD2A" w14:textId="77777777" w:rsidR="00BB1DD5" w:rsidRDefault="002951D3" w:rsidP="009D1D50">
      <w:pPr>
        <w:pStyle w:val="Heading3"/>
      </w:pPr>
      <w:r>
        <w:t>Indeed, t</w:t>
      </w:r>
      <w:r w:rsidR="009D1D50">
        <w:t xml:space="preserve">his </w:t>
      </w:r>
      <w:r w:rsidR="000A3B40">
        <w:t xml:space="preserve">retroactive </w:t>
      </w:r>
      <w:r>
        <w:t xml:space="preserve">interpretative assault </w:t>
      </w:r>
      <w:r w:rsidR="00743D2E">
        <w:t>is woven throughout the</w:t>
      </w:r>
      <w:r w:rsidR="009D1D50">
        <w:t xml:space="preserve"> testimony submitted </w:t>
      </w:r>
      <w:r w:rsidR="0079163B">
        <w:t xml:space="preserve">by </w:t>
      </w:r>
      <w:r w:rsidR="009D1D50">
        <w:t xml:space="preserve">Paul Kajanoff, who personally participated in the BAP.  Curiously, Mr. Kajanoff’s testimony </w:t>
      </w:r>
      <w:r w:rsidR="000A3B40">
        <w:t xml:space="preserve">even </w:t>
      </w:r>
      <w:r w:rsidR="009D1D50">
        <w:t xml:space="preserve">alludes to its own irrelevance and </w:t>
      </w:r>
      <w:r w:rsidR="00BB1DD5">
        <w:t>in</w:t>
      </w:r>
      <w:r w:rsidR="009D1D50">
        <w:t xml:space="preserve">admissibility when faulting the lack of data availability </w:t>
      </w:r>
      <w:r w:rsidR="000A3B40">
        <w:lastRenderedPageBreak/>
        <w:t xml:space="preserve">in </w:t>
      </w:r>
      <w:r w:rsidR="009D1D50">
        <w:t>the Administrative Law Judge’s discovery rulings</w:t>
      </w:r>
      <w:r w:rsidR="00BB1DD5">
        <w:t>, which had</w:t>
      </w:r>
      <w:r w:rsidR="009D1D50">
        <w:t xml:space="preserve"> sustain</w:t>
      </w:r>
      <w:r w:rsidR="00BB1DD5">
        <w:t>ed</w:t>
      </w:r>
      <w:r w:rsidR="009D1D50">
        <w:t xml:space="preserve"> Speedishuttle’s objections to Shuttle Express’ Data Requests</w:t>
      </w:r>
      <w:r w:rsidR="00BB1DD5">
        <w:t>, stating</w:t>
      </w:r>
      <w:r w:rsidR="00C36CCA">
        <w:t>…</w:t>
      </w:r>
      <w:r w:rsidR="00BB1DD5">
        <w:t xml:space="preserve"> </w:t>
      </w:r>
    </w:p>
    <w:p w14:paraId="0C5FBD2B" w14:textId="77777777" w:rsidR="009D1D50" w:rsidRDefault="00BB1DD5" w:rsidP="00415848">
      <w:pPr>
        <w:pStyle w:val="Heading3"/>
        <w:numPr>
          <w:ilvl w:val="0"/>
          <w:numId w:val="0"/>
        </w:numPr>
        <w:spacing w:after="240" w:line="240" w:lineRule="auto"/>
        <w:ind w:left="1440" w:right="1440"/>
      </w:pPr>
      <w:r>
        <w:t>We asked for more detailed statistical date</w:t>
      </w:r>
      <w:r w:rsidR="002951D3">
        <w:t xml:space="preserve"> [sic]</w:t>
      </w:r>
      <w:r>
        <w:t xml:space="preserve"> on Speedishuttle’s trip and passenger counts in Data Request No. 6.  Speedishuttle objected to that request, and provided no useful data.  The ALJ denied our request to compel a substantive response.  The data above came from a public records request to the Port of Seattle.</w:t>
      </w:r>
      <w:r>
        <w:rPr>
          <w:rStyle w:val="FootnoteReference"/>
        </w:rPr>
        <w:footnoteReference w:id="31"/>
      </w:r>
    </w:p>
    <w:p w14:paraId="0C5FBD2C" w14:textId="77777777" w:rsidR="009D1D50" w:rsidRDefault="00415848" w:rsidP="009D1D50">
      <w:pPr>
        <w:pStyle w:val="Heading3"/>
        <w:numPr>
          <w:ilvl w:val="0"/>
          <w:numId w:val="0"/>
        </w:numPr>
      </w:pPr>
      <w:r>
        <w:t>Nonetheless, Mr. Kajanoff speculates that Speedishuttle is taking away downtown hotel business from Shuttle Express and</w:t>
      </w:r>
      <w:r w:rsidR="002951D3">
        <w:t xml:space="preserve"> allegedly</w:t>
      </w:r>
      <w:r>
        <w:t xml:space="preserve"> somehow avoids serving the rest of King County, which Shuttle Express claims it </w:t>
      </w:r>
      <w:r w:rsidR="002951D3">
        <w:t xml:space="preserve">requires </w:t>
      </w:r>
      <w:r>
        <w:t xml:space="preserve">in order to </w:t>
      </w:r>
      <w:r w:rsidR="002951D3">
        <w:t>remain</w:t>
      </w:r>
      <w:r>
        <w:t xml:space="preserve"> in operation (without demonstrating why that would be).</w:t>
      </w:r>
      <w:r>
        <w:rPr>
          <w:rStyle w:val="FootnoteReference"/>
        </w:rPr>
        <w:footnoteReference w:id="32"/>
      </w:r>
      <w:r w:rsidR="0012337D">
        <w:t xml:space="preserve">  Taken together with the testimony of Don Wood and Wesley A. Marks, Shuttle Express </w:t>
      </w:r>
      <w:r w:rsidR="002951D3">
        <w:t xml:space="preserve">advances </w:t>
      </w:r>
      <w:r w:rsidR="0012337D">
        <w:t xml:space="preserve">a conclusion that door-to-door share ride service cannot be sustained in King County if there are two providers.  </w:t>
      </w:r>
      <w:r w:rsidR="0079163B">
        <w:t>Again, t</w:t>
      </w:r>
      <w:r w:rsidR="0012337D">
        <w:t xml:space="preserve">his </w:t>
      </w:r>
      <w:r w:rsidR="002951D3">
        <w:t xml:space="preserve">is hardly a novel or contemporaneous </w:t>
      </w:r>
      <w:r w:rsidR="00AF3689">
        <w:t xml:space="preserve">charge </w:t>
      </w:r>
      <w:r w:rsidR="0012337D">
        <w:t xml:space="preserve">by Shuttle </w:t>
      </w:r>
      <w:r w:rsidR="002951D3">
        <w:t>Express</w:t>
      </w:r>
      <w:r w:rsidR="0012337D">
        <w:t xml:space="preserve"> and it is </w:t>
      </w:r>
      <w:r w:rsidR="002951D3">
        <w:t>un</w:t>
      </w:r>
      <w:r w:rsidR="0012337D">
        <w:t>supported by any facts</w:t>
      </w:r>
      <w:r w:rsidR="00AF3689">
        <w:t xml:space="preserve"> assuming those facts were even material or relevant to this proceeding</w:t>
      </w:r>
      <w:r w:rsidR="0012337D">
        <w:t>.  Thus</w:t>
      </w:r>
      <w:r w:rsidR="002951D3">
        <w:t xml:space="preserve"> again</w:t>
      </w:r>
      <w:r w:rsidR="0012337D">
        <w:t>, this irrelevant testimony should be excluded on multiple grounds.</w:t>
      </w:r>
    </w:p>
    <w:p w14:paraId="0C5FBD2D" w14:textId="77777777" w:rsidR="009D1D50" w:rsidRDefault="00415848" w:rsidP="00415848">
      <w:pPr>
        <w:pStyle w:val="Heading3"/>
      </w:pPr>
      <w:r>
        <w:t xml:space="preserve">The testimony </w:t>
      </w:r>
      <w:r w:rsidR="00912F7E">
        <w:t xml:space="preserve">here </w:t>
      </w:r>
      <w:r>
        <w:t xml:space="preserve">which should be excluded </w:t>
      </w:r>
      <w:r w:rsidR="00AF3689">
        <w:t>in</w:t>
      </w:r>
      <w:r>
        <w:t xml:space="preserve"> attempt to reopen and relitigate the BAP is found at the following pages and lines:</w:t>
      </w:r>
    </w:p>
    <w:p w14:paraId="0C5FBD2E" w14:textId="77777777" w:rsidR="000A52A2" w:rsidRPr="009D1D50" w:rsidRDefault="000A52A2" w:rsidP="000A52A2">
      <w:pPr>
        <w:pStyle w:val="Heading3"/>
        <w:numPr>
          <w:ilvl w:val="0"/>
          <w:numId w:val="0"/>
        </w:numPr>
        <w:jc w:val="center"/>
        <w:rPr>
          <w:b/>
        </w:rPr>
      </w:pPr>
      <w:r w:rsidRPr="009D1D50">
        <w:rPr>
          <w:b/>
        </w:rPr>
        <w:t>Exhibit ___ (DJW-1T); Testimony of Don J. Wood</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D31" w14:textId="77777777" w:rsidTr="00903975">
        <w:tc>
          <w:tcPr>
            <w:tcW w:w="1620" w:type="dxa"/>
            <w:tcBorders>
              <w:bottom w:val="single" w:sz="4" w:space="0" w:color="auto"/>
            </w:tcBorders>
          </w:tcPr>
          <w:p w14:paraId="0C5FBD2F"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D30" w14:textId="77777777" w:rsidR="000A52A2" w:rsidRPr="003A1DB8" w:rsidRDefault="000A52A2" w:rsidP="00903975">
            <w:pPr>
              <w:pStyle w:val="ListParagraph"/>
              <w:jc w:val="center"/>
              <w:rPr>
                <w:b/>
              </w:rPr>
            </w:pPr>
            <w:r w:rsidRPr="003A1DB8">
              <w:rPr>
                <w:b/>
              </w:rPr>
              <w:t>Lines</w:t>
            </w:r>
          </w:p>
        </w:tc>
      </w:tr>
      <w:tr w:rsidR="000A52A2" w14:paraId="0C5FBD34" w14:textId="77777777" w:rsidTr="00903975">
        <w:tc>
          <w:tcPr>
            <w:tcW w:w="1620" w:type="dxa"/>
            <w:tcBorders>
              <w:top w:val="single" w:sz="4" w:space="0" w:color="auto"/>
            </w:tcBorders>
          </w:tcPr>
          <w:p w14:paraId="0C5FBD32" w14:textId="77777777" w:rsidR="000A52A2" w:rsidRDefault="00F474FA" w:rsidP="007B3F69">
            <w:pPr>
              <w:pStyle w:val="ListParagraph"/>
              <w:jc w:val="both"/>
            </w:pPr>
            <w:r>
              <w:t>28</w:t>
            </w:r>
          </w:p>
        </w:tc>
        <w:tc>
          <w:tcPr>
            <w:tcW w:w="1440" w:type="dxa"/>
            <w:tcBorders>
              <w:top w:val="single" w:sz="4" w:space="0" w:color="auto"/>
            </w:tcBorders>
          </w:tcPr>
          <w:p w14:paraId="0C5FBD33" w14:textId="77777777" w:rsidR="000A52A2" w:rsidRDefault="00F474FA" w:rsidP="007B3F69">
            <w:pPr>
              <w:pStyle w:val="ListParagraph"/>
              <w:jc w:val="both"/>
            </w:pPr>
            <w:r>
              <w:t>2-21</w:t>
            </w:r>
          </w:p>
        </w:tc>
      </w:tr>
      <w:tr w:rsidR="000A52A2" w14:paraId="0C5FBD37" w14:textId="77777777" w:rsidTr="00903975">
        <w:tc>
          <w:tcPr>
            <w:tcW w:w="1620" w:type="dxa"/>
          </w:tcPr>
          <w:p w14:paraId="0C5FBD35" w14:textId="77777777" w:rsidR="000A52A2" w:rsidRDefault="00F474FA" w:rsidP="007B3F69">
            <w:pPr>
              <w:pStyle w:val="ListParagraph"/>
              <w:jc w:val="both"/>
            </w:pPr>
            <w:r>
              <w:t>29</w:t>
            </w:r>
          </w:p>
        </w:tc>
        <w:tc>
          <w:tcPr>
            <w:tcW w:w="1440" w:type="dxa"/>
          </w:tcPr>
          <w:p w14:paraId="0C5FBD36" w14:textId="77777777" w:rsidR="000A52A2" w:rsidRDefault="00F474FA" w:rsidP="007B3F69">
            <w:pPr>
              <w:pStyle w:val="ListParagraph"/>
              <w:jc w:val="both"/>
            </w:pPr>
            <w:r>
              <w:t>1-</w:t>
            </w:r>
            <w:r w:rsidR="00E21299">
              <w:t>20</w:t>
            </w:r>
          </w:p>
        </w:tc>
      </w:tr>
      <w:tr w:rsidR="000A52A2" w14:paraId="0C5FBD3A" w14:textId="77777777" w:rsidTr="00903975">
        <w:tc>
          <w:tcPr>
            <w:tcW w:w="1620" w:type="dxa"/>
          </w:tcPr>
          <w:p w14:paraId="0C5FBD38" w14:textId="77777777" w:rsidR="000A52A2" w:rsidRDefault="00E21299" w:rsidP="007B3F69">
            <w:pPr>
              <w:pStyle w:val="ListParagraph"/>
              <w:jc w:val="both"/>
            </w:pPr>
            <w:r>
              <w:t>30</w:t>
            </w:r>
          </w:p>
        </w:tc>
        <w:tc>
          <w:tcPr>
            <w:tcW w:w="1440" w:type="dxa"/>
          </w:tcPr>
          <w:p w14:paraId="0C5FBD39" w14:textId="77777777" w:rsidR="000A52A2" w:rsidRDefault="00E21299" w:rsidP="007B3F69">
            <w:pPr>
              <w:pStyle w:val="ListParagraph"/>
              <w:jc w:val="both"/>
            </w:pPr>
            <w:r>
              <w:t>1-20</w:t>
            </w:r>
          </w:p>
        </w:tc>
      </w:tr>
      <w:tr w:rsidR="000A52A2" w14:paraId="0C5FBD3D" w14:textId="77777777" w:rsidTr="00903975">
        <w:tc>
          <w:tcPr>
            <w:tcW w:w="1620" w:type="dxa"/>
          </w:tcPr>
          <w:p w14:paraId="0C5FBD3B" w14:textId="77777777" w:rsidR="000A52A2" w:rsidRDefault="00E21299" w:rsidP="007B3F69">
            <w:pPr>
              <w:pStyle w:val="ListParagraph"/>
              <w:jc w:val="both"/>
            </w:pPr>
            <w:r>
              <w:t>31</w:t>
            </w:r>
          </w:p>
        </w:tc>
        <w:tc>
          <w:tcPr>
            <w:tcW w:w="1440" w:type="dxa"/>
          </w:tcPr>
          <w:p w14:paraId="0C5FBD3C" w14:textId="77777777" w:rsidR="000A52A2" w:rsidRDefault="00E21299" w:rsidP="007B3F69">
            <w:pPr>
              <w:pStyle w:val="ListParagraph"/>
              <w:jc w:val="both"/>
            </w:pPr>
            <w:r>
              <w:t>1-18</w:t>
            </w:r>
          </w:p>
        </w:tc>
      </w:tr>
      <w:tr w:rsidR="000A52A2" w14:paraId="0C5FBD40" w14:textId="77777777" w:rsidTr="00903975">
        <w:tc>
          <w:tcPr>
            <w:tcW w:w="1620" w:type="dxa"/>
          </w:tcPr>
          <w:p w14:paraId="0C5FBD3E" w14:textId="77777777" w:rsidR="000A52A2" w:rsidRDefault="00E21299" w:rsidP="007B3F69">
            <w:pPr>
              <w:pStyle w:val="ListParagraph"/>
              <w:jc w:val="both"/>
            </w:pPr>
            <w:r>
              <w:t>32</w:t>
            </w:r>
          </w:p>
        </w:tc>
        <w:tc>
          <w:tcPr>
            <w:tcW w:w="1440" w:type="dxa"/>
          </w:tcPr>
          <w:p w14:paraId="0C5FBD3F" w14:textId="77777777" w:rsidR="000A52A2" w:rsidRDefault="00E21299" w:rsidP="007B3F69">
            <w:pPr>
              <w:pStyle w:val="ListParagraph"/>
              <w:jc w:val="both"/>
            </w:pPr>
            <w:r>
              <w:t>1-19</w:t>
            </w:r>
          </w:p>
        </w:tc>
      </w:tr>
    </w:tbl>
    <w:p w14:paraId="0C5FBD41" w14:textId="77777777" w:rsidR="000A52A2" w:rsidRDefault="000A52A2" w:rsidP="000A52A2">
      <w:pPr>
        <w:pStyle w:val="ListParagraph"/>
        <w:jc w:val="center"/>
      </w:pPr>
    </w:p>
    <w:p w14:paraId="0C5FBD42" w14:textId="77777777" w:rsidR="000A52A2" w:rsidRDefault="000A52A2" w:rsidP="000A52A2">
      <w:pPr>
        <w:pStyle w:val="ListParagraph"/>
        <w:jc w:val="center"/>
        <w:rPr>
          <w:b/>
        </w:rPr>
      </w:pPr>
      <w:r>
        <w:rPr>
          <w:b/>
        </w:rPr>
        <w:lastRenderedPageBreak/>
        <w:t>Exhibit ___ (PK-1T); Testimony of Paul Kajanoff</w:t>
      </w:r>
    </w:p>
    <w:p w14:paraId="0C5FBD43" w14:textId="77777777" w:rsidR="000A52A2" w:rsidRDefault="000A52A2" w:rsidP="000A52A2">
      <w:pPr>
        <w:pStyle w:val="ListParagraph"/>
        <w:jc w:val="center"/>
        <w:rPr>
          <w:b/>
        </w:rPr>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D46" w14:textId="77777777" w:rsidTr="00903975">
        <w:tc>
          <w:tcPr>
            <w:tcW w:w="1620" w:type="dxa"/>
            <w:tcBorders>
              <w:bottom w:val="single" w:sz="4" w:space="0" w:color="auto"/>
            </w:tcBorders>
          </w:tcPr>
          <w:p w14:paraId="0C5FBD44"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D45" w14:textId="77777777" w:rsidR="000A52A2" w:rsidRPr="003A1DB8" w:rsidRDefault="000A52A2" w:rsidP="00903975">
            <w:pPr>
              <w:pStyle w:val="ListParagraph"/>
              <w:jc w:val="center"/>
              <w:rPr>
                <w:b/>
              </w:rPr>
            </w:pPr>
            <w:r w:rsidRPr="003A1DB8">
              <w:rPr>
                <w:b/>
              </w:rPr>
              <w:t>Lines</w:t>
            </w:r>
          </w:p>
        </w:tc>
      </w:tr>
      <w:tr w:rsidR="000A52A2" w14:paraId="0C5FBD49" w14:textId="77777777" w:rsidTr="00903975">
        <w:tc>
          <w:tcPr>
            <w:tcW w:w="1620" w:type="dxa"/>
            <w:tcBorders>
              <w:top w:val="single" w:sz="4" w:space="0" w:color="auto"/>
            </w:tcBorders>
          </w:tcPr>
          <w:p w14:paraId="0C5FBD47" w14:textId="77777777" w:rsidR="000A52A2" w:rsidRDefault="00686D7F" w:rsidP="007B3F69">
            <w:pPr>
              <w:pStyle w:val="ListParagraph"/>
            </w:pPr>
            <w:r>
              <w:t>2</w:t>
            </w:r>
          </w:p>
        </w:tc>
        <w:tc>
          <w:tcPr>
            <w:tcW w:w="1440" w:type="dxa"/>
            <w:tcBorders>
              <w:top w:val="single" w:sz="4" w:space="0" w:color="auto"/>
            </w:tcBorders>
          </w:tcPr>
          <w:p w14:paraId="0C5FBD48" w14:textId="77777777" w:rsidR="000A52A2" w:rsidRDefault="00686D7F" w:rsidP="007B3F69">
            <w:pPr>
              <w:pStyle w:val="ListParagraph"/>
            </w:pPr>
            <w:r>
              <w:t>16-19</w:t>
            </w:r>
          </w:p>
        </w:tc>
      </w:tr>
      <w:tr w:rsidR="000A52A2" w14:paraId="0C5FBD4C" w14:textId="77777777" w:rsidTr="00903975">
        <w:tc>
          <w:tcPr>
            <w:tcW w:w="1620" w:type="dxa"/>
          </w:tcPr>
          <w:p w14:paraId="0C5FBD4A" w14:textId="77777777" w:rsidR="000A52A2" w:rsidRDefault="00686D7F" w:rsidP="007B3F69">
            <w:pPr>
              <w:pStyle w:val="ListParagraph"/>
            </w:pPr>
            <w:r>
              <w:t>3</w:t>
            </w:r>
          </w:p>
        </w:tc>
        <w:tc>
          <w:tcPr>
            <w:tcW w:w="1440" w:type="dxa"/>
          </w:tcPr>
          <w:p w14:paraId="0C5FBD4B" w14:textId="77777777" w:rsidR="000A52A2" w:rsidRDefault="00686D7F" w:rsidP="007B3F69">
            <w:pPr>
              <w:pStyle w:val="ListParagraph"/>
            </w:pPr>
            <w:r>
              <w:t>1-13</w:t>
            </w:r>
          </w:p>
        </w:tc>
      </w:tr>
      <w:tr w:rsidR="000A52A2" w14:paraId="0C5FBD4F" w14:textId="77777777" w:rsidTr="00903975">
        <w:tc>
          <w:tcPr>
            <w:tcW w:w="1620" w:type="dxa"/>
          </w:tcPr>
          <w:p w14:paraId="0C5FBD4D" w14:textId="77777777" w:rsidR="000A52A2" w:rsidRDefault="00686D7F" w:rsidP="007B3F69">
            <w:pPr>
              <w:pStyle w:val="ListParagraph"/>
            </w:pPr>
            <w:r>
              <w:t>4</w:t>
            </w:r>
          </w:p>
        </w:tc>
        <w:tc>
          <w:tcPr>
            <w:tcW w:w="1440" w:type="dxa"/>
          </w:tcPr>
          <w:p w14:paraId="0C5FBD4E" w14:textId="77777777" w:rsidR="000A52A2" w:rsidRDefault="00686D7F" w:rsidP="007B3F69">
            <w:pPr>
              <w:pStyle w:val="ListParagraph"/>
            </w:pPr>
            <w:r>
              <w:t>1-11</w:t>
            </w:r>
          </w:p>
        </w:tc>
      </w:tr>
      <w:tr w:rsidR="000A52A2" w14:paraId="0C5FBD52" w14:textId="77777777" w:rsidTr="00903975">
        <w:tc>
          <w:tcPr>
            <w:tcW w:w="1620" w:type="dxa"/>
          </w:tcPr>
          <w:p w14:paraId="0C5FBD50" w14:textId="77777777" w:rsidR="000A52A2" w:rsidRDefault="00686D7F" w:rsidP="007B3F69">
            <w:pPr>
              <w:pStyle w:val="ListParagraph"/>
            </w:pPr>
            <w:r>
              <w:t>5</w:t>
            </w:r>
          </w:p>
        </w:tc>
        <w:tc>
          <w:tcPr>
            <w:tcW w:w="1440" w:type="dxa"/>
          </w:tcPr>
          <w:p w14:paraId="0C5FBD51" w14:textId="77777777" w:rsidR="000A52A2" w:rsidRDefault="00686D7F" w:rsidP="007B3F69">
            <w:pPr>
              <w:pStyle w:val="ListParagraph"/>
            </w:pPr>
            <w:r>
              <w:t>1-20</w:t>
            </w:r>
          </w:p>
        </w:tc>
      </w:tr>
      <w:tr w:rsidR="000A52A2" w14:paraId="0C5FBD55" w14:textId="77777777" w:rsidTr="00903975">
        <w:tc>
          <w:tcPr>
            <w:tcW w:w="1620" w:type="dxa"/>
          </w:tcPr>
          <w:p w14:paraId="0C5FBD53" w14:textId="77777777" w:rsidR="000A52A2" w:rsidRDefault="00857ED5" w:rsidP="007B3F69">
            <w:pPr>
              <w:pStyle w:val="ListParagraph"/>
            </w:pPr>
            <w:r>
              <w:t>7</w:t>
            </w:r>
          </w:p>
        </w:tc>
        <w:tc>
          <w:tcPr>
            <w:tcW w:w="1440" w:type="dxa"/>
          </w:tcPr>
          <w:p w14:paraId="0C5FBD54" w14:textId="77777777" w:rsidR="000A52A2" w:rsidRDefault="00857ED5" w:rsidP="007B3F69">
            <w:pPr>
              <w:pStyle w:val="ListParagraph"/>
            </w:pPr>
            <w:r>
              <w:t>20-23</w:t>
            </w:r>
          </w:p>
        </w:tc>
      </w:tr>
      <w:tr w:rsidR="000A52A2" w14:paraId="0C5FBD58" w14:textId="77777777" w:rsidTr="00903975">
        <w:tc>
          <w:tcPr>
            <w:tcW w:w="1620" w:type="dxa"/>
          </w:tcPr>
          <w:p w14:paraId="0C5FBD56" w14:textId="77777777" w:rsidR="000A52A2" w:rsidRDefault="00857ED5" w:rsidP="007B3F69">
            <w:pPr>
              <w:pStyle w:val="ListParagraph"/>
            </w:pPr>
            <w:r>
              <w:t>8</w:t>
            </w:r>
          </w:p>
        </w:tc>
        <w:tc>
          <w:tcPr>
            <w:tcW w:w="1440" w:type="dxa"/>
          </w:tcPr>
          <w:p w14:paraId="0C5FBD57" w14:textId="77777777" w:rsidR="000A52A2" w:rsidRDefault="00857ED5" w:rsidP="007B3F69">
            <w:pPr>
              <w:pStyle w:val="ListParagraph"/>
            </w:pPr>
            <w:r>
              <w:t>1-21</w:t>
            </w:r>
          </w:p>
        </w:tc>
      </w:tr>
      <w:tr w:rsidR="000A52A2" w14:paraId="0C5FBD5B" w14:textId="77777777" w:rsidTr="00903975">
        <w:tc>
          <w:tcPr>
            <w:tcW w:w="1620" w:type="dxa"/>
          </w:tcPr>
          <w:p w14:paraId="0C5FBD59" w14:textId="77777777" w:rsidR="000A52A2" w:rsidRDefault="00857ED5" w:rsidP="007B3F69">
            <w:pPr>
              <w:pStyle w:val="ListParagraph"/>
            </w:pPr>
            <w:r>
              <w:t>9</w:t>
            </w:r>
          </w:p>
        </w:tc>
        <w:tc>
          <w:tcPr>
            <w:tcW w:w="1440" w:type="dxa"/>
          </w:tcPr>
          <w:p w14:paraId="0C5FBD5A" w14:textId="77777777" w:rsidR="000A52A2" w:rsidRDefault="00857ED5" w:rsidP="007B3F69">
            <w:pPr>
              <w:pStyle w:val="ListParagraph"/>
            </w:pPr>
            <w:r>
              <w:t>1-20</w:t>
            </w:r>
          </w:p>
        </w:tc>
      </w:tr>
      <w:tr w:rsidR="000A52A2" w14:paraId="0C5FBD5E" w14:textId="77777777" w:rsidTr="00903975">
        <w:tc>
          <w:tcPr>
            <w:tcW w:w="1620" w:type="dxa"/>
          </w:tcPr>
          <w:p w14:paraId="0C5FBD5C" w14:textId="77777777" w:rsidR="000A52A2" w:rsidRDefault="00857ED5" w:rsidP="007B3F69">
            <w:pPr>
              <w:pStyle w:val="ListParagraph"/>
            </w:pPr>
            <w:r>
              <w:t>10</w:t>
            </w:r>
          </w:p>
        </w:tc>
        <w:tc>
          <w:tcPr>
            <w:tcW w:w="1440" w:type="dxa"/>
          </w:tcPr>
          <w:p w14:paraId="0C5FBD5D" w14:textId="77777777" w:rsidR="000A52A2" w:rsidRDefault="00857ED5" w:rsidP="007B3F69">
            <w:pPr>
              <w:pStyle w:val="ListParagraph"/>
            </w:pPr>
            <w:r>
              <w:t>1-21</w:t>
            </w:r>
          </w:p>
        </w:tc>
      </w:tr>
      <w:tr w:rsidR="00857ED5" w14:paraId="0C5FBD61" w14:textId="77777777" w:rsidTr="00903975">
        <w:tc>
          <w:tcPr>
            <w:tcW w:w="1620" w:type="dxa"/>
          </w:tcPr>
          <w:p w14:paraId="0C5FBD5F" w14:textId="77777777" w:rsidR="00857ED5" w:rsidRDefault="00857ED5" w:rsidP="007B3F69">
            <w:pPr>
              <w:pStyle w:val="ListParagraph"/>
            </w:pPr>
            <w:r>
              <w:t>11</w:t>
            </w:r>
          </w:p>
        </w:tc>
        <w:tc>
          <w:tcPr>
            <w:tcW w:w="1440" w:type="dxa"/>
          </w:tcPr>
          <w:p w14:paraId="0C5FBD60" w14:textId="77777777" w:rsidR="00857ED5" w:rsidRDefault="00857ED5" w:rsidP="007B3F69">
            <w:pPr>
              <w:pStyle w:val="ListParagraph"/>
            </w:pPr>
            <w:r>
              <w:t>1-21</w:t>
            </w:r>
          </w:p>
        </w:tc>
      </w:tr>
      <w:tr w:rsidR="00857ED5" w14:paraId="0C5FBD64" w14:textId="77777777" w:rsidTr="00903975">
        <w:tc>
          <w:tcPr>
            <w:tcW w:w="1620" w:type="dxa"/>
          </w:tcPr>
          <w:p w14:paraId="0C5FBD62" w14:textId="77777777" w:rsidR="00857ED5" w:rsidRDefault="00743D2E" w:rsidP="007B3F69">
            <w:pPr>
              <w:pStyle w:val="ListParagraph"/>
            </w:pPr>
            <w:r>
              <w:t>12</w:t>
            </w:r>
          </w:p>
        </w:tc>
        <w:tc>
          <w:tcPr>
            <w:tcW w:w="1440" w:type="dxa"/>
          </w:tcPr>
          <w:p w14:paraId="0C5FBD63" w14:textId="77777777" w:rsidR="00857ED5" w:rsidRDefault="00743D2E" w:rsidP="007B3F69">
            <w:pPr>
              <w:pStyle w:val="ListParagraph"/>
            </w:pPr>
            <w:r>
              <w:t>13-22</w:t>
            </w:r>
          </w:p>
        </w:tc>
      </w:tr>
      <w:tr w:rsidR="00743D2E" w14:paraId="0C5FBD67" w14:textId="77777777" w:rsidTr="00903975">
        <w:tc>
          <w:tcPr>
            <w:tcW w:w="1620" w:type="dxa"/>
          </w:tcPr>
          <w:p w14:paraId="0C5FBD65" w14:textId="77777777" w:rsidR="00743D2E" w:rsidRDefault="00743D2E" w:rsidP="007B3F69">
            <w:pPr>
              <w:pStyle w:val="ListParagraph"/>
            </w:pPr>
            <w:r>
              <w:t>13</w:t>
            </w:r>
          </w:p>
        </w:tc>
        <w:tc>
          <w:tcPr>
            <w:tcW w:w="1440" w:type="dxa"/>
          </w:tcPr>
          <w:p w14:paraId="0C5FBD66" w14:textId="77777777" w:rsidR="00743D2E" w:rsidRDefault="00743D2E" w:rsidP="007B3F69">
            <w:pPr>
              <w:pStyle w:val="ListParagraph"/>
            </w:pPr>
            <w:r>
              <w:t>1-16</w:t>
            </w:r>
          </w:p>
        </w:tc>
      </w:tr>
      <w:tr w:rsidR="00AC2252" w14:paraId="0C5FBD6A" w14:textId="77777777" w:rsidTr="00903975">
        <w:tc>
          <w:tcPr>
            <w:tcW w:w="1620" w:type="dxa"/>
          </w:tcPr>
          <w:p w14:paraId="0C5FBD68" w14:textId="77777777" w:rsidR="00AC2252" w:rsidRDefault="00AC2252" w:rsidP="007B3F69">
            <w:pPr>
              <w:pStyle w:val="ListParagraph"/>
            </w:pPr>
            <w:r>
              <w:t>14</w:t>
            </w:r>
          </w:p>
        </w:tc>
        <w:tc>
          <w:tcPr>
            <w:tcW w:w="1440" w:type="dxa"/>
          </w:tcPr>
          <w:p w14:paraId="0C5FBD69" w14:textId="77777777" w:rsidR="00AC2252" w:rsidRDefault="00AC2252" w:rsidP="007B3F69">
            <w:pPr>
              <w:pStyle w:val="ListParagraph"/>
            </w:pPr>
            <w:r>
              <w:t>1-14</w:t>
            </w:r>
          </w:p>
        </w:tc>
      </w:tr>
    </w:tbl>
    <w:p w14:paraId="0C5FBD6B" w14:textId="77777777" w:rsidR="000A52A2" w:rsidRDefault="000A52A2" w:rsidP="000A52A2">
      <w:pPr>
        <w:pStyle w:val="ListParagraph"/>
        <w:jc w:val="center"/>
        <w:rPr>
          <w:b/>
        </w:rPr>
      </w:pPr>
    </w:p>
    <w:p w14:paraId="0C5FBD6C" w14:textId="77777777" w:rsidR="00800168" w:rsidRDefault="00800168" w:rsidP="00800168">
      <w:pPr>
        <w:pStyle w:val="ListParagraph"/>
        <w:ind w:left="1080"/>
        <w:rPr>
          <w:b/>
        </w:rPr>
      </w:pPr>
    </w:p>
    <w:p w14:paraId="0C5FBD6D" w14:textId="77777777" w:rsidR="000A52A2" w:rsidRDefault="00800168" w:rsidP="00A53F7D">
      <w:pPr>
        <w:pStyle w:val="ListParagraph"/>
        <w:numPr>
          <w:ilvl w:val="0"/>
          <w:numId w:val="17"/>
        </w:numPr>
        <w:rPr>
          <w:b/>
        </w:rPr>
      </w:pPr>
      <w:r>
        <w:rPr>
          <w:b/>
        </w:rPr>
        <w:t xml:space="preserve">Testimony </w:t>
      </w:r>
      <w:r w:rsidR="00714097">
        <w:rPr>
          <w:b/>
        </w:rPr>
        <w:t xml:space="preserve">collaterally </w:t>
      </w:r>
      <w:r>
        <w:rPr>
          <w:b/>
        </w:rPr>
        <w:t xml:space="preserve">attacking the </w:t>
      </w:r>
      <w:r w:rsidR="00714097">
        <w:rPr>
          <w:b/>
        </w:rPr>
        <w:t xml:space="preserve">2013 rulemaking and reinterpreting the </w:t>
      </w:r>
      <w:r>
        <w:rPr>
          <w:b/>
        </w:rPr>
        <w:t>“same service” standards</w:t>
      </w:r>
    </w:p>
    <w:p w14:paraId="0C5FBD6E" w14:textId="77777777" w:rsidR="00714097" w:rsidRDefault="00714097" w:rsidP="00714097">
      <w:pPr>
        <w:pStyle w:val="ListParagraph"/>
        <w:ind w:left="1080"/>
        <w:rPr>
          <w:b/>
        </w:rPr>
      </w:pPr>
    </w:p>
    <w:p w14:paraId="0C5FBD6F" w14:textId="77777777" w:rsidR="00714097" w:rsidRDefault="00912F7E" w:rsidP="00714097">
      <w:pPr>
        <w:pStyle w:val="Heading3"/>
      </w:pPr>
      <w:r>
        <w:t xml:space="preserve">Shuttle Express also attempts, </w:t>
      </w:r>
      <w:r w:rsidR="00714097">
        <w:t>through testimony</w:t>
      </w:r>
      <w:r>
        <w:t>,</w:t>
      </w:r>
      <w:r w:rsidR="00714097">
        <w:t xml:space="preserve"> to reinterp</w:t>
      </w:r>
      <w:r>
        <w:t>r</w:t>
      </w:r>
      <w:r w:rsidR="00714097">
        <w:t xml:space="preserve">et the meaning of the </w:t>
      </w:r>
      <w:r w:rsidR="00BF5FB4">
        <w:t xml:space="preserve">broad and </w:t>
      </w:r>
      <w:r w:rsidR="00714097">
        <w:t>inclusive standards by which the Commission determines whether a service proposed in an application constitutes the same service provided by an incumbent carrier</w:t>
      </w:r>
      <w:r>
        <w:t xml:space="preserve"> under WAC 480-30-140.  </w:t>
      </w:r>
      <w:r w:rsidR="00AF3689">
        <w:t>A good</w:t>
      </w:r>
      <w:r>
        <w:t xml:space="preserve"> example of such attempt</w:t>
      </w:r>
      <w:r w:rsidR="00714097">
        <w:t xml:space="preserve"> can</w:t>
      </w:r>
      <w:r>
        <w:t xml:space="preserve"> again</w:t>
      </w:r>
      <w:r w:rsidR="00714097">
        <w:t xml:space="preserve"> be </w:t>
      </w:r>
      <w:r w:rsidR="00F36F5F">
        <w:t>found in the testimony of Don</w:t>
      </w:r>
      <w:r w:rsidR="00714097">
        <w:t xml:space="preserve"> Wood, who </w:t>
      </w:r>
      <w:r w:rsidR="000A3B40">
        <w:t>testifies</w:t>
      </w:r>
      <w:r w:rsidR="00714097">
        <w:t xml:space="preserve"> as follows:</w:t>
      </w:r>
    </w:p>
    <w:p w14:paraId="0C5FBD70" w14:textId="77777777" w:rsidR="00714097" w:rsidRDefault="00714097" w:rsidP="00714097">
      <w:pPr>
        <w:tabs>
          <w:tab w:val="left" w:pos="-1440"/>
        </w:tabs>
        <w:ind w:left="1440" w:right="144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C22990">
        <w:rPr>
          <w:rFonts w:ascii="Times New Roman" w:hAnsi="Times New Roman" w:cs="Times New Roman"/>
          <w:b/>
          <w:sz w:val="24"/>
          <w:szCs w:val="24"/>
        </w:rPr>
        <w:t>The Commission has adopted a number of factors to consider when considering an application for a second provider of transportation services in a given geographic area.  What is your understanding of these factors?</w:t>
      </w:r>
    </w:p>
    <w:p w14:paraId="0C5FBD71" w14:textId="77777777" w:rsidR="00714097" w:rsidRPr="00714097" w:rsidRDefault="00714097" w:rsidP="00714097">
      <w:pPr>
        <w:tabs>
          <w:tab w:val="left" w:pos="-1440"/>
        </w:tabs>
        <w:ind w:left="1440" w:right="1440" w:hanging="720"/>
        <w:rPr>
          <w:rFonts w:ascii="Times New Roman" w:hAnsi="Times New Roman" w:cs="Times New Roman"/>
          <w:b/>
          <w:sz w:val="24"/>
          <w:szCs w:val="24"/>
        </w:rPr>
      </w:pPr>
    </w:p>
    <w:p w14:paraId="0C5FBD72" w14:textId="77777777" w:rsidR="00714097" w:rsidRDefault="00714097" w:rsidP="00714097">
      <w:pPr>
        <w:tabs>
          <w:tab w:val="left" w:pos="-1440"/>
        </w:tabs>
        <w:ind w:left="1440" w:right="1440" w:hanging="720"/>
        <w:rPr>
          <w:rFonts w:ascii="Times New Roman" w:hAnsi="Times New Roman" w:cs="Times New Roman"/>
          <w:sz w:val="24"/>
          <w:szCs w:val="24"/>
        </w:rPr>
      </w:pPr>
      <w:r w:rsidRPr="00714097">
        <w:rPr>
          <w:rFonts w:ascii="Times New Roman" w:hAnsi="Times New Roman" w:cs="Times New Roman"/>
          <w:sz w:val="24"/>
          <w:szCs w:val="24"/>
        </w:rPr>
        <w:t>A.</w:t>
      </w:r>
      <w:r w:rsidRPr="00714097">
        <w:rPr>
          <w:rFonts w:ascii="Times New Roman" w:hAnsi="Times New Roman" w:cs="Times New Roman"/>
          <w:sz w:val="24"/>
          <w:szCs w:val="24"/>
        </w:rPr>
        <w:tab/>
        <w:t>As the Commission points out in Order 02, pursuant to WAC 480-30-140(2) it may “consider a number of factors to determine whether the service applied for is the same as existing service.”</w:t>
      </w:r>
      <w:r w:rsidRPr="00714097">
        <w:rPr>
          <w:rStyle w:val="FootnoteReference"/>
          <w:rFonts w:ascii="Times New Roman" w:hAnsi="Times New Roman" w:cs="Times New Roman"/>
          <w:sz w:val="24"/>
          <w:szCs w:val="24"/>
        </w:rPr>
        <w:footnoteReference w:id="33"/>
      </w:r>
      <w:r w:rsidRPr="00714097">
        <w:rPr>
          <w:rFonts w:ascii="Times New Roman" w:hAnsi="Times New Roman" w:cs="Times New Roman"/>
          <w:sz w:val="24"/>
          <w:szCs w:val="24"/>
        </w:rPr>
        <w:t xml:space="preserve">  It is my understanding that this code section contains an illustrative, though not exhaustive, list of factors that may be considered.</w:t>
      </w:r>
    </w:p>
    <w:p w14:paraId="0C5FBD73" w14:textId="77777777" w:rsidR="00714097" w:rsidRPr="00714097" w:rsidRDefault="00714097" w:rsidP="00714097">
      <w:pPr>
        <w:tabs>
          <w:tab w:val="left" w:pos="-1440"/>
        </w:tabs>
        <w:ind w:left="1440" w:right="1440" w:hanging="720"/>
        <w:rPr>
          <w:rFonts w:ascii="Times New Roman" w:hAnsi="Times New Roman" w:cs="Times New Roman"/>
          <w:sz w:val="24"/>
          <w:szCs w:val="24"/>
        </w:rPr>
      </w:pPr>
    </w:p>
    <w:p w14:paraId="0C5FBD74" w14:textId="77777777" w:rsidR="00714097" w:rsidRDefault="00714097" w:rsidP="00714097">
      <w:pPr>
        <w:tabs>
          <w:tab w:val="left" w:pos="-1440"/>
        </w:tabs>
        <w:ind w:left="1440" w:right="1440"/>
        <w:rPr>
          <w:rFonts w:ascii="Times New Roman" w:hAnsi="Times New Roman" w:cs="Times New Roman"/>
          <w:sz w:val="24"/>
          <w:szCs w:val="24"/>
        </w:rPr>
      </w:pPr>
      <w:r w:rsidRPr="00714097">
        <w:rPr>
          <w:rFonts w:ascii="Times New Roman" w:hAnsi="Times New Roman" w:cs="Times New Roman"/>
          <w:sz w:val="24"/>
          <w:szCs w:val="24"/>
        </w:rPr>
        <w:lastRenderedPageBreak/>
        <w:tab/>
        <w:t xml:space="preserve">By applying these factors, the Commission can identify two primary categories of services that could be distinguished from an existing service.  First, an applicant may commit to provide a service that that meets the needs of a currently unserved market or market segment, so that an identified group of customers that the incumbent is either unwilling or unable to serve will directly benefit from the presence of the new entrant.  Second, the applicant may commit to provide an enhancement to the core service </w:t>
      </w:r>
      <w:r w:rsidRPr="00CF321F">
        <w:rPr>
          <w:rFonts w:ascii="Times New Roman" w:hAnsi="Times New Roman" w:cs="Times New Roman"/>
          <w:sz w:val="24"/>
          <w:szCs w:val="24"/>
          <w:u w:val="single"/>
        </w:rPr>
        <w:t>that it can demonstrate will expand the size of the overall market to be served by the incumbent and new entrant</w:t>
      </w:r>
      <w:r w:rsidRPr="00714097">
        <w:rPr>
          <w:rFonts w:ascii="Times New Roman" w:hAnsi="Times New Roman" w:cs="Times New Roman"/>
          <w:sz w:val="24"/>
          <w:szCs w:val="24"/>
        </w:rPr>
        <w:t>.</w:t>
      </w:r>
    </w:p>
    <w:p w14:paraId="0C5FBD75" w14:textId="77777777" w:rsidR="00714097" w:rsidRPr="00714097" w:rsidRDefault="00714097" w:rsidP="00714097">
      <w:pPr>
        <w:tabs>
          <w:tab w:val="left" w:pos="-1440"/>
        </w:tabs>
        <w:ind w:left="1440" w:right="1440"/>
        <w:rPr>
          <w:rFonts w:ascii="Times New Roman" w:hAnsi="Times New Roman" w:cs="Times New Roman"/>
          <w:sz w:val="24"/>
          <w:szCs w:val="24"/>
        </w:rPr>
      </w:pPr>
    </w:p>
    <w:p w14:paraId="0C5FBD76" w14:textId="77777777" w:rsidR="00714097" w:rsidRDefault="00714097" w:rsidP="00CF321F">
      <w:pPr>
        <w:tabs>
          <w:tab w:val="left" w:pos="-1440"/>
        </w:tabs>
        <w:ind w:left="1440" w:right="1440"/>
        <w:rPr>
          <w:rFonts w:ascii="Times New Roman" w:hAnsi="Times New Roman" w:cs="Times New Roman"/>
          <w:sz w:val="24"/>
          <w:szCs w:val="24"/>
        </w:rPr>
      </w:pPr>
      <w:r w:rsidRPr="00714097">
        <w:rPr>
          <w:rFonts w:ascii="Times New Roman" w:hAnsi="Times New Roman" w:cs="Times New Roman"/>
          <w:sz w:val="24"/>
          <w:szCs w:val="24"/>
        </w:rPr>
        <w:tab/>
        <w:t xml:space="preserve">It is important to note that granting the application of a new entrant to serve previously unserved markets or market segments does </w:t>
      </w:r>
      <w:r w:rsidRPr="00714097">
        <w:rPr>
          <w:rFonts w:ascii="Times New Roman" w:hAnsi="Times New Roman" w:cs="Times New Roman"/>
          <w:i/>
          <w:sz w:val="24"/>
          <w:szCs w:val="24"/>
        </w:rPr>
        <w:t>not</w:t>
      </w:r>
      <w:r w:rsidRPr="00714097">
        <w:rPr>
          <w:rFonts w:ascii="Times New Roman" w:hAnsi="Times New Roman" w:cs="Times New Roman"/>
          <w:sz w:val="24"/>
          <w:szCs w:val="24"/>
        </w:rPr>
        <w:t xml:space="preserve"> mean that the market for the core service provided by the incumbent has ceased to be a natural monopoly.  The ability of customers to continue to be able to obtain the core service (here, share ride services within and throughout the designated geographic area) continues to be an important element of the public interest to be considered.</w:t>
      </w:r>
      <w:r w:rsidR="00CF321F">
        <w:rPr>
          <w:rStyle w:val="FootnoteReference"/>
          <w:rFonts w:ascii="Times New Roman" w:hAnsi="Times New Roman" w:cs="Times New Roman"/>
          <w:sz w:val="24"/>
          <w:szCs w:val="24"/>
        </w:rPr>
        <w:footnoteReference w:id="34"/>
      </w:r>
    </w:p>
    <w:p w14:paraId="0C5FBD77" w14:textId="77777777" w:rsidR="00CF321F" w:rsidRPr="00CF321F" w:rsidRDefault="00CF321F" w:rsidP="00CF321F">
      <w:pPr>
        <w:tabs>
          <w:tab w:val="left" w:pos="-1440"/>
        </w:tabs>
        <w:ind w:left="1440" w:right="1440"/>
        <w:rPr>
          <w:rFonts w:ascii="Times New Roman" w:hAnsi="Times New Roman" w:cs="Times New Roman"/>
          <w:sz w:val="24"/>
          <w:szCs w:val="24"/>
        </w:rPr>
      </w:pPr>
    </w:p>
    <w:p w14:paraId="0C5FBD78" w14:textId="77777777" w:rsidR="00714097" w:rsidRDefault="00912F7E" w:rsidP="00CF321F">
      <w:pPr>
        <w:pStyle w:val="Heading3"/>
      </w:pPr>
      <w:r>
        <w:t xml:space="preserve">Despite the additional objectionable legal conclusions in his testimony, by this, </w:t>
      </w:r>
      <w:r w:rsidR="00CF321F">
        <w:t xml:space="preserve">Mr. Wood </w:t>
      </w:r>
      <w:r w:rsidR="00884FDE">
        <w:t xml:space="preserve">seeks </w:t>
      </w:r>
      <w:r w:rsidR="00CF321F">
        <w:t xml:space="preserve">to </w:t>
      </w:r>
      <w:r>
        <w:t>engraft</w:t>
      </w:r>
      <w:r w:rsidR="00CF321F">
        <w:t xml:space="preserve"> a new element to the same service standards: a requirement that the applicant demonstrate that the new service will expand the size of the overall market, which </w:t>
      </w:r>
      <w:r>
        <w:t xml:space="preserve">quite </w:t>
      </w:r>
      <w:r w:rsidR="00CF321F">
        <w:t xml:space="preserve">understandably </w:t>
      </w:r>
      <w:r>
        <w:t xml:space="preserve">was </w:t>
      </w:r>
      <w:r w:rsidR="00CF321F">
        <w:t xml:space="preserve">never proposed by the Commission in the </w:t>
      </w:r>
      <w:r w:rsidR="007614CB">
        <w:t>2013 R</w:t>
      </w:r>
      <w:r w:rsidR="00CF321F">
        <w:t>ulemaking.</w:t>
      </w:r>
      <w:r w:rsidR="007614CB">
        <w:t xml:space="preserve">  Contrary to Mr. Wood’s testimony, the Commission stated in the 2013 Rulemaking:</w:t>
      </w:r>
    </w:p>
    <w:p w14:paraId="0C5FBD79" w14:textId="77777777" w:rsidR="007614CB" w:rsidRDefault="007614CB" w:rsidP="007614CB">
      <w:pPr>
        <w:pStyle w:val="Default"/>
      </w:pPr>
    </w:p>
    <w:p w14:paraId="0C5FBD7A" w14:textId="77777777" w:rsidR="007614CB" w:rsidRPr="007614CB" w:rsidRDefault="007614CB" w:rsidP="007614CB">
      <w:pPr>
        <w:pStyle w:val="Default"/>
        <w:ind w:left="1440" w:right="1440" w:hanging="720"/>
      </w:pPr>
      <w:r w:rsidRPr="007614CB">
        <w:rPr>
          <w:i/>
        </w:rPr>
        <w:t>34</w:t>
      </w:r>
      <w:r w:rsidRPr="007614CB">
        <w:tab/>
        <w:t xml:space="preserve">The court also found that “[t]he public is benefited by an incumbent carrier being motivated to improve its service.” Under this case, the Commission has the discretion and authority to interpret and apply these standards “in any logical and reasonable </w:t>
      </w:r>
      <w:r w:rsidR="00B50ACC">
        <w:t>way supported by the evidence,”</w:t>
      </w:r>
      <w:r w:rsidRPr="007614CB">
        <w:t xml:space="preserve"> and there is public benefit in encouraging competition by motivating carriers to continually improve service. </w:t>
      </w:r>
    </w:p>
    <w:p w14:paraId="0C5FBD7B" w14:textId="77777777" w:rsidR="007614CB" w:rsidRPr="007614CB" w:rsidRDefault="007614CB" w:rsidP="007614CB">
      <w:pPr>
        <w:pStyle w:val="Default"/>
      </w:pPr>
    </w:p>
    <w:p w14:paraId="0C5FBD7C" w14:textId="77777777" w:rsidR="007614CB" w:rsidRPr="007614CB" w:rsidRDefault="007614CB" w:rsidP="007614CB">
      <w:pPr>
        <w:pStyle w:val="Default"/>
        <w:ind w:left="1440" w:right="1440" w:hanging="720"/>
      </w:pPr>
      <w:r w:rsidRPr="007614CB">
        <w:rPr>
          <w:i/>
          <w:iCs/>
        </w:rPr>
        <w:t xml:space="preserve">35 </w:t>
      </w:r>
      <w:r w:rsidRPr="007614CB">
        <w:rPr>
          <w:i/>
          <w:iCs/>
        </w:rPr>
        <w:tab/>
      </w:r>
      <w:r w:rsidRPr="007614CB">
        <w:t xml:space="preserve">The Commission developed the standards in the proposed rules for reviewing applications with the intent to inform existing companies and applicants how the Commission would evaluate applications. The standards are based in part on the Commission’s </w:t>
      </w:r>
      <w:r w:rsidRPr="007614CB">
        <w:lastRenderedPageBreak/>
        <w:t xml:space="preserve">interpretation of the statutory requirements in RCW 81.68 and applications adjudicated over the past three decades, as well as an effort to increase opportunities to provide new or improved service to consumers within the limits allowed by the statute. The proposed rules are not intended to express a policy preference between types of service, for example, door-to-door service and scheduled service. Rather, the intent is to provide a clear framework for companies to make choices regarding how best to serve consumers and the Commission to evaluate those choices. </w:t>
      </w:r>
    </w:p>
    <w:p w14:paraId="0C5FBD7D" w14:textId="77777777" w:rsidR="007614CB" w:rsidRDefault="007614CB" w:rsidP="007614CB">
      <w:pPr>
        <w:pStyle w:val="Default"/>
        <w:ind w:left="1440" w:right="1440" w:hanging="720"/>
        <w:rPr>
          <w:sz w:val="25"/>
          <w:szCs w:val="25"/>
        </w:rPr>
      </w:pPr>
    </w:p>
    <w:p w14:paraId="0C5FBD7E" w14:textId="77777777" w:rsidR="007614CB" w:rsidRDefault="007614CB" w:rsidP="007614CB">
      <w:pPr>
        <w:pStyle w:val="Heading3"/>
        <w:numPr>
          <w:ilvl w:val="0"/>
          <w:numId w:val="0"/>
        </w:numPr>
      </w:pPr>
      <w:r>
        <w:t xml:space="preserve">Mr. Wood’s testimony </w:t>
      </w:r>
      <w:r w:rsidR="00AF3689">
        <w:t xml:space="preserve">here </w:t>
      </w:r>
      <w:r>
        <w:t xml:space="preserve">is </w:t>
      </w:r>
      <w:r w:rsidR="00912F7E">
        <w:t xml:space="preserve">undeniably </w:t>
      </w:r>
      <w:r>
        <w:t xml:space="preserve">a collateral attack and </w:t>
      </w:r>
      <w:r w:rsidR="00430F04">
        <w:t xml:space="preserve">a </w:t>
      </w:r>
      <w:r>
        <w:t>reinterpretation of the Commission’s 2013 Rulemaking and irrelevant to the issues to be determined in this proceeding.</w:t>
      </w:r>
      <w:r w:rsidR="00F36F5F">
        <w:rPr>
          <w:rStyle w:val="FootnoteReference"/>
          <w:b/>
          <w:szCs w:val="24"/>
        </w:rPr>
        <w:footnoteReference w:id="35"/>
      </w:r>
    </w:p>
    <w:p w14:paraId="0C5FBD7F" w14:textId="77777777" w:rsidR="007614CB" w:rsidRPr="000A52A2" w:rsidRDefault="00B96A4D" w:rsidP="007614CB">
      <w:pPr>
        <w:pStyle w:val="Heading3"/>
      </w:pPr>
      <w:r>
        <w:t>The above</w:t>
      </w:r>
      <w:r w:rsidR="00912F7E">
        <w:t xml:space="preserve"> excerpt</w:t>
      </w:r>
      <w:r>
        <w:t>, as well as s</w:t>
      </w:r>
      <w:r w:rsidR="007614CB">
        <w:t xml:space="preserve">imilar reinterpretations and reinventions of the </w:t>
      </w:r>
      <w:r w:rsidR="00AF3689">
        <w:t xml:space="preserve">auto transportation </w:t>
      </w:r>
      <w:r w:rsidR="00F36F5F">
        <w:t>rules are provided in the pre</w:t>
      </w:r>
      <w:r w:rsidR="007614CB">
        <w:t xml:space="preserve">filed testimony submitted by Shuttle Express </w:t>
      </w:r>
      <w:r w:rsidR="00912F7E">
        <w:t xml:space="preserve">and </w:t>
      </w:r>
      <w:r w:rsidR="0012337D">
        <w:t xml:space="preserve">located </w:t>
      </w:r>
      <w:r w:rsidR="007614CB">
        <w:t>in the following places:</w:t>
      </w:r>
    </w:p>
    <w:p w14:paraId="0C5FBD80" w14:textId="77777777" w:rsidR="000A52A2" w:rsidRPr="003A1DB8" w:rsidRDefault="000A52A2" w:rsidP="000A52A2">
      <w:pPr>
        <w:pStyle w:val="Heading3"/>
        <w:numPr>
          <w:ilvl w:val="0"/>
          <w:numId w:val="0"/>
        </w:numPr>
        <w:jc w:val="center"/>
        <w:rPr>
          <w:b/>
        </w:rPr>
      </w:pPr>
      <w:r w:rsidRPr="003A1DB8">
        <w:rPr>
          <w:b/>
        </w:rPr>
        <w:t xml:space="preserve">Exhibit ___ (DJW-1T); </w:t>
      </w:r>
      <w:r>
        <w:rPr>
          <w:b/>
        </w:rPr>
        <w:t>Testimony of Don J. Wood</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D83" w14:textId="77777777" w:rsidTr="00903975">
        <w:tc>
          <w:tcPr>
            <w:tcW w:w="1620" w:type="dxa"/>
            <w:tcBorders>
              <w:bottom w:val="single" w:sz="4" w:space="0" w:color="auto"/>
            </w:tcBorders>
          </w:tcPr>
          <w:p w14:paraId="0C5FBD81"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D82" w14:textId="77777777" w:rsidR="000A52A2" w:rsidRPr="003A1DB8" w:rsidRDefault="000A52A2" w:rsidP="00903975">
            <w:pPr>
              <w:pStyle w:val="ListParagraph"/>
              <w:jc w:val="center"/>
              <w:rPr>
                <w:b/>
              </w:rPr>
            </w:pPr>
            <w:r w:rsidRPr="003A1DB8">
              <w:rPr>
                <w:b/>
              </w:rPr>
              <w:t>Lines</w:t>
            </w:r>
          </w:p>
        </w:tc>
      </w:tr>
      <w:tr w:rsidR="000A52A2" w14:paraId="0C5FBD86" w14:textId="77777777" w:rsidTr="00903975">
        <w:tc>
          <w:tcPr>
            <w:tcW w:w="1620" w:type="dxa"/>
            <w:tcBorders>
              <w:top w:val="single" w:sz="4" w:space="0" w:color="auto"/>
            </w:tcBorders>
          </w:tcPr>
          <w:p w14:paraId="0C5FBD84" w14:textId="77777777" w:rsidR="000A52A2" w:rsidRDefault="00714097" w:rsidP="007B3F69">
            <w:pPr>
              <w:pStyle w:val="ListParagraph"/>
            </w:pPr>
            <w:r>
              <w:t>4</w:t>
            </w:r>
          </w:p>
        </w:tc>
        <w:tc>
          <w:tcPr>
            <w:tcW w:w="1440" w:type="dxa"/>
            <w:tcBorders>
              <w:top w:val="single" w:sz="4" w:space="0" w:color="auto"/>
            </w:tcBorders>
          </w:tcPr>
          <w:p w14:paraId="0C5FBD85" w14:textId="77777777" w:rsidR="000A52A2" w:rsidRDefault="00714097" w:rsidP="007B3F69">
            <w:pPr>
              <w:pStyle w:val="ListParagraph"/>
            </w:pPr>
            <w:r>
              <w:t>10-20</w:t>
            </w:r>
          </w:p>
        </w:tc>
      </w:tr>
      <w:tr w:rsidR="000A52A2" w14:paraId="0C5FBD89" w14:textId="77777777" w:rsidTr="00903975">
        <w:tc>
          <w:tcPr>
            <w:tcW w:w="1620" w:type="dxa"/>
          </w:tcPr>
          <w:p w14:paraId="0C5FBD87" w14:textId="77777777" w:rsidR="000A52A2" w:rsidRDefault="00B96A4D" w:rsidP="007B3F69">
            <w:pPr>
              <w:pStyle w:val="ListParagraph"/>
            </w:pPr>
            <w:r>
              <w:t>5</w:t>
            </w:r>
          </w:p>
        </w:tc>
        <w:tc>
          <w:tcPr>
            <w:tcW w:w="1440" w:type="dxa"/>
          </w:tcPr>
          <w:p w14:paraId="0C5FBD88" w14:textId="77777777" w:rsidR="000A52A2" w:rsidRDefault="00B96A4D" w:rsidP="007B3F69">
            <w:pPr>
              <w:pStyle w:val="ListParagraph"/>
            </w:pPr>
            <w:r>
              <w:t>1-11</w:t>
            </w:r>
          </w:p>
        </w:tc>
      </w:tr>
      <w:tr w:rsidR="000A52A2" w14:paraId="0C5FBD8C" w14:textId="77777777" w:rsidTr="00903975">
        <w:tc>
          <w:tcPr>
            <w:tcW w:w="1620" w:type="dxa"/>
          </w:tcPr>
          <w:p w14:paraId="0C5FBD8A" w14:textId="77777777" w:rsidR="000A52A2" w:rsidRDefault="007834AE" w:rsidP="007B3F69">
            <w:pPr>
              <w:pStyle w:val="ListParagraph"/>
            </w:pPr>
            <w:r>
              <w:t>29</w:t>
            </w:r>
          </w:p>
        </w:tc>
        <w:tc>
          <w:tcPr>
            <w:tcW w:w="1440" w:type="dxa"/>
          </w:tcPr>
          <w:p w14:paraId="0C5FBD8B" w14:textId="77777777" w:rsidR="000A52A2" w:rsidRDefault="007834AE" w:rsidP="007B3F69">
            <w:pPr>
              <w:pStyle w:val="ListParagraph"/>
            </w:pPr>
            <w:r>
              <w:t>12-17</w:t>
            </w:r>
          </w:p>
        </w:tc>
      </w:tr>
    </w:tbl>
    <w:p w14:paraId="0C5FBD8D" w14:textId="77777777" w:rsidR="000A52A2" w:rsidRDefault="000A52A2" w:rsidP="000A52A2">
      <w:pPr>
        <w:pStyle w:val="ListParagraph"/>
        <w:jc w:val="center"/>
      </w:pPr>
    </w:p>
    <w:p w14:paraId="0C5FBD8E" w14:textId="77777777" w:rsidR="000A52A2" w:rsidRDefault="00367445" w:rsidP="00A53F7D">
      <w:pPr>
        <w:pStyle w:val="ListParagraph"/>
        <w:numPr>
          <w:ilvl w:val="0"/>
          <w:numId w:val="17"/>
        </w:numPr>
        <w:rPr>
          <w:b/>
        </w:rPr>
      </w:pPr>
      <w:r>
        <w:rPr>
          <w:b/>
        </w:rPr>
        <w:t>Testimony addressing w</w:t>
      </w:r>
      <w:r w:rsidR="000A52A2" w:rsidRPr="000A52A2">
        <w:rPr>
          <w:b/>
        </w:rPr>
        <w:t>alk-up service</w:t>
      </w:r>
    </w:p>
    <w:p w14:paraId="0C5FBD8F" w14:textId="77777777" w:rsidR="00246275" w:rsidRDefault="00246275" w:rsidP="00246275">
      <w:pPr>
        <w:pStyle w:val="ListParagraph"/>
        <w:ind w:left="1080"/>
        <w:rPr>
          <w:b/>
        </w:rPr>
      </w:pPr>
    </w:p>
    <w:p w14:paraId="0C5FBD90" w14:textId="77777777" w:rsidR="00246275" w:rsidRDefault="00246275" w:rsidP="00246275">
      <w:pPr>
        <w:pStyle w:val="Heading3"/>
      </w:pPr>
      <w:r>
        <w:t xml:space="preserve">As addressed </w:t>
      </w:r>
      <w:r w:rsidR="00430F04">
        <w:t>repeatedly in these dockets,</w:t>
      </w:r>
      <w:r>
        <w:t xml:space="preserve"> the Commission previously determined by unappealed notice that Speedishuttle was permitted to</w:t>
      </w:r>
      <w:r w:rsidR="00912F7E">
        <w:t xml:space="preserve"> provide walk-up service at Sea</w:t>
      </w:r>
      <w:r>
        <w:t>Tac International Airport.  Undeterred by the Commission’s unappealed final ruling, Shuttle Express</w:t>
      </w:r>
      <w:r w:rsidR="00912F7E">
        <w:t xml:space="preserve"> has</w:t>
      </w:r>
      <w:r>
        <w:t xml:space="preserve"> </w:t>
      </w:r>
      <w:r w:rsidR="00AF3689">
        <w:t xml:space="preserve">unrelentingly </w:t>
      </w:r>
      <w:r w:rsidR="00F36F5F">
        <w:t xml:space="preserve">submitted voluminous </w:t>
      </w:r>
      <w:r w:rsidR="00BF5FB4">
        <w:t xml:space="preserve">arguments in </w:t>
      </w:r>
      <w:r w:rsidR="00884FDE">
        <w:t xml:space="preserve">numerous </w:t>
      </w:r>
      <w:r w:rsidR="00BF5FB4">
        <w:t xml:space="preserve">pleadings and in </w:t>
      </w:r>
      <w:r w:rsidR="00F36F5F">
        <w:t>pre</w:t>
      </w:r>
      <w:r>
        <w:t xml:space="preserve">filed testimony </w:t>
      </w:r>
      <w:r>
        <w:lastRenderedPageBreak/>
        <w:t>attacking Speedishuttle’s provision of walk-up service</w:t>
      </w:r>
      <w:r w:rsidR="00BF5FB4">
        <w:t xml:space="preserve">, </w:t>
      </w:r>
      <w:r w:rsidR="00912F7E">
        <w:t>blatantly ignoring t</w:t>
      </w:r>
      <w:r w:rsidR="00430F04">
        <w:t xml:space="preserve">he </w:t>
      </w:r>
      <w:r w:rsidR="00BF5FB4">
        <w:t xml:space="preserve">final adjudication of the </w:t>
      </w:r>
      <w:r w:rsidR="00430F04">
        <w:t>issue it sought to use as a springboard</w:t>
      </w:r>
      <w:r w:rsidR="00912F7E">
        <w:t xml:space="preserve"> for this proceeding</w:t>
      </w:r>
      <w:r>
        <w:t xml:space="preserve">. </w:t>
      </w:r>
    </w:p>
    <w:p w14:paraId="0C5FBD91" w14:textId="77777777" w:rsidR="00246275" w:rsidRPr="000A52A2" w:rsidRDefault="00246275" w:rsidP="00246275">
      <w:pPr>
        <w:pStyle w:val="Heading3"/>
      </w:pPr>
      <w:r>
        <w:t xml:space="preserve">Shuttle Express may </w:t>
      </w:r>
      <w:r w:rsidR="00430F04">
        <w:t xml:space="preserve">well </w:t>
      </w:r>
      <w:r>
        <w:t xml:space="preserve">have predicated its </w:t>
      </w:r>
      <w:r w:rsidR="00AF3689">
        <w:t xml:space="preserve">original </w:t>
      </w:r>
      <w:r>
        <w:t>petition for rehearing on walk-up</w:t>
      </w:r>
      <w:r w:rsidR="00AF3689">
        <w:t xml:space="preserve"> service</w:t>
      </w:r>
      <w:r>
        <w:t xml:space="preserve">, but the Commission previously considered and </w:t>
      </w:r>
      <w:r w:rsidR="00912F7E">
        <w:t>found</w:t>
      </w:r>
      <w:r>
        <w:t xml:space="preserve"> this issue exceeds the scope of this </w:t>
      </w:r>
      <w:r w:rsidR="00AF3689">
        <w:t xml:space="preserve">contained </w:t>
      </w:r>
      <w:r>
        <w:t>proceeding</w:t>
      </w:r>
      <w:r w:rsidR="00912F7E">
        <w:t xml:space="preserve"> as noted above</w:t>
      </w:r>
      <w:r w:rsidR="00BF5FB4">
        <w:t xml:space="preserve"> and explicitly in Order 08</w:t>
      </w:r>
      <w:r>
        <w:t>.</w:t>
      </w:r>
      <w:r w:rsidR="0012337D">
        <w:t xml:space="preserve">  The testimony on walk-up service can be located at the following pages and lines</w:t>
      </w:r>
      <w:r w:rsidR="00BF5FB4">
        <w:t xml:space="preserve"> and should be stricken</w:t>
      </w:r>
      <w:r w:rsidR="0012337D">
        <w:t>:</w:t>
      </w:r>
    </w:p>
    <w:p w14:paraId="0C5FBD92" w14:textId="77777777" w:rsidR="000A52A2" w:rsidRPr="003A1DB8" w:rsidRDefault="000A52A2" w:rsidP="000A52A2">
      <w:pPr>
        <w:pStyle w:val="Heading3"/>
        <w:numPr>
          <w:ilvl w:val="0"/>
          <w:numId w:val="0"/>
        </w:numPr>
        <w:jc w:val="center"/>
        <w:rPr>
          <w:b/>
        </w:rPr>
      </w:pPr>
      <w:r w:rsidRPr="003A1DB8">
        <w:rPr>
          <w:b/>
        </w:rPr>
        <w:t xml:space="preserve">Exhibit ___ (DJW-1T); </w:t>
      </w:r>
      <w:r>
        <w:rPr>
          <w:b/>
        </w:rPr>
        <w:t>Testimony of Don J. Wood</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D95" w14:textId="77777777" w:rsidTr="00903975">
        <w:tc>
          <w:tcPr>
            <w:tcW w:w="1620" w:type="dxa"/>
            <w:tcBorders>
              <w:bottom w:val="single" w:sz="4" w:space="0" w:color="auto"/>
            </w:tcBorders>
          </w:tcPr>
          <w:p w14:paraId="0C5FBD93"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D94" w14:textId="77777777" w:rsidR="000A52A2" w:rsidRPr="003A1DB8" w:rsidRDefault="000A52A2" w:rsidP="00903975">
            <w:pPr>
              <w:pStyle w:val="ListParagraph"/>
              <w:jc w:val="center"/>
              <w:rPr>
                <w:b/>
              </w:rPr>
            </w:pPr>
            <w:r w:rsidRPr="003A1DB8">
              <w:rPr>
                <w:b/>
              </w:rPr>
              <w:t>Lines</w:t>
            </w:r>
          </w:p>
        </w:tc>
      </w:tr>
      <w:tr w:rsidR="000A52A2" w14:paraId="0C5FBD98" w14:textId="77777777" w:rsidTr="00903975">
        <w:tc>
          <w:tcPr>
            <w:tcW w:w="1620" w:type="dxa"/>
            <w:tcBorders>
              <w:top w:val="single" w:sz="4" w:space="0" w:color="auto"/>
            </w:tcBorders>
          </w:tcPr>
          <w:p w14:paraId="0C5FBD96" w14:textId="77777777" w:rsidR="000A52A2" w:rsidRDefault="00B96A4D" w:rsidP="007B3F69">
            <w:pPr>
              <w:pStyle w:val="ListParagraph"/>
            </w:pPr>
            <w:r>
              <w:t>8</w:t>
            </w:r>
          </w:p>
        </w:tc>
        <w:tc>
          <w:tcPr>
            <w:tcW w:w="1440" w:type="dxa"/>
            <w:tcBorders>
              <w:top w:val="single" w:sz="4" w:space="0" w:color="auto"/>
            </w:tcBorders>
          </w:tcPr>
          <w:p w14:paraId="0C5FBD97" w14:textId="77777777" w:rsidR="000A52A2" w:rsidRDefault="00B96A4D" w:rsidP="007B3F69">
            <w:pPr>
              <w:pStyle w:val="ListParagraph"/>
            </w:pPr>
            <w:r>
              <w:t>1-16</w:t>
            </w:r>
          </w:p>
        </w:tc>
      </w:tr>
      <w:tr w:rsidR="000A52A2" w14:paraId="0C5FBD9B" w14:textId="77777777" w:rsidTr="00903975">
        <w:tc>
          <w:tcPr>
            <w:tcW w:w="1620" w:type="dxa"/>
          </w:tcPr>
          <w:p w14:paraId="0C5FBD99" w14:textId="77777777" w:rsidR="000A52A2" w:rsidRDefault="00D918EA" w:rsidP="007B3F69">
            <w:pPr>
              <w:pStyle w:val="ListParagraph"/>
            </w:pPr>
            <w:r>
              <w:t>15</w:t>
            </w:r>
          </w:p>
        </w:tc>
        <w:tc>
          <w:tcPr>
            <w:tcW w:w="1440" w:type="dxa"/>
          </w:tcPr>
          <w:p w14:paraId="0C5FBD9A" w14:textId="77777777" w:rsidR="000A52A2" w:rsidRDefault="00D918EA" w:rsidP="007B3F69">
            <w:pPr>
              <w:pStyle w:val="ListParagraph"/>
            </w:pPr>
            <w:r>
              <w:t>14-20</w:t>
            </w:r>
          </w:p>
        </w:tc>
      </w:tr>
      <w:tr w:rsidR="000A52A2" w14:paraId="0C5FBD9E" w14:textId="77777777" w:rsidTr="00903975">
        <w:tc>
          <w:tcPr>
            <w:tcW w:w="1620" w:type="dxa"/>
          </w:tcPr>
          <w:p w14:paraId="0C5FBD9C" w14:textId="77777777" w:rsidR="000A52A2" w:rsidRDefault="00D918EA" w:rsidP="007B3F69">
            <w:pPr>
              <w:pStyle w:val="ListParagraph"/>
            </w:pPr>
            <w:r>
              <w:t>16</w:t>
            </w:r>
          </w:p>
        </w:tc>
        <w:tc>
          <w:tcPr>
            <w:tcW w:w="1440" w:type="dxa"/>
          </w:tcPr>
          <w:p w14:paraId="0C5FBD9D" w14:textId="77777777" w:rsidR="000A52A2" w:rsidRDefault="00D918EA" w:rsidP="007B3F69">
            <w:pPr>
              <w:pStyle w:val="ListParagraph"/>
            </w:pPr>
            <w:r>
              <w:t>1-1</w:t>
            </w:r>
            <w:r w:rsidR="00301DE8">
              <w:t>9</w:t>
            </w:r>
          </w:p>
        </w:tc>
      </w:tr>
      <w:tr w:rsidR="000A52A2" w14:paraId="0C5FBDA1" w14:textId="77777777" w:rsidTr="00903975">
        <w:tc>
          <w:tcPr>
            <w:tcW w:w="1620" w:type="dxa"/>
          </w:tcPr>
          <w:p w14:paraId="0C5FBD9F" w14:textId="77777777" w:rsidR="000A52A2" w:rsidRDefault="00301DE8" w:rsidP="007B3F69">
            <w:pPr>
              <w:pStyle w:val="ListParagraph"/>
            </w:pPr>
            <w:r>
              <w:t>17</w:t>
            </w:r>
          </w:p>
        </w:tc>
        <w:tc>
          <w:tcPr>
            <w:tcW w:w="1440" w:type="dxa"/>
          </w:tcPr>
          <w:p w14:paraId="0C5FBDA0" w14:textId="77777777" w:rsidR="000A52A2" w:rsidRDefault="00301DE8" w:rsidP="007B3F69">
            <w:pPr>
              <w:pStyle w:val="ListParagraph"/>
            </w:pPr>
            <w:r>
              <w:t>1-18</w:t>
            </w:r>
          </w:p>
        </w:tc>
      </w:tr>
      <w:tr w:rsidR="000A52A2" w14:paraId="0C5FBDA4" w14:textId="77777777" w:rsidTr="00903975">
        <w:tc>
          <w:tcPr>
            <w:tcW w:w="1620" w:type="dxa"/>
          </w:tcPr>
          <w:p w14:paraId="0C5FBDA2" w14:textId="77777777" w:rsidR="000A52A2" w:rsidRDefault="00301DE8" w:rsidP="007B3F69">
            <w:pPr>
              <w:pStyle w:val="ListParagraph"/>
            </w:pPr>
            <w:r>
              <w:t>18</w:t>
            </w:r>
          </w:p>
        </w:tc>
        <w:tc>
          <w:tcPr>
            <w:tcW w:w="1440" w:type="dxa"/>
          </w:tcPr>
          <w:p w14:paraId="0C5FBDA3" w14:textId="77777777" w:rsidR="000A52A2" w:rsidRDefault="00301DE8" w:rsidP="007B3F69">
            <w:pPr>
              <w:pStyle w:val="ListParagraph"/>
            </w:pPr>
            <w:r>
              <w:t>1-12</w:t>
            </w:r>
          </w:p>
        </w:tc>
      </w:tr>
    </w:tbl>
    <w:p w14:paraId="0C5FBDA5" w14:textId="77777777" w:rsidR="000A52A2" w:rsidRDefault="000A52A2" w:rsidP="000A52A2">
      <w:pPr>
        <w:pStyle w:val="ListParagraph"/>
        <w:jc w:val="center"/>
      </w:pPr>
    </w:p>
    <w:p w14:paraId="0C5FBDA6" w14:textId="77777777" w:rsidR="000A52A2" w:rsidRDefault="000A52A2" w:rsidP="000A52A2">
      <w:pPr>
        <w:pStyle w:val="ListParagraph"/>
        <w:jc w:val="center"/>
        <w:rPr>
          <w:b/>
        </w:rPr>
      </w:pPr>
      <w:r>
        <w:rPr>
          <w:b/>
        </w:rPr>
        <w:t>Exhibit ___ (PK-1T); Testimony of Paul Kajanoff</w:t>
      </w:r>
    </w:p>
    <w:p w14:paraId="0C5FBDA7" w14:textId="77777777" w:rsidR="000A52A2" w:rsidRDefault="000A52A2" w:rsidP="000A52A2">
      <w:pPr>
        <w:pStyle w:val="ListParagraph"/>
        <w:jc w:val="center"/>
        <w:rPr>
          <w:b/>
        </w:rPr>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DAA" w14:textId="77777777" w:rsidTr="00903975">
        <w:tc>
          <w:tcPr>
            <w:tcW w:w="1620" w:type="dxa"/>
            <w:tcBorders>
              <w:bottom w:val="single" w:sz="4" w:space="0" w:color="auto"/>
            </w:tcBorders>
          </w:tcPr>
          <w:p w14:paraId="0C5FBDA8"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DA9" w14:textId="77777777" w:rsidR="000A52A2" w:rsidRPr="003A1DB8" w:rsidRDefault="000A52A2" w:rsidP="00903975">
            <w:pPr>
              <w:pStyle w:val="ListParagraph"/>
              <w:jc w:val="center"/>
              <w:rPr>
                <w:b/>
              </w:rPr>
            </w:pPr>
            <w:r w:rsidRPr="003A1DB8">
              <w:rPr>
                <w:b/>
              </w:rPr>
              <w:t>Lines</w:t>
            </w:r>
          </w:p>
        </w:tc>
      </w:tr>
      <w:tr w:rsidR="000A52A2" w14:paraId="0C5FBDAD" w14:textId="77777777" w:rsidTr="00903975">
        <w:tc>
          <w:tcPr>
            <w:tcW w:w="1620" w:type="dxa"/>
            <w:tcBorders>
              <w:top w:val="single" w:sz="4" w:space="0" w:color="auto"/>
            </w:tcBorders>
          </w:tcPr>
          <w:p w14:paraId="0C5FBDAB" w14:textId="77777777" w:rsidR="000A52A2" w:rsidRDefault="00857ED5" w:rsidP="007B3F69">
            <w:pPr>
              <w:pStyle w:val="ListParagraph"/>
            </w:pPr>
            <w:r>
              <w:t>12</w:t>
            </w:r>
          </w:p>
        </w:tc>
        <w:tc>
          <w:tcPr>
            <w:tcW w:w="1440" w:type="dxa"/>
            <w:tcBorders>
              <w:top w:val="single" w:sz="4" w:space="0" w:color="auto"/>
            </w:tcBorders>
          </w:tcPr>
          <w:p w14:paraId="0C5FBDAC" w14:textId="77777777" w:rsidR="000A52A2" w:rsidRDefault="00857ED5" w:rsidP="007B3F69">
            <w:pPr>
              <w:pStyle w:val="ListParagraph"/>
            </w:pPr>
            <w:r>
              <w:t>5-6</w:t>
            </w:r>
          </w:p>
        </w:tc>
      </w:tr>
      <w:tr w:rsidR="000A52A2" w14:paraId="0C5FBDB0" w14:textId="77777777" w:rsidTr="00903975">
        <w:tc>
          <w:tcPr>
            <w:tcW w:w="1620" w:type="dxa"/>
          </w:tcPr>
          <w:p w14:paraId="0C5FBDAE" w14:textId="77777777" w:rsidR="000A52A2" w:rsidRDefault="000B213E" w:rsidP="007B3F69">
            <w:pPr>
              <w:pStyle w:val="ListParagraph"/>
            </w:pPr>
            <w:r>
              <w:t>16</w:t>
            </w:r>
          </w:p>
        </w:tc>
        <w:tc>
          <w:tcPr>
            <w:tcW w:w="1440" w:type="dxa"/>
          </w:tcPr>
          <w:p w14:paraId="0C5FBDAF" w14:textId="77777777" w:rsidR="000A52A2" w:rsidRDefault="000B213E" w:rsidP="007B3F69">
            <w:pPr>
              <w:pStyle w:val="ListParagraph"/>
            </w:pPr>
            <w:r>
              <w:t>1-4</w:t>
            </w:r>
          </w:p>
        </w:tc>
      </w:tr>
    </w:tbl>
    <w:p w14:paraId="0C5FBDB1" w14:textId="77777777" w:rsidR="000A52A2" w:rsidRDefault="000A52A2" w:rsidP="000A52A2">
      <w:pPr>
        <w:pStyle w:val="ListParagraph"/>
        <w:jc w:val="center"/>
        <w:rPr>
          <w:b/>
        </w:rPr>
      </w:pPr>
    </w:p>
    <w:p w14:paraId="0C5FBDB2" w14:textId="77777777" w:rsidR="000A52A2" w:rsidRPr="000A52A2" w:rsidRDefault="000A52A2" w:rsidP="000A52A2">
      <w:pPr>
        <w:pStyle w:val="ListParagraph"/>
        <w:jc w:val="center"/>
        <w:rPr>
          <w:b/>
        </w:rPr>
      </w:pPr>
      <w:r>
        <w:rPr>
          <w:b/>
        </w:rPr>
        <w:t>Exhibit ___ (WAM-1T); Testimony of Wesley A. Marks</w:t>
      </w:r>
    </w:p>
    <w:p w14:paraId="0C5FBDB3" w14:textId="77777777" w:rsidR="000A52A2" w:rsidRDefault="000A52A2" w:rsidP="000A52A2">
      <w:pPr>
        <w:pStyle w:val="ListParagraph"/>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DB6" w14:textId="77777777" w:rsidTr="00903975">
        <w:tc>
          <w:tcPr>
            <w:tcW w:w="1620" w:type="dxa"/>
            <w:tcBorders>
              <w:bottom w:val="single" w:sz="4" w:space="0" w:color="auto"/>
            </w:tcBorders>
          </w:tcPr>
          <w:p w14:paraId="0C5FBDB4"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DB5" w14:textId="77777777" w:rsidR="000A52A2" w:rsidRPr="003A1DB8" w:rsidRDefault="000A52A2" w:rsidP="00903975">
            <w:pPr>
              <w:pStyle w:val="ListParagraph"/>
              <w:jc w:val="center"/>
              <w:rPr>
                <w:b/>
              </w:rPr>
            </w:pPr>
            <w:r w:rsidRPr="003A1DB8">
              <w:rPr>
                <w:b/>
              </w:rPr>
              <w:t>Lines</w:t>
            </w:r>
          </w:p>
        </w:tc>
      </w:tr>
      <w:tr w:rsidR="000A52A2" w14:paraId="0C5FBDB9" w14:textId="77777777" w:rsidTr="00903975">
        <w:tc>
          <w:tcPr>
            <w:tcW w:w="1620" w:type="dxa"/>
            <w:tcBorders>
              <w:top w:val="single" w:sz="4" w:space="0" w:color="auto"/>
            </w:tcBorders>
          </w:tcPr>
          <w:p w14:paraId="0C5FBDB7" w14:textId="77777777" w:rsidR="000A52A2" w:rsidRDefault="0098426D" w:rsidP="007B3F69">
            <w:pPr>
              <w:pStyle w:val="ListParagraph"/>
            </w:pPr>
            <w:r>
              <w:t>10</w:t>
            </w:r>
          </w:p>
        </w:tc>
        <w:tc>
          <w:tcPr>
            <w:tcW w:w="1440" w:type="dxa"/>
            <w:tcBorders>
              <w:top w:val="single" w:sz="4" w:space="0" w:color="auto"/>
            </w:tcBorders>
          </w:tcPr>
          <w:p w14:paraId="0C5FBDB8" w14:textId="77777777" w:rsidR="000A52A2" w:rsidRDefault="0098426D" w:rsidP="007B3F69">
            <w:pPr>
              <w:pStyle w:val="ListParagraph"/>
            </w:pPr>
            <w:r>
              <w:t>17-20</w:t>
            </w:r>
          </w:p>
        </w:tc>
      </w:tr>
      <w:tr w:rsidR="000A52A2" w14:paraId="0C5FBDBC" w14:textId="77777777" w:rsidTr="00903975">
        <w:tc>
          <w:tcPr>
            <w:tcW w:w="1620" w:type="dxa"/>
          </w:tcPr>
          <w:p w14:paraId="0C5FBDBA" w14:textId="77777777" w:rsidR="000A52A2" w:rsidRDefault="0098426D" w:rsidP="007B3F69">
            <w:pPr>
              <w:pStyle w:val="ListParagraph"/>
            </w:pPr>
            <w:r>
              <w:t>16</w:t>
            </w:r>
          </w:p>
        </w:tc>
        <w:tc>
          <w:tcPr>
            <w:tcW w:w="1440" w:type="dxa"/>
          </w:tcPr>
          <w:p w14:paraId="0C5FBDBB" w14:textId="77777777" w:rsidR="000A52A2" w:rsidRDefault="0098426D" w:rsidP="007B3F69">
            <w:pPr>
              <w:pStyle w:val="ListParagraph"/>
            </w:pPr>
            <w:r>
              <w:t>4-16</w:t>
            </w:r>
          </w:p>
        </w:tc>
      </w:tr>
      <w:tr w:rsidR="000A52A2" w14:paraId="0C5FBDBF" w14:textId="77777777" w:rsidTr="00903975">
        <w:tc>
          <w:tcPr>
            <w:tcW w:w="1620" w:type="dxa"/>
          </w:tcPr>
          <w:p w14:paraId="0C5FBDBD" w14:textId="77777777" w:rsidR="000A52A2" w:rsidRDefault="0098426D" w:rsidP="007B3F69">
            <w:pPr>
              <w:pStyle w:val="ListParagraph"/>
            </w:pPr>
            <w:r>
              <w:t>18</w:t>
            </w:r>
          </w:p>
        </w:tc>
        <w:tc>
          <w:tcPr>
            <w:tcW w:w="1440" w:type="dxa"/>
          </w:tcPr>
          <w:p w14:paraId="0C5FBDBE" w14:textId="77777777" w:rsidR="000A52A2" w:rsidRDefault="0098426D" w:rsidP="007B3F69">
            <w:pPr>
              <w:pStyle w:val="ListParagraph"/>
            </w:pPr>
            <w:r>
              <w:t>4-21</w:t>
            </w:r>
          </w:p>
        </w:tc>
      </w:tr>
      <w:tr w:rsidR="000A52A2" w14:paraId="0C5FBDC2" w14:textId="77777777" w:rsidTr="00903975">
        <w:tc>
          <w:tcPr>
            <w:tcW w:w="1620" w:type="dxa"/>
          </w:tcPr>
          <w:p w14:paraId="0C5FBDC0" w14:textId="77777777" w:rsidR="000A52A2" w:rsidRDefault="0098426D" w:rsidP="007B3F69">
            <w:pPr>
              <w:pStyle w:val="ListParagraph"/>
            </w:pPr>
            <w:r>
              <w:t>19</w:t>
            </w:r>
          </w:p>
        </w:tc>
        <w:tc>
          <w:tcPr>
            <w:tcW w:w="1440" w:type="dxa"/>
          </w:tcPr>
          <w:p w14:paraId="0C5FBDC1" w14:textId="77777777" w:rsidR="000A52A2" w:rsidRDefault="0098426D" w:rsidP="007B3F69">
            <w:pPr>
              <w:pStyle w:val="ListParagraph"/>
            </w:pPr>
            <w:r>
              <w:t>1-20</w:t>
            </w:r>
          </w:p>
        </w:tc>
      </w:tr>
    </w:tbl>
    <w:p w14:paraId="0C5FBDC3" w14:textId="77777777" w:rsidR="000A52A2" w:rsidRDefault="000A52A2" w:rsidP="000A52A2">
      <w:pPr>
        <w:pStyle w:val="ListParagraph"/>
        <w:ind w:left="1080"/>
      </w:pPr>
    </w:p>
    <w:p w14:paraId="0C5FBDC4" w14:textId="77777777" w:rsidR="000A52A2" w:rsidRDefault="000A52A2" w:rsidP="00A53F7D">
      <w:pPr>
        <w:pStyle w:val="ListParagraph"/>
        <w:numPr>
          <w:ilvl w:val="0"/>
          <w:numId w:val="17"/>
        </w:numPr>
        <w:rPr>
          <w:b/>
        </w:rPr>
      </w:pPr>
      <w:r w:rsidRPr="000A52A2">
        <w:rPr>
          <w:b/>
        </w:rPr>
        <w:t>Reinterpretation of application case testimony</w:t>
      </w:r>
    </w:p>
    <w:p w14:paraId="0C5FBDC5" w14:textId="77777777" w:rsidR="00B96A4D" w:rsidRDefault="00B96A4D" w:rsidP="00B96A4D">
      <w:pPr>
        <w:pStyle w:val="ListParagraph"/>
        <w:ind w:left="1080"/>
        <w:rPr>
          <w:b/>
        </w:rPr>
      </w:pPr>
    </w:p>
    <w:p w14:paraId="0C5FBDC6" w14:textId="77777777" w:rsidR="006F6F56" w:rsidRPr="006F6F56" w:rsidRDefault="006F6F56" w:rsidP="006F6F56">
      <w:pPr>
        <w:pStyle w:val="Heading3"/>
        <w:rPr>
          <w:szCs w:val="24"/>
        </w:rPr>
      </w:pPr>
      <w:r>
        <w:t xml:space="preserve">Speedishuttle’s </w:t>
      </w:r>
      <w:r w:rsidR="00430F04">
        <w:t>brief adjudicative proceeding</w:t>
      </w:r>
      <w:r>
        <w:t xml:space="preserve"> case </w:t>
      </w:r>
      <w:r w:rsidR="00AF3689">
        <w:t>record</w:t>
      </w:r>
      <w:r>
        <w:t xml:space="preserve"> was transcribed. Rather than relying upon that accurate and certified reflection of the testimony given</w:t>
      </w:r>
      <w:r w:rsidR="00AF3689">
        <w:t xml:space="preserve"> as the best evidence</w:t>
      </w:r>
      <w:r>
        <w:t>, Shuttle Express</w:t>
      </w:r>
      <w:r w:rsidR="00AF3689">
        <w:t>’ testimony of December 2</w:t>
      </w:r>
      <w:r w:rsidR="00BF5FB4">
        <w:t>1</w:t>
      </w:r>
      <w:r w:rsidR="00AF3689">
        <w:t xml:space="preserve">, </w:t>
      </w:r>
      <w:r w:rsidR="00430F04">
        <w:t xml:space="preserve">often </w:t>
      </w:r>
      <w:r>
        <w:t xml:space="preserve">provides </w:t>
      </w:r>
      <w:r w:rsidR="00912F7E">
        <w:t xml:space="preserve">instead </w:t>
      </w:r>
      <w:r>
        <w:t xml:space="preserve">its </w:t>
      </w:r>
      <w:r w:rsidR="00430F04">
        <w:t xml:space="preserve">own </w:t>
      </w:r>
      <w:r w:rsidR="00912F7E">
        <w:t>rendition</w:t>
      </w:r>
      <w:r>
        <w:t xml:space="preserve"> and reinterpretation </w:t>
      </w:r>
      <w:r>
        <w:lastRenderedPageBreak/>
        <w:t>of that testimony.  In doing so, it contorts the original meaning</w:t>
      </w:r>
      <w:r w:rsidR="00AF3689">
        <w:t>s</w:t>
      </w:r>
      <w:r>
        <w:t xml:space="preserve"> in order to attribute to Speedishuttle representations </w:t>
      </w:r>
      <w:r w:rsidR="00912F7E">
        <w:t xml:space="preserve">it </w:t>
      </w:r>
      <w:r>
        <w:t>never made.</w:t>
      </w:r>
    </w:p>
    <w:p w14:paraId="0C5FBDC7" w14:textId="77777777" w:rsidR="003D1231" w:rsidRDefault="006F6F56" w:rsidP="006F6F56">
      <w:pPr>
        <w:pStyle w:val="Heading3"/>
        <w:rPr>
          <w:szCs w:val="24"/>
        </w:rPr>
      </w:pPr>
      <w:r>
        <w:rPr>
          <w:szCs w:val="24"/>
        </w:rPr>
        <w:t>One example of this type of misleading</w:t>
      </w:r>
      <w:r w:rsidR="00912F7E">
        <w:rPr>
          <w:szCs w:val="24"/>
        </w:rPr>
        <w:t>,</w:t>
      </w:r>
      <w:r>
        <w:rPr>
          <w:szCs w:val="24"/>
        </w:rPr>
        <w:t xml:space="preserve"> irrelevant testimony can be found in the testimony of Don Wood </w:t>
      </w:r>
      <w:r w:rsidR="00AF3689">
        <w:rPr>
          <w:szCs w:val="24"/>
        </w:rPr>
        <w:t xml:space="preserve">concerning </w:t>
      </w:r>
      <w:r>
        <w:rPr>
          <w:szCs w:val="24"/>
        </w:rPr>
        <w:t>the testimony of Cecil Morton on Speedishuttle’s personal greeters:</w:t>
      </w:r>
    </w:p>
    <w:p w14:paraId="0C5FBDC8" w14:textId="77777777" w:rsidR="006F6F56" w:rsidRDefault="006F6F56" w:rsidP="006F6F56">
      <w:pPr>
        <w:pStyle w:val="Heading3"/>
        <w:numPr>
          <w:ilvl w:val="0"/>
          <w:numId w:val="0"/>
        </w:numPr>
        <w:spacing w:line="240" w:lineRule="auto"/>
        <w:ind w:left="1440" w:right="1440"/>
        <w:rPr>
          <w:szCs w:val="24"/>
        </w:rPr>
      </w:pPr>
      <w:r>
        <w:t>The second key element of Speedishuttle’s plan is a commitment to meet all incoming passengers with a multilingual agent, and to escort them through SeaTac and to a Speedishuttle vehicle.  The Commission relied on Speedishuttle’s sworn testimony regarding this commitment: “Mr. Morton testified that all Speedishuttle customers are greeted outside the security gate by a company employee, escorted to the baggage claim, and then escorted to their shuttle.  The Company plans to hire multilingual greeters to communicate with non-English speaking customers.”</w:t>
      </w:r>
      <w:r>
        <w:rPr>
          <w:rStyle w:val="FootnoteReference"/>
        </w:rPr>
        <w:footnoteReference w:id="36"/>
      </w:r>
      <w:r>
        <w:t xml:space="preserve">  The Commission goes on to describe its understanding of this commitment that would distinguish the service of Speedishuttle from that of Shuttle Express: “Speedishuttle service includes a personal airport greeter for each customer at no additional cost.”</w:t>
      </w:r>
      <w:r>
        <w:rPr>
          <w:rStyle w:val="FootnoteReference"/>
        </w:rPr>
        <w:footnoteReference w:id="37"/>
      </w:r>
      <w:r>
        <w:t xml:space="preserve">  In order to determine whether Speedishuttle has actually provided this </w:t>
      </w:r>
      <w:r w:rsidRPr="00567C6D">
        <w:t>“individually tailored customer service”</w:t>
      </w:r>
      <w:r>
        <w:t xml:space="preserve"> to a previously unserved market, it is now instructive to examine whether Speedishuttle has met its commitment to meet all incoming passengers with a multilingual agent, and to escort those passengers from the security gate to their shuttle.  Put directly, has Speedishuttle made good on its commitments to “provide services that would be very useful, if not critical, for non-English speaking and foreign travelers”?</w:t>
      </w:r>
      <w:r>
        <w:rPr>
          <w:rStyle w:val="FootnoteReference"/>
        </w:rPr>
        <w:footnoteReference w:id="38"/>
      </w:r>
    </w:p>
    <w:p w14:paraId="0C5FBDC9" w14:textId="77777777" w:rsidR="00B96A4D" w:rsidRPr="000A52A2" w:rsidRDefault="00B96A4D" w:rsidP="00B96A4D">
      <w:pPr>
        <w:pStyle w:val="ListParagraph"/>
        <w:ind w:left="1080"/>
        <w:rPr>
          <w:b/>
        </w:rPr>
      </w:pPr>
    </w:p>
    <w:p w14:paraId="0C5FBDCA" w14:textId="77777777" w:rsidR="000A52A2" w:rsidRDefault="009F1E12" w:rsidP="009F1E12">
      <w:pPr>
        <w:pStyle w:val="Heading3"/>
      </w:pPr>
      <w:r>
        <w:t>As discussed in paragraph 3</w:t>
      </w:r>
      <w:r w:rsidR="004229DB">
        <w:t>6</w:t>
      </w:r>
      <w:r w:rsidR="00912F7E">
        <w:t xml:space="preserve"> and 3</w:t>
      </w:r>
      <w:r w:rsidR="004229DB">
        <w:t>7</w:t>
      </w:r>
      <w:r>
        <w:t xml:space="preserve">, above, Shuttle Express </w:t>
      </w:r>
      <w:r w:rsidR="00AF3689">
        <w:t xml:space="preserve">previously </w:t>
      </w:r>
      <w:r>
        <w:t xml:space="preserve">acknowledged in its Petition for Rehearing </w:t>
      </w:r>
      <w:r w:rsidR="00B14FB0">
        <w:t xml:space="preserve">that </w:t>
      </w:r>
      <w:r>
        <w:t xml:space="preserve">Speedishuttle had never promised it would provide multi-lingual greeters, but would do its best to hire </w:t>
      </w:r>
      <w:r w:rsidR="0012337D">
        <w:t>multilingual receptive teams</w:t>
      </w:r>
      <w:r>
        <w:t xml:space="preserve">.  Yet, it now </w:t>
      </w:r>
      <w:r w:rsidR="00AF3689">
        <w:t xml:space="preserve">pointedly and </w:t>
      </w:r>
      <w:r>
        <w:t>disingenuously reinterprets Cecil Morton’s testimony to suggest he promised that every personal greeter hired would be multilingual.</w:t>
      </w:r>
    </w:p>
    <w:p w14:paraId="0C5FBDCB" w14:textId="77777777" w:rsidR="006F6F56" w:rsidRDefault="009F1E12" w:rsidP="009F1E12">
      <w:pPr>
        <w:pStyle w:val="Heading3"/>
      </w:pPr>
      <w:r>
        <w:lastRenderedPageBreak/>
        <w:t xml:space="preserve">Similar testimony, attempting to </w:t>
      </w:r>
      <w:r w:rsidR="00B14FB0">
        <w:t>substitute and/or modulate</w:t>
      </w:r>
      <w:r>
        <w:t xml:space="preserve"> </w:t>
      </w:r>
      <w:r w:rsidR="00BF5FB4">
        <w:t xml:space="preserve">actual </w:t>
      </w:r>
      <w:r>
        <w:t xml:space="preserve">application case testimony with Shuttle Express’ </w:t>
      </w:r>
      <w:r w:rsidR="00AF3689">
        <w:t xml:space="preserve">self-serving revisions </w:t>
      </w:r>
      <w:r>
        <w:t xml:space="preserve">of that testimony </w:t>
      </w:r>
      <w:r w:rsidR="00B14FB0">
        <w:t xml:space="preserve">can also be found </w:t>
      </w:r>
      <w:r>
        <w:t>in the following pages and lines:</w:t>
      </w:r>
    </w:p>
    <w:p w14:paraId="0C5FBDCC" w14:textId="77777777" w:rsidR="000A52A2" w:rsidRPr="003A1DB8" w:rsidRDefault="000A52A2" w:rsidP="000A52A2">
      <w:pPr>
        <w:pStyle w:val="Heading3"/>
        <w:numPr>
          <w:ilvl w:val="0"/>
          <w:numId w:val="0"/>
        </w:numPr>
        <w:jc w:val="center"/>
        <w:rPr>
          <w:b/>
        </w:rPr>
      </w:pPr>
      <w:r w:rsidRPr="003A1DB8">
        <w:rPr>
          <w:b/>
        </w:rPr>
        <w:t xml:space="preserve">Exhibit ___ (DJW-1T); </w:t>
      </w:r>
      <w:r>
        <w:rPr>
          <w:b/>
        </w:rPr>
        <w:t>Testimony of Don J. Wood</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DCF" w14:textId="77777777" w:rsidTr="00903975">
        <w:tc>
          <w:tcPr>
            <w:tcW w:w="1620" w:type="dxa"/>
            <w:tcBorders>
              <w:bottom w:val="single" w:sz="4" w:space="0" w:color="auto"/>
            </w:tcBorders>
          </w:tcPr>
          <w:p w14:paraId="0C5FBDCD"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DCE" w14:textId="77777777" w:rsidR="000A52A2" w:rsidRPr="003A1DB8" w:rsidRDefault="000A52A2" w:rsidP="00903975">
            <w:pPr>
              <w:pStyle w:val="ListParagraph"/>
              <w:jc w:val="center"/>
              <w:rPr>
                <w:b/>
              </w:rPr>
            </w:pPr>
            <w:r w:rsidRPr="003A1DB8">
              <w:rPr>
                <w:b/>
              </w:rPr>
              <w:t>Lines</w:t>
            </w:r>
          </w:p>
        </w:tc>
      </w:tr>
      <w:tr w:rsidR="000A52A2" w14:paraId="0C5FBDD2" w14:textId="77777777" w:rsidTr="00903975">
        <w:tc>
          <w:tcPr>
            <w:tcW w:w="1620" w:type="dxa"/>
            <w:tcBorders>
              <w:top w:val="single" w:sz="4" w:space="0" w:color="auto"/>
            </w:tcBorders>
          </w:tcPr>
          <w:p w14:paraId="0C5FBDD0" w14:textId="77777777" w:rsidR="000A52A2" w:rsidRDefault="009F1E12" w:rsidP="007B3F69">
            <w:pPr>
              <w:pStyle w:val="ListParagraph"/>
            </w:pPr>
            <w:r>
              <w:t>9</w:t>
            </w:r>
          </w:p>
        </w:tc>
        <w:tc>
          <w:tcPr>
            <w:tcW w:w="1440" w:type="dxa"/>
            <w:tcBorders>
              <w:top w:val="single" w:sz="4" w:space="0" w:color="auto"/>
            </w:tcBorders>
          </w:tcPr>
          <w:p w14:paraId="0C5FBDD1" w14:textId="77777777" w:rsidR="000A52A2" w:rsidRDefault="009F1E12" w:rsidP="007B3F69">
            <w:pPr>
              <w:pStyle w:val="ListParagraph"/>
            </w:pPr>
            <w:r>
              <w:t>17-19</w:t>
            </w:r>
          </w:p>
        </w:tc>
      </w:tr>
      <w:tr w:rsidR="000A52A2" w14:paraId="0C5FBDD5" w14:textId="77777777" w:rsidTr="00903975">
        <w:tc>
          <w:tcPr>
            <w:tcW w:w="1620" w:type="dxa"/>
          </w:tcPr>
          <w:p w14:paraId="0C5FBDD3" w14:textId="77777777" w:rsidR="000A52A2" w:rsidRDefault="009F1E12" w:rsidP="007B3F69">
            <w:pPr>
              <w:pStyle w:val="ListParagraph"/>
            </w:pPr>
            <w:r>
              <w:t>10</w:t>
            </w:r>
          </w:p>
        </w:tc>
        <w:tc>
          <w:tcPr>
            <w:tcW w:w="1440" w:type="dxa"/>
          </w:tcPr>
          <w:p w14:paraId="0C5FBDD4" w14:textId="77777777" w:rsidR="000A52A2" w:rsidRDefault="009F1E12" w:rsidP="007B3F69">
            <w:pPr>
              <w:pStyle w:val="ListParagraph"/>
            </w:pPr>
            <w:r>
              <w:t>1-13</w:t>
            </w:r>
          </w:p>
        </w:tc>
      </w:tr>
      <w:tr w:rsidR="000A52A2" w14:paraId="0C5FBDD8" w14:textId="77777777" w:rsidTr="00903975">
        <w:tc>
          <w:tcPr>
            <w:tcW w:w="1620" w:type="dxa"/>
          </w:tcPr>
          <w:p w14:paraId="0C5FBDD6" w14:textId="77777777" w:rsidR="000A52A2" w:rsidRDefault="0001734E" w:rsidP="007B3F69">
            <w:pPr>
              <w:pStyle w:val="ListParagraph"/>
            </w:pPr>
            <w:r>
              <w:t>17</w:t>
            </w:r>
          </w:p>
        </w:tc>
        <w:tc>
          <w:tcPr>
            <w:tcW w:w="1440" w:type="dxa"/>
          </w:tcPr>
          <w:p w14:paraId="0C5FBDD7" w14:textId="77777777" w:rsidR="000A52A2" w:rsidRDefault="0001734E" w:rsidP="007B3F69">
            <w:pPr>
              <w:pStyle w:val="ListParagraph"/>
            </w:pPr>
            <w:r>
              <w:t>16-18</w:t>
            </w:r>
          </w:p>
        </w:tc>
      </w:tr>
      <w:tr w:rsidR="000A52A2" w14:paraId="0C5FBDDB" w14:textId="77777777" w:rsidTr="00903975">
        <w:tc>
          <w:tcPr>
            <w:tcW w:w="1620" w:type="dxa"/>
          </w:tcPr>
          <w:p w14:paraId="0C5FBDD9" w14:textId="77777777" w:rsidR="000A52A2" w:rsidRDefault="0001734E" w:rsidP="007B3F69">
            <w:pPr>
              <w:pStyle w:val="ListParagraph"/>
            </w:pPr>
            <w:r>
              <w:t>18</w:t>
            </w:r>
          </w:p>
        </w:tc>
        <w:tc>
          <w:tcPr>
            <w:tcW w:w="1440" w:type="dxa"/>
          </w:tcPr>
          <w:p w14:paraId="0C5FBDDA" w14:textId="77777777" w:rsidR="000A52A2" w:rsidRDefault="0001734E" w:rsidP="007B3F69">
            <w:pPr>
              <w:pStyle w:val="ListParagraph"/>
            </w:pPr>
            <w:r>
              <w:t>1-5</w:t>
            </w:r>
          </w:p>
        </w:tc>
      </w:tr>
      <w:tr w:rsidR="000A52A2" w14:paraId="0C5FBDDE" w14:textId="77777777" w:rsidTr="00903975">
        <w:tc>
          <w:tcPr>
            <w:tcW w:w="1620" w:type="dxa"/>
          </w:tcPr>
          <w:p w14:paraId="0C5FBDDC" w14:textId="77777777" w:rsidR="000A52A2" w:rsidRDefault="0001734E" w:rsidP="007B3F69">
            <w:pPr>
              <w:pStyle w:val="ListParagraph"/>
            </w:pPr>
            <w:r>
              <w:t>19</w:t>
            </w:r>
          </w:p>
        </w:tc>
        <w:tc>
          <w:tcPr>
            <w:tcW w:w="1440" w:type="dxa"/>
          </w:tcPr>
          <w:p w14:paraId="0C5FBDDD" w14:textId="77777777" w:rsidR="000A52A2" w:rsidRDefault="0001734E" w:rsidP="007B3F69">
            <w:pPr>
              <w:pStyle w:val="ListParagraph"/>
            </w:pPr>
            <w:r>
              <w:t>2-4</w:t>
            </w:r>
          </w:p>
        </w:tc>
      </w:tr>
    </w:tbl>
    <w:p w14:paraId="0C5FBDDF" w14:textId="77777777" w:rsidR="000A52A2" w:rsidRDefault="000A52A2" w:rsidP="000A52A2">
      <w:pPr>
        <w:pStyle w:val="ListParagraph"/>
        <w:jc w:val="center"/>
      </w:pPr>
    </w:p>
    <w:p w14:paraId="0C5FBDE0" w14:textId="77777777" w:rsidR="000A52A2" w:rsidRDefault="000A52A2" w:rsidP="000A52A2">
      <w:pPr>
        <w:pStyle w:val="ListParagraph"/>
        <w:jc w:val="center"/>
        <w:rPr>
          <w:b/>
        </w:rPr>
      </w:pPr>
    </w:p>
    <w:p w14:paraId="0C5FBDE1" w14:textId="77777777" w:rsidR="000A52A2" w:rsidRPr="000A52A2" w:rsidRDefault="000A52A2" w:rsidP="000A52A2">
      <w:pPr>
        <w:pStyle w:val="ListParagraph"/>
        <w:jc w:val="center"/>
        <w:rPr>
          <w:b/>
        </w:rPr>
      </w:pPr>
      <w:r>
        <w:rPr>
          <w:b/>
        </w:rPr>
        <w:t>Exhibit ___ (WAM-1T); Testimony of Wesley A. Marks</w:t>
      </w:r>
    </w:p>
    <w:p w14:paraId="0C5FBDE2" w14:textId="77777777" w:rsidR="000A52A2" w:rsidRDefault="000A52A2" w:rsidP="000A52A2">
      <w:pPr>
        <w:pStyle w:val="ListParagraph"/>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0A52A2" w:rsidRPr="003A1DB8" w14:paraId="0C5FBDE5" w14:textId="77777777" w:rsidTr="00903975">
        <w:tc>
          <w:tcPr>
            <w:tcW w:w="1620" w:type="dxa"/>
            <w:tcBorders>
              <w:bottom w:val="single" w:sz="4" w:space="0" w:color="auto"/>
            </w:tcBorders>
          </w:tcPr>
          <w:p w14:paraId="0C5FBDE3" w14:textId="77777777" w:rsidR="000A52A2" w:rsidRPr="003A1DB8" w:rsidRDefault="000A52A2" w:rsidP="00903975">
            <w:pPr>
              <w:pStyle w:val="ListParagraph"/>
              <w:jc w:val="center"/>
              <w:rPr>
                <w:b/>
              </w:rPr>
            </w:pPr>
            <w:r w:rsidRPr="003A1DB8">
              <w:rPr>
                <w:b/>
              </w:rPr>
              <w:t>Page</w:t>
            </w:r>
          </w:p>
        </w:tc>
        <w:tc>
          <w:tcPr>
            <w:tcW w:w="1440" w:type="dxa"/>
            <w:tcBorders>
              <w:bottom w:val="single" w:sz="4" w:space="0" w:color="auto"/>
            </w:tcBorders>
          </w:tcPr>
          <w:p w14:paraId="0C5FBDE4" w14:textId="77777777" w:rsidR="000A52A2" w:rsidRPr="003A1DB8" w:rsidRDefault="000A52A2" w:rsidP="00903975">
            <w:pPr>
              <w:pStyle w:val="ListParagraph"/>
              <w:jc w:val="center"/>
              <w:rPr>
                <w:b/>
              </w:rPr>
            </w:pPr>
            <w:r w:rsidRPr="003A1DB8">
              <w:rPr>
                <w:b/>
              </w:rPr>
              <w:t>Lines</w:t>
            </w:r>
          </w:p>
        </w:tc>
      </w:tr>
      <w:tr w:rsidR="000A52A2" w14:paraId="0C5FBDE8" w14:textId="77777777" w:rsidTr="00903975">
        <w:tc>
          <w:tcPr>
            <w:tcW w:w="1620" w:type="dxa"/>
            <w:tcBorders>
              <w:top w:val="single" w:sz="4" w:space="0" w:color="auto"/>
            </w:tcBorders>
          </w:tcPr>
          <w:p w14:paraId="0C5FBDE6" w14:textId="77777777" w:rsidR="000A52A2" w:rsidRDefault="006B6FD4" w:rsidP="007B3F69">
            <w:pPr>
              <w:pStyle w:val="ListParagraph"/>
            </w:pPr>
            <w:r>
              <w:t>5</w:t>
            </w:r>
          </w:p>
        </w:tc>
        <w:tc>
          <w:tcPr>
            <w:tcW w:w="1440" w:type="dxa"/>
            <w:tcBorders>
              <w:top w:val="single" w:sz="4" w:space="0" w:color="auto"/>
            </w:tcBorders>
          </w:tcPr>
          <w:p w14:paraId="0C5FBDE7" w14:textId="77777777" w:rsidR="000A52A2" w:rsidRDefault="006B6FD4" w:rsidP="007B3F69">
            <w:pPr>
              <w:pStyle w:val="ListParagraph"/>
            </w:pPr>
            <w:r>
              <w:t>15-</w:t>
            </w:r>
            <w:r w:rsidR="008F4484">
              <w:t>20</w:t>
            </w:r>
          </w:p>
        </w:tc>
      </w:tr>
      <w:tr w:rsidR="000A52A2" w14:paraId="0C5FBDEB" w14:textId="77777777" w:rsidTr="00903975">
        <w:tc>
          <w:tcPr>
            <w:tcW w:w="1620" w:type="dxa"/>
          </w:tcPr>
          <w:p w14:paraId="0C5FBDE9" w14:textId="77777777" w:rsidR="000A52A2" w:rsidRDefault="008F4484" w:rsidP="007B3F69">
            <w:pPr>
              <w:pStyle w:val="ListParagraph"/>
            </w:pPr>
            <w:r>
              <w:t>6</w:t>
            </w:r>
          </w:p>
        </w:tc>
        <w:tc>
          <w:tcPr>
            <w:tcW w:w="1440" w:type="dxa"/>
          </w:tcPr>
          <w:p w14:paraId="0C5FBDEA" w14:textId="77777777" w:rsidR="000A52A2" w:rsidRDefault="008F4484" w:rsidP="007B3F69">
            <w:pPr>
              <w:pStyle w:val="ListParagraph"/>
            </w:pPr>
            <w:r>
              <w:t>1-10, 13-16</w:t>
            </w:r>
          </w:p>
        </w:tc>
      </w:tr>
      <w:tr w:rsidR="000A52A2" w14:paraId="0C5FBDEE" w14:textId="77777777" w:rsidTr="00903975">
        <w:tc>
          <w:tcPr>
            <w:tcW w:w="1620" w:type="dxa"/>
          </w:tcPr>
          <w:p w14:paraId="0C5FBDEC" w14:textId="77777777" w:rsidR="000A52A2" w:rsidRDefault="008F4484" w:rsidP="007B3F69">
            <w:pPr>
              <w:pStyle w:val="ListParagraph"/>
            </w:pPr>
            <w:r>
              <w:t>7</w:t>
            </w:r>
          </w:p>
        </w:tc>
        <w:tc>
          <w:tcPr>
            <w:tcW w:w="1440" w:type="dxa"/>
          </w:tcPr>
          <w:p w14:paraId="0C5FBDED" w14:textId="77777777" w:rsidR="000A52A2" w:rsidRDefault="008F4484" w:rsidP="007B3F69">
            <w:pPr>
              <w:pStyle w:val="ListParagraph"/>
            </w:pPr>
            <w:r>
              <w:t>3-6</w:t>
            </w:r>
          </w:p>
        </w:tc>
      </w:tr>
    </w:tbl>
    <w:p w14:paraId="0C5FBDEF" w14:textId="77777777" w:rsidR="000A52A2" w:rsidRDefault="000A52A2" w:rsidP="009D7B3C">
      <w:pPr>
        <w:pStyle w:val="ListParagraph"/>
      </w:pPr>
    </w:p>
    <w:p w14:paraId="0C5FBDF0" w14:textId="77777777" w:rsidR="00367445" w:rsidRDefault="00367445" w:rsidP="00A53F7D">
      <w:pPr>
        <w:pStyle w:val="Heading3"/>
        <w:numPr>
          <w:ilvl w:val="0"/>
          <w:numId w:val="17"/>
        </w:numPr>
        <w:spacing w:after="240" w:line="240" w:lineRule="auto"/>
        <w:rPr>
          <w:b/>
        </w:rPr>
      </w:pPr>
      <w:r w:rsidRPr="00367445">
        <w:rPr>
          <w:b/>
        </w:rPr>
        <w:t>Testimony which attacks the means, methods, benefits or manner of providing the service features included within the business model.</w:t>
      </w:r>
    </w:p>
    <w:p w14:paraId="0C5FBDF1" w14:textId="77777777" w:rsidR="00A4057D" w:rsidRDefault="00A4057D" w:rsidP="00A4057D">
      <w:pPr>
        <w:pStyle w:val="Heading3"/>
      </w:pPr>
      <w:r>
        <w:t>While also serving as a collateral attack on the Commission’s discretion in finding that Speedishuttle’s proposed service was not the same as that offered by Shuttle Express</w:t>
      </w:r>
      <w:r w:rsidR="00AB33F4">
        <w:t xml:space="preserve"> in Order 04</w:t>
      </w:r>
      <w:r>
        <w:t xml:space="preserve">, much of Shuttle Express’ </w:t>
      </w:r>
      <w:r w:rsidR="00BF5FB4">
        <w:t xml:space="preserve">prefiled </w:t>
      </w:r>
      <w:r>
        <w:t>testimony also attempts to challenge</w:t>
      </w:r>
      <w:r w:rsidR="00AB33F4">
        <w:t xml:space="preserve"> Speedishuttle’s </w:t>
      </w:r>
      <w:r w:rsidR="001A0816">
        <w:t>proposed services</w:t>
      </w:r>
      <w:r w:rsidR="00AB33F4">
        <w:t xml:space="preserve"> by </w:t>
      </w:r>
      <w:r w:rsidR="004E3DAC">
        <w:t>revising or augmenting what it believes</w:t>
      </w:r>
      <w:r w:rsidR="00AB33F4">
        <w:t xml:space="preserve"> those </w:t>
      </w:r>
      <w:r w:rsidR="004E3DAC">
        <w:t xml:space="preserve">focal </w:t>
      </w:r>
      <w:r w:rsidR="00AB33F4">
        <w:t xml:space="preserve">services should be, attacking the benefits of those service features, or otherwise maligning Speedishuttle’s </w:t>
      </w:r>
      <w:r w:rsidR="004E3DAC">
        <w:t xml:space="preserve">existing </w:t>
      </w:r>
      <w:r w:rsidR="00AB33F4">
        <w:t xml:space="preserve">service.  Not only does this </w:t>
      </w:r>
      <w:r w:rsidR="004E3DAC">
        <w:t xml:space="preserve">suggest Shuttle Express believes that it is entitled to a </w:t>
      </w:r>
      <w:r w:rsidR="00AF3689">
        <w:t xml:space="preserve">natural </w:t>
      </w:r>
      <w:r w:rsidR="004E3DAC">
        <w:t>market monopoly by preserving the previous status quo at all costs and</w:t>
      </w:r>
      <w:r w:rsidR="00AB33F4">
        <w:t xml:space="preserve"> avoid engaging in the sort of market adaptability the Commission </w:t>
      </w:r>
      <w:r w:rsidR="00AF3689">
        <w:t xml:space="preserve">envisioned </w:t>
      </w:r>
      <w:r w:rsidR="00AB33F4">
        <w:t xml:space="preserve">when it issued its final order in the 2013 Rulemaking, it is </w:t>
      </w:r>
      <w:r w:rsidR="00E5313F">
        <w:t xml:space="preserve">wholly </w:t>
      </w:r>
      <w:r w:rsidR="00AB33F4">
        <w:t>irrelevant to the Commission’s core issue in this proceeding of whether Speedishuttle is providing the service it proposed.</w:t>
      </w:r>
    </w:p>
    <w:p w14:paraId="0C5FBDF2" w14:textId="77777777" w:rsidR="00AB33F4" w:rsidRDefault="00E5313F" w:rsidP="00A4057D">
      <w:pPr>
        <w:pStyle w:val="Heading3"/>
      </w:pPr>
      <w:r>
        <w:lastRenderedPageBreak/>
        <w:t>Yet another</w:t>
      </w:r>
      <w:r w:rsidR="00AB33F4">
        <w:t xml:space="preserve"> example of this </w:t>
      </w:r>
      <w:r>
        <w:t xml:space="preserve">genre </w:t>
      </w:r>
      <w:r w:rsidR="00AB33F4">
        <w:t>of testimony is found in the testimony of Don Wood, who state</w:t>
      </w:r>
      <w:r w:rsidR="00AF3689">
        <w:t>s</w:t>
      </w:r>
      <w:r w:rsidR="00AB33F4">
        <w:t>:</w:t>
      </w:r>
    </w:p>
    <w:p w14:paraId="0C5FBDF3" w14:textId="77777777" w:rsidR="00AB33F4" w:rsidRDefault="00AB33F4" w:rsidP="00066196">
      <w:pPr>
        <w:tabs>
          <w:tab w:val="left" w:pos="-1440"/>
        </w:tabs>
        <w:ind w:left="1440" w:right="1440"/>
        <w:rPr>
          <w:rFonts w:ascii="Times New Roman" w:hAnsi="Times New Roman" w:cs="Times New Roman"/>
          <w:sz w:val="24"/>
          <w:szCs w:val="24"/>
        </w:rPr>
      </w:pPr>
      <w:r w:rsidRPr="00AB33F4">
        <w:rPr>
          <w:rFonts w:ascii="Times New Roman" w:hAnsi="Times New Roman" w:cs="Times New Roman"/>
          <w:sz w:val="24"/>
          <w:szCs w:val="24"/>
        </w:rPr>
        <w:t>Speedishuttle promised a number of specific features, addressed below.  As an initial matter, it is important to note that these features do not change the underlying core transportation service being provided, and do not promise to expand the service to additional markets or market segments of previously-unserved customers (in the way that a multilingual service has the potential to do).</w:t>
      </w:r>
      <w:r w:rsidR="00066196">
        <w:rPr>
          <w:rStyle w:val="FootnoteReference"/>
          <w:rFonts w:ascii="Times New Roman" w:hAnsi="Times New Roman" w:cs="Times New Roman"/>
          <w:sz w:val="24"/>
          <w:szCs w:val="24"/>
        </w:rPr>
        <w:footnoteReference w:id="39"/>
      </w:r>
      <w:r w:rsidRPr="00AB33F4">
        <w:rPr>
          <w:rFonts w:ascii="Times New Roman" w:hAnsi="Times New Roman" w:cs="Times New Roman"/>
          <w:sz w:val="24"/>
          <w:szCs w:val="24"/>
        </w:rPr>
        <w:t xml:space="preserve">  </w:t>
      </w:r>
    </w:p>
    <w:p w14:paraId="0C5FBDF4" w14:textId="77777777" w:rsidR="00066196" w:rsidRPr="00066196" w:rsidRDefault="00066196" w:rsidP="00066196">
      <w:pPr>
        <w:tabs>
          <w:tab w:val="left" w:pos="-1440"/>
        </w:tabs>
        <w:ind w:left="1440" w:right="1440"/>
        <w:rPr>
          <w:rFonts w:ascii="Times New Roman" w:hAnsi="Times New Roman" w:cs="Times New Roman"/>
          <w:sz w:val="24"/>
          <w:szCs w:val="24"/>
        </w:rPr>
      </w:pPr>
    </w:p>
    <w:p w14:paraId="0C5FBDF5" w14:textId="77777777" w:rsidR="00066196" w:rsidRDefault="00AF3689" w:rsidP="00AB33F4">
      <w:pPr>
        <w:pStyle w:val="Heading3"/>
        <w:numPr>
          <w:ilvl w:val="0"/>
          <w:numId w:val="0"/>
        </w:numPr>
      </w:pPr>
      <w:r>
        <w:t>He then</w:t>
      </w:r>
      <w:r w:rsidR="00066196">
        <w:t xml:space="preserve"> goes on to state:</w:t>
      </w:r>
    </w:p>
    <w:p w14:paraId="0C5FBDF6" w14:textId="77777777" w:rsidR="00066196" w:rsidRDefault="00066196" w:rsidP="00066196">
      <w:pPr>
        <w:tabs>
          <w:tab w:val="left" w:pos="-1440"/>
        </w:tabs>
        <w:ind w:left="1440" w:right="1440"/>
        <w:rPr>
          <w:rFonts w:ascii="Times New Roman" w:hAnsi="Times New Roman" w:cs="Times New Roman"/>
          <w:sz w:val="24"/>
          <w:szCs w:val="24"/>
        </w:rPr>
      </w:pPr>
      <w:r w:rsidRPr="00066196">
        <w:rPr>
          <w:rFonts w:ascii="Times New Roman" w:hAnsi="Times New Roman" w:cs="Times New Roman"/>
          <w:b/>
          <w:sz w:val="24"/>
          <w:szCs w:val="24"/>
        </w:rPr>
        <w:t>Commitment to provide service using Mercedes Benz vehicles that offer Wi</w:t>
      </w:r>
      <w:r w:rsidR="00DE5392">
        <w:rPr>
          <w:rFonts w:ascii="Times New Roman" w:hAnsi="Times New Roman" w:cs="Times New Roman"/>
          <w:b/>
          <w:sz w:val="24"/>
          <w:szCs w:val="24"/>
        </w:rPr>
        <w:t>-</w:t>
      </w:r>
      <w:r w:rsidRPr="00066196">
        <w:rPr>
          <w:rFonts w:ascii="Times New Roman" w:hAnsi="Times New Roman" w:cs="Times New Roman"/>
          <w:b/>
          <w:sz w:val="24"/>
          <w:szCs w:val="24"/>
        </w:rPr>
        <w:t xml:space="preserve">Fi service to passengers.  </w:t>
      </w:r>
      <w:r w:rsidRPr="00066196">
        <w:rPr>
          <w:rFonts w:ascii="Times New Roman" w:hAnsi="Times New Roman" w:cs="Times New Roman"/>
          <w:sz w:val="24"/>
          <w:szCs w:val="24"/>
        </w:rPr>
        <w:t>The Commission’s orders refer to Speedishuttle’s proposed use of “luxury vehicles” or “upscale vehicles,” but do not explain why the use of such vehicles was expected to be inherently more desirable than the use of clean, well-maintained vehicles made by a different manufacturer.  The terms “upscale” and “luxury” are not defined in the Orders, and the Commission does not articulate a specific expectation regarding how the market for share ride services will be expanded by the specific use of vehicles from a single manufacturer.  It is difficult, therefore, to objectively determine whether this particular feature has had the expected impact on the public interest.</w:t>
      </w:r>
      <w:r w:rsidR="00246275">
        <w:rPr>
          <w:rStyle w:val="FootnoteReference"/>
          <w:rFonts w:ascii="Times New Roman" w:hAnsi="Times New Roman" w:cs="Times New Roman"/>
          <w:sz w:val="24"/>
          <w:szCs w:val="24"/>
        </w:rPr>
        <w:footnoteReference w:id="40"/>
      </w:r>
    </w:p>
    <w:p w14:paraId="0C5FBDF7" w14:textId="77777777" w:rsidR="00246275" w:rsidRPr="00066196" w:rsidRDefault="00246275" w:rsidP="00066196">
      <w:pPr>
        <w:tabs>
          <w:tab w:val="left" w:pos="-1440"/>
        </w:tabs>
        <w:ind w:left="1440" w:right="1440"/>
        <w:rPr>
          <w:rFonts w:ascii="Times New Roman" w:hAnsi="Times New Roman" w:cs="Times New Roman"/>
          <w:sz w:val="24"/>
          <w:szCs w:val="24"/>
        </w:rPr>
      </w:pPr>
    </w:p>
    <w:p w14:paraId="0C5FBDF8" w14:textId="77777777" w:rsidR="00246275" w:rsidRDefault="00246275" w:rsidP="00246275">
      <w:pPr>
        <w:pStyle w:val="Heading3"/>
      </w:pPr>
      <w:r>
        <w:t>Again</w:t>
      </w:r>
      <w:r w:rsidR="00E5313F">
        <w:t xml:space="preserve"> and again</w:t>
      </w:r>
      <w:r>
        <w:t xml:space="preserve">, this </w:t>
      </w:r>
      <w:r w:rsidR="00BF5FB4">
        <w:t xml:space="preserve">type of </w:t>
      </w:r>
      <w:r>
        <w:t xml:space="preserve">testimony is not </w:t>
      </w:r>
      <w:r w:rsidR="00E5313F">
        <w:t xml:space="preserve">relevant to </w:t>
      </w:r>
      <w:r>
        <w:t xml:space="preserve">whether Speedishuttle is actually providing the service it proposed, but </w:t>
      </w:r>
      <w:r w:rsidR="00E5313F">
        <w:t xml:space="preserve">instead </w:t>
      </w:r>
      <w:r>
        <w:t>attack</w:t>
      </w:r>
      <w:r w:rsidR="00E5313F">
        <w:t>s</w:t>
      </w:r>
      <w:r>
        <w:t xml:space="preserve"> the </w:t>
      </w:r>
      <w:r w:rsidR="00AF3689">
        <w:t xml:space="preserve">substance of the </w:t>
      </w:r>
      <w:r>
        <w:t xml:space="preserve">Commission’s ruling in Order 04 and </w:t>
      </w:r>
      <w:r w:rsidR="00430F04">
        <w:t>even launches</w:t>
      </w:r>
      <w:r w:rsidR="00E5313F">
        <w:t xml:space="preserve"> </w:t>
      </w:r>
      <w:r>
        <w:t>a veiled attack on whether Speedishuttle is providing an upscale or luxury vehicle by utilizing the Mercedes Benz Spri</w:t>
      </w:r>
      <w:r w:rsidR="00E5313F">
        <w:t>nt</w:t>
      </w:r>
      <w:r>
        <w:t>er vans it proposed to use in its application case</w:t>
      </w:r>
      <w:r w:rsidR="00AF3689">
        <w:t xml:space="preserve"> which Shuttle Express knows </w:t>
      </w:r>
      <w:r w:rsidR="00430F04">
        <w:t>(</w:t>
      </w:r>
      <w:r w:rsidR="00AF3689">
        <w:t>in responses now a part of this record through discovery motions</w:t>
      </w:r>
      <w:r w:rsidR="00430F04">
        <w:t>)</w:t>
      </w:r>
      <w:r w:rsidR="00AF3689">
        <w:t xml:space="preserve"> is reality</w:t>
      </w:r>
      <w:r>
        <w:t>.</w:t>
      </w:r>
      <w:r w:rsidR="00E5313F">
        <w:t xml:space="preserve">  This type of testimony ultimately </w:t>
      </w:r>
      <w:r w:rsidR="00884FDE">
        <w:t xml:space="preserve">also </w:t>
      </w:r>
      <w:r w:rsidR="00E5313F">
        <w:t xml:space="preserve">again retroactively challenges the weight given to the identified business model factors.  While Shuttle Express might perpetually </w:t>
      </w:r>
      <w:r w:rsidR="00E5313F">
        <w:lastRenderedPageBreak/>
        <w:t>seek to devalue the differentiation factors identified in Order 04</w:t>
      </w:r>
      <w:r w:rsidR="007A769B">
        <w:t>,</w:t>
      </w:r>
      <w:r w:rsidR="00E5313F">
        <w:t xml:space="preserve"> it has neither forum nor audience here to reargue those distinctions.</w:t>
      </w:r>
    </w:p>
    <w:p w14:paraId="0C5FBDF9" w14:textId="77777777" w:rsidR="008F4484" w:rsidRDefault="008F4484" w:rsidP="00246275">
      <w:pPr>
        <w:pStyle w:val="Heading3"/>
      </w:pPr>
      <w:r>
        <w:t xml:space="preserve">Additional examples </w:t>
      </w:r>
      <w:r w:rsidR="007A769B">
        <w:t xml:space="preserve">of service feature critiques </w:t>
      </w:r>
      <w:r w:rsidR="00E5313F">
        <w:t>are contained</w:t>
      </w:r>
      <w:r>
        <w:t xml:space="preserve"> in the testimony of Wesley A. Marks.  Mr. Marks </w:t>
      </w:r>
      <w:r w:rsidR="00E5313F">
        <w:t xml:space="preserve">astoundingly and </w:t>
      </w:r>
      <w:r>
        <w:t xml:space="preserve">disingenuously claims that </w:t>
      </w:r>
      <w:r w:rsidR="00D94561">
        <w:t xml:space="preserve">Speedishuttle </w:t>
      </w:r>
      <w:r>
        <w:t xml:space="preserve">has no idea whether </w:t>
      </w:r>
      <w:r w:rsidR="00D94561">
        <w:t xml:space="preserve">it </w:t>
      </w:r>
      <w:r>
        <w:t>offers Wi</w:t>
      </w:r>
      <w:r w:rsidR="00430F04">
        <w:t>-</w:t>
      </w:r>
      <w:r>
        <w:t>Fi service or its Speedi TV service in Washington</w:t>
      </w:r>
      <w:r w:rsidR="007A769B">
        <w:t xml:space="preserve">. </w:t>
      </w:r>
      <w:r>
        <w:t xml:space="preserve"> </w:t>
      </w:r>
      <w:r w:rsidR="007A769B">
        <w:t>He does so by</w:t>
      </w:r>
      <w:r>
        <w:t xml:space="preserve"> reinterpreting and misconstruing Speedishuttle’s responses to data requests</w:t>
      </w:r>
      <w:r w:rsidR="00430F04">
        <w:t xml:space="preserve"> which have subsequently been included in this record in discovery motions </w:t>
      </w:r>
      <w:r w:rsidR="00C82770">
        <w:t>practice</w:t>
      </w:r>
      <w:r>
        <w:t xml:space="preserve"> which </w:t>
      </w:r>
      <w:r w:rsidR="00E5313F">
        <w:t xml:space="preserve">nevertheless </w:t>
      </w:r>
      <w:r>
        <w:t xml:space="preserve">affirmed these features are installed and operable, and </w:t>
      </w:r>
      <w:r w:rsidR="00BF5FB4">
        <w:t xml:space="preserve">instead </w:t>
      </w:r>
      <w:r>
        <w:t xml:space="preserve">simply </w:t>
      </w:r>
      <w:r w:rsidR="00BF5FB4">
        <w:t>opine</w:t>
      </w:r>
      <w:r w:rsidR="00884FDE">
        <w:t>s</w:t>
      </w:r>
      <w:r w:rsidR="00BF5FB4">
        <w:t xml:space="preserve"> </w:t>
      </w:r>
      <w:r>
        <w:t xml:space="preserve">Speedishuttle has no way to track </w:t>
      </w:r>
      <w:r w:rsidR="00E5313F">
        <w:t xml:space="preserve">customer </w:t>
      </w:r>
      <w:r>
        <w:t xml:space="preserve">usage information.  But Mr. Marks </w:t>
      </w:r>
      <w:r w:rsidR="00E5313F">
        <w:t xml:space="preserve">is apparently not satisfied with this reality. </w:t>
      </w:r>
      <w:r>
        <w:t xml:space="preserve"> </w:t>
      </w:r>
      <w:r w:rsidR="00E5313F">
        <w:t>H</w:t>
      </w:r>
      <w:r>
        <w:t xml:space="preserve">e </w:t>
      </w:r>
      <w:r w:rsidR="00E5313F">
        <w:t xml:space="preserve">then </w:t>
      </w:r>
      <w:r>
        <w:t xml:space="preserve">goes on to challenge </w:t>
      </w:r>
      <w:r w:rsidR="00E5313F">
        <w:t xml:space="preserve">or otherwise qualify </w:t>
      </w:r>
      <w:r>
        <w:t xml:space="preserve">the </w:t>
      </w:r>
      <w:r w:rsidR="00E5313F">
        <w:t>Commission’s</w:t>
      </w:r>
      <w:r>
        <w:t xml:space="preserve"> </w:t>
      </w:r>
      <w:r w:rsidR="00884FDE">
        <w:t xml:space="preserve">previous </w:t>
      </w:r>
      <w:r>
        <w:t>finding regarding the benefit o</w:t>
      </w:r>
      <w:r w:rsidR="00BF5FB4">
        <w:t>f these features, claiming that:</w:t>
      </w:r>
    </w:p>
    <w:p w14:paraId="0C5FBDFA" w14:textId="77777777" w:rsidR="008F4484" w:rsidRDefault="008F4484" w:rsidP="008F4484">
      <w:pPr>
        <w:pStyle w:val="Heading3"/>
        <w:numPr>
          <w:ilvl w:val="0"/>
          <w:numId w:val="0"/>
        </w:numPr>
        <w:spacing w:line="240" w:lineRule="auto"/>
        <w:ind w:left="1440" w:right="1440"/>
      </w:pPr>
      <w:r>
        <w:t>[i]f Wi-Fi service was to be considered to be a differentiation factor that is essential to attracting the tech-savvy customer demographic that Speedishuttle supposedly was going to serve, then some qualification and tracking of it would be necessary and customary.</w:t>
      </w:r>
      <w:r w:rsidR="002F459A">
        <w:t xml:space="preserve">  Features such as describing the network speed, bandwidth available, security on the network, and the stability of the connection would be critical to a true tech-savvy passenger seeking transportation…</w:t>
      </w:r>
      <w:r>
        <w:rPr>
          <w:rStyle w:val="FootnoteReference"/>
        </w:rPr>
        <w:footnoteReference w:id="41"/>
      </w:r>
    </w:p>
    <w:p w14:paraId="0C5FBDFB" w14:textId="77777777" w:rsidR="002F459A" w:rsidRDefault="007A769B" w:rsidP="002F459A">
      <w:pPr>
        <w:pStyle w:val="Heading3"/>
        <w:numPr>
          <w:ilvl w:val="0"/>
          <w:numId w:val="0"/>
        </w:numPr>
      </w:pPr>
      <w:r>
        <w:t xml:space="preserve">Here, </w:t>
      </w:r>
      <w:r w:rsidR="00E5313F">
        <w:t xml:space="preserve">Shuttle Express obviously </w:t>
      </w:r>
      <w:r>
        <w:t xml:space="preserve">recognizes </w:t>
      </w:r>
      <w:r w:rsidR="00BF5FB4">
        <w:t xml:space="preserve">Speedishuttle’s </w:t>
      </w:r>
      <w:r w:rsidR="00C82770">
        <w:t>Mercedes</w:t>
      </w:r>
      <w:r w:rsidR="00E5313F">
        <w:t xml:space="preserve"> Sprinter vans are all </w:t>
      </w:r>
      <w:r>
        <w:t xml:space="preserve">in fact </w:t>
      </w:r>
      <w:r w:rsidR="00E5313F">
        <w:t>equipped with Wi-Fi</w:t>
      </w:r>
      <w:r w:rsidR="002F459A">
        <w:t xml:space="preserve">.  Because he cannot </w:t>
      </w:r>
      <w:r w:rsidR="00E5313F">
        <w:t>dispute that</w:t>
      </w:r>
      <w:r>
        <w:t>,</w:t>
      </w:r>
      <w:r w:rsidR="00E5313F">
        <w:t xml:space="preserve"> he</w:t>
      </w:r>
      <w:r w:rsidR="002F459A">
        <w:t xml:space="preserve"> instead </w:t>
      </w:r>
      <w:r w:rsidR="00884FDE">
        <w:t xml:space="preserve">challenges </w:t>
      </w:r>
      <w:r w:rsidR="002F459A">
        <w:t xml:space="preserve">the </w:t>
      </w:r>
      <w:r>
        <w:t xml:space="preserve">ultimate </w:t>
      </w:r>
      <w:r w:rsidR="00BF5FB4">
        <w:t xml:space="preserve">worth </w:t>
      </w:r>
      <w:r w:rsidR="002F459A">
        <w:t xml:space="preserve">of the service and whether Speedishuttle has provided such </w:t>
      </w:r>
      <w:r w:rsidR="00C82770">
        <w:t xml:space="preserve">additional qualitative </w:t>
      </w:r>
      <w:r w:rsidR="002F459A">
        <w:t xml:space="preserve">features to </w:t>
      </w:r>
      <w:r>
        <w:t xml:space="preserve">the witness’ </w:t>
      </w:r>
      <w:r w:rsidR="002F459A">
        <w:t>liking.</w:t>
      </w:r>
    </w:p>
    <w:p w14:paraId="0C5FBDFC" w14:textId="77777777" w:rsidR="002F459A" w:rsidRDefault="002F459A" w:rsidP="002F459A">
      <w:pPr>
        <w:pStyle w:val="Heading3"/>
      </w:pPr>
      <w:r>
        <w:t>Marks ma</w:t>
      </w:r>
      <w:r w:rsidR="00C82770">
        <w:t>k</w:t>
      </w:r>
      <w:r>
        <w:t>e</w:t>
      </w:r>
      <w:r w:rsidR="00C82770">
        <w:t>s</w:t>
      </w:r>
      <w:r>
        <w:t xml:space="preserve"> a similar attack on the </w:t>
      </w:r>
      <w:r w:rsidR="007A769B">
        <w:t xml:space="preserve">actual </w:t>
      </w:r>
      <w:r w:rsidR="00E5313F">
        <w:t xml:space="preserve">foreign </w:t>
      </w:r>
      <w:r>
        <w:t>language</w:t>
      </w:r>
      <w:r w:rsidR="00E5313F">
        <w:t>s</w:t>
      </w:r>
      <w:r>
        <w:t xml:space="preserve"> </w:t>
      </w:r>
      <w:r w:rsidR="00BF5FB4">
        <w:t xml:space="preserve">actually </w:t>
      </w:r>
      <w:r>
        <w:t xml:space="preserve">spoken by Speedishuttle’s employees. Speedishuttle responded to data requests from Shuttle Express with information </w:t>
      </w:r>
      <w:r w:rsidR="00E5313F">
        <w:lastRenderedPageBreak/>
        <w:t xml:space="preserve">demonstrating </w:t>
      </w:r>
      <w:r>
        <w:t xml:space="preserve">it </w:t>
      </w:r>
      <w:r w:rsidR="00514ED6">
        <w:t xml:space="preserve">employed </w:t>
      </w:r>
      <w:r>
        <w:t>numerous multilingual</w:t>
      </w:r>
      <w:r w:rsidR="00514ED6">
        <w:t xml:space="preserve"> workers</w:t>
      </w:r>
      <w:r>
        <w:t xml:space="preserve">.  However, because </w:t>
      </w:r>
      <w:r w:rsidR="00884FDE">
        <w:t xml:space="preserve">now </w:t>
      </w:r>
      <w:r w:rsidR="00514ED6">
        <w:t xml:space="preserve">those </w:t>
      </w:r>
      <w:r>
        <w:t xml:space="preserve">facts do not support Shuttle Express’ narrative, rather than </w:t>
      </w:r>
      <w:r w:rsidR="00C82770">
        <w:t xml:space="preserve">questioning </w:t>
      </w:r>
      <w:r>
        <w:t>whether Speedishuttle retained multilingual employees</w:t>
      </w:r>
      <w:r w:rsidR="00514ED6">
        <w:t>,</w:t>
      </w:r>
      <w:r>
        <w:t xml:space="preserve"> Mr. Marks instead challenges the </w:t>
      </w:r>
      <w:r w:rsidR="007A769B">
        <w:t xml:space="preserve">particular </w:t>
      </w:r>
      <w:r>
        <w:t>languages spoken by those employees.</w:t>
      </w:r>
      <w:r>
        <w:rPr>
          <w:rStyle w:val="FootnoteReference"/>
        </w:rPr>
        <w:footnoteReference w:id="42"/>
      </w:r>
      <w:r>
        <w:t xml:space="preserve">  </w:t>
      </w:r>
      <w:r w:rsidR="00514ED6">
        <w:t>However, t</w:t>
      </w:r>
      <w:r>
        <w:t xml:space="preserve">he Commission </w:t>
      </w:r>
      <w:r w:rsidR="007A769B">
        <w:t xml:space="preserve">never </w:t>
      </w:r>
      <w:r>
        <w:t>address</w:t>
      </w:r>
      <w:r w:rsidR="007A769B">
        <w:t>ed</w:t>
      </w:r>
      <w:r w:rsidR="00C82770">
        <w:t xml:space="preserve"> the</w:t>
      </w:r>
      <w:r>
        <w:t xml:space="preserve"> specific languages</w:t>
      </w:r>
      <w:r w:rsidR="0012337D">
        <w:t xml:space="preserve"> it </w:t>
      </w:r>
      <w:r w:rsidR="00514ED6">
        <w:t xml:space="preserve">conclusively </w:t>
      </w:r>
      <w:r w:rsidR="0012337D">
        <w:t>considered to be “multi-lingual</w:t>
      </w:r>
      <w:r w:rsidR="00514ED6">
        <w:t>,</w:t>
      </w:r>
      <w:r w:rsidR="0012337D">
        <w:t>”</w:t>
      </w:r>
      <w:r>
        <w:t xml:space="preserve"> nor </w:t>
      </w:r>
      <w:r w:rsidR="007A769B">
        <w:t>c</w:t>
      </w:r>
      <w:r>
        <w:t xml:space="preserve">ould </w:t>
      </w:r>
      <w:r w:rsidR="00BF5FB4">
        <w:t xml:space="preserve">or would </w:t>
      </w:r>
      <w:r>
        <w:t xml:space="preserve">it have discriminated against </w:t>
      </w:r>
      <w:r w:rsidR="00514ED6">
        <w:t xml:space="preserve">or in favor of </w:t>
      </w:r>
      <w:r>
        <w:t xml:space="preserve">prospective </w:t>
      </w:r>
      <w:r w:rsidR="007A769B">
        <w:t xml:space="preserve">foreign language </w:t>
      </w:r>
      <w:r>
        <w:t xml:space="preserve">passengers in the </w:t>
      </w:r>
      <w:r w:rsidR="00514ED6">
        <w:t xml:space="preserve">manner </w:t>
      </w:r>
      <w:r>
        <w:t>proposed by Mr. Marks.  Thus, this testimony should also be excluded.</w:t>
      </w:r>
    </w:p>
    <w:p w14:paraId="0C5FBDFD" w14:textId="77777777" w:rsidR="002951D3" w:rsidRPr="008D316D" w:rsidRDefault="002951D3" w:rsidP="002951D3">
      <w:pPr>
        <w:pStyle w:val="Heading3"/>
        <w:rPr>
          <w:b/>
          <w:szCs w:val="24"/>
        </w:rPr>
      </w:pPr>
      <w:r w:rsidRPr="008D316D">
        <w:rPr>
          <w:szCs w:val="24"/>
        </w:rPr>
        <w:t>Marks</w:t>
      </w:r>
      <w:r w:rsidR="007A769B">
        <w:rPr>
          <w:szCs w:val="24"/>
        </w:rPr>
        <w:t xml:space="preserve"> even</w:t>
      </w:r>
      <w:r w:rsidRPr="008D316D">
        <w:rPr>
          <w:szCs w:val="24"/>
        </w:rPr>
        <w:t xml:space="preserve"> ma</w:t>
      </w:r>
      <w:r w:rsidR="007A769B">
        <w:rPr>
          <w:szCs w:val="24"/>
        </w:rPr>
        <w:t>kes</w:t>
      </w:r>
      <w:r w:rsidRPr="008D316D">
        <w:rPr>
          <w:szCs w:val="24"/>
        </w:rPr>
        <w:t xml:space="preserve"> a similar attack on how Speedishuttle implemented SpeediTV.  Though it was presented to the Commission as a means of providing tourism information, Marks </w:t>
      </w:r>
      <w:r w:rsidR="00C82770">
        <w:rPr>
          <w:szCs w:val="24"/>
        </w:rPr>
        <w:t xml:space="preserve">now </w:t>
      </w:r>
      <w:r w:rsidRPr="008D316D">
        <w:rPr>
          <w:szCs w:val="24"/>
        </w:rPr>
        <w:t xml:space="preserve">contends </w:t>
      </w:r>
      <w:r w:rsidR="00BF5FB4">
        <w:rPr>
          <w:szCs w:val="24"/>
        </w:rPr>
        <w:t xml:space="preserve">it </w:t>
      </w:r>
      <w:r w:rsidR="00C82770">
        <w:rPr>
          <w:szCs w:val="24"/>
        </w:rPr>
        <w:t>is or should be</w:t>
      </w:r>
      <w:r w:rsidRPr="008D316D">
        <w:rPr>
          <w:szCs w:val="24"/>
        </w:rPr>
        <w:t xml:space="preserve"> used differently, stating:</w:t>
      </w:r>
    </w:p>
    <w:p w14:paraId="0C5FBDFE" w14:textId="77777777" w:rsidR="002951D3" w:rsidRPr="008D316D" w:rsidRDefault="002951D3" w:rsidP="002951D3">
      <w:pPr>
        <w:spacing w:after="240"/>
        <w:ind w:left="1440" w:right="1440"/>
        <w:rPr>
          <w:rFonts w:ascii="Times New Roman" w:hAnsi="Times New Roman" w:cs="Times New Roman"/>
          <w:sz w:val="24"/>
          <w:szCs w:val="24"/>
        </w:rPr>
      </w:pPr>
      <w:r w:rsidRPr="008D316D">
        <w:rPr>
          <w:rFonts w:ascii="Times New Roman" w:hAnsi="Times New Roman" w:cs="Times New Roman"/>
          <w:sz w:val="24"/>
          <w:szCs w:val="24"/>
        </w:rPr>
        <w:t>The SpeediTV that was described in their business plan presented to the Commission and ALJ at the hearing again has turned out to be nothing more than a marketing tool for Speedishuttle and less like the luxury TV system that can be adjusted by users.  Again relating this to the supposed un-served tech-savvy passengers, all information gleaned from SpeediTV should be available as splash page information when connecting to their Wi-Fi.  Additionally, there is no mention of whether SpeediTV plays constantly in a loop of different languages so that all passengers can view and take in the benefits of information about the Seattle area.</w:t>
      </w:r>
      <w:r>
        <w:rPr>
          <w:rStyle w:val="FootnoteReference"/>
          <w:rFonts w:ascii="Times New Roman" w:hAnsi="Times New Roman" w:cs="Times New Roman"/>
          <w:sz w:val="24"/>
          <w:szCs w:val="24"/>
        </w:rPr>
        <w:footnoteReference w:id="43"/>
      </w:r>
    </w:p>
    <w:p w14:paraId="0C5FBDFF" w14:textId="77777777" w:rsidR="002951D3" w:rsidRDefault="002951D3" w:rsidP="002951D3">
      <w:pPr>
        <w:pStyle w:val="Heading3"/>
        <w:numPr>
          <w:ilvl w:val="0"/>
          <w:numId w:val="0"/>
        </w:numPr>
      </w:pPr>
      <w:r w:rsidRPr="008D316D">
        <w:rPr>
          <w:szCs w:val="24"/>
        </w:rPr>
        <w:t xml:space="preserve">Again, Mr. Marks </w:t>
      </w:r>
      <w:r w:rsidR="00F57A84">
        <w:rPr>
          <w:szCs w:val="24"/>
        </w:rPr>
        <w:t xml:space="preserve">utterly </w:t>
      </w:r>
      <w:r w:rsidRPr="008D316D">
        <w:rPr>
          <w:szCs w:val="24"/>
        </w:rPr>
        <w:t xml:space="preserve">fails to demonstrate </w:t>
      </w:r>
      <w:r w:rsidR="00F57A84">
        <w:rPr>
          <w:szCs w:val="24"/>
        </w:rPr>
        <w:t xml:space="preserve">how </w:t>
      </w:r>
      <w:r w:rsidRPr="008D316D">
        <w:rPr>
          <w:szCs w:val="24"/>
        </w:rPr>
        <w:t xml:space="preserve">Speedishuttle </w:t>
      </w:r>
      <w:r w:rsidR="00791471">
        <w:rPr>
          <w:szCs w:val="24"/>
        </w:rPr>
        <w:t>did not</w:t>
      </w:r>
      <w:r w:rsidRPr="008D316D">
        <w:rPr>
          <w:szCs w:val="24"/>
        </w:rPr>
        <w:t xml:space="preserve"> implement the </w:t>
      </w:r>
      <w:r w:rsidR="007A769B">
        <w:rPr>
          <w:szCs w:val="24"/>
        </w:rPr>
        <w:t xml:space="preserve">proposed </w:t>
      </w:r>
      <w:r w:rsidRPr="008D316D">
        <w:rPr>
          <w:szCs w:val="24"/>
        </w:rPr>
        <w:t xml:space="preserve">service features in its application case.  Instead, he </w:t>
      </w:r>
      <w:r w:rsidR="007A769B">
        <w:rPr>
          <w:szCs w:val="24"/>
        </w:rPr>
        <w:t xml:space="preserve">attempts to </w:t>
      </w:r>
      <w:r w:rsidR="00C82770">
        <w:rPr>
          <w:szCs w:val="24"/>
        </w:rPr>
        <w:t>revise</w:t>
      </w:r>
      <w:r w:rsidR="007A769B">
        <w:rPr>
          <w:szCs w:val="24"/>
        </w:rPr>
        <w:t xml:space="preserve"> the ruling</w:t>
      </w:r>
      <w:r w:rsidRPr="008D316D">
        <w:rPr>
          <w:szCs w:val="24"/>
        </w:rPr>
        <w:t xml:space="preserve"> by alleging SpeediTV should </w:t>
      </w:r>
      <w:r w:rsidR="007A769B">
        <w:rPr>
          <w:szCs w:val="24"/>
        </w:rPr>
        <w:t>expand</w:t>
      </w:r>
      <w:r w:rsidR="00BF5FB4">
        <w:rPr>
          <w:szCs w:val="24"/>
        </w:rPr>
        <w:t xml:space="preserve">, distinguish </w:t>
      </w:r>
      <w:r w:rsidR="007A769B">
        <w:rPr>
          <w:szCs w:val="24"/>
        </w:rPr>
        <w:t>or augment service features it never proposed or promised</w:t>
      </w:r>
      <w:r w:rsidR="00791471">
        <w:rPr>
          <w:szCs w:val="24"/>
        </w:rPr>
        <w:t>.</w:t>
      </w:r>
    </w:p>
    <w:p w14:paraId="0C5FBE00" w14:textId="77777777" w:rsidR="00246275" w:rsidRDefault="00514ED6" w:rsidP="00246275">
      <w:pPr>
        <w:pStyle w:val="Heading3"/>
      </w:pPr>
      <w:r>
        <w:t>In summary, t</w:t>
      </w:r>
      <w:r w:rsidR="00246275">
        <w:t xml:space="preserve">he irrelevant testimony </w:t>
      </w:r>
      <w:r w:rsidR="007A769B">
        <w:t>attacking the means/methods/benefits/manner of Speedishuttle service to</w:t>
      </w:r>
      <w:r w:rsidR="00246275">
        <w:t xml:space="preserve"> be excluded on this ground can be found in the following pages and lines:</w:t>
      </w:r>
    </w:p>
    <w:p w14:paraId="0C5FBE01" w14:textId="77777777" w:rsidR="00367445" w:rsidRPr="003A1DB8" w:rsidRDefault="00367445" w:rsidP="00367445">
      <w:pPr>
        <w:pStyle w:val="Heading3"/>
        <w:numPr>
          <w:ilvl w:val="0"/>
          <w:numId w:val="0"/>
        </w:numPr>
        <w:jc w:val="center"/>
        <w:rPr>
          <w:b/>
        </w:rPr>
      </w:pPr>
      <w:r w:rsidRPr="003A1DB8">
        <w:rPr>
          <w:b/>
        </w:rPr>
        <w:lastRenderedPageBreak/>
        <w:t xml:space="preserve">Exhibit ___ (DJW-1T); </w:t>
      </w:r>
      <w:r>
        <w:rPr>
          <w:b/>
        </w:rPr>
        <w:t>Testimony of Don J. Wood</w:t>
      </w: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367445" w:rsidRPr="003A1DB8" w14:paraId="0C5FBE04" w14:textId="77777777" w:rsidTr="00686D7F">
        <w:tc>
          <w:tcPr>
            <w:tcW w:w="1620" w:type="dxa"/>
            <w:tcBorders>
              <w:bottom w:val="single" w:sz="4" w:space="0" w:color="auto"/>
            </w:tcBorders>
          </w:tcPr>
          <w:p w14:paraId="0C5FBE02" w14:textId="77777777" w:rsidR="00367445" w:rsidRPr="003A1DB8" w:rsidRDefault="00367445" w:rsidP="00686D7F">
            <w:pPr>
              <w:pStyle w:val="ListParagraph"/>
              <w:jc w:val="center"/>
              <w:rPr>
                <w:b/>
              </w:rPr>
            </w:pPr>
            <w:r w:rsidRPr="003A1DB8">
              <w:rPr>
                <w:b/>
              </w:rPr>
              <w:t>Page</w:t>
            </w:r>
          </w:p>
        </w:tc>
        <w:tc>
          <w:tcPr>
            <w:tcW w:w="1440" w:type="dxa"/>
            <w:tcBorders>
              <w:bottom w:val="single" w:sz="4" w:space="0" w:color="auto"/>
            </w:tcBorders>
          </w:tcPr>
          <w:p w14:paraId="0C5FBE03" w14:textId="77777777" w:rsidR="00367445" w:rsidRPr="003A1DB8" w:rsidRDefault="00367445" w:rsidP="00686D7F">
            <w:pPr>
              <w:pStyle w:val="ListParagraph"/>
              <w:jc w:val="center"/>
              <w:rPr>
                <w:b/>
              </w:rPr>
            </w:pPr>
            <w:r w:rsidRPr="003A1DB8">
              <w:rPr>
                <w:b/>
              </w:rPr>
              <w:t>Lines</w:t>
            </w:r>
          </w:p>
        </w:tc>
      </w:tr>
      <w:tr w:rsidR="00367445" w14:paraId="0C5FBE07" w14:textId="77777777" w:rsidTr="00686D7F">
        <w:tc>
          <w:tcPr>
            <w:tcW w:w="1620" w:type="dxa"/>
            <w:tcBorders>
              <w:top w:val="single" w:sz="4" w:space="0" w:color="auto"/>
            </w:tcBorders>
          </w:tcPr>
          <w:p w14:paraId="0C5FBE05" w14:textId="77777777" w:rsidR="00367445" w:rsidRDefault="00246275" w:rsidP="007B3F69">
            <w:pPr>
              <w:pStyle w:val="ListParagraph"/>
            </w:pPr>
            <w:r>
              <w:t>12</w:t>
            </w:r>
          </w:p>
        </w:tc>
        <w:tc>
          <w:tcPr>
            <w:tcW w:w="1440" w:type="dxa"/>
            <w:tcBorders>
              <w:top w:val="single" w:sz="4" w:space="0" w:color="auto"/>
            </w:tcBorders>
          </w:tcPr>
          <w:p w14:paraId="0C5FBE06" w14:textId="77777777" w:rsidR="00367445" w:rsidRDefault="00246275" w:rsidP="007B3F69">
            <w:pPr>
              <w:pStyle w:val="ListParagraph"/>
            </w:pPr>
            <w:r>
              <w:t>18-19</w:t>
            </w:r>
          </w:p>
        </w:tc>
      </w:tr>
      <w:tr w:rsidR="00367445" w14:paraId="0C5FBE0A" w14:textId="77777777" w:rsidTr="00686D7F">
        <w:tc>
          <w:tcPr>
            <w:tcW w:w="1620" w:type="dxa"/>
          </w:tcPr>
          <w:p w14:paraId="0C5FBE08" w14:textId="77777777" w:rsidR="00367445" w:rsidRDefault="00246275" w:rsidP="007B3F69">
            <w:pPr>
              <w:pStyle w:val="ListParagraph"/>
            </w:pPr>
            <w:r>
              <w:t>13</w:t>
            </w:r>
          </w:p>
        </w:tc>
        <w:tc>
          <w:tcPr>
            <w:tcW w:w="1440" w:type="dxa"/>
          </w:tcPr>
          <w:p w14:paraId="0C5FBE09" w14:textId="77777777" w:rsidR="00367445" w:rsidRDefault="00246275" w:rsidP="007B3F69">
            <w:pPr>
              <w:pStyle w:val="ListParagraph"/>
            </w:pPr>
            <w:r>
              <w:t>1-3, 13-16</w:t>
            </w:r>
          </w:p>
        </w:tc>
      </w:tr>
      <w:tr w:rsidR="00367445" w14:paraId="0C5FBE0D" w14:textId="77777777" w:rsidTr="00686D7F">
        <w:tc>
          <w:tcPr>
            <w:tcW w:w="1620" w:type="dxa"/>
          </w:tcPr>
          <w:p w14:paraId="0C5FBE0B" w14:textId="77777777" w:rsidR="00367445" w:rsidRDefault="00246275" w:rsidP="007B3F69">
            <w:pPr>
              <w:pStyle w:val="ListParagraph"/>
            </w:pPr>
            <w:r>
              <w:t>14</w:t>
            </w:r>
          </w:p>
        </w:tc>
        <w:tc>
          <w:tcPr>
            <w:tcW w:w="1440" w:type="dxa"/>
          </w:tcPr>
          <w:p w14:paraId="0C5FBE0C" w14:textId="77777777" w:rsidR="00367445" w:rsidRDefault="00246275" w:rsidP="007B3F69">
            <w:pPr>
              <w:pStyle w:val="ListParagraph"/>
            </w:pPr>
            <w:r>
              <w:t>1-18</w:t>
            </w:r>
          </w:p>
        </w:tc>
      </w:tr>
      <w:tr w:rsidR="00367445" w14:paraId="0C5FBE10" w14:textId="77777777" w:rsidTr="00686D7F">
        <w:tc>
          <w:tcPr>
            <w:tcW w:w="1620" w:type="dxa"/>
          </w:tcPr>
          <w:p w14:paraId="0C5FBE0E" w14:textId="77777777" w:rsidR="00367445" w:rsidRDefault="0001734E" w:rsidP="007B3F69">
            <w:pPr>
              <w:pStyle w:val="ListParagraph"/>
            </w:pPr>
            <w:r>
              <w:t>23</w:t>
            </w:r>
          </w:p>
        </w:tc>
        <w:tc>
          <w:tcPr>
            <w:tcW w:w="1440" w:type="dxa"/>
          </w:tcPr>
          <w:p w14:paraId="0C5FBE0F" w14:textId="77777777" w:rsidR="00367445" w:rsidRDefault="0001734E" w:rsidP="007B3F69">
            <w:pPr>
              <w:pStyle w:val="ListParagraph"/>
            </w:pPr>
            <w:r>
              <w:t>2-3</w:t>
            </w:r>
          </w:p>
        </w:tc>
      </w:tr>
    </w:tbl>
    <w:p w14:paraId="0C5FBE11" w14:textId="77777777" w:rsidR="00367445" w:rsidRDefault="00367445" w:rsidP="00367445">
      <w:pPr>
        <w:pStyle w:val="ListParagraph"/>
        <w:jc w:val="center"/>
      </w:pPr>
    </w:p>
    <w:p w14:paraId="0C5FBE12" w14:textId="77777777" w:rsidR="00367445" w:rsidRDefault="00367445" w:rsidP="00367445">
      <w:pPr>
        <w:pStyle w:val="ListParagraph"/>
        <w:jc w:val="center"/>
        <w:rPr>
          <w:b/>
        </w:rPr>
      </w:pPr>
      <w:r>
        <w:rPr>
          <w:b/>
        </w:rPr>
        <w:t>Exhibit ___ (PK-1T); Testimony of Paul Kajanoff</w:t>
      </w:r>
    </w:p>
    <w:p w14:paraId="0C5FBE13" w14:textId="77777777" w:rsidR="00367445" w:rsidRDefault="00367445" w:rsidP="00367445">
      <w:pPr>
        <w:pStyle w:val="ListParagraph"/>
        <w:jc w:val="center"/>
        <w:rPr>
          <w:b/>
        </w:rPr>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367445" w:rsidRPr="003A1DB8" w14:paraId="0C5FBE16" w14:textId="77777777" w:rsidTr="00686D7F">
        <w:tc>
          <w:tcPr>
            <w:tcW w:w="1620" w:type="dxa"/>
            <w:tcBorders>
              <w:bottom w:val="single" w:sz="4" w:space="0" w:color="auto"/>
            </w:tcBorders>
          </w:tcPr>
          <w:p w14:paraId="0C5FBE14" w14:textId="77777777" w:rsidR="00367445" w:rsidRPr="003A1DB8" w:rsidRDefault="00367445" w:rsidP="00686D7F">
            <w:pPr>
              <w:pStyle w:val="ListParagraph"/>
              <w:jc w:val="center"/>
              <w:rPr>
                <w:b/>
              </w:rPr>
            </w:pPr>
            <w:r w:rsidRPr="003A1DB8">
              <w:rPr>
                <w:b/>
              </w:rPr>
              <w:t>Page</w:t>
            </w:r>
          </w:p>
        </w:tc>
        <w:tc>
          <w:tcPr>
            <w:tcW w:w="1440" w:type="dxa"/>
            <w:tcBorders>
              <w:bottom w:val="single" w:sz="4" w:space="0" w:color="auto"/>
            </w:tcBorders>
          </w:tcPr>
          <w:p w14:paraId="0C5FBE15" w14:textId="77777777" w:rsidR="00367445" w:rsidRPr="003A1DB8" w:rsidRDefault="00367445" w:rsidP="00686D7F">
            <w:pPr>
              <w:pStyle w:val="ListParagraph"/>
              <w:jc w:val="center"/>
              <w:rPr>
                <w:b/>
              </w:rPr>
            </w:pPr>
            <w:r w:rsidRPr="003A1DB8">
              <w:rPr>
                <w:b/>
              </w:rPr>
              <w:t>Lines</w:t>
            </w:r>
          </w:p>
        </w:tc>
      </w:tr>
      <w:tr w:rsidR="00367445" w14:paraId="0C5FBE19" w14:textId="77777777" w:rsidTr="00686D7F">
        <w:tc>
          <w:tcPr>
            <w:tcW w:w="1620" w:type="dxa"/>
            <w:tcBorders>
              <w:top w:val="single" w:sz="4" w:space="0" w:color="auto"/>
            </w:tcBorders>
          </w:tcPr>
          <w:p w14:paraId="0C5FBE17" w14:textId="77777777" w:rsidR="00367445" w:rsidRDefault="003626AD" w:rsidP="007B3F69">
            <w:pPr>
              <w:pStyle w:val="ListParagraph"/>
            </w:pPr>
            <w:r>
              <w:t>13</w:t>
            </w:r>
          </w:p>
        </w:tc>
        <w:tc>
          <w:tcPr>
            <w:tcW w:w="1440" w:type="dxa"/>
            <w:tcBorders>
              <w:top w:val="single" w:sz="4" w:space="0" w:color="auto"/>
            </w:tcBorders>
          </w:tcPr>
          <w:p w14:paraId="0C5FBE18" w14:textId="77777777" w:rsidR="00367445" w:rsidRDefault="003626AD" w:rsidP="007B3F69">
            <w:pPr>
              <w:pStyle w:val="ListParagraph"/>
            </w:pPr>
            <w:r>
              <w:t>17-22</w:t>
            </w:r>
          </w:p>
        </w:tc>
      </w:tr>
      <w:tr w:rsidR="00367445" w14:paraId="0C5FBE1C" w14:textId="77777777" w:rsidTr="00686D7F">
        <w:tc>
          <w:tcPr>
            <w:tcW w:w="1620" w:type="dxa"/>
          </w:tcPr>
          <w:p w14:paraId="0C5FBE1A" w14:textId="77777777" w:rsidR="00367445" w:rsidRDefault="003626AD" w:rsidP="007B3F69">
            <w:pPr>
              <w:pStyle w:val="ListParagraph"/>
            </w:pPr>
            <w:r>
              <w:t>14</w:t>
            </w:r>
          </w:p>
        </w:tc>
        <w:tc>
          <w:tcPr>
            <w:tcW w:w="1440" w:type="dxa"/>
          </w:tcPr>
          <w:p w14:paraId="0C5FBE1B" w14:textId="77777777" w:rsidR="00367445" w:rsidRDefault="003626AD" w:rsidP="007B3F69">
            <w:pPr>
              <w:pStyle w:val="ListParagraph"/>
            </w:pPr>
            <w:r>
              <w:t>1-7, 15-21</w:t>
            </w:r>
          </w:p>
        </w:tc>
      </w:tr>
      <w:tr w:rsidR="00367445" w14:paraId="0C5FBE1F" w14:textId="77777777" w:rsidTr="00686D7F">
        <w:tc>
          <w:tcPr>
            <w:tcW w:w="1620" w:type="dxa"/>
          </w:tcPr>
          <w:p w14:paraId="0C5FBE1D" w14:textId="77777777" w:rsidR="00367445" w:rsidRDefault="003626AD" w:rsidP="007B3F69">
            <w:pPr>
              <w:pStyle w:val="ListParagraph"/>
            </w:pPr>
            <w:r>
              <w:t>15</w:t>
            </w:r>
          </w:p>
        </w:tc>
        <w:tc>
          <w:tcPr>
            <w:tcW w:w="1440" w:type="dxa"/>
          </w:tcPr>
          <w:p w14:paraId="0C5FBE1E" w14:textId="77777777" w:rsidR="00367445" w:rsidRDefault="003626AD" w:rsidP="007B3F69">
            <w:pPr>
              <w:pStyle w:val="ListParagraph"/>
            </w:pPr>
            <w:r>
              <w:t>1-12</w:t>
            </w:r>
          </w:p>
        </w:tc>
      </w:tr>
    </w:tbl>
    <w:p w14:paraId="0C5FBE20" w14:textId="77777777" w:rsidR="00367445" w:rsidRDefault="00367445" w:rsidP="00367445">
      <w:pPr>
        <w:pStyle w:val="ListParagraph"/>
        <w:jc w:val="center"/>
        <w:rPr>
          <w:b/>
        </w:rPr>
      </w:pPr>
    </w:p>
    <w:p w14:paraId="0C5FBE21" w14:textId="77777777" w:rsidR="00367445" w:rsidRPr="000A52A2" w:rsidRDefault="00367445" w:rsidP="00367445">
      <w:pPr>
        <w:pStyle w:val="ListParagraph"/>
        <w:jc w:val="center"/>
        <w:rPr>
          <w:b/>
        </w:rPr>
      </w:pPr>
      <w:r>
        <w:rPr>
          <w:b/>
        </w:rPr>
        <w:t>Exhibit ___ (WAM-1T); Testimony of Wesley A. Marks</w:t>
      </w:r>
    </w:p>
    <w:p w14:paraId="0C5FBE22" w14:textId="77777777" w:rsidR="00367445" w:rsidRDefault="00367445" w:rsidP="00367445">
      <w:pPr>
        <w:pStyle w:val="ListParagraph"/>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367445" w:rsidRPr="003A1DB8" w14:paraId="0C5FBE25" w14:textId="77777777" w:rsidTr="00686D7F">
        <w:tc>
          <w:tcPr>
            <w:tcW w:w="1620" w:type="dxa"/>
            <w:tcBorders>
              <w:bottom w:val="single" w:sz="4" w:space="0" w:color="auto"/>
            </w:tcBorders>
          </w:tcPr>
          <w:p w14:paraId="0C5FBE23" w14:textId="77777777" w:rsidR="00367445" w:rsidRPr="003A1DB8" w:rsidRDefault="00367445" w:rsidP="00686D7F">
            <w:pPr>
              <w:pStyle w:val="ListParagraph"/>
              <w:jc w:val="center"/>
              <w:rPr>
                <w:b/>
              </w:rPr>
            </w:pPr>
            <w:r w:rsidRPr="003A1DB8">
              <w:rPr>
                <w:b/>
              </w:rPr>
              <w:t>Page</w:t>
            </w:r>
          </w:p>
        </w:tc>
        <w:tc>
          <w:tcPr>
            <w:tcW w:w="1440" w:type="dxa"/>
            <w:tcBorders>
              <w:bottom w:val="single" w:sz="4" w:space="0" w:color="auto"/>
            </w:tcBorders>
          </w:tcPr>
          <w:p w14:paraId="0C5FBE24" w14:textId="77777777" w:rsidR="00367445" w:rsidRPr="003A1DB8" w:rsidRDefault="00367445" w:rsidP="00686D7F">
            <w:pPr>
              <w:pStyle w:val="ListParagraph"/>
              <w:jc w:val="center"/>
              <w:rPr>
                <w:b/>
              </w:rPr>
            </w:pPr>
            <w:r w:rsidRPr="003A1DB8">
              <w:rPr>
                <w:b/>
              </w:rPr>
              <w:t>Lines</w:t>
            </w:r>
          </w:p>
        </w:tc>
      </w:tr>
      <w:tr w:rsidR="00367445" w14:paraId="0C5FBE28" w14:textId="77777777" w:rsidTr="00686D7F">
        <w:tc>
          <w:tcPr>
            <w:tcW w:w="1620" w:type="dxa"/>
            <w:tcBorders>
              <w:top w:val="single" w:sz="4" w:space="0" w:color="auto"/>
            </w:tcBorders>
          </w:tcPr>
          <w:p w14:paraId="0C5FBE26" w14:textId="77777777" w:rsidR="00367445" w:rsidRDefault="008F4484" w:rsidP="007B3F69">
            <w:pPr>
              <w:pStyle w:val="ListParagraph"/>
            </w:pPr>
            <w:r>
              <w:t>7</w:t>
            </w:r>
          </w:p>
        </w:tc>
        <w:tc>
          <w:tcPr>
            <w:tcW w:w="1440" w:type="dxa"/>
            <w:tcBorders>
              <w:top w:val="single" w:sz="4" w:space="0" w:color="auto"/>
            </w:tcBorders>
          </w:tcPr>
          <w:p w14:paraId="0C5FBE27" w14:textId="77777777" w:rsidR="00367445" w:rsidRDefault="008F4484" w:rsidP="007B3F69">
            <w:pPr>
              <w:pStyle w:val="ListParagraph"/>
            </w:pPr>
            <w:r>
              <w:t>7-11, 15-21</w:t>
            </w:r>
          </w:p>
        </w:tc>
      </w:tr>
      <w:tr w:rsidR="00367445" w14:paraId="0C5FBE2B" w14:textId="77777777" w:rsidTr="00686D7F">
        <w:tc>
          <w:tcPr>
            <w:tcW w:w="1620" w:type="dxa"/>
          </w:tcPr>
          <w:p w14:paraId="0C5FBE29" w14:textId="77777777" w:rsidR="00367445" w:rsidRDefault="008F4484" w:rsidP="007B3F69">
            <w:pPr>
              <w:pStyle w:val="ListParagraph"/>
            </w:pPr>
            <w:r>
              <w:t>8</w:t>
            </w:r>
          </w:p>
        </w:tc>
        <w:tc>
          <w:tcPr>
            <w:tcW w:w="1440" w:type="dxa"/>
          </w:tcPr>
          <w:p w14:paraId="0C5FBE2A" w14:textId="77777777" w:rsidR="00367445" w:rsidRDefault="002F459A" w:rsidP="007B3F69">
            <w:pPr>
              <w:pStyle w:val="ListParagraph"/>
            </w:pPr>
            <w:r>
              <w:t>10-19</w:t>
            </w:r>
          </w:p>
        </w:tc>
      </w:tr>
      <w:tr w:rsidR="00367445" w14:paraId="0C5FBE2E" w14:textId="77777777" w:rsidTr="00686D7F">
        <w:tc>
          <w:tcPr>
            <w:tcW w:w="1620" w:type="dxa"/>
          </w:tcPr>
          <w:p w14:paraId="0C5FBE2C" w14:textId="77777777" w:rsidR="00367445" w:rsidRDefault="00C93242" w:rsidP="007B3F69">
            <w:pPr>
              <w:pStyle w:val="ListParagraph"/>
            </w:pPr>
            <w:r>
              <w:t>9</w:t>
            </w:r>
          </w:p>
        </w:tc>
        <w:tc>
          <w:tcPr>
            <w:tcW w:w="1440" w:type="dxa"/>
          </w:tcPr>
          <w:p w14:paraId="0C5FBE2D" w14:textId="77777777" w:rsidR="00367445" w:rsidRDefault="00C93242" w:rsidP="007B3F69">
            <w:pPr>
              <w:pStyle w:val="ListParagraph"/>
            </w:pPr>
            <w:r>
              <w:t>6-16</w:t>
            </w:r>
          </w:p>
        </w:tc>
      </w:tr>
      <w:tr w:rsidR="00367445" w14:paraId="0C5FBE31" w14:textId="77777777" w:rsidTr="00686D7F">
        <w:tc>
          <w:tcPr>
            <w:tcW w:w="1620" w:type="dxa"/>
          </w:tcPr>
          <w:p w14:paraId="0C5FBE2F" w14:textId="77777777" w:rsidR="00367445" w:rsidRDefault="00C93242" w:rsidP="007B3F69">
            <w:pPr>
              <w:pStyle w:val="ListParagraph"/>
            </w:pPr>
            <w:r>
              <w:t>10</w:t>
            </w:r>
          </w:p>
        </w:tc>
        <w:tc>
          <w:tcPr>
            <w:tcW w:w="1440" w:type="dxa"/>
          </w:tcPr>
          <w:p w14:paraId="0C5FBE30" w14:textId="77777777" w:rsidR="00367445" w:rsidRDefault="00C93242" w:rsidP="007B3F69">
            <w:pPr>
              <w:pStyle w:val="ListParagraph"/>
            </w:pPr>
            <w:r>
              <w:t>4-16</w:t>
            </w:r>
          </w:p>
        </w:tc>
      </w:tr>
      <w:tr w:rsidR="00367445" w14:paraId="0C5FBE34" w14:textId="77777777" w:rsidTr="00686D7F">
        <w:tc>
          <w:tcPr>
            <w:tcW w:w="1620" w:type="dxa"/>
          </w:tcPr>
          <w:p w14:paraId="0C5FBE32" w14:textId="77777777" w:rsidR="00367445" w:rsidRDefault="00C93242" w:rsidP="007B3F69">
            <w:pPr>
              <w:pStyle w:val="ListParagraph"/>
            </w:pPr>
            <w:r>
              <w:t>11</w:t>
            </w:r>
          </w:p>
        </w:tc>
        <w:tc>
          <w:tcPr>
            <w:tcW w:w="1440" w:type="dxa"/>
          </w:tcPr>
          <w:p w14:paraId="0C5FBE33" w14:textId="77777777" w:rsidR="00367445" w:rsidRDefault="00C93242" w:rsidP="007B3F69">
            <w:pPr>
              <w:pStyle w:val="ListParagraph"/>
            </w:pPr>
            <w:r>
              <w:t>1-11</w:t>
            </w:r>
          </w:p>
        </w:tc>
      </w:tr>
    </w:tbl>
    <w:p w14:paraId="0C5FBE35" w14:textId="77777777" w:rsidR="000A52A2" w:rsidRDefault="000A52A2" w:rsidP="000A52A2"/>
    <w:p w14:paraId="0C5FBE36" w14:textId="77777777" w:rsidR="00514FBC" w:rsidRPr="00514FBC" w:rsidRDefault="00514FBC" w:rsidP="00A53F7D">
      <w:pPr>
        <w:pStyle w:val="ListParagraph"/>
        <w:numPr>
          <w:ilvl w:val="0"/>
          <w:numId w:val="17"/>
        </w:numPr>
        <w:rPr>
          <w:b/>
        </w:rPr>
      </w:pPr>
      <w:r w:rsidRPr="00514FBC">
        <w:rPr>
          <w:b/>
        </w:rPr>
        <w:t xml:space="preserve">Testimony which discusses average total cost, a figure which the United States </w:t>
      </w:r>
      <w:r w:rsidR="004229DB">
        <w:rPr>
          <w:b/>
        </w:rPr>
        <w:t>Ninth Circuit Court of Appeal</w:t>
      </w:r>
      <w:r w:rsidR="00797318">
        <w:rPr>
          <w:b/>
        </w:rPr>
        <w:t>s</w:t>
      </w:r>
      <w:r w:rsidR="004229DB">
        <w:rPr>
          <w:b/>
        </w:rPr>
        <w:t xml:space="preserve"> </w:t>
      </w:r>
      <w:r w:rsidR="00BF5FB4">
        <w:rPr>
          <w:b/>
        </w:rPr>
        <w:t xml:space="preserve">conclusively </w:t>
      </w:r>
      <w:r w:rsidRPr="00514FBC">
        <w:rPr>
          <w:b/>
        </w:rPr>
        <w:t>found to be irrelevant to predatory pricing</w:t>
      </w:r>
      <w:r w:rsidR="00C82770">
        <w:rPr>
          <w:b/>
        </w:rPr>
        <w:t xml:space="preserve"> claims</w:t>
      </w:r>
    </w:p>
    <w:p w14:paraId="0C5FBE37" w14:textId="77777777" w:rsidR="00514FBC" w:rsidRDefault="00514FBC" w:rsidP="000A52A2"/>
    <w:p w14:paraId="0C5FBE38" w14:textId="77777777" w:rsidR="000B213E" w:rsidRDefault="00686D7F" w:rsidP="00D94561">
      <w:pPr>
        <w:pStyle w:val="Heading3"/>
      </w:pPr>
      <w:r>
        <w:t xml:space="preserve">In support of its predatory pricing complaint, Shuttle Express submitted testimony of Paul Kajanoff.  </w:t>
      </w:r>
      <w:r w:rsidR="00CB10EE" w:rsidRPr="00CB10EE">
        <w:t xml:space="preserve">However, it is difficult to </w:t>
      </w:r>
      <w:r w:rsidR="00DE5392">
        <w:t>comprehend exactly</w:t>
      </w:r>
      <w:r w:rsidR="00CB10EE" w:rsidRPr="00CB10EE">
        <w:t xml:space="preserve"> how </w:t>
      </w:r>
      <w:r w:rsidR="00447368">
        <w:t>t</w:t>
      </w:r>
      <w:r w:rsidR="00CB10EE" w:rsidRPr="00CB10EE">
        <w:t xml:space="preserve">his testimony relates to predatory pricing </w:t>
      </w:r>
      <w:r w:rsidR="00BF5FB4">
        <w:t>(</w:t>
      </w:r>
      <w:r w:rsidR="00D94561">
        <w:t xml:space="preserve">the </w:t>
      </w:r>
      <w:r w:rsidR="00BF5FB4">
        <w:t xml:space="preserve">sole remaining complaint issue) </w:t>
      </w:r>
      <w:r w:rsidR="00CB10EE" w:rsidRPr="00CB10EE">
        <w:t xml:space="preserve">at all. He </w:t>
      </w:r>
      <w:r w:rsidR="007A769B">
        <w:t>begins that</w:t>
      </w:r>
      <w:r w:rsidR="00CB10EE" w:rsidRPr="00CB10EE">
        <w:t xml:space="preserve"> discussion by complaining about the format of Speedishuttle’s financial data</w:t>
      </w:r>
      <w:r w:rsidR="006041A3">
        <w:t xml:space="preserve"> presentation </w:t>
      </w:r>
      <w:r w:rsidR="00BF5FB4">
        <w:t xml:space="preserve">in discovery </w:t>
      </w:r>
      <w:r w:rsidR="006041A3">
        <w:t>and</w:t>
      </w:r>
      <w:r w:rsidR="00CB10EE" w:rsidRPr="00CB10EE">
        <w:t xml:space="preserve"> attempts to reinterpret </w:t>
      </w:r>
      <w:r w:rsidR="006041A3">
        <w:t xml:space="preserve">those </w:t>
      </w:r>
      <w:r w:rsidR="00CB10EE" w:rsidRPr="00CB10EE">
        <w:t xml:space="preserve">data based upon his own expectations and predictions, then, after </w:t>
      </w:r>
      <w:r w:rsidR="00BB2BF5">
        <w:t xml:space="preserve">extrapolating </w:t>
      </w:r>
      <w:r w:rsidR="00CB10EE" w:rsidRPr="00CB10EE">
        <w:t xml:space="preserve">Speedishuttle’s previously admitted operating loss to his own </w:t>
      </w:r>
      <w:r w:rsidR="006041A3">
        <w:t>presumed</w:t>
      </w:r>
      <w:r w:rsidR="00BB2BF5">
        <w:t xml:space="preserve"> </w:t>
      </w:r>
      <w:r w:rsidR="00CB10EE" w:rsidRPr="00CB10EE">
        <w:t xml:space="preserve">level, </w:t>
      </w:r>
      <w:r w:rsidR="00BB2BF5">
        <w:t xml:space="preserve">bemoans the fact </w:t>
      </w:r>
      <w:r w:rsidR="00CB10EE" w:rsidRPr="00CB10EE">
        <w:t xml:space="preserve">that Speedishuttle (a new </w:t>
      </w:r>
      <w:r w:rsidR="00BB2BF5">
        <w:t xml:space="preserve">entrant </w:t>
      </w:r>
      <w:r w:rsidR="00CB10EE" w:rsidRPr="00CB10EE">
        <w:t>to the King County market) is</w:t>
      </w:r>
      <w:r w:rsidR="00C82770">
        <w:t xml:space="preserve"> currently</w:t>
      </w:r>
      <w:r w:rsidR="00CB10EE" w:rsidRPr="00CB10EE">
        <w:t xml:space="preserve"> losing money.  He also (</w:t>
      </w:r>
      <w:r w:rsidR="00C82770">
        <w:t>disputably</w:t>
      </w:r>
      <w:r w:rsidR="00CB10EE" w:rsidRPr="00CB10EE">
        <w:t xml:space="preserve">) states that Speedishuttle’s fares to downtown Seattle are lower than Shuttle Express’ fares.  Finally, he predicts Speedishuttle can never be profitable unless Shuttle Express loses </w:t>
      </w:r>
      <w:r w:rsidR="00CB10EE" w:rsidRPr="00CB10EE">
        <w:lastRenderedPageBreak/>
        <w:t xml:space="preserve">more passengers to Speedishuttle </w:t>
      </w:r>
      <w:r w:rsidR="00C82770">
        <w:t xml:space="preserve">(ignoring all other potential sources of </w:t>
      </w:r>
      <w:r w:rsidR="00BF5FB4">
        <w:t>growth of passenger counts</w:t>
      </w:r>
      <w:r w:rsidR="00C82770">
        <w:t xml:space="preserve">) </w:t>
      </w:r>
      <w:r w:rsidR="00CB10EE" w:rsidRPr="00CB10EE">
        <w:t>without any logical explanation as to why</w:t>
      </w:r>
      <w:r w:rsidR="00CB10EE">
        <w:t>.</w:t>
      </w:r>
    </w:p>
    <w:p w14:paraId="0C5FBE39" w14:textId="77777777" w:rsidR="00CB10EE" w:rsidRDefault="00CB10EE" w:rsidP="00686D7F">
      <w:pPr>
        <w:pStyle w:val="Heading3"/>
      </w:pPr>
      <w:r w:rsidRPr="00CB10EE">
        <w:t xml:space="preserve">Treating Kajanoff’s testimony in </w:t>
      </w:r>
      <w:r w:rsidR="00C82770">
        <w:t>the</w:t>
      </w:r>
      <w:r w:rsidR="006041A3">
        <w:t xml:space="preserve"> l</w:t>
      </w:r>
      <w:r w:rsidRPr="00CB10EE">
        <w:t>ight most favorable to Shuttle Express</w:t>
      </w:r>
      <w:r w:rsidR="006041A3">
        <w:t xml:space="preserve"> </w:t>
      </w:r>
      <w:r w:rsidRPr="00CB10EE">
        <w:t xml:space="preserve">and allowing </w:t>
      </w:r>
      <w:r w:rsidR="00BF5FB4">
        <w:t>it every possible i</w:t>
      </w:r>
      <w:r w:rsidR="004229DB">
        <w:t xml:space="preserve">nference </w:t>
      </w:r>
      <w:r w:rsidRPr="00CB10EE">
        <w:t xml:space="preserve">does nothing more than establish that Speedishuttle continues to suffer an operating loss.  Operating losses </w:t>
      </w:r>
      <w:r w:rsidR="006041A3">
        <w:t xml:space="preserve">alone </w:t>
      </w:r>
      <w:r w:rsidRPr="00CB10EE">
        <w:t xml:space="preserve">do not </w:t>
      </w:r>
      <w:r w:rsidR="006041A3">
        <w:t xml:space="preserve">demonstrate </w:t>
      </w:r>
      <w:r w:rsidRPr="00CB10EE">
        <w:t xml:space="preserve">the unit cost of providing service, </w:t>
      </w:r>
      <w:r w:rsidR="00BB2BF5">
        <w:t>n</w:t>
      </w:r>
      <w:r w:rsidRPr="00CB10EE">
        <w:t xml:space="preserve">or the fare for that service, which is the bare minimum information necessary to establish </w:t>
      </w:r>
      <w:r w:rsidR="00D94561">
        <w:t xml:space="preserve">whether fares are below </w:t>
      </w:r>
      <w:r w:rsidRPr="00CB10EE">
        <w:t xml:space="preserve">average variable cost.  Operating losses can be used to determine whether fares are above the average total cost, but </w:t>
      </w:r>
      <w:r w:rsidR="006041A3">
        <w:t xml:space="preserve">again, </w:t>
      </w:r>
      <w:r w:rsidRPr="00CB10EE">
        <w:t xml:space="preserve">the </w:t>
      </w:r>
      <w:r w:rsidR="00BB2BF5">
        <w:t>Ninth U.S.</w:t>
      </w:r>
      <w:r w:rsidRPr="00CB10EE">
        <w:t xml:space="preserve"> Circuit Court of Appeals (among numerous other courts) has held that average total cost is irrelevant to determining whether a competitor has engaged in predatory pricing</w:t>
      </w:r>
      <w:r>
        <w:t>.</w:t>
      </w:r>
      <w:r>
        <w:rPr>
          <w:rStyle w:val="FootnoteReference"/>
        </w:rPr>
        <w:footnoteReference w:id="44"/>
      </w:r>
    </w:p>
    <w:p w14:paraId="0C5FBE3A" w14:textId="77777777" w:rsidR="001E5C3F" w:rsidRDefault="001E5C3F" w:rsidP="00686D7F">
      <w:pPr>
        <w:pStyle w:val="Heading3"/>
      </w:pPr>
      <w:r w:rsidRPr="001E5C3F">
        <w:t xml:space="preserve">Absent a discussion of average total cost in comparison to </w:t>
      </w:r>
      <w:r w:rsidR="00BF5FB4">
        <w:t xml:space="preserve">actual </w:t>
      </w:r>
      <w:r w:rsidRPr="001E5C3F">
        <w:t>fares, Shuttle Express’ testimony constitutes nothing more than an attack</w:t>
      </w:r>
      <w:r w:rsidR="00C82770">
        <w:t xml:space="preserve"> in a vacuum</w:t>
      </w:r>
      <w:r w:rsidRPr="001E5C3F">
        <w:t xml:space="preserve"> on the existence of competition.  While Shuttle Express may desperately seek to return the auto transportation market to its pre-2013 regulatory state in order to </w:t>
      </w:r>
      <w:r w:rsidR="00C82770">
        <w:t xml:space="preserve">regain </w:t>
      </w:r>
      <w:r w:rsidRPr="001E5C3F">
        <w:t xml:space="preserve">its </w:t>
      </w:r>
      <w:r w:rsidR="00C82770">
        <w:t xml:space="preserve">former </w:t>
      </w:r>
      <w:r w:rsidRPr="001E5C3F">
        <w:t>status quo, its testimony is plainly irrelevant and legally incapable of establishing that Speedishuttle engaged in predatory pricing.</w:t>
      </w:r>
      <w:r w:rsidR="00C82770">
        <w:rPr>
          <w:rStyle w:val="FootnoteReference"/>
        </w:rPr>
        <w:footnoteReference w:id="45"/>
      </w:r>
      <w:r w:rsidR="00BB2BF5">
        <w:t xml:space="preserve">  </w:t>
      </w:r>
    </w:p>
    <w:p w14:paraId="0C5FBE3B" w14:textId="77777777" w:rsidR="00BA1FFC" w:rsidRDefault="00BA1FFC" w:rsidP="00BA1FFC">
      <w:pPr>
        <w:pStyle w:val="Heading3"/>
      </w:pPr>
      <w:r>
        <w:t xml:space="preserve">The </w:t>
      </w:r>
      <w:r w:rsidR="006041A3">
        <w:t xml:space="preserve">objectionable </w:t>
      </w:r>
      <w:r>
        <w:t>testimony on this basis is found at the following pages and lines:</w:t>
      </w:r>
    </w:p>
    <w:p w14:paraId="0C5FBE3C" w14:textId="77777777" w:rsidR="006837F4" w:rsidRDefault="006837F4" w:rsidP="006837F4">
      <w:pPr>
        <w:pStyle w:val="ListParagraph"/>
        <w:jc w:val="center"/>
        <w:rPr>
          <w:b/>
        </w:rPr>
      </w:pPr>
      <w:r>
        <w:rPr>
          <w:b/>
        </w:rPr>
        <w:t>Exhibit ___ (PK-1T); Testimony of Paul Kajanoff</w:t>
      </w:r>
    </w:p>
    <w:p w14:paraId="0C5FBE3D" w14:textId="77777777" w:rsidR="006837F4" w:rsidRDefault="006837F4" w:rsidP="006837F4">
      <w:pPr>
        <w:pStyle w:val="ListParagraph"/>
        <w:jc w:val="center"/>
        <w:rPr>
          <w:b/>
        </w:rPr>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6837F4" w:rsidRPr="003A1DB8" w14:paraId="0C5FBE40" w14:textId="77777777" w:rsidTr="00686D7F">
        <w:tc>
          <w:tcPr>
            <w:tcW w:w="1620" w:type="dxa"/>
            <w:tcBorders>
              <w:bottom w:val="single" w:sz="4" w:space="0" w:color="auto"/>
            </w:tcBorders>
          </w:tcPr>
          <w:p w14:paraId="0C5FBE3E" w14:textId="77777777" w:rsidR="006837F4" w:rsidRPr="003A1DB8" w:rsidRDefault="006837F4" w:rsidP="00686D7F">
            <w:pPr>
              <w:pStyle w:val="ListParagraph"/>
              <w:jc w:val="center"/>
              <w:rPr>
                <w:b/>
              </w:rPr>
            </w:pPr>
            <w:r w:rsidRPr="003A1DB8">
              <w:rPr>
                <w:b/>
              </w:rPr>
              <w:t>Page</w:t>
            </w:r>
          </w:p>
        </w:tc>
        <w:tc>
          <w:tcPr>
            <w:tcW w:w="1440" w:type="dxa"/>
            <w:tcBorders>
              <w:bottom w:val="single" w:sz="4" w:space="0" w:color="auto"/>
            </w:tcBorders>
          </w:tcPr>
          <w:p w14:paraId="0C5FBE3F" w14:textId="77777777" w:rsidR="006837F4" w:rsidRPr="003A1DB8" w:rsidRDefault="006837F4" w:rsidP="00686D7F">
            <w:pPr>
              <w:pStyle w:val="ListParagraph"/>
              <w:jc w:val="center"/>
              <w:rPr>
                <w:b/>
              </w:rPr>
            </w:pPr>
            <w:r w:rsidRPr="003A1DB8">
              <w:rPr>
                <w:b/>
              </w:rPr>
              <w:t>Lines</w:t>
            </w:r>
          </w:p>
        </w:tc>
      </w:tr>
      <w:tr w:rsidR="00BA1FFC" w14:paraId="0C5FBE43" w14:textId="77777777" w:rsidTr="00686D7F">
        <w:tc>
          <w:tcPr>
            <w:tcW w:w="1620" w:type="dxa"/>
            <w:tcBorders>
              <w:top w:val="single" w:sz="4" w:space="0" w:color="auto"/>
            </w:tcBorders>
          </w:tcPr>
          <w:p w14:paraId="0C5FBE41" w14:textId="77777777" w:rsidR="00BA1FFC" w:rsidRDefault="00BA1FFC" w:rsidP="007B3F69">
            <w:pPr>
              <w:pStyle w:val="ListParagraph"/>
            </w:pPr>
            <w:r>
              <w:t>6</w:t>
            </w:r>
          </w:p>
        </w:tc>
        <w:tc>
          <w:tcPr>
            <w:tcW w:w="1440" w:type="dxa"/>
            <w:tcBorders>
              <w:top w:val="single" w:sz="4" w:space="0" w:color="auto"/>
            </w:tcBorders>
          </w:tcPr>
          <w:p w14:paraId="0C5FBE42" w14:textId="77777777" w:rsidR="00BA1FFC" w:rsidRDefault="00BA1FFC" w:rsidP="007B3F69">
            <w:pPr>
              <w:pStyle w:val="ListParagraph"/>
            </w:pPr>
            <w:r>
              <w:t>12-16</w:t>
            </w:r>
          </w:p>
        </w:tc>
      </w:tr>
      <w:tr w:rsidR="00BA1FFC" w14:paraId="0C5FBE46" w14:textId="77777777" w:rsidTr="00686D7F">
        <w:tc>
          <w:tcPr>
            <w:tcW w:w="1620" w:type="dxa"/>
          </w:tcPr>
          <w:p w14:paraId="0C5FBE44" w14:textId="77777777" w:rsidR="00BA1FFC" w:rsidRDefault="00BA1FFC" w:rsidP="007B3F69">
            <w:pPr>
              <w:pStyle w:val="ListParagraph"/>
            </w:pPr>
            <w:r>
              <w:t>7</w:t>
            </w:r>
          </w:p>
        </w:tc>
        <w:tc>
          <w:tcPr>
            <w:tcW w:w="1440" w:type="dxa"/>
          </w:tcPr>
          <w:p w14:paraId="0C5FBE45" w14:textId="77777777" w:rsidR="00BA1FFC" w:rsidRDefault="00BA1FFC" w:rsidP="007B3F69">
            <w:pPr>
              <w:pStyle w:val="ListParagraph"/>
            </w:pPr>
            <w:r>
              <w:t>1-23</w:t>
            </w:r>
          </w:p>
        </w:tc>
      </w:tr>
      <w:tr w:rsidR="00BA1FFC" w14:paraId="0C5FBE49" w14:textId="77777777" w:rsidTr="00686D7F">
        <w:tc>
          <w:tcPr>
            <w:tcW w:w="1620" w:type="dxa"/>
          </w:tcPr>
          <w:p w14:paraId="0C5FBE47" w14:textId="77777777" w:rsidR="00BA1FFC" w:rsidRDefault="00BA1FFC" w:rsidP="007B3F69">
            <w:pPr>
              <w:pStyle w:val="ListParagraph"/>
            </w:pPr>
            <w:r>
              <w:t>8</w:t>
            </w:r>
          </w:p>
        </w:tc>
        <w:tc>
          <w:tcPr>
            <w:tcW w:w="1440" w:type="dxa"/>
          </w:tcPr>
          <w:p w14:paraId="0C5FBE48" w14:textId="77777777" w:rsidR="00BA1FFC" w:rsidRDefault="00BA1FFC" w:rsidP="007B3F69">
            <w:pPr>
              <w:pStyle w:val="ListParagraph"/>
            </w:pPr>
            <w:r>
              <w:t>1-21</w:t>
            </w:r>
          </w:p>
        </w:tc>
      </w:tr>
      <w:tr w:rsidR="00BA1FFC" w14:paraId="0C5FBE4C" w14:textId="77777777" w:rsidTr="00686D7F">
        <w:tc>
          <w:tcPr>
            <w:tcW w:w="1620" w:type="dxa"/>
          </w:tcPr>
          <w:p w14:paraId="0C5FBE4A" w14:textId="77777777" w:rsidR="00BA1FFC" w:rsidRDefault="00BA1FFC" w:rsidP="007B3F69">
            <w:pPr>
              <w:pStyle w:val="ListParagraph"/>
            </w:pPr>
            <w:r>
              <w:t>9</w:t>
            </w:r>
          </w:p>
        </w:tc>
        <w:tc>
          <w:tcPr>
            <w:tcW w:w="1440" w:type="dxa"/>
          </w:tcPr>
          <w:p w14:paraId="0C5FBE4B" w14:textId="77777777" w:rsidR="00BA1FFC" w:rsidRDefault="00BA1FFC" w:rsidP="007B3F69">
            <w:pPr>
              <w:pStyle w:val="ListParagraph"/>
            </w:pPr>
            <w:r>
              <w:t>1-20</w:t>
            </w:r>
          </w:p>
        </w:tc>
      </w:tr>
      <w:tr w:rsidR="00BA1FFC" w14:paraId="0C5FBE4F" w14:textId="77777777" w:rsidTr="00686D7F">
        <w:tc>
          <w:tcPr>
            <w:tcW w:w="1620" w:type="dxa"/>
          </w:tcPr>
          <w:p w14:paraId="0C5FBE4D" w14:textId="77777777" w:rsidR="00BA1FFC" w:rsidRDefault="00BA1FFC" w:rsidP="007B3F69">
            <w:pPr>
              <w:pStyle w:val="ListParagraph"/>
            </w:pPr>
            <w:r>
              <w:t>10</w:t>
            </w:r>
          </w:p>
        </w:tc>
        <w:tc>
          <w:tcPr>
            <w:tcW w:w="1440" w:type="dxa"/>
          </w:tcPr>
          <w:p w14:paraId="0C5FBE4E" w14:textId="77777777" w:rsidR="00BA1FFC" w:rsidRDefault="00BA1FFC" w:rsidP="007B3F69">
            <w:pPr>
              <w:pStyle w:val="ListParagraph"/>
            </w:pPr>
            <w:r>
              <w:t>1-21</w:t>
            </w:r>
          </w:p>
        </w:tc>
      </w:tr>
      <w:tr w:rsidR="00BA1FFC" w14:paraId="0C5FBE52" w14:textId="77777777" w:rsidTr="00686D7F">
        <w:tc>
          <w:tcPr>
            <w:tcW w:w="1620" w:type="dxa"/>
          </w:tcPr>
          <w:p w14:paraId="0C5FBE50" w14:textId="77777777" w:rsidR="00BA1FFC" w:rsidRDefault="00BA1FFC" w:rsidP="007B3F69">
            <w:pPr>
              <w:pStyle w:val="ListParagraph"/>
            </w:pPr>
            <w:r>
              <w:t>11</w:t>
            </w:r>
          </w:p>
        </w:tc>
        <w:tc>
          <w:tcPr>
            <w:tcW w:w="1440" w:type="dxa"/>
          </w:tcPr>
          <w:p w14:paraId="0C5FBE51" w14:textId="77777777" w:rsidR="00BA1FFC" w:rsidRDefault="00BA1FFC" w:rsidP="007B3F69">
            <w:pPr>
              <w:pStyle w:val="ListParagraph"/>
            </w:pPr>
            <w:r>
              <w:t>1-1</w:t>
            </w:r>
            <w:r w:rsidR="00857ED5">
              <w:t>2</w:t>
            </w:r>
          </w:p>
        </w:tc>
      </w:tr>
    </w:tbl>
    <w:p w14:paraId="0C5FBE53" w14:textId="77777777" w:rsidR="000A52A2" w:rsidRPr="00901C3E" w:rsidRDefault="00901C3E" w:rsidP="00A53F7D">
      <w:pPr>
        <w:pStyle w:val="ListParagraph"/>
        <w:numPr>
          <w:ilvl w:val="0"/>
          <w:numId w:val="17"/>
        </w:numPr>
        <w:rPr>
          <w:b/>
        </w:rPr>
      </w:pPr>
      <w:r w:rsidRPr="00901C3E">
        <w:rPr>
          <w:b/>
        </w:rPr>
        <w:lastRenderedPageBreak/>
        <w:t>Improper character attacks</w:t>
      </w:r>
    </w:p>
    <w:p w14:paraId="0C5FBE54" w14:textId="77777777" w:rsidR="00901C3E" w:rsidRDefault="00901C3E" w:rsidP="00901C3E">
      <w:pPr>
        <w:pStyle w:val="ListParagraph"/>
        <w:ind w:left="1080"/>
      </w:pPr>
    </w:p>
    <w:p w14:paraId="0C5FBE55" w14:textId="77777777" w:rsidR="00901C3E" w:rsidRDefault="00901C3E" w:rsidP="00901C3E">
      <w:pPr>
        <w:pStyle w:val="Heading3"/>
      </w:pPr>
      <w:r>
        <w:t>In addition to the purely irrelevant testimony discussed above, Shuttle Express submitted test</w:t>
      </w:r>
      <w:r w:rsidR="006041A3">
        <w:t>imony which it correctly couches</w:t>
      </w:r>
      <w:r>
        <w:t xml:space="preserve"> as </w:t>
      </w:r>
      <w:r w:rsidR="000A60F4">
        <w:t>“</w:t>
      </w:r>
      <w:r>
        <w:t>character evidence,</w:t>
      </w:r>
      <w:r w:rsidR="000A60F4">
        <w:t>”</w:t>
      </w:r>
      <w:r>
        <w:t xml:space="preserve"> </w:t>
      </w:r>
      <w:r w:rsidR="00C82770">
        <w:t xml:space="preserve">but </w:t>
      </w:r>
      <w:r>
        <w:t>which is prohibited by Washington Rule of Evidence 404.</w:t>
      </w:r>
    </w:p>
    <w:p w14:paraId="0C5FBE56" w14:textId="77777777" w:rsidR="00901C3E" w:rsidRDefault="00901C3E" w:rsidP="00901C3E">
      <w:pPr>
        <w:pStyle w:val="Heading3"/>
      </w:pPr>
      <w:r>
        <w:t>In one such instance, Paul Kajanoff submitted the following testimony:</w:t>
      </w:r>
    </w:p>
    <w:p w14:paraId="0C5FBE57" w14:textId="77777777" w:rsidR="00901C3E" w:rsidRDefault="00901C3E" w:rsidP="00901C3E">
      <w:pPr>
        <w:tabs>
          <w:tab w:val="left" w:pos="1410"/>
        </w:tabs>
        <w:ind w:left="1267" w:right="1440" w:hanging="547"/>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 xml:space="preserve">Do you question the character of Speedishuttle and should the Commission consider their character in fashioning a remedy in this docket? </w:t>
      </w:r>
    </w:p>
    <w:p w14:paraId="0C5FBE58" w14:textId="77777777" w:rsidR="00901C3E" w:rsidRPr="00A53480" w:rsidRDefault="00901C3E" w:rsidP="00901C3E">
      <w:pPr>
        <w:tabs>
          <w:tab w:val="left" w:pos="1410"/>
        </w:tabs>
        <w:ind w:left="1267" w:right="1440" w:hanging="547"/>
        <w:rPr>
          <w:rFonts w:ascii="Times New Roman" w:hAnsi="Times New Roman"/>
          <w:b/>
          <w:sz w:val="24"/>
          <w:szCs w:val="24"/>
        </w:rPr>
      </w:pPr>
    </w:p>
    <w:p w14:paraId="0C5FBE59" w14:textId="77777777" w:rsidR="00901C3E" w:rsidRDefault="00901C3E" w:rsidP="00901C3E">
      <w:pPr>
        <w:ind w:left="1267" w:right="1440" w:hanging="547"/>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Yes, I do.</w:t>
      </w:r>
    </w:p>
    <w:p w14:paraId="0C5FBE5A" w14:textId="77777777" w:rsidR="00901C3E" w:rsidRPr="00A53480" w:rsidRDefault="00901C3E" w:rsidP="00901C3E">
      <w:pPr>
        <w:ind w:left="1267" w:right="1440" w:hanging="547"/>
        <w:rPr>
          <w:rFonts w:ascii="Times New Roman" w:hAnsi="Times New Roman"/>
          <w:sz w:val="24"/>
          <w:szCs w:val="24"/>
        </w:rPr>
      </w:pPr>
    </w:p>
    <w:p w14:paraId="0C5FBE5B" w14:textId="77777777" w:rsidR="00901C3E" w:rsidRDefault="00901C3E" w:rsidP="00901C3E">
      <w:pPr>
        <w:ind w:left="1267" w:right="1440" w:hanging="547"/>
        <w:rPr>
          <w:rFonts w:ascii="Times New Roman" w:hAnsi="Times New Roman"/>
          <w:b/>
          <w:sz w:val="24"/>
          <w:szCs w:val="24"/>
        </w:rPr>
      </w:pPr>
      <w:r w:rsidRPr="00A53480">
        <w:rPr>
          <w:rFonts w:ascii="Times New Roman" w:hAnsi="Times New Roman"/>
          <w:b/>
          <w:sz w:val="24"/>
          <w:szCs w:val="24"/>
        </w:rPr>
        <w:t>Q:</w:t>
      </w:r>
      <w:r w:rsidRPr="00A53480">
        <w:rPr>
          <w:rFonts w:ascii="Times New Roman" w:hAnsi="Times New Roman"/>
          <w:b/>
          <w:sz w:val="24"/>
          <w:szCs w:val="24"/>
        </w:rPr>
        <w:tab/>
        <w:t>Why?</w:t>
      </w:r>
    </w:p>
    <w:p w14:paraId="0C5FBE5C" w14:textId="77777777" w:rsidR="00BA1FFC" w:rsidRPr="00A53480" w:rsidRDefault="00BA1FFC" w:rsidP="00901C3E">
      <w:pPr>
        <w:ind w:left="1267" w:right="1440" w:hanging="547"/>
        <w:rPr>
          <w:rFonts w:ascii="Times New Roman" w:hAnsi="Times New Roman"/>
          <w:b/>
          <w:sz w:val="24"/>
          <w:szCs w:val="24"/>
        </w:rPr>
      </w:pPr>
    </w:p>
    <w:p w14:paraId="0C5FBE5D" w14:textId="77777777" w:rsidR="00901C3E" w:rsidRDefault="00901C3E" w:rsidP="00901C3E">
      <w:pPr>
        <w:ind w:left="1267" w:right="1440" w:hanging="547"/>
        <w:rPr>
          <w:rFonts w:ascii="Times New Roman" w:hAnsi="Times New Roman"/>
          <w:sz w:val="24"/>
          <w:szCs w:val="24"/>
        </w:rPr>
      </w:pPr>
      <w:r w:rsidRPr="00A53480">
        <w:rPr>
          <w:rFonts w:ascii="Times New Roman" w:hAnsi="Times New Roman"/>
          <w:sz w:val="24"/>
          <w:szCs w:val="24"/>
        </w:rPr>
        <w:t>A:</w:t>
      </w:r>
      <w:r w:rsidRPr="00A53480">
        <w:rPr>
          <w:rFonts w:ascii="Times New Roman" w:hAnsi="Times New Roman"/>
          <w:sz w:val="24"/>
          <w:szCs w:val="24"/>
        </w:rPr>
        <w:tab/>
        <w:t>Lots of reasons.  At a high level, it starts with the totality of the nature of service they proposed, which they led the Commission to believe would be different than ours and targeted so some niche of supposedly unserved tech-savvy passengers from China, Japan, and Korea who were incapable of booking on an English language website.  We can see now that the whole premise of their application and consequent grant of authority was simply not true.  We strongly suspect that the whole case was a fabrication.  The best and most obvious example was the testimony that they would not serve “walk-up” passengers.  But they made sure they were set up to do just that on their very first day of service at SeaTac.  And the fact that four months after we asked for their correspondence from 2014 and 2015 that would show their true intentions, true business plan, and true target passenger demographic they still had not produced a single document until last Friday, after a two rulings by the ALJ.  We know such documents exist, as we have seen a small segment of them from our public records request to the Port (some of which are attached to Mr. Marks’ testimony).  The request should not have been hard.  The inference is they are trying to hide something.</w:t>
      </w:r>
    </w:p>
    <w:p w14:paraId="0C5FBE5E" w14:textId="77777777" w:rsidR="00901C3E" w:rsidRPr="00A53480" w:rsidRDefault="00901C3E" w:rsidP="00901C3E">
      <w:pPr>
        <w:ind w:left="1267" w:right="1440" w:hanging="547"/>
        <w:rPr>
          <w:rFonts w:ascii="Times New Roman" w:hAnsi="Times New Roman"/>
          <w:sz w:val="24"/>
          <w:szCs w:val="24"/>
        </w:rPr>
      </w:pPr>
    </w:p>
    <w:p w14:paraId="0C5FBE5F" w14:textId="77777777" w:rsidR="00901C3E" w:rsidRDefault="00901C3E" w:rsidP="00901C3E">
      <w:pPr>
        <w:pStyle w:val="Heading3"/>
        <w:numPr>
          <w:ilvl w:val="0"/>
          <w:numId w:val="0"/>
        </w:numPr>
      </w:pPr>
      <w:r>
        <w:t>As Shuttle Express well</w:t>
      </w:r>
      <w:r w:rsidR="006041A3" w:rsidRPr="006041A3">
        <w:t xml:space="preserve"> </w:t>
      </w:r>
      <w:r w:rsidR="006041A3">
        <w:t>knows</w:t>
      </w:r>
      <w:r>
        <w:t xml:space="preserve">, the Administrative Law Judge sustained Speedishuttle’s </w:t>
      </w:r>
      <w:r w:rsidR="006041A3">
        <w:t xml:space="preserve">appropriate </w:t>
      </w:r>
      <w:r>
        <w:t>objection</w:t>
      </w:r>
      <w:r w:rsidR="00C82770">
        <w:t>s</w:t>
      </w:r>
      <w:r>
        <w:t xml:space="preserve"> </w:t>
      </w:r>
      <w:r w:rsidR="00BF5FB4">
        <w:t xml:space="preserve">in discovery </w:t>
      </w:r>
      <w:r>
        <w:t xml:space="preserve">to Shuttle Express’ attempts to obtain pre-application communications.  </w:t>
      </w:r>
      <w:r w:rsidR="000A60F4">
        <w:t xml:space="preserve">Now </w:t>
      </w:r>
      <w:r>
        <w:t xml:space="preserve">Shuttle Express attempts to turn that ruling that these records were </w:t>
      </w:r>
      <w:r>
        <w:lastRenderedPageBreak/>
        <w:t xml:space="preserve">irrelevant to the proceeding into a “cover-up” by Speedishuttle.  This </w:t>
      </w:r>
      <w:r w:rsidR="006041A3">
        <w:t xml:space="preserve">type of </w:t>
      </w:r>
      <w:r w:rsidR="000A60F4">
        <w:t xml:space="preserve">ad hominem </w:t>
      </w:r>
      <w:r w:rsidR="00BF5FB4">
        <w:t xml:space="preserve">“hatchet job” type </w:t>
      </w:r>
      <w:r>
        <w:t xml:space="preserve">testimony serves no purpose other than to further the impermissible character attacks </w:t>
      </w:r>
      <w:r w:rsidR="00BF5FB4">
        <w:t xml:space="preserve">consistently </w:t>
      </w:r>
      <w:r>
        <w:t>made by Shuttle Express throughout this proceeding. Such evidence is inadmissible</w:t>
      </w:r>
      <w:r w:rsidR="000A60F4">
        <w:t>, intemperate</w:t>
      </w:r>
      <w:r>
        <w:t xml:space="preserve"> and should be excluded.</w:t>
      </w:r>
    </w:p>
    <w:p w14:paraId="0C5FBE60" w14:textId="77777777" w:rsidR="00901C3E" w:rsidRDefault="00901C3E" w:rsidP="00901C3E">
      <w:pPr>
        <w:pStyle w:val="Heading3"/>
      </w:pPr>
      <w:r>
        <w:t xml:space="preserve">The improper character attack testimony submitted by Shuttle Express </w:t>
      </w:r>
      <w:r w:rsidR="006041A3">
        <w:t>is</w:t>
      </w:r>
      <w:r>
        <w:t xml:space="preserve"> located at the following pages and lines:</w:t>
      </w:r>
    </w:p>
    <w:p w14:paraId="0C5FBE61" w14:textId="77777777" w:rsidR="00901C3E" w:rsidRDefault="00901C3E" w:rsidP="00901C3E">
      <w:pPr>
        <w:pStyle w:val="ListParagraph"/>
        <w:jc w:val="center"/>
        <w:rPr>
          <w:b/>
        </w:rPr>
      </w:pPr>
      <w:r>
        <w:rPr>
          <w:b/>
        </w:rPr>
        <w:t>Exhibit ___ (PK-1T); Testimony of Paul Kajanoff</w:t>
      </w:r>
    </w:p>
    <w:p w14:paraId="0C5FBE62" w14:textId="77777777" w:rsidR="00901C3E" w:rsidRDefault="00901C3E" w:rsidP="00901C3E">
      <w:pPr>
        <w:pStyle w:val="ListParagraph"/>
        <w:jc w:val="center"/>
        <w:rPr>
          <w:b/>
        </w:rPr>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901C3E" w:rsidRPr="003A1DB8" w14:paraId="0C5FBE65" w14:textId="77777777" w:rsidTr="00686D7F">
        <w:tc>
          <w:tcPr>
            <w:tcW w:w="1620" w:type="dxa"/>
            <w:tcBorders>
              <w:bottom w:val="single" w:sz="4" w:space="0" w:color="auto"/>
            </w:tcBorders>
          </w:tcPr>
          <w:p w14:paraId="0C5FBE63" w14:textId="77777777" w:rsidR="00901C3E" w:rsidRPr="003A1DB8" w:rsidRDefault="00901C3E" w:rsidP="00686D7F">
            <w:pPr>
              <w:pStyle w:val="ListParagraph"/>
              <w:jc w:val="center"/>
              <w:rPr>
                <w:b/>
              </w:rPr>
            </w:pPr>
            <w:r w:rsidRPr="003A1DB8">
              <w:rPr>
                <w:b/>
              </w:rPr>
              <w:t>Page</w:t>
            </w:r>
          </w:p>
        </w:tc>
        <w:tc>
          <w:tcPr>
            <w:tcW w:w="1440" w:type="dxa"/>
            <w:tcBorders>
              <w:bottom w:val="single" w:sz="4" w:space="0" w:color="auto"/>
            </w:tcBorders>
          </w:tcPr>
          <w:p w14:paraId="0C5FBE64" w14:textId="77777777" w:rsidR="00901C3E" w:rsidRPr="003A1DB8" w:rsidRDefault="00901C3E" w:rsidP="00686D7F">
            <w:pPr>
              <w:pStyle w:val="ListParagraph"/>
              <w:jc w:val="center"/>
              <w:rPr>
                <w:b/>
              </w:rPr>
            </w:pPr>
            <w:r w:rsidRPr="003A1DB8">
              <w:rPr>
                <w:b/>
              </w:rPr>
              <w:t>Lines</w:t>
            </w:r>
          </w:p>
        </w:tc>
      </w:tr>
      <w:tr w:rsidR="00F8032E" w14:paraId="0C5FBE68" w14:textId="77777777" w:rsidTr="00C06843">
        <w:tc>
          <w:tcPr>
            <w:tcW w:w="1620" w:type="dxa"/>
            <w:tcBorders>
              <w:top w:val="single" w:sz="4" w:space="0" w:color="auto"/>
              <w:bottom w:val="nil"/>
            </w:tcBorders>
          </w:tcPr>
          <w:p w14:paraId="0C5FBE66" w14:textId="77777777" w:rsidR="00F8032E" w:rsidRDefault="00F8032E" w:rsidP="007B3F69">
            <w:pPr>
              <w:pStyle w:val="ListParagraph"/>
            </w:pPr>
            <w:r>
              <w:t>7</w:t>
            </w:r>
          </w:p>
        </w:tc>
        <w:tc>
          <w:tcPr>
            <w:tcW w:w="1440" w:type="dxa"/>
            <w:tcBorders>
              <w:top w:val="single" w:sz="4" w:space="0" w:color="auto"/>
              <w:bottom w:val="nil"/>
            </w:tcBorders>
          </w:tcPr>
          <w:p w14:paraId="0C5FBE67" w14:textId="77777777" w:rsidR="00F8032E" w:rsidRDefault="00F8032E" w:rsidP="007B3F69">
            <w:pPr>
              <w:pStyle w:val="ListParagraph"/>
            </w:pPr>
            <w:r>
              <w:t>20-23</w:t>
            </w:r>
          </w:p>
        </w:tc>
      </w:tr>
      <w:tr w:rsidR="00F8032E" w14:paraId="0C5FBE6B" w14:textId="77777777" w:rsidTr="00C06843">
        <w:tc>
          <w:tcPr>
            <w:tcW w:w="1620" w:type="dxa"/>
            <w:tcBorders>
              <w:top w:val="nil"/>
              <w:bottom w:val="nil"/>
            </w:tcBorders>
          </w:tcPr>
          <w:p w14:paraId="0C5FBE69" w14:textId="77777777" w:rsidR="00F8032E" w:rsidRDefault="00F8032E" w:rsidP="007B3F69">
            <w:pPr>
              <w:pStyle w:val="ListParagraph"/>
            </w:pPr>
            <w:r>
              <w:t>8</w:t>
            </w:r>
          </w:p>
        </w:tc>
        <w:tc>
          <w:tcPr>
            <w:tcW w:w="1440" w:type="dxa"/>
            <w:tcBorders>
              <w:top w:val="nil"/>
              <w:bottom w:val="nil"/>
            </w:tcBorders>
          </w:tcPr>
          <w:p w14:paraId="0C5FBE6A" w14:textId="77777777" w:rsidR="00F8032E" w:rsidRDefault="00F8032E" w:rsidP="007B3F69">
            <w:pPr>
              <w:pStyle w:val="ListParagraph"/>
            </w:pPr>
            <w:r>
              <w:t>1-21</w:t>
            </w:r>
          </w:p>
        </w:tc>
      </w:tr>
      <w:tr w:rsidR="00F8032E" w14:paraId="0C5FBE6E" w14:textId="77777777" w:rsidTr="00C06843">
        <w:tc>
          <w:tcPr>
            <w:tcW w:w="1620" w:type="dxa"/>
            <w:tcBorders>
              <w:top w:val="nil"/>
            </w:tcBorders>
          </w:tcPr>
          <w:p w14:paraId="0C5FBE6C" w14:textId="77777777" w:rsidR="00F8032E" w:rsidRDefault="00F8032E" w:rsidP="007B3F69">
            <w:pPr>
              <w:pStyle w:val="ListParagraph"/>
            </w:pPr>
            <w:r>
              <w:t>9</w:t>
            </w:r>
          </w:p>
        </w:tc>
        <w:tc>
          <w:tcPr>
            <w:tcW w:w="1440" w:type="dxa"/>
            <w:tcBorders>
              <w:top w:val="nil"/>
            </w:tcBorders>
          </w:tcPr>
          <w:p w14:paraId="0C5FBE6D" w14:textId="77777777" w:rsidR="00F8032E" w:rsidRDefault="00F8032E" w:rsidP="007B3F69">
            <w:pPr>
              <w:pStyle w:val="ListParagraph"/>
            </w:pPr>
            <w:r>
              <w:t>1-3</w:t>
            </w:r>
          </w:p>
        </w:tc>
      </w:tr>
      <w:tr w:rsidR="00F8032E" w14:paraId="0C5FBE71" w14:textId="77777777" w:rsidTr="00C06843">
        <w:tc>
          <w:tcPr>
            <w:tcW w:w="1620" w:type="dxa"/>
            <w:tcBorders>
              <w:top w:val="nil"/>
            </w:tcBorders>
          </w:tcPr>
          <w:p w14:paraId="0C5FBE6F" w14:textId="77777777" w:rsidR="00F8032E" w:rsidRDefault="00F8032E" w:rsidP="007B3F69">
            <w:pPr>
              <w:pStyle w:val="ListParagraph"/>
            </w:pPr>
            <w:r>
              <w:t>11</w:t>
            </w:r>
          </w:p>
        </w:tc>
        <w:tc>
          <w:tcPr>
            <w:tcW w:w="1440" w:type="dxa"/>
            <w:tcBorders>
              <w:top w:val="nil"/>
            </w:tcBorders>
          </w:tcPr>
          <w:p w14:paraId="0C5FBE70" w14:textId="77777777" w:rsidR="00F8032E" w:rsidRDefault="00553489" w:rsidP="007B3F69">
            <w:pPr>
              <w:pStyle w:val="ListParagraph"/>
            </w:pPr>
            <w:r>
              <w:t>16-18</w:t>
            </w:r>
          </w:p>
        </w:tc>
      </w:tr>
      <w:tr w:rsidR="00553489" w14:paraId="0C5FBE74" w14:textId="77777777" w:rsidTr="00C06843">
        <w:tc>
          <w:tcPr>
            <w:tcW w:w="1620" w:type="dxa"/>
            <w:tcBorders>
              <w:top w:val="nil"/>
            </w:tcBorders>
          </w:tcPr>
          <w:p w14:paraId="0C5FBE72" w14:textId="77777777" w:rsidR="00553489" w:rsidRDefault="00553489" w:rsidP="007B3F69">
            <w:pPr>
              <w:pStyle w:val="ListParagraph"/>
            </w:pPr>
            <w:r>
              <w:t>13</w:t>
            </w:r>
          </w:p>
        </w:tc>
        <w:tc>
          <w:tcPr>
            <w:tcW w:w="1440" w:type="dxa"/>
            <w:tcBorders>
              <w:top w:val="nil"/>
            </w:tcBorders>
          </w:tcPr>
          <w:p w14:paraId="0C5FBE73" w14:textId="77777777" w:rsidR="00553489" w:rsidRDefault="00553489" w:rsidP="007B3F69">
            <w:pPr>
              <w:pStyle w:val="ListParagraph"/>
            </w:pPr>
            <w:r>
              <w:t>17-22</w:t>
            </w:r>
          </w:p>
        </w:tc>
      </w:tr>
      <w:tr w:rsidR="00553489" w14:paraId="0C5FBE77" w14:textId="77777777" w:rsidTr="00C06843">
        <w:tc>
          <w:tcPr>
            <w:tcW w:w="1620" w:type="dxa"/>
            <w:tcBorders>
              <w:top w:val="nil"/>
            </w:tcBorders>
          </w:tcPr>
          <w:p w14:paraId="0C5FBE75" w14:textId="77777777" w:rsidR="00553489" w:rsidRDefault="00553489" w:rsidP="007B3F69">
            <w:pPr>
              <w:pStyle w:val="ListParagraph"/>
            </w:pPr>
            <w:r>
              <w:t>14</w:t>
            </w:r>
          </w:p>
        </w:tc>
        <w:tc>
          <w:tcPr>
            <w:tcW w:w="1440" w:type="dxa"/>
            <w:tcBorders>
              <w:top w:val="nil"/>
            </w:tcBorders>
          </w:tcPr>
          <w:p w14:paraId="0C5FBE76" w14:textId="77777777" w:rsidR="00553489" w:rsidRDefault="00C06843" w:rsidP="007B3F69">
            <w:pPr>
              <w:pStyle w:val="ListParagraph"/>
            </w:pPr>
            <w:r>
              <w:t>1-7</w:t>
            </w:r>
          </w:p>
        </w:tc>
      </w:tr>
      <w:tr w:rsidR="00901C3E" w14:paraId="0C5FBE7A" w14:textId="77777777" w:rsidTr="00C06843">
        <w:tc>
          <w:tcPr>
            <w:tcW w:w="1620" w:type="dxa"/>
            <w:tcBorders>
              <w:top w:val="nil"/>
            </w:tcBorders>
          </w:tcPr>
          <w:p w14:paraId="0C5FBE78" w14:textId="77777777" w:rsidR="00901C3E" w:rsidRDefault="00901C3E" w:rsidP="007B3F69">
            <w:pPr>
              <w:pStyle w:val="ListParagraph"/>
            </w:pPr>
            <w:r>
              <w:t>15</w:t>
            </w:r>
          </w:p>
        </w:tc>
        <w:tc>
          <w:tcPr>
            <w:tcW w:w="1440" w:type="dxa"/>
            <w:tcBorders>
              <w:top w:val="nil"/>
            </w:tcBorders>
          </w:tcPr>
          <w:p w14:paraId="0C5FBE79" w14:textId="77777777" w:rsidR="00901C3E" w:rsidRDefault="00901C3E" w:rsidP="007B3F69">
            <w:pPr>
              <w:pStyle w:val="ListParagraph"/>
            </w:pPr>
            <w:r>
              <w:t>13-21</w:t>
            </w:r>
          </w:p>
        </w:tc>
      </w:tr>
      <w:tr w:rsidR="00901C3E" w14:paraId="0C5FBE7D" w14:textId="77777777" w:rsidTr="00686D7F">
        <w:tc>
          <w:tcPr>
            <w:tcW w:w="1620" w:type="dxa"/>
          </w:tcPr>
          <w:p w14:paraId="0C5FBE7B" w14:textId="77777777" w:rsidR="00901C3E" w:rsidRDefault="00901C3E" w:rsidP="007B3F69">
            <w:pPr>
              <w:pStyle w:val="ListParagraph"/>
            </w:pPr>
            <w:r>
              <w:t>16</w:t>
            </w:r>
          </w:p>
        </w:tc>
        <w:tc>
          <w:tcPr>
            <w:tcW w:w="1440" w:type="dxa"/>
          </w:tcPr>
          <w:p w14:paraId="0C5FBE7C" w14:textId="77777777" w:rsidR="00901C3E" w:rsidRDefault="00901C3E" w:rsidP="007B3F69">
            <w:pPr>
              <w:pStyle w:val="ListParagraph"/>
            </w:pPr>
            <w:r>
              <w:t>1-21</w:t>
            </w:r>
          </w:p>
        </w:tc>
      </w:tr>
      <w:tr w:rsidR="00901C3E" w14:paraId="0C5FBE80" w14:textId="77777777" w:rsidTr="00686D7F">
        <w:tc>
          <w:tcPr>
            <w:tcW w:w="1620" w:type="dxa"/>
          </w:tcPr>
          <w:p w14:paraId="0C5FBE7E" w14:textId="77777777" w:rsidR="00901C3E" w:rsidRDefault="003306A1" w:rsidP="007B3F69">
            <w:pPr>
              <w:pStyle w:val="ListParagraph"/>
            </w:pPr>
            <w:r>
              <w:t>17</w:t>
            </w:r>
          </w:p>
        </w:tc>
        <w:tc>
          <w:tcPr>
            <w:tcW w:w="1440" w:type="dxa"/>
          </w:tcPr>
          <w:p w14:paraId="0C5FBE7F" w14:textId="77777777" w:rsidR="00901C3E" w:rsidRDefault="003306A1" w:rsidP="007B3F69">
            <w:pPr>
              <w:pStyle w:val="ListParagraph"/>
            </w:pPr>
            <w:r>
              <w:t>1-19</w:t>
            </w:r>
          </w:p>
        </w:tc>
      </w:tr>
    </w:tbl>
    <w:p w14:paraId="0C5FBE81" w14:textId="77777777" w:rsidR="00901C3E" w:rsidRDefault="00901C3E" w:rsidP="00901C3E">
      <w:pPr>
        <w:pStyle w:val="ListParagraph"/>
        <w:jc w:val="center"/>
        <w:rPr>
          <w:b/>
        </w:rPr>
      </w:pPr>
    </w:p>
    <w:p w14:paraId="0C5FBE82" w14:textId="77777777" w:rsidR="00901C3E" w:rsidRPr="000A52A2" w:rsidRDefault="00901C3E" w:rsidP="00901C3E">
      <w:pPr>
        <w:pStyle w:val="ListParagraph"/>
        <w:jc w:val="center"/>
        <w:rPr>
          <w:b/>
        </w:rPr>
      </w:pPr>
      <w:r>
        <w:rPr>
          <w:b/>
        </w:rPr>
        <w:t>Exhibit ___ (WAM-1T); Testimony of Wesley A. Marks</w:t>
      </w:r>
    </w:p>
    <w:p w14:paraId="0C5FBE83" w14:textId="77777777" w:rsidR="00901C3E" w:rsidRDefault="00901C3E" w:rsidP="00901C3E">
      <w:pPr>
        <w:pStyle w:val="ListParagraph"/>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20"/>
        <w:gridCol w:w="1440"/>
      </w:tblGrid>
      <w:tr w:rsidR="00901C3E" w:rsidRPr="003A1DB8" w14:paraId="0C5FBE86" w14:textId="77777777" w:rsidTr="00686D7F">
        <w:tc>
          <w:tcPr>
            <w:tcW w:w="1620" w:type="dxa"/>
            <w:tcBorders>
              <w:bottom w:val="single" w:sz="4" w:space="0" w:color="auto"/>
            </w:tcBorders>
          </w:tcPr>
          <w:p w14:paraId="0C5FBE84" w14:textId="77777777" w:rsidR="00901C3E" w:rsidRPr="003A1DB8" w:rsidRDefault="00901C3E" w:rsidP="00686D7F">
            <w:pPr>
              <w:pStyle w:val="ListParagraph"/>
              <w:jc w:val="center"/>
              <w:rPr>
                <w:b/>
              </w:rPr>
            </w:pPr>
            <w:r w:rsidRPr="003A1DB8">
              <w:rPr>
                <w:b/>
              </w:rPr>
              <w:t>Page</w:t>
            </w:r>
          </w:p>
        </w:tc>
        <w:tc>
          <w:tcPr>
            <w:tcW w:w="1440" w:type="dxa"/>
            <w:tcBorders>
              <w:bottom w:val="single" w:sz="4" w:space="0" w:color="auto"/>
            </w:tcBorders>
          </w:tcPr>
          <w:p w14:paraId="0C5FBE85" w14:textId="77777777" w:rsidR="00901C3E" w:rsidRPr="003A1DB8" w:rsidRDefault="00901C3E" w:rsidP="00686D7F">
            <w:pPr>
              <w:pStyle w:val="ListParagraph"/>
              <w:jc w:val="center"/>
              <w:rPr>
                <w:b/>
              </w:rPr>
            </w:pPr>
            <w:r w:rsidRPr="003A1DB8">
              <w:rPr>
                <w:b/>
              </w:rPr>
              <w:t>Lines</w:t>
            </w:r>
          </w:p>
        </w:tc>
      </w:tr>
      <w:tr w:rsidR="00901C3E" w14:paraId="0C5FBE89" w14:textId="77777777" w:rsidTr="00686D7F">
        <w:tc>
          <w:tcPr>
            <w:tcW w:w="1620" w:type="dxa"/>
            <w:tcBorders>
              <w:top w:val="single" w:sz="4" w:space="0" w:color="auto"/>
            </w:tcBorders>
          </w:tcPr>
          <w:p w14:paraId="0C5FBE87" w14:textId="77777777" w:rsidR="00901C3E" w:rsidRDefault="0094578B" w:rsidP="007B3F69">
            <w:pPr>
              <w:pStyle w:val="ListParagraph"/>
            </w:pPr>
            <w:r>
              <w:t>21</w:t>
            </w:r>
          </w:p>
        </w:tc>
        <w:tc>
          <w:tcPr>
            <w:tcW w:w="1440" w:type="dxa"/>
            <w:tcBorders>
              <w:top w:val="single" w:sz="4" w:space="0" w:color="auto"/>
            </w:tcBorders>
          </w:tcPr>
          <w:p w14:paraId="0C5FBE88" w14:textId="77777777" w:rsidR="00901C3E" w:rsidRDefault="0094578B" w:rsidP="007B3F69">
            <w:pPr>
              <w:pStyle w:val="ListParagraph"/>
            </w:pPr>
            <w:r>
              <w:t>12-20</w:t>
            </w:r>
          </w:p>
        </w:tc>
      </w:tr>
      <w:tr w:rsidR="00901C3E" w14:paraId="0C5FBE8C" w14:textId="77777777" w:rsidTr="00686D7F">
        <w:tc>
          <w:tcPr>
            <w:tcW w:w="1620" w:type="dxa"/>
          </w:tcPr>
          <w:p w14:paraId="0C5FBE8A" w14:textId="77777777" w:rsidR="00901C3E" w:rsidRDefault="0094578B" w:rsidP="007B3F69">
            <w:pPr>
              <w:pStyle w:val="ListParagraph"/>
            </w:pPr>
            <w:r>
              <w:t>22</w:t>
            </w:r>
          </w:p>
        </w:tc>
        <w:tc>
          <w:tcPr>
            <w:tcW w:w="1440" w:type="dxa"/>
          </w:tcPr>
          <w:p w14:paraId="0C5FBE8B" w14:textId="77777777" w:rsidR="00901C3E" w:rsidRDefault="0094578B" w:rsidP="007B3F69">
            <w:pPr>
              <w:pStyle w:val="ListParagraph"/>
            </w:pPr>
            <w:r>
              <w:t>1-5</w:t>
            </w:r>
          </w:p>
        </w:tc>
      </w:tr>
    </w:tbl>
    <w:p w14:paraId="0C5FBE8D" w14:textId="77777777" w:rsidR="00901C3E" w:rsidRDefault="00901C3E" w:rsidP="00901C3E"/>
    <w:p w14:paraId="0C5FBE8E" w14:textId="77777777" w:rsidR="00D94561" w:rsidRDefault="00D94561" w:rsidP="00901C3E"/>
    <w:p w14:paraId="0C5FBE8F" w14:textId="77777777" w:rsidR="00901C3E" w:rsidRDefault="00877800" w:rsidP="00877800">
      <w:pPr>
        <w:pStyle w:val="Heading1"/>
        <w:rPr>
          <w:b/>
        </w:rPr>
      </w:pPr>
      <w:r>
        <w:rPr>
          <w:b/>
        </w:rPr>
        <w:t>conclusion</w:t>
      </w:r>
      <w:r w:rsidR="00447368">
        <w:rPr>
          <w:b/>
        </w:rPr>
        <w:t>/PRAYER FOR RELIEF</w:t>
      </w:r>
    </w:p>
    <w:p w14:paraId="0C5FBE90" w14:textId="77777777" w:rsidR="00877800" w:rsidRDefault="00877800" w:rsidP="00877800">
      <w:pPr>
        <w:pStyle w:val="Heading3"/>
      </w:pPr>
      <w:r>
        <w:t xml:space="preserve">Shuttle Express has </w:t>
      </w:r>
      <w:r w:rsidR="00C82770">
        <w:t xml:space="preserve">consciously, conspicuously </w:t>
      </w:r>
      <w:r w:rsidR="000A60F4">
        <w:t xml:space="preserve">and repeatedly </w:t>
      </w:r>
      <w:r>
        <w:t xml:space="preserve">disregarded the rulings of the Commission and the Administrative Law Judge regarding the scope of this proceeding and </w:t>
      </w:r>
      <w:r w:rsidR="00447368">
        <w:t xml:space="preserve">has </w:t>
      </w:r>
      <w:r w:rsidR="006041A3">
        <w:t>now submitted voluminous pre</w:t>
      </w:r>
      <w:r>
        <w:t xml:space="preserve">filed testimony dedicated </w:t>
      </w:r>
      <w:r w:rsidR="000A60F4">
        <w:t>almost</w:t>
      </w:r>
      <w:r>
        <w:t xml:space="preserve"> entirely to distort</w:t>
      </w:r>
      <w:r w:rsidR="006041A3">
        <w:t>ing</w:t>
      </w:r>
      <w:r>
        <w:t xml:space="preserve"> facts into a narrative that fit</w:t>
      </w:r>
      <w:r w:rsidR="000A60F4">
        <w:t>s</w:t>
      </w:r>
      <w:r>
        <w:t xml:space="preserve"> the </w:t>
      </w:r>
      <w:r w:rsidR="000A60F4">
        <w:t xml:space="preserve">storyline </w:t>
      </w:r>
      <w:r>
        <w:t xml:space="preserve">preferred by Shuttle Express.  </w:t>
      </w:r>
      <w:r w:rsidR="006041A3">
        <w:t xml:space="preserve">Instead, </w:t>
      </w:r>
      <w:r>
        <w:t xml:space="preserve">Shuttle Express could have filed succinct testimony regarding the service features actually discussed in the business model </w:t>
      </w:r>
      <w:r>
        <w:lastRenderedPageBreak/>
        <w:t xml:space="preserve">in Order 04, but </w:t>
      </w:r>
      <w:r w:rsidR="000A60F4">
        <w:t xml:space="preserve">admittedly </w:t>
      </w:r>
      <w:r>
        <w:t xml:space="preserve">that would not have supported its </w:t>
      </w:r>
      <w:r w:rsidR="00391C19">
        <w:t xml:space="preserve">unrelenting </w:t>
      </w:r>
      <w:r>
        <w:t xml:space="preserve">position </w:t>
      </w:r>
      <w:r w:rsidR="00391C19">
        <w:t xml:space="preserve">or view of </w:t>
      </w:r>
      <w:r w:rsidR="001C0AEF">
        <w:t xml:space="preserve">the rules, the Commission’s orders or </w:t>
      </w:r>
      <w:r w:rsidR="00391C19">
        <w:t xml:space="preserve">the evidence </w:t>
      </w:r>
      <w:r>
        <w:t xml:space="preserve">in this rehearing </w:t>
      </w:r>
      <w:r w:rsidR="001C0AEF">
        <w:t>and</w:t>
      </w:r>
      <w:r>
        <w:t xml:space="preserve"> Complaint.  </w:t>
      </w:r>
    </w:p>
    <w:p w14:paraId="0C5FBE91" w14:textId="77777777" w:rsidR="00203C5E" w:rsidRDefault="009E74AF" w:rsidP="00D94561">
      <w:pPr>
        <w:pStyle w:val="Heading3"/>
      </w:pPr>
      <w:r>
        <w:t xml:space="preserve">Speedishuttle </w:t>
      </w:r>
      <w:r w:rsidR="006041A3">
        <w:t xml:space="preserve">now </w:t>
      </w:r>
      <w:r w:rsidR="00391C19">
        <w:t xml:space="preserve">seeks to avoid </w:t>
      </w:r>
      <w:r w:rsidR="00D94561">
        <w:t xml:space="preserve">the </w:t>
      </w:r>
      <w:r w:rsidR="00391C19">
        <w:t xml:space="preserve">further protraction, exacerbation and distraction of </w:t>
      </w:r>
      <w:r>
        <w:t xml:space="preserve">this proceeding </w:t>
      </w:r>
      <w:r w:rsidR="00D94561">
        <w:t xml:space="preserve">that would occur </w:t>
      </w:r>
      <w:r>
        <w:t xml:space="preserve">by responding to this improper testimony, and thus objects to </w:t>
      </w:r>
      <w:r w:rsidR="006041A3">
        <w:t>its</w:t>
      </w:r>
      <w:r>
        <w:t xml:space="preserve"> admission, and </w:t>
      </w:r>
      <w:r w:rsidR="00391C19">
        <w:t xml:space="preserve">respectfully </w:t>
      </w:r>
      <w:r>
        <w:t xml:space="preserve">requests an advance ruling excluding </w:t>
      </w:r>
      <w:r w:rsidR="00BF5FB4">
        <w:t xml:space="preserve">all </w:t>
      </w:r>
      <w:r>
        <w:t xml:space="preserve">the </w:t>
      </w:r>
      <w:r w:rsidR="00BF5FB4">
        <w:t xml:space="preserve">cited </w:t>
      </w:r>
      <w:r>
        <w:t xml:space="preserve">testimony submitted by Shuttle </w:t>
      </w:r>
      <w:r w:rsidR="00D94561" w:rsidRPr="00D94561">
        <w:t>Express, before preparing and submitting its own testimony and in affirmatively and appropriately limiting the issues remaining in this consolidated proceeding.</w:t>
      </w:r>
    </w:p>
    <w:p w14:paraId="0C5FBE92" w14:textId="77777777" w:rsidR="00F73D54" w:rsidRPr="009D57C2" w:rsidRDefault="00856222" w:rsidP="007D0B88">
      <w:pPr>
        <w:pStyle w:val="Heading3"/>
        <w:numPr>
          <w:ilvl w:val="0"/>
          <w:numId w:val="0"/>
        </w:numPr>
      </w:pPr>
      <w:r w:rsidRPr="009D57C2">
        <w:rPr>
          <w:szCs w:val="24"/>
        </w:rPr>
        <w:tab/>
      </w:r>
      <w:r w:rsidR="00DB2248" w:rsidRPr="009D57C2">
        <w:rPr>
          <w:szCs w:val="24"/>
        </w:rPr>
        <w:t xml:space="preserve">DATED this </w:t>
      </w:r>
      <w:r w:rsidR="00797318">
        <w:rPr>
          <w:szCs w:val="24"/>
        </w:rPr>
        <w:t>17</w:t>
      </w:r>
      <w:r w:rsidR="00797318" w:rsidRPr="00797318">
        <w:rPr>
          <w:szCs w:val="24"/>
          <w:vertAlign w:val="superscript"/>
        </w:rPr>
        <w:t>th</w:t>
      </w:r>
      <w:r w:rsidR="00797318">
        <w:rPr>
          <w:szCs w:val="24"/>
        </w:rPr>
        <w:t xml:space="preserve"> </w:t>
      </w:r>
      <w:r w:rsidR="00DB2248" w:rsidRPr="009D57C2">
        <w:t xml:space="preserve">day of </w:t>
      </w:r>
      <w:r w:rsidR="00DD308B">
        <w:t>January, 2017</w:t>
      </w:r>
      <w:r w:rsidR="00DB2248" w:rsidRPr="009D57C2">
        <w:t>.</w:t>
      </w:r>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9D57C2" w:rsidRPr="009D57C2" w14:paraId="0C5FBE9D" w14:textId="77777777" w:rsidTr="00F73D54">
        <w:trPr>
          <w:cantSplit/>
        </w:trPr>
        <w:tc>
          <w:tcPr>
            <w:tcW w:w="4698" w:type="dxa"/>
          </w:tcPr>
          <w:p w14:paraId="0C5FBE93" w14:textId="77777777" w:rsidR="00F73D54" w:rsidRPr="009D57C2" w:rsidRDefault="00F73D54" w:rsidP="00F73D54">
            <w:pPr>
              <w:keepNext/>
              <w:tabs>
                <w:tab w:val="left" w:pos="432"/>
              </w:tabs>
              <w:spacing w:line="240" w:lineRule="exact"/>
              <w:rPr>
                <w:rFonts w:ascii="Times New Roman" w:hAnsi="Times New Roman" w:cs="Times New Roman"/>
                <w:sz w:val="20"/>
                <w:szCs w:val="20"/>
              </w:rPr>
            </w:pPr>
          </w:p>
        </w:tc>
        <w:tc>
          <w:tcPr>
            <w:tcW w:w="4860" w:type="dxa"/>
          </w:tcPr>
          <w:p w14:paraId="0C5FBE94" w14:textId="77777777" w:rsidR="00F73D54" w:rsidRPr="009D57C2" w:rsidRDefault="00DB2248" w:rsidP="00F73D54">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14:paraId="0C5FBE95" w14:textId="77777777" w:rsidR="00F73D54" w:rsidRPr="009D57C2" w:rsidRDefault="00F73D54" w:rsidP="00F73D54">
            <w:pPr>
              <w:keepNext/>
              <w:spacing w:line="240" w:lineRule="exact"/>
              <w:rPr>
                <w:rFonts w:ascii="Times New Roman" w:hAnsi="Times New Roman" w:cs="Times New Roman"/>
                <w:caps/>
                <w:sz w:val="20"/>
                <w:szCs w:val="20"/>
              </w:rPr>
            </w:pPr>
          </w:p>
          <w:p w14:paraId="0C5FBE96" w14:textId="77777777" w:rsidR="00F73D54" w:rsidRPr="009D57C2" w:rsidRDefault="00DB2248" w:rsidP="00F73D54">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 xml:space="preserve">By </w:t>
            </w:r>
            <w:r w:rsidRPr="009D57C2">
              <w:rPr>
                <w:rFonts w:ascii="Times New Roman" w:hAnsi="Times New Roman" w:cs="Times New Roman"/>
                <w:sz w:val="20"/>
                <w:szCs w:val="20"/>
                <w:u w:val="single"/>
              </w:rPr>
              <w:tab/>
            </w:r>
          </w:p>
          <w:p w14:paraId="0C5FBE97" w14:textId="77777777" w:rsidR="00F73D54" w:rsidRPr="009D57C2" w:rsidRDefault="00DB2248" w:rsidP="00F73D54">
            <w:pPr>
              <w:keepNext/>
              <w:tabs>
                <w:tab w:val="left" w:pos="43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sidRPr="009D57C2">
              <w:rPr>
                <w:rFonts w:ascii="Times New Roman" w:hAnsi="Times New Roman" w:cs="Times New Roman"/>
              </w:rPr>
              <w:t xml:space="preserve">David W. Wiley, WSBA #08614 </w:t>
            </w:r>
          </w:p>
          <w:p w14:paraId="0C5FBE98" w14:textId="77777777" w:rsidR="00F73D54" w:rsidRPr="009D57C2" w:rsidRDefault="00DB2248" w:rsidP="00F73D54">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1" w:history="1">
              <w:r w:rsidR="00226511" w:rsidRPr="009D57C2">
                <w:rPr>
                  <w:rStyle w:val="Hyperlink"/>
                  <w:rFonts w:ascii="Times New Roman" w:hAnsi="Times New Roman" w:cs="Times New Roman"/>
                  <w:color w:val="auto"/>
                  <w:sz w:val="20"/>
                  <w:szCs w:val="20"/>
                </w:rPr>
                <w:t>dwiley@williamskastner.com</w:t>
              </w:r>
            </w:hyperlink>
            <w:r w:rsidRPr="009D57C2">
              <w:rPr>
                <w:rFonts w:ascii="Times New Roman" w:hAnsi="Times New Roman" w:cs="Times New Roman"/>
                <w:sz w:val="20"/>
                <w:szCs w:val="20"/>
              </w:rPr>
              <w:t xml:space="preserve"> </w:t>
            </w:r>
          </w:p>
          <w:p w14:paraId="0C5FBE99" w14:textId="77777777" w:rsidR="00AE76C1" w:rsidRPr="009D57C2" w:rsidRDefault="00AE76C1" w:rsidP="00AE76C1">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r w:rsidR="003C7233" w:rsidRPr="00026C78">
              <w:rPr>
                <w:rFonts w:ascii="Times New Roman" w:hAnsi="Times New Roman" w:cs="Times New Roman"/>
              </w:rPr>
              <w:t>Blair I. Fassburg</w:t>
            </w:r>
            <w:r w:rsidRPr="00026C78">
              <w:rPr>
                <w:rFonts w:ascii="Times New Roman" w:hAnsi="Times New Roman" w:cs="Times New Roman"/>
              </w:rPr>
              <w:t xml:space="preserve">, WSBA # </w:t>
            </w:r>
            <w:r w:rsidR="003C7233" w:rsidRPr="00026C78">
              <w:rPr>
                <w:rFonts w:ascii="Times New Roman" w:hAnsi="Times New Roman" w:cs="Times New Roman"/>
              </w:rPr>
              <w:t>41207</w:t>
            </w:r>
          </w:p>
          <w:p w14:paraId="0C5FBE9A" w14:textId="77777777" w:rsidR="003C7233" w:rsidRPr="009D57C2" w:rsidRDefault="00AE76C1" w:rsidP="00AE76C1">
            <w:pPr>
              <w:keepNext/>
              <w:tabs>
                <w:tab w:val="left" w:pos="432"/>
                <w:tab w:val="right" w:pos="4932"/>
              </w:tabs>
              <w:spacing w:line="240" w:lineRule="exact"/>
              <w:rPr>
                <w:rStyle w:val="Hyperlink"/>
                <w:rFonts w:ascii="Times New Roman" w:hAnsi="Times New Roman" w:cs="Times New Roman"/>
                <w:color w:val="auto"/>
              </w:rPr>
            </w:pPr>
            <w:r w:rsidRPr="009D57C2">
              <w:rPr>
                <w:rFonts w:ascii="Times New Roman" w:hAnsi="Times New Roman" w:cs="Times New Roman"/>
                <w:sz w:val="20"/>
                <w:szCs w:val="20"/>
              </w:rPr>
              <w:t xml:space="preserve">       </w:t>
            </w:r>
            <w:hyperlink r:id="rId12" w:history="1">
              <w:r w:rsidR="003C7233" w:rsidRPr="009D57C2">
                <w:rPr>
                  <w:rStyle w:val="Hyperlink"/>
                  <w:rFonts w:ascii="Times New Roman" w:hAnsi="Times New Roman" w:cs="Times New Roman"/>
                  <w:color w:val="auto"/>
                  <w:sz w:val="20"/>
                  <w:szCs w:val="20"/>
                </w:rPr>
                <w:t>bfassburg@williamskastner.com</w:t>
              </w:r>
            </w:hyperlink>
          </w:p>
          <w:p w14:paraId="0C5FBE9B" w14:textId="77777777" w:rsidR="00597823" w:rsidRPr="009D57C2" w:rsidRDefault="00856222" w:rsidP="00597823">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p>
          <w:p w14:paraId="0C5FBE9C" w14:textId="77777777" w:rsidR="00F73D54" w:rsidRPr="009D57C2" w:rsidRDefault="00DB2248" w:rsidP="00F73D54">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bl>
    <w:p w14:paraId="0C5FBE9E" w14:textId="77777777" w:rsidR="00447368" w:rsidRDefault="00447368" w:rsidP="007D0B88">
      <w:pPr>
        <w:pStyle w:val="StyleListParagraphTimesNewRoman12ptLinespacingDouble"/>
        <w:jc w:val="center"/>
        <w:rPr>
          <w:b/>
          <w:szCs w:val="24"/>
        </w:rPr>
      </w:pPr>
    </w:p>
    <w:p w14:paraId="0C5FBE9F" w14:textId="77777777" w:rsidR="0066055D" w:rsidRDefault="0066055D">
      <w:pPr>
        <w:rPr>
          <w:rFonts w:ascii="Times New Roman" w:eastAsia="Times New Roman" w:hAnsi="Times New Roman" w:cs="Times New Roman"/>
          <w:b/>
          <w:sz w:val="24"/>
          <w:szCs w:val="24"/>
        </w:rPr>
      </w:pPr>
      <w:r>
        <w:rPr>
          <w:b/>
          <w:szCs w:val="24"/>
        </w:rPr>
        <w:br w:type="page"/>
      </w:r>
    </w:p>
    <w:p w14:paraId="0C5FBEA0" w14:textId="77777777" w:rsidR="00F73D54" w:rsidRPr="009D57C2" w:rsidRDefault="00DB2248" w:rsidP="007D0B88">
      <w:pPr>
        <w:pStyle w:val="StyleListParagraphTimesNewRoman12ptLinespacingDouble"/>
        <w:jc w:val="center"/>
        <w:rPr>
          <w:b/>
          <w:szCs w:val="24"/>
        </w:rPr>
      </w:pPr>
      <w:r w:rsidRPr="009D57C2">
        <w:rPr>
          <w:b/>
          <w:szCs w:val="24"/>
        </w:rPr>
        <w:lastRenderedPageBreak/>
        <w:t>CERTIFICATE OF SERVICE</w:t>
      </w:r>
    </w:p>
    <w:p w14:paraId="0C5FBEA1" w14:textId="77777777" w:rsidR="00F73D54" w:rsidRPr="009D57C2" w:rsidRDefault="00DB2248" w:rsidP="00F73D54">
      <w:pPr>
        <w:keepNext/>
        <w:keepLines/>
        <w:rPr>
          <w:rFonts w:ascii="Times New Roman" w:hAnsi="Times New Roman" w:cs="Times New Roman"/>
          <w:sz w:val="24"/>
        </w:rPr>
      </w:pPr>
      <w:r w:rsidRPr="009D57C2">
        <w:rPr>
          <w:rFonts w:ascii="Times New Roman" w:hAnsi="Times New Roman" w:cs="Times New Roman"/>
          <w:sz w:val="24"/>
          <w:szCs w:val="24"/>
        </w:rPr>
        <w:tab/>
      </w:r>
      <w:r w:rsidRPr="009D57C2">
        <w:rPr>
          <w:rFonts w:ascii="Times New Roman" w:hAnsi="Times New Roman" w:cs="Times New Roman"/>
          <w:sz w:val="24"/>
        </w:rPr>
        <w:t>I hereby certify that on</w:t>
      </w:r>
      <w:r w:rsidR="00D45DB8" w:rsidRPr="009D57C2">
        <w:rPr>
          <w:rFonts w:ascii="Times New Roman" w:hAnsi="Times New Roman" w:cs="Times New Roman"/>
          <w:sz w:val="24"/>
        </w:rPr>
        <w:t xml:space="preserve"> </w:t>
      </w:r>
      <w:r w:rsidR="001E5C3F">
        <w:rPr>
          <w:rFonts w:ascii="Times New Roman" w:hAnsi="Times New Roman" w:cs="Times New Roman"/>
          <w:sz w:val="24"/>
        </w:rPr>
        <w:t xml:space="preserve">January </w:t>
      </w:r>
      <w:r w:rsidR="00797318">
        <w:rPr>
          <w:rFonts w:ascii="Times New Roman" w:hAnsi="Times New Roman" w:cs="Times New Roman"/>
          <w:sz w:val="24"/>
        </w:rPr>
        <w:t>17</w:t>
      </w:r>
      <w:r w:rsidR="00AD4DC0" w:rsidRPr="009D57C2">
        <w:rPr>
          <w:rFonts w:ascii="Times New Roman" w:hAnsi="Times New Roman" w:cs="Times New Roman"/>
          <w:sz w:val="24"/>
        </w:rPr>
        <w:t>,</w:t>
      </w:r>
      <w:r w:rsidR="001E5C3F">
        <w:rPr>
          <w:rFonts w:ascii="Times New Roman" w:hAnsi="Times New Roman" w:cs="Times New Roman"/>
          <w:sz w:val="24"/>
        </w:rPr>
        <w:t xml:space="preserve"> 2017,</w:t>
      </w:r>
      <w:r w:rsidR="00D45DB8" w:rsidRPr="009D57C2">
        <w:rPr>
          <w:rFonts w:ascii="Times New Roman" w:hAnsi="Times New Roman" w:cs="Times New Roman"/>
          <w:sz w:val="24"/>
        </w:rPr>
        <w:t xml:space="preserve"> </w:t>
      </w:r>
      <w:r w:rsidRPr="009D57C2">
        <w:rPr>
          <w:rFonts w:ascii="Times New Roman" w:hAnsi="Times New Roman" w:cs="Times New Roman"/>
          <w:sz w:val="24"/>
        </w:rPr>
        <w:t xml:space="preserve">I caused to be served the original and </w:t>
      </w:r>
      <w:r w:rsidR="00F84DD8" w:rsidRPr="009D57C2">
        <w:rPr>
          <w:rFonts w:ascii="Times New Roman" w:hAnsi="Times New Roman" w:cs="Times New Roman"/>
          <w:sz w:val="24"/>
        </w:rPr>
        <w:t>three (3)</w:t>
      </w:r>
      <w:r w:rsidR="00B60D73" w:rsidRPr="009D57C2">
        <w:rPr>
          <w:rFonts w:ascii="Times New Roman" w:hAnsi="Times New Roman" w:cs="Times New Roman"/>
          <w:sz w:val="24"/>
        </w:rPr>
        <w:t xml:space="preserve"> </w:t>
      </w:r>
      <w:r w:rsidRPr="009D57C2">
        <w:rPr>
          <w:rFonts w:ascii="Times New Roman" w:hAnsi="Times New Roman" w:cs="Times New Roman"/>
          <w:sz w:val="24"/>
        </w:rPr>
        <w:t>copies of the foregoing documents</w:t>
      </w:r>
      <w:r w:rsidR="00CC4EAD" w:rsidRPr="009D57C2">
        <w:rPr>
          <w:rFonts w:ascii="Times New Roman" w:hAnsi="Times New Roman" w:cs="Times New Roman"/>
          <w:sz w:val="24"/>
        </w:rPr>
        <w:t xml:space="preserve"> and attachments</w:t>
      </w:r>
      <w:r w:rsidRPr="009D57C2">
        <w:rPr>
          <w:rFonts w:ascii="Times New Roman" w:hAnsi="Times New Roman" w:cs="Times New Roman"/>
          <w:sz w:val="24"/>
        </w:rPr>
        <w:t xml:space="preserve"> to the following address via first class mail: </w:t>
      </w:r>
    </w:p>
    <w:p w14:paraId="0C5FBEA2" w14:textId="77777777" w:rsidR="00F73D54" w:rsidRPr="009D57C2" w:rsidRDefault="00F73D54" w:rsidP="00F73D54">
      <w:pPr>
        <w:rPr>
          <w:rFonts w:ascii="Times New Roman" w:hAnsi="Times New Roman" w:cs="Times New Roman"/>
          <w:sz w:val="24"/>
        </w:rPr>
      </w:pPr>
    </w:p>
    <w:p w14:paraId="0C5FBEA3" w14:textId="77777777" w:rsidR="00F73D54" w:rsidRPr="009D57C2" w:rsidRDefault="00DB2248" w:rsidP="00F73D54">
      <w:pPr>
        <w:rPr>
          <w:rFonts w:ascii="Times New Roman" w:hAnsi="Times New Roman" w:cs="Times New Roman"/>
          <w:sz w:val="24"/>
        </w:rPr>
      </w:pPr>
      <w:r w:rsidRPr="009D57C2">
        <w:rPr>
          <w:rFonts w:ascii="Times New Roman" w:hAnsi="Times New Roman" w:cs="Times New Roman"/>
          <w:sz w:val="24"/>
        </w:rPr>
        <w:tab/>
        <w:t>Steven V. King, Executive Director and Secretary</w:t>
      </w:r>
    </w:p>
    <w:p w14:paraId="0C5FBEA4"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Washington Utilities and Transportation Commission</w:t>
      </w:r>
    </w:p>
    <w:p w14:paraId="0C5FBEA5"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Attn.:  Records Center</w:t>
      </w:r>
    </w:p>
    <w:p w14:paraId="0C5FBEA6"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P.O. Box 47250</w:t>
      </w:r>
    </w:p>
    <w:p w14:paraId="0C5FBEA7"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1300 S. Evergreen Park Dr. SW</w:t>
      </w:r>
    </w:p>
    <w:p w14:paraId="0C5FBEA8"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Olympia, WA 98504-7250</w:t>
      </w:r>
    </w:p>
    <w:p w14:paraId="0C5FBEA9" w14:textId="77777777" w:rsidR="00F73D54" w:rsidRPr="009D57C2" w:rsidRDefault="00F73D54" w:rsidP="00F73D54">
      <w:pPr>
        <w:ind w:firstLine="720"/>
        <w:rPr>
          <w:rFonts w:ascii="Times New Roman" w:hAnsi="Times New Roman" w:cs="Times New Roman"/>
          <w:sz w:val="24"/>
        </w:rPr>
      </w:pPr>
    </w:p>
    <w:p w14:paraId="0C5FBEAA" w14:textId="77777777" w:rsidR="00F73D54" w:rsidRPr="009D57C2" w:rsidRDefault="00DB2248" w:rsidP="0069691E">
      <w:pPr>
        <w:rPr>
          <w:rFonts w:ascii="Times New Roman" w:hAnsi="Times New Roman" w:cs="Times New Roman"/>
          <w:sz w:val="24"/>
        </w:rPr>
      </w:pPr>
      <w:r w:rsidRPr="009D57C2">
        <w:rPr>
          <w:rStyle w:val="Hyperlink"/>
          <w:rFonts w:ascii="Times New Roman" w:hAnsi="Times New Roman" w:cs="Times New Roman"/>
          <w:color w:val="auto"/>
          <w:sz w:val="24"/>
          <w:u w:val="none"/>
        </w:rPr>
        <w:t>I further certify that I have also provided to the Washington Utilities and Transportation Commission’s Secretary an official electronic file containing the foregoing document</w:t>
      </w:r>
      <w:r w:rsidR="00CC4EAD" w:rsidRPr="009D57C2">
        <w:rPr>
          <w:rStyle w:val="Hyperlink"/>
          <w:rFonts w:ascii="Times New Roman" w:hAnsi="Times New Roman" w:cs="Times New Roman"/>
          <w:color w:val="auto"/>
          <w:sz w:val="24"/>
          <w:u w:val="none"/>
        </w:rPr>
        <w:t>s and attachments</w:t>
      </w:r>
      <w:r w:rsidRPr="009D57C2">
        <w:rPr>
          <w:rStyle w:val="Hyperlink"/>
          <w:rFonts w:ascii="Times New Roman" w:hAnsi="Times New Roman" w:cs="Times New Roman"/>
          <w:color w:val="auto"/>
          <w:sz w:val="24"/>
          <w:u w:val="none"/>
        </w:rPr>
        <w:t xml:space="preserve"> via </w:t>
      </w:r>
      <w:r w:rsidR="00B60D73" w:rsidRPr="009D57C2">
        <w:rPr>
          <w:rStyle w:val="Hyperlink"/>
          <w:rFonts w:ascii="Times New Roman" w:hAnsi="Times New Roman" w:cs="Times New Roman"/>
          <w:color w:val="auto"/>
          <w:sz w:val="24"/>
          <w:u w:val="none"/>
        </w:rPr>
        <w:t>the WUTC web portal;</w:t>
      </w:r>
      <w:r w:rsidR="0069691E" w:rsidRPr="009D57C2">
        <w:rPr>
          <w:rStyle w:val="Hyperlink"/>
          <w:rFonts w:ascii="Times New Roman" w:hAnsi="Times New Roman" w:cs="Times New Roman"/>
          <w:color w:val="auto"/>
          <w:sz w:val="24"/>
          <w:u w:val="none"/>
        </w:rPr>
        <w:t xml:space="preserve"> </w:t>
      </w:r>
      <w:r w:rsidRPr="009D57C2">
        <w:rPr>
          <w:rFonts w:ascii="Times New Roman" w:hAnsi="Times New Roman" w:cs="Times New Roman"/>
          <w:sz w:val="24"/>
        </w:rPr>
        <w:t>and served a copy via email and</w:t>
      </w:r>
      <w:r w:rsidR="00AE67FC">
        <w:rPr>
          <w:rFonts w:ascii="Times New Roman" w:hAnsi="Times New Roman" w:cs="Times New Roman"/>
          <w:sz w:val="24"/>
        </w:rPr>
        <w:t>/or</w:t>
      </w:r>
      <w:r w:rsidRPr="009D57C2">
        <w:rPr>
          <w:rFonts w:ascii="Times New Roman" w:hAnsi="Times New Roman" w:cs="Times New Roman"/>
          <w:sz w:val="24"/>
        </w:rPr>
        <w:t xml:space="preserve"> first class mail, postage prepaid, to:</w:t>
      </w:r>
      <w:r w:rsidRPr="009D57C2">
        <w:rPr>
          <w:rFonts w:ascii="Times New Roman" w:hAnsi="Times New Roman" w:cs="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9D57C2" w:rsidRPr="009D57C2" w14:paraId="0C5FBEBD" w14:textId="77777777" w:rsidTr="00F73D54">
        <w:tc>
          <w:tcPr>
            <w:tcW w:w="4338" w:type="dxa"/>
            <w:shd w:val="clear" w:color="auto" w:fill="auto"/>
          </w:tcPr>
          <w:p w14:paraId="0C5FBEAB"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Julian Beattie</w:t>
            </w:r>
          </w:p>
          <w:p w14:paraId="0C5FBEAC"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Assistant Attorney General</w:t>
            </w:r>
          </w:p>
          <w:p w14:paraId="0C5FBEAD"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Office of the Attorney General</w:t>
            </w:r>
          </w:p>
          <w:p w14:paraId="0C5FBEAE"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Utilities and Transportation Division</w:t>
            </w:r>
          </w:p>
          <w:p w14:paraId="0C5FBEAF"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1400 S. Evergreen Park Dr. SW</w:t>
            </w:r>
          </w:p>
          <w:p w14:paraId="0C5FBEB0"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40128</w:t>
            </w:r>
          </w:p>
          <w:p w14:paraId="0C5FBEB1"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98504-0128</w:t>
            </w:r>
          </w:p>
          <w:p w14:paraId="0C5FBEB2"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 664-1192</w:t>
            </w:r>
          </w:p>
          <w:p w14:paraId="0C5FBEB3"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3" w:history="1">
              <w:r w:rsidRPr="009D57C2">
                <w:rPr>
                  <w:rStyle w:val="Hyperlink"/>
                  <w:rFonts w:ascii="Times New Roman" w:hAnsi="Times New Roman" w:cs="Times New Roman"/>
                  <w:color w:val="auto"/>
                  <w:sz w:val="24"/>
                  <w:szCs w:val="24"/>
                </w:rPr>
                <w:t>jbeattie@utc.wa.gov</w:t>
              </w:r>
            </w:hyperlink>
          </w:p>
          <w:p w14:paraId="0C5FBEB4" w14:textId="77777777" w:rsidR="00F73D54" w:rsidRPr="009D57C2" w:rsidRDefault="00F73D54" w:rsidP="00F73D54">
            <w:pPr>
              <w:keepNext/>
              <w:keepLines/>
              <w:rPr>
                <w:rFonts w:ascii="Times New Roman" w:hAnsi="Times New Roman" w:cs="Times New Roman"/>
                <w:sz w:val="24"/>
                <w:szCs w:val="24"/>
              </w:rPr>
            </w:pPr>
          </w:p>
        </w:tc>
        <w:tc>
          <w:tcPr>
            <w:tcW w:w="4860" w:type="dxa"/>
            <w:shd w:val="clear" w:color="auto" w:fill="auto"/>
          </w:tcPr>
          <w:p w14:paraId="0C5FBEB5"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Greg Kopta</w:t>
            </w:r>
          </w:p>
          <w:p w14:paraId="0C5FBEB6"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Director/Administrative Law Judge</w:t>
            </w:r>
          </w:p>
          <w:p w14:paraId="0C5FBEB7"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0C5FBEB8"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0C5FBEB9"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0C5FBEBA"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(360)-664-1355</w:t>
            </w:r>
          </w:p>
          <w:p w14:paraId="0C5FBEBB" w14:textId="77777777" w:rsidR="00F73D54" w:rsidRPr="009D57C2" w:rsidRDefault="00A90853" w:rsidP="00F73D54">
            <w:pPr>
              <w:keepNext/>
              <w:keepLines/>
              <w:rPr>
                <w:rFonts w:ascii="Times New Roman" w:hAnsi="Times New Roman" w:cs="Times New Roman"/>
                <w:sz w:val="24"/>
                <w:szCs w:val="24"/>
              </w:rPr>
            </w:pPr>
            <w:hyperlink r:id="rId14" w:history="1">
              <w:r w:rsidR="00DB2248" w:rsidRPr="009D57C2">
                <w:rPr>
                  <w:rStyle w:val="Hyperlink"/>
                  <w:rFonts w:ascii="Times New Roman" w:hAnsi="Times New Roman" w:cs="Times New Roman"/>
                  <w:color w:val="auto"/>
                  <w:sz w:val="24"/>
                  <w:szCs w:val="24"/>
                </w:rPr>
                <w:t>gkopta@utc.wa.gov</w:t>
              </w:r>
            </w:hyperlink>
          </w:p>
          <w:p w14:paraId="0C5FBEBC" w14:textId="77777777" w:rsidR="00F73D54" w:rsidRPr="009D57C2" w:rsidRDefault="00F73D54" w:rsidP="00F73D54">
            <w:pPr>
              <w:keepNext/>
              <w:keepLines/>
              <w:rPr>
                <w:rFonts w:ascii="Times New Roman" w:hAnsi="Times New Roman" w:cs="Times New Roman"/>
                <w:sz w:val="24"/>
                <w:szCs w:val="24"/>
              </w:rPr>
            </w:pPr>
          </w:p>
        </w:tc>
      </w:tr>
      <w:tr w:rsidR="009D57C2" w:rsidRPr="009D57C2" w14:paraId="0C5FBECD" w14:textId="77777777" w:rsidTr="00F73D54">
        <w:tc>
          <w:tcPr>
            <w:tcW w:w="4338" w:type="dxa"/>
            <w:shd w:val="clear" w:color="auto" w:fill="auto"/>
          </w:tcPr>
          <w:p w14:paraId="0C5FBEBE"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Brooks Harlow</w:t>
            </w:r>
          </w:p>
          <w:p w14:paraId="0C5FBEBF"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Lukas, Nace, Gutierrez &amp; Sachs, LLP</w:t>
            </w:r>
          </w:p>
          <w:p w14:paraId="0C5FBEC0"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8300 Greensboro Dr. Suite 1200</w:t>
            </w:r>
          </w:p>
          <w:p w14:paraId="0C5FBEC1"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McLean, VA 22102</w:t>
            </w:r>
          </w:p>
          <w:p w14:paraId="0C5FBEC2"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(703) 584-8680</w:t>
            </w:r>
          </w:p>
          <w:p w14:paraId="0C5FBEC3"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r w:rsidRPr="009D57C2">
              <w:rPr>
                <w:rStyle w:val="Hyperlink"/>
                <w:rFonts w:ascii="Times New Roman" w:hAnsi="Times New Roman" w:cs="Times New Roman"/>
                <w:color w:val="auto"/>
                <w:sz w:val="24"/>
                <w:szCs w:val="24"/>
              </w:rPr>
              <w:t>bharlow@fcclaw.com</w:t>
            </w:r>
          </w:p>
          <w:p w14:paraId="0C5FBEC4" w14:textId="77777777" w:rsidR="00F73D54" w:rsidRPr="009D57C2" w:rsidRDefault="00F73D54" w:rsidP="00FB632D">
            <w:pPr>
              <w:keepNext/>
              <w:keepLines/>
              <w:rPr>
                <w:rFonts w:ascii="Times New Roman" w:hAnsi="Times New Roman" w:cs="Times New Roman"/>
                <w:sz w:val="24"/>
                <w:szCs w:val="24"/>
              </w:rPr>
            </w:pPr>
          </w:p>
        </w:tc>
        <w:tc>
          <w:tcPr>
            <w:tcW w:w="4860" w:type="dxa"/>
            <w:shd w:val="clear" w:color="auto" w:fill="auto"/>
          </w:tcPr>
          <w:p w14:paraId="0C5FBEC5"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Rayne Pearson</w:t>
            </w:r>
          </w:p>
          <w:p w14:paraId="0C5FBEC6"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Administrative Law Judge</w:t>
            </w:r>
          </w:p>
          <w:p w14:paraId="0C5FBEC7"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0C5FBEC8"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0C5FBEC9"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0C5FBECA"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360-664-1136</w:t>
            </w:r>
          </w:p>
          <w:p w14:paraId="0C5FBECB" w14:textId="77777777" w:rsidR="00F73D54" w:rsidRPr="009D57C2" w:rsidRDefault="00A90853" w:rsidP="00C1538E">
            <w:pPr>
              <w:keepNext/>
              <w:keepLines/>
              <w:rPr>
                <w:rFonts w:ascii="Times New Roman" w:hAnsi="Times New Roman" w:cs="Times New Roman"/>
                <w:sz w:val="24"/>
                <w:szCs w:val="24"/>
              </w:rPr>
            </w:pPr>
            <w:hyperlink r:id="rId15" w:history="1">
              <w:r w:rsidR="00C1538E" w:rsidRPr="009D57C2">
                <w:rPr>
                  <w:rStyle w:val="Hyperlink"/>
                  <w:rFonts w:ascii="Times New Roman" w:hAnsi="Times New Roman" w:cs="Times New Roman"/>
                  <w:color w:val="auto"/>
                  <w:sz w:val="24"/>
                  <w:szCs w:val="24"/>
                </w:rPr>
                <w:t>rpearson@utc.wa.gov</w:t>
              </w:r>
            </w:hyperlink>
          </w:p>
          <w:p w14:paraId="0C5FBECC" w14:textId="77777777" w:rsidR="00C1538E" w:rsidRPr="009D57C2" w:rsidRDefault="00C1538E" w:rsidP="00C1538E">
            <w:pPr>
              <w:keepNext/>
              <w:keepLines/>
              <w:rPr>
                <w:rFonts w:ascii="Times New Roman" w:hAnsi="Times New Roman" w:cs="Times New Roman"/>
                <w:sz w:val="24"/>
                <w:szCs w:val="24"/>
              </w:rPr>
            </w:pPr>
          </w:p>
        </w:tc>
      </w:tr>
    </w:tbl>
    <w:p w14:paraId="0C5FBECE" w14:textId="77777777" w:rsidR="00F73D54" w:rsidRPr="009D57C2" w:rsidRDefault="00DB2248" w:rsidP="00CD6CE5">
      <w:pPr>
        <w:rPr>
          <w:rFonts w:ascii="Times New Roman" w:hAnsi="Times New Roman" w:cs="Times New Roman"/>
        </w:rPr>
      </w:pP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p>
    <w:p w14:paraId="0C5FBECF"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Dated at Seattle, Washington this </w:t>
      </w:r>
      <w:r w:rsidR="00797318">
        <w:rPr>
          <w:rFonts w:ascii="Times New Roman" w:hAnsi="Times New Roman" w:cs="Times New Roman"/>
          <w:sz w:val="24"/>
          <w:szCs w:val="24"/>
        </w:rPr>
        <w:t>17</w:t>
      </w:r>
      <w:r w:rsidR="00797318" w:rsidRPr="00797318">
        <w:rPr>
          <w:rFonts w:ascii="Times New Roman" w:hAnsi="Times New Roman" w:cs="Times New Roman"/>
          <w:sz w:val="24"/>
          <w:szCs w:val="24"/>
          <w:vertAlign w:val="superscript"/>
        </w:rPr>
        <w:t>th</w:t>
      </w:r>
      <w:r w:rsidR="00797318">
        <w:rPr>
          <w:rFonts w:ascii="Times New Roman" w:hAnsi="Times New Roman" w:cs="Times New Roman"/>
          <w:sz w:val="24"/>
          <w:szCs w:val="24"/>
        </w:rPr>
        <w:t xml:space="preserve"> </w:t>
      </w:r>
      <w:r w:rsidRPr="009D57C2">
        <w:rPr>
          <w:rFonts w:ascii="Times New Roman" w:hAnsi="Times New Roman" w:cs="Times New Roman"/>
          <w:sz w:val="24"/>
          <w:szCs w:val="24"/>
        </w:rPr>
        <w:t>day of</w:t>
      </w:r>
      <w:r w:rsidR="005D5D65" w:rsidRPr="009D57C2">
        <w:rPr>
          <w:rFonts w:ascii="Times New Roman" w:hAnsi="Times New Roman" w:cs="Times New Roman"/>
          <w:sz w:val="24"/>
          <w:szCs w:val="24"/>
        </w:rPr>
        <w:t xml:space="preserve"> </w:t>
      </w:r>
      <w:r w:rsidR="001E5C3F">
        <w:rPr>
          <w:rFonts w:ascii="Times New Roman" w:hAnsi="Times New Roman" w:cs="Times New Roman"/>
          <w:sz w:val="24"/>
          <w:szCs w:val="24"/>
        </w:rPr>
        <w:t>January 2017</w:t>
      </w:r>
      <w:r w:rsidRPr="009D57C2">
        <w:rPr>
          <w:rFonts w:ascii="Times New Roman" w:hAnsi="Times New Roman" w:cs="Times New Roman"/>
          <w:sz w:val="24"/>
          <w:szCs w:val="24"/>
        </w:rPr>
        <w:t>.</w:t>
      </w:r>
    </w:p>
    <w:p w14:paraId="0C5FBED0" w14:textId="77777777" w:rsidR="00F73D54" w:rsidRDefault="00F73D54" w:rsidP="00CD6CE5">
      <w:pPr>
        <w:rPr>
          <w:rFonts w:ascii="Times New Roman" w:hAnsi="Times New Roman" w:cs="Times New Roman"/>
        </w:rPr>
      </w:pPr>
    </w:p>
    <w:p w14:paraId="0C5FBED1" w14:textId="77777777" w:rsidR="00D94561" w:rsidRPr="009D57C2" w:rsidRDefault="00D94561" w:rsidP="00CD6CE5">
      <w:pPr>
        <w:rPr>
          <w:rFonts w:ascii="Times New Roman" w:hAnsi="Times New Roman" w:cs="Times New Roman"/>
        </w:rPr>
      </w:pPr>
    </w:p>
    <w:p w14:paraId="0C5FBED2"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___________________________</w:t>
      </w:r>
    </w:p>
    <w:p w14:paraId="0C5FBED3"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 xml:space="preserve">   </w:t>
      </w:r>
      <w:r w:rsidRPr="009D57C2">
        <w:rPr>
          <w:rFonts w:ascii="Times New Roman" w:hAnsi="Times New Roman" w:cs="Times New Roman"/>
          <w:sz w:val="24"/>
          <w:szCs w:val="24"/>
        </w:rPr>
        <w:tab/>
      </w:r>
      <w:r w:rsidRPr="009D57C2">
        <w:rPr>
          <w:rFonts w:ascii="Times New Roman" w:hAnsi="Times New Roman" w:cs="Times New Roman"/>
          <w:sz w:val="24"/>
          <w:szCs w:val="24"/>
        </w:rPr>
        <w:tab/>
      </w:r>
      <w:r w:rsidR="00797318">
        <w:rPr>
          <w:rFonts w:ascii="Times New Roman" w:hAnsi="Times New Roman" w:cs="Times New Roman"/>
          <w:sz w:val="24"/>
          <w:szCs w:val="24"/>
        </w:rPr>
        <w:t>Lyndsay Taylor</w:t>
      </w:r>
      <w:r w:rsidRPr="009D57C2">
        <w:rPr>
          <w:rFonts w:ascii="Times New Roman" w:hAnsi="Times New Roman" w:cs="Times New Roman"/>
          <w:sz w:val="24"/>
          <w:szCs w:val="24"/>
        </w:rPr>
        <w:t xml:space="preserve"> </w:t>
      </w:r>
    </w:p>
    <w:p w14:paraId="0C5FBED4" w14:textId="77777777" w:rsidR="003E2B8D" w:rsidRPr="009D57C2" w:rsidRDefault="00FB632D" w:rsidP="00F73D54">
      <w:pPr>
        <w:pStyle w:val="StyleListParagraphTimesNewRoman12ptLinespacingDouble"/>
      </w:pPr>
      <w:r w:rsidRPr="009D57C2">
        <w:tab/>
      </w:r>
      <w:r w:rsidRPr="009D57C2">
        <w:tab/>
      </w:r>
      <w:r w:rsidRPr="009D57C2">
        <w:tab/>
      </w:r>
      <w:r w:rsidRPr="009D57C2">
        <w:tab/>
      </w:r>
      <w:r w:rsidRPr="009D57C2">
        <w:tab/>
      </w:r>
      <w:r w:rsidRPr="009D57C2">
        <w:tab/>
      </w:r>
      <w:r w:rsidRPr="009D57C2">
        <w:tab/>
        <w:t>Legal Assistant</w:t>
      </w:r>
    </w:p>
    <w:sectPr w:rsidR="003E2B8D" w:rsidRPr="009D57C2" w:rsidSect="003479C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FBED7" w14:textId="77777777" w:rsidR="00ED4F9A" w:rsidRDefault="00ED4F9A">
      <w:r>
        <w:separator/>
      </w:r>
    </w:p>
  </w:endnote>
  <w:endnote w:type="continuationSeparator" w:id="0">
    <w:p w14:paraId="0C5FBED8" w14:textId="77777777" w:rsidR="00ED4F9A" w:rsidRDefault="00ED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BEDB" w14:textId="77777777" w:rsidR="00F146DD" w:rsidRDefault="00F14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ED4F9A" w:rsidRPr="003F532E" w14:paraId="0C5FBEE3" w14:textId="77777777" w:rsidTr="00F73D54">
      <w:tc>
        <w:tcPr>
          <w:tcW w:w="6019" w:type="dxa"/>
        </w:tcPr>
        <w:p w14:paraId="0C5FBEDC" w14:textId="77777777" w:rsidR="00ED4F9A" w:rsidRPr="003F532E" w:rsidRDefault="00ED4F9A" w:rsidP="00F73D54">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separate"/>
          </w:r>
          <w:r w:rsidR="00A90853" w:rsidRPr="00A90853">
            <w:rPr>
              <w:rFonts w:ascii="Times New Roman" w:eastAsia="Times New Roman" w:hAnsi="Times New Roman" w:cs="Times New Roman"/>
              <w:bCs/>
              <w:noProof/>
              <w:sz w:val="20"/>
              <w:szCs w:val="20"/>
            </w:rPr>
            <w:t>SPEEDISHUTTLE</w:t>
          </w:r>
          <w:r w:rsidR="00A90853">
            <w:rPr>
              <w:rFonts w:ascii="Times New Roman" w:eastAsia="Times New Roman" w:hAnsi="Times New Roman" w:cs="Times New Roman"/>
              <w:noProof/>
              <w:sz w:val="20"/>
              <w:szCs w:val="20"/>
            </w:rPr>
            <w:t xml:space="preserve"> WASHINGTON, LLC’S MOTION IN LIMINE TO EXCLUDE PREFILED TESTIMONY</w: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A90853">
            <w:rPr>
              <w:rFonts w:ascii="Times New Roman" w:eastAsia="Times New Roman" w:hAnsi="Times New Roman" w:cs="Times New Roman"/>
              <w:noProof/>
              <w:sz w:val="20"/>
              <w:szCs w:val="20"/>
            </w:rPr>
            <w:t>1</w:t>
          </w:r>
          <w:r w:rsidRPr="003F532E">
            <w:rPr>
              <w:rFonts w:ascii="Times New Roman" w:eastAsia="Times New Roman" w:hAnsi="Times New Roman" w:cs="Times New Roman"/>
              <w:sz w:val="20"/>
              <w:szCs w:val="20"/>
            </w:rPr>
            <w:fldChar w:fldCharType="end"/>
          </w:r>
        </w:p>
        <w:p w14:paraId="0C5FBEDD" w14:textId="77777777" w:rsidR="00ED4F9A" w:rsidRPr="003F532E" w:rsidRDefault="00ED4F9A" w:rsidP="00F73D54">
          <w:pPr>
            <w:spacing w:line="240" w:lineRule="atLeast"/>
            <w:rPr>
              <w:rFonts w:ascii="Times New Roman" w:eastAsia="Times New Roman" w:hAnsi="Times New Roman" w:cs="Times New Roman"/>
              <w:sz w:val="20"/>
              <w:szCs w:val="20"/>
            </w:rPr>
          </w:pPr>
        </w:p>
      </w:tc>
      <w:tc>
        <w:tcPr>
          <w:tcW w:w="236" w:type="dxa"/>
        </w:tcPr>
        <w:p w14:paraId="0C5FBEDE" w14:textId="77777777" w:rsidR="00ED4F9A" w:rsidRPr="003F532E" w:rsidRDefault="00ED4F9A" w:rsidP="00F73D54">
          <w:pPr>
            <w:spacing w:line="240" w:lineRule="atLeast"/>
            <w:rPr>
              <w:rFonts w:ascii="Times New Roman" w:eastAsia="Times New Roman" w:hAnsi="Times New Roman" w:cs="Times New Roman"/>
              <w:sz w:val="20"/>
              <w:szCs w:val="20"/>
            </w:rPr>
          </w:pPr>
        </w:p>
      </w:tc>
      <w:tc>
        <w:tcPr>
          <w:tcW w:w="3411" w:type="dxa"/>
        </w:tcPr>
        <w:p w14:paraId="0C5FBEDF" w14:textId="77777777" w:rsidR="00ED4F9A" w:rsidRPr="003F532E" w:rsidRDefault="00ED4F9A"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0C5FBEE0" w14:textId="77777777" w:rsidR="00ED4F9A" w:rsidRPr="003F532E" w:rsidRDefault="00ED4F9A"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0C5FBEE1" w14:textId="77777777" w:rsidR="00ED4F9A" w:rsidRPr="003F532E" w:rsidRDefault="00ED4F9A"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0C5FBEE2" w14:textId="77777777" w:rsidR="00ED4F9A" w:rsidRPr="003F532E" w:rsidRDefault="00ED4F9A"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0C5FBEE4" w14:textId="77777777" w:rsidR="00ED4F9A" w:rsidRDefault="00ED4F9A"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EF659A">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EF659A">
      <w:rPr>
        <w:sz w:val="16"/>
      </w:rPr>
      <w:instrText xml:space="preserve"> 5935278.4</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EF659A">
      <w:rPr>
        <w:noProof/>
        <w:sz w:val="16"/>
      </w:rPr>
      <w:t xml:space="preserve"> 5935278.4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BEE6" w14:textId="77777777" w:rsidR="00F146DD" w:rsidRDefault="00F14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FBED5" w14:textId="77777777" w:rsidR="00ED4F9A" w:rsidRDefault="00ED4F9A">
      <w:r>
        <w:separator/>
      </w:r>
    </w:p>
  </w:footnote>
  <w:footnote w:type="continuationSeparator" w:id="0">
    <w:p w14:paraId="0C5FBED6" w14:textId="77777777" w:rsidR="00ED4F9A" w:rsidRDefault="00ED4F9A">
      <w:r>
        <w:continuationSeparator/>
      </w:r>
    </w:p>
  </w:footnote>
  <w:footnote w:id="1">
    <w:p w14:paraId="0C5FBEE7" w14:textId="77777777" w:rsidR="00ED4F9A" w:rsidRDefault="00ED4F9A" w:rsidP="00A872C4">
      <w:pPr>
        <w:pStyle w:val="FootnoteText"/>
      </w:pPr>
      <w:r>
        <w:rPr>
          <w:rStyle w:val="FootnoteReference"/>
        </w:rPr>
        <w:footnoteRef/>
      </w:r>
      <w:r>
        <w:t xml:space="preserve"> Order 04 also separately found that Shuttle Express did not reasonably serve the entire market, in ¶22, which in and of itself, supports the issuance of Speedishuttle’s certificate.</w:t>
      </w:r>
    </w:p>
  </w:footnote>
  <w:footnote w:id="2">
    <w:p w14:paraId="0C5FBEE8" w14:textId="77777777" w:rsidR="00ED4F9A" w:rsidRDefault="00ED4F9A">
      <w:pPr>
        <w:pStyle w:val="FootnoteText"/>
      </w:pPr>
      <w:r>
        <w:rPr>
          <w:rStyle w:val="FootnoteReference"/>
        </w:rPr>
        <w:footnoteRef/>
      </w:r>
      <w:r>
        <w:t xml:space="preserve"> Notice not to Amend Order 04, p.3 ¶1.</w:t>
      </w:r>
    </w:p>
  </w:footnote>
  <w:footnote w:id="3">
    <w:p w14:paraId="0C5FBEE9" w14:textId="77777777" w:rsidR="00ED4F9A" w:rsidRPr="00CE5ADE" w:rsidRDefault="00ED4F9A">
      <w:pPr>
        <w:pStyle w:val="FootnoteText"/>
      </w:pPr>
      <w:r>
        <w:rPr>
          <w:rStyle w:val="FootnoteReference"/>
        </w:rPr>
        <w:footnoteRef/>
      </w:r>
      <w:r>
        <w:t xml:space="preserve"> </w:t>
      </w:r>
      <w:r>
        <w:rPr>
          <w:i/>
        </w:rPr>
        <w:t xml:space="preserve">Id. </w:t>
      </w:r>
      <w:r w:rsidR="004229DB">
        <w:t>p.</w:t>
      </w:r>
      <w:r>
        <w:t>4, ¶1.</w:t>
      </w:r>
    </w:p>
  </w:footnote>
  <w:footnote w:id="4">
    <w:p w14:paraId="0C5FBEEA" w14:textId="77777777" w:rsidR="00ED4F9A" w:rsidRPr="00F6338F" w:rsidRDefault="00ED4F9A" w:rsidP="00CD5B3B">
      <w:pPr>
        <w:pStyle w:val="FootnoteText"/>
      </w:pPr>
      <w:r>
        <w:rPr>
          <w:rStyle w:val="FootnoteReference"/>
        </w:rPr>
        <w:footnoteRef/>
      </w:r>
      <w:r>
        <w:t xml:space="preserve"> </w:t>
      </w:r>
      <w:r>
        <w:rPr>
          <w:i/>
        </w:rPr>
        <w:t xml:space="preserve">See </w:t>
      </w:r>
      <w:r>
        <w:t>Petition for Rehearing and Formal Complaint, pp. 1-16.</w:t>
      </w:r>
    </w:p>
  </w:footnote>
  <w:footnote w:id="5">
    <w:p w14:paraId="0C5FBEEB" w14:textId="77777777" w:rsidR="00ED4F9A" w:rsidRPr="007945B8" w:rsidRDefault="00ED4F9A">
      <w:pPr>
        <w:pStyle w:val="FootnoteText"/>
      </w:pPr>
      <w:r>
        <w:rPr>
          <w:rStyle w:val="FootnoteReference"/>
        </w:rPr>
        <w:footnoteRef/>
      </w:r>
      <w:r>
        <w:t xml:space="preserve"> Speedishuttle never represented it would offer multi-lingual greeters, instead it would do its best to hire multilingual reception teams. (</w:t>
      </w:r>
      <w:r>
        <w:rPr>
          <w:i/>
        </w:rPr>
        <w:t xml:space="preserve">See </w:t>
      </w:r>
      <w:r>
        <w:t>Transcript in Docket No. TC-143691, at 24, 147).</w:t>
      </w:r>
    </w:p>
  </w:footnote>
  <w:footnote w:id="6">
    <w:p w14:paraId="0C5FBEEC" w14:textId="77777777" w:rsidR="00ED4F9A" w:rsidRPr="00CD5B3B" w:rsidRDefault="00ED4F9A">
      <w:pPr>
        <w:pStyle w:val="FootnoteText"/>
      </w:pPr>
      <w:r>
        <w:rPr>
          <w:rStyle w:val="FootnoteReference"/>
        </w:rPr>
        <w:footnoteRef/>
      </w:r>
      <w:r>
        <w:t xml:space="preserve"> </w:t>
      </w:r>
      <w:r>
        <w:rPr>
          <w:i/>
        </w:rPr>
        <w:t>Id.</w:t>
      </w:r>
      <w:r>
        <w:t xml:space="preserve"> at p. 10, ¶c.</w:t>
      </w:r>
    </w:p>
  </w:footnote>
  <w:footnote w:id="7">
    <w:p w14:paraId="0C5FBEED" w14:textId="77777777" w:rsidR="00ED4F9A" w:rsidRPr="0029337E" w:rsidRDefault="00ED4F9A">
      <w:pPr>
        <w:pStyle w:val="FootnoteText"/>
      </w:pPr>
      <w:r>
        <w:rPr>
          <w:rStyle w:val="FootnoteReference"/>
        </w:rPr>
        <w:footnoteRef/>
      </w:r>
      <w:r>
        <w:t xml:space="preserve"> </w:t>
      </w:r>
      <w:r>
        <w:rPr>
          <w:i/>
        </w:rPr>
        <w:t xml:space="preserve">See </w:t>
      </w:r>
      <w:r w:rsidRPr="0029337E">
        <w:t>Staff Response to Shuttle Express Petition for Rehearing</w:t>
      </w:r>
      <w:r>
        <w:t>, p. 7, ¶16.</w:t>
      </w:r>
    </w:p>
  </w:footnote>
  <w:footnote w:id="8">
    <w:p w14:paraId="0C5FBEEE" w14:textId="77777777" w:rsidR="00ED4F9A" w:rsidRPr="00E72E14" w:rsidRDefault="00ED4F9A">
      <w:pPr>
        <w:pStyle w:val="FootnoteText"/>
      </w:pPr>
      <w:r>
        <w:rPr>
          <w:rStyle w:val="FootnoteReference"/>
        </w:rPr>
        <w:footnoteRef/>
      </w:r>
      <w:r>
        <w:t xml:space="preserve"> </w:t>
      </w:r>
      <w:r>
        <w:rPr>
          <w:i/>
        </w:rPr>
        <w:t>See</w:t>
      </w:r>
      <w:r>
        <w:t xml:space="preserve"> Motion to Strike “Answers” to Petition and Complaint of Shuttle Express, Inc., ¶¶ 11-14.  The administrative law judge has repeatedly drawn distinctions between Superior Court rules on discovery and standing in this proceeding.  (</w:t>
      </w:r>
      <w:r>
        <w:rPr>
          <w:i/>
        </w:rPr>
        <w:t>See,</w:t>
      </w:r>
      <w:r>
        <w:t xml:space="preserve"> ruling of December 2, 2016 and i.e., </w:t>
      </w:r>
      <w:r>
        <w:rPr>
          <w:rFonts w:cs="Times New Roman"/>
        </w:rPr>
        <w:t>¶</w:t>
      </w:r>
      <w:r>
        <w:t>11 of Order 12/05/02, January 5, 2017).</w:t>
      </w:r>
    </w:p>
  </w:footnote>
  <w:footnote w:id="9">
    <w:p w14:paraId="0C5FBEEF" w14:textId="77777777" w:rsidR="00ED4F9A" w:rsidRDefault="00ED4F9A">
      <w:pPr>
        <w:pStyle w:val="FootnoteText"/>
      </w:pPr>
      <w:r>
        <w:rPr>
          <w:rStyle w:val="FootnoteReference"/>
        </w:rPr>
        <w:footnoteRef/>
      </w:r>
      <w:r>
        <w:t xml:space="preserve"> Order 08, ¶28.</w:t>
      </w:r>
    </w:p>
  </w:footnote>
  <w:footnote w:id="10">
    <w:p w14:paraId="0C5FBEF0" w14:textId="77777777" w:rsidR="00ED4F9A" w:rsidRDefault="00ED4F9A" w:rsidP="0035001A">
      <w:pPr>
        <w:pStyle w:val="FootnoteText"/>
      </w:pPr>
      <w:r>
        <w:rPr>
          <w:rStyle w:val="FootnoteReference"/>
        </w:rPr>
        <w:footnoteRef/>
      </w:r>
      <w:r>
        <w:t xml:space="preserve"> Id.,¶24 (emphasis added)(Order 08 is pending judicial review in King County Superior Court</w:t>
      </w:r>
      <w:r w:rsidRPr="00644C60">
        <w:t xml:space="preserve"> </w:t>
      </w:r>
      <w:r>
        <w:t>by Speedishuttle on other grounds).</w:t>
      </w:r>
    </w:p>
  </w:footnote>
  <w:footnote w:id="11">
    <w:p w14:paraId="0C5FBEF1" w14:textId="77777777" w:rsidR="00ED4F9A" w:rsidRDefault="00ED4F9A">
      <w:pPr>
        <w:pStyle w:val="FootnoteText"/>
      </w:pPr>
      <w:r>
        <w:rPr>
          <w:rStyle w:val="FootnoteReference"/>
        </w:rPr>
        <w:footnoteRef/>
      </w:r>
      <w:r>
        <w:t xml:space="preserve"> Transcript of Telephonic Hearing, Volume III, pages 168-199, at p. 185: 6-14.</w:t>
      </w:r>
    </w:p>
  </w:footnote>
  <w:footnote w:id="12">
    <w:p w14:paraId="0C5FBEF2" w14:textId="77777777" w:rsidR="00ED4F9A" w:rsidRDefault="00ED4F9A">
      <w:pPr>
        <w:pStyle w:val="FootnoteText"/>
      </w:pPr>
      <w:r>
        <w:rPr>
          <w:rStyle w:val="FootnoteReference"/>
        </w:rPr>
        <w:footnoteRef/>
      </w:r>
      <w:r>
        <w:t xml:space="preserve"> Petitioner’s Answer to Motion to Consolidate, ¶4.</w:t>
      </w:r>
    </w:p>
  </w:footnote>
  <w:footnote w:id="13">
    <w:p w14:paraId="0C5FBEF3" w14:textId="77777777" w:rsidR="00ED4F9A" w:rsidRPr="001721C7" w:rsidRDefault="00ED4F9A">
      <w:pPr>
        <w:pStyle w:val="FootnoteText"/>
      </w:pPr>
      <w:r>
        <w:rPr>
          <w:rStyle w:val="FootnoteReference"/>
        </w:rPr>
        <w:footnoteRef/>
      </w:r>
      <w:r>
        <w:t xml:space="preserve"> </w:t>
      </w:r>
      <w:r>
        <w:rPr>
          <w:i/>
        </w:rPr>
        <w:t>Id.</w:t>
      </w:r>
      <w:r>
        <w:t xml:space="preserve"> at ¶5.</w:t>
      </w:r>
    </w:p>
  </w:footnote>
  <w:footnote w:id="14">
    <w:p w14:paraId="0C5FBEF4" w14:textId="77777777" w:rsidR="00ED4F9A" w:rsidRDefault="00ED4F9A" w:rsidP="00157327">
      <w:pPr>
        <w:pStyle w:val="FootnoteText"/>
      </w:pPr>
      <w:r>
        <w:rPr>
          <w:rStyle w:val="FootnoteReference"/>
        </w:rPr>
        <w:footnoteRef/>
      </w:r>
      <w:r>
        <w:t xml:space="preserve"> Letter, on behalf of Speedishuttle Washington, LLC , from David Wiley, dated December 29, 2016. </w:t>
      </w:r>
    </w:p>
  </w:footnote>
  <w:footnote w:id="15">
    <w:p w14:paraId="0C5FBEF5" w14:textId="77777777" w:rsidR="00ED4F9A" w:rsidRDefault="00ED4F9A">
      <w:pPr>
        <w:pStyle w:val="FootnoteText"/>
      </w:pPr>
      <w:r>
        <w:rPr>
          <w:rStyle w:val="FootnoteReference"/>
        </w:rPr>
        <w:footnoteRef/>
      </w:r>
      <w:r>
        <w:t xml:space="preserve"> Letter, on behalf of Shuttle Express, Inc., from Brooks E. Harlow, dated December 30, 2016 (emphasis added).</w:t>
      </w:r>
    </w:p>
  </w:footnote>
  <w:footnote w:id="16">
    <w:p w14:paraId="0C5FBEF6" w14:textId="77777777" w:rsidR="00ED4F9A" w:rsidRDefault="00ED4F9A">
      <w:pPr>
        <w:pStyle w:val="FootnoteText"/>
      </w:pPr>
      <w:r>
        <w:rPr>
          <w:rStyle w:val="FootnoteReference"/>
        </w:rPr>
        <w:footnoteRef/>
      </w:r>
      <w:r>
        <w:t xml:space="preserve"> Order 08, ¶24.</w:t>
      </w:r>
    </w:p>
  </w:footnote>
  <w:footnote w:id="17">
    <w:p w14:paraId="0C5FBEF7" w14:textId="77777777" w:rsidR="00ED4F9A" w:rsidRDefault="00ED4F9A">
      <w:pPr>
        <w:pStyle w:val="FootnoteText"/>
      </w:pPr>
      <w:r>
        <w:rPr>
          <w:rStyle w:val="FootnoteReference"/>
        </w:rPr>
        <w:footnoteRef/>
      </w:r>
      <w:r>
        <w:t xml:space="preserve"> While Speedishuttle maintains its challenge to the premise that its unrestricted certificate can be retroactively restricted, or that it was ever intended to be restricted narrowly to the business model described in Order 04 and has challenged Order 08 by pending judicial review, it moves forward in this proceeding with the understanding that this ruling frames the scope of admissible evidence at the hearing and intends to present its own evidence demonstrating that its service in actuality aligns with the service proposed at the application hearing.</w:t>
      </w:r>
    </w:p>
  </w:footnote>
  <w:footnote w:id="18">
    <w:p w14:paraId="0C5FBEF8" w14:textId="77777777" w:rsidR="00ED4F9A" w:rsidRDefault="00ED4F9A">
      <w:pPr>
        <w:pStyle w:val="FootnoteText"/>
      </w:pPr>
      <w:r>
        <w:rPr>
          <w:rStyle w:val="FootnoteReference"/>
        </w:rPr>
        <w:footnoteRef/>
      </w:r>
      <w:r>
        <w:t xml:space="preserve"> </w:t>
      </w:r>
      <w:r>
        <w:rPr>
          <w:i/>
        </w:rPr>
        <w:t xml:space="preserve">See </w:t>
      </w:r>
      <w:r>
        <w:t>Shuttle Express’ Petition for Rehearing, ¶15.</w:t>
      </w:r>
    </w:p>
  </w:footnote>
  <w:footnote w:id="19">
    <w:p w14:paraId="0C5FBEF9" w14:textId="77777777" w:rsidR="00ED4F9A" w:rsidRDefault="00ED4F9A">
      <w:pPr>
        <w:pStyle w:val="FootnoteText"/>
      </w:pPr>
      <w:r>
        <w:rPr>
          <w:rStyle w:val="FootnoteReference"/>
        </w:rPr>
        <w:footnoteRef/>
      </w:r>
      <w:r>
        <w:t xml:space="preserve"> Order 04, ¶21.</w:t>
      </w:r>
    </w:p>
  </w:footnote>
  <w:footnote w:id="20">
    <w:p w14:paraId="0C5FBEFA" w14:textId="77777777" w:rsidR="00ED4F9A" w:rsidRDefault="00ED4F9A">
      <w:pPr>
        <w:pStyle w:val="FootnoteText"/>
      </w:pPr>
      <w:r>
        <w:rPr>
          <w:rStyle w:val="FootnoteReference"/>
        </w:rPr>
        <w:footnoteRef/>
      </w:r>
      <w:r>
        <w:t xml:space="preserve"> See, §25 Order 04.  It should also be noted that Speedishuttle actively works to provide multilingual receptive teams, affording increased access to foreign language passengers, and attempts to depart the airport within 20 minutes, it simply now contends that it is not restricted by stealth limitations in its certificate in doing what it was never expressly required to do.  In other words, there remain real due process concerns raised by these challenges.</w:t>
      </w:r>
    </w:p>
  </w:footnote>
  <w:footnote w:id="21">
    <w:p w14:paraId="0C5FBEFB" w14:textId="77777777" w:rsidR="00ED4F9A" w:rsidRDefault="00ED4F9A">
      <w:pPr>
        <w:pStyle w:val="FootnoteText"/>
      </w:pPr>
      <w:r>
        <w:rPr>
          <w:rStyle w:val="FootnoteReference"/>
        </w:rPr>
        <w:footnoteRef/>
      </w:r>
      <w:r>
        <w:t xml:space="preserve"> General Order R-572, Docket No. TC-121328, (Aug 2013).  (“The 2013 Rulemaking”).</w:t>
      </w:r>
    </w:p>
  </w:footnote>
  <w:footnote w:id="22">
    <w:p w14:paraId="0C5FBEFC" w14:textId="77777777" w:rsidR="00ED4F9A" w:rsidRDefault="00ED4F9A">
      <w:pPr>
        <w:pStyle w:val="FootnoteText"/>
      </w:pPr>
      <w:r>
        <w:rPr>
          <w:rStyle w:val="FootnoteReference"/>
        </w:rPr>
        <w:footnoteRef/>
      </w:r>
      <w:r>
        <w:t xml:space="preserve"> Don J. Wood is offered as an expert in regulated markets, but a review of his experience does not demonstrate that he has any understanding or experience in the regulated intrastate transportation industry. </w:t>
      </w:r>
    </w:p>
  </w:footnote>
  <w:footnote w:id="23">
    <w:p w14:paraId="0C5FBEFD" w14:textId="77777777" w:rsidR="00ED4F9A" w:rsidRDefault="00ED4F9A">
      <w:pPr>
        <w:pStyle w:val="FootnoteText"/>
      </w:pPr>
      <w:r>
        <w:rPr>
          <w:rStyle w:val="FootnoteReference"/>
        </w:rPr>
        <w:footnoteRef/>
      </w:r>
      <w:r>
        <w:t xml:space="preserve"> Exhibit ___(DJW-1T), p. 7: 4-17.</w:t>
      </w:r>
    </w:p>
  </w:footnote>
  <w:footnote w:id="24">
    <w:p w14:paraId="0C5FBEFE" w14:textId="77777777" w:rsidR="00ED4F9A" w:rsidRDefault="00ED4F9A">
      <w:pPr>
        <w:pStyle w:val="FootnoteText"/>
      </w:pPr>
      <w:r>
        <w:rPr>
          <w:rStyle w:val="FootnoteReference"/>
        </w:rPr>
        <w:footnoteRef/>
      </w:r>
      <w:r>
        <w:t xml:space="preserve"> Order 08, ¶28.</w:t>
      </w:r>
    </w:p>
  </w:footnote>
  <w:footnote w:id="25">
    <w:p w14:paraId="0C5FBEFF" w14:textId="77777777" w:rsidR="00ED4F9A" w:rsidRDefault="00ED4F9A">
      <w:pPr>
        <w:pStyle w:val="FootnoteText"/>
      </w:pPr>
      <w:r>
        <w:rPr>
          <w:rStyle w:val="FootnoteReference"/>
        </w:rPr>
        <w:footnoteRef/>
      </w:r>
      <w:r>
        <w:t xml:space="preserve"> Exhibit ___ (DJW-1T), p. 9: 17 – p. 10: 13.</w:t>
      </w:r>
    </w:p>
  </w:footnote>
  <w:footnote w:id="26">
    <w:p w14:paraId="0C5FBF00" w14:textId="77777777" w:rsidR="00ED4F9A" w:rsidRDefault="00ED4F9A">
      <w:pPr>
        <w:pStyle w:val="FootnoteText"/>
      </w:pPr>
      <w:r>
        <w:rPr>
          <w:rStyle w:val="FootnoteReference"/>
        </w:rPr>
        <w:footnoteRef/>
      </w:r>
      <w:r>
        <w:t xml:space="preserve"> Exhibit ___(WAM-1T), p. 2: 7-9.</w:t>
      </w:r>
    </w:p>
  </w:footnote>
  <w:footnote w:id="27">
    <w:p w14:paraId="0C5FBF01" w14:textId="77777777" w:rsidR="00ED4F9A" w:rsidRPr="006B6FD4" w:rsidRDefault="00ED4F9A">
      <w:pPr>
        <w:pStyle w:val="FootnoteText"/>
      </w:pPr>
      <w:r>
        <w:rPr>
          <w:rStyle w:val="FootnoteReference"/>
        </w:rPr>
        <w:footnoteRef/>
      </w:r>
      <w:r>
        <w:t xml:space="preserve"> </w:t>
      </w:r>
      <w:r>
        <w:rPr>
          <w:i/>
        </w:rPr>
        <w:t>Id</w:t>
      </w:r>
      <w:r>
        <w:t>., p. 20: 13-16 (emphasis in original).</w:t>
      </w:r>
    </w:p>
  </w:footnote>
  <w:footnote w:id="28">
    <w:p w14:paraId="0C5FBF02" w14:textId="77777777" w:rsidR="00ED4F9A" w:rsidRDefault="00ED4F9A">
      <w:pPr>
        <w:pStyle w:val="FootnoteText"/>
      </w:pPr>
      <w:r>
        <w:rPr>
          <w:rStyle w:val="FootnoteReference"/>
        </w:rPr>
        <w:footnoteRef/>
      </w:r>
      <w:r>
        <w:t xml:space="preserve"> Order 04, ¶21 (emphasis added).</w:t>
      </w:r>
    </w:p>
  </w:footnote>
  <w:footnote w:id="29">
    <w:p w14:paraId="0C5FBF03" w14:textId="77777777" w:rsidR="00ED4F9A" w:rsidRDefault="00ED4F9A">
      <w:pPr>
        <w:pStyle w:val="FootnoteText"/>
      </w:pPr>
      <w:r>
        <w:rPr>
          <w:rStyle w:val="FootnoteReference"/>
        </w:rPr>
        <w:footnoteRef/>
      </w:r>
      <w:r>
        <w:t xml:space="preserve"> Declaration of Jimmy [sic] Sherrell, Docket No. TC-132141, </w:t>
      </w:r>
      <w:r>
        <w:rPr>
          <w:rFonts w:cs="Times New Roman"/>
        </w:rPr>
        <w:t>¶</w:t>
      </w:r>
      <w:r>
        <w:t>6, p. 2.</w:t>
      </w:r>
    </w:p>
  </w:footnote>
  <w:footnote w:id="30">
    <w:p w14:paraId="0C5FBF04" w14:textId="77777777" w:rsidR="00ED4F9A" w:rsidRDefault="00ED4F9A">
      <w:pPr>
        <w:pStyle w:val="FootnoteText"/>
      </w:pPr>
      <w:r>
        <w:rPr>
          <w:rStyle w:val="FootnoteReference"/>
        </w:rPr>
        <w:footnoteRef/>
      </w:r>
      <w:r>
        <w:t xml:space="preserve"> In re Petition of Shuttle Express, Inc., Docket No. TC-160819, p. 4, ¶10.</w:t>
      </w:r>
    </w:p>
  </w:footnote>
  <w:footnote w:id="31">
    <w:p w14:paraId="0C5FBF05" w14:textId="77777777" w:rsidR="00ED4F9A" w:rsidRPr="00BB1DD5" w:rsidRDefault="00ED4F9A">
      <w:pPr>
        <w:pStyle w:val="FootnoteText"/>
      </w:pPr>
      <w:r>
        <w:rPr>
          <w:rStyle w:val="FootnoteReference"/>
        </w:rPr>
        <w:footnoteRef/>
      </w:r>
      <w:r>
        <w:t xml:space="preserve"> </w:t>
      </w:r>
      <w:r>
        <w:rPr>
          <w:i/>
        </w:rPr>
        <w:t xml:space="preserve">See </w:t>
      </w:r>
      <w:r>
        <w:t>Exhibit ___(PK-1T), p. 2: 3-6.</w:t>
      </w:r>
    </w:p>
  </w:footnote>
  <w:footnote w:id="32">
    <w:p w14:paraId="0C5FBF06" w14:textId="77777777" w:rsidR="00ED4F9A" w:rsidRPr="00415848" w:rsidRDefault="00ED4F9A">
      <w:pPr>
        <w:pStyle w:val="FootnoteText"/>
      </w:pPr>
      <w:r>
        <w:rPr>
          <w:rStyle w:val="FootnoteReference"/>
        </w:rPr>
        <w:footnoteRef/>
      </w:r>
      <w:r>
        <w:t xml:space="preserve"> </w:t>
      </w:r>
      <w:r>
        <w:rPr>
          <w:i/>
        </w:rPr>
        <w:t xml:space="preserve">Id. </w:t>
      </w:r>
      <w:r>
        <w:t>p. 14: 12-14.</w:t>
      </w:r>
    </w:p>
  </w:footnote>
  <w:footnote w:id="33">
    <w:p w14:paraId="0C5FBF07" w14:textId="77777777" w:rsidR="00ED4F9A" w:rsidRDefault="00ED4F9A" w:rsidP="00714097">
      <w:pPr>
        <w:pStyle w:val="FootnoteText"/>
      </w:pPr>
      <w:r>
        <w:rPr>
          <w:rStyle w:val="FootnoteReference"/>
        </w:rPr>
        <w:footnoteRef/>
      </w:r>
      <w:r>
        <w:t xml:space="preserve"> Order 02, ¶14.</w:t>
      </w:r>
    </w:p>
  </w:footnote>
  <w:footnote w:id="34">
    <w:p w14:paraId="0C5FBF08" w14:textId="77777777" w:rsidR="00ED4F9A" w:rsidRDefault="00ED4F9A">
      <w:pPr>
        <w:pStyle w:val="FootnoteText"/>
      </w:pPr>
      <w:r>
        <w:rPr>
          <w:rStyle w:val="FootnoteReference"/>
        </w:rPr>
        <w:footnoteRef/>
      </w:r>
      <w:r>
        <w:t xml:space="preserve"> Exhibit ___ (DJW-1T), p. 4: 10 – p. 5: 11 (emphasis added).</w:t>
      </w:r>
    </w:p>
  </w:footnote>
  <w:footnote w:id="35">
    <w:p w14:paraId="0C5FBF09" w14:textId="77777777" w:rsidR="00ED4F9A" w:rsidRDefault="00ED4F9A" w:rsidP="00F36F5F">
      <w:pPr>
        <w:pStyle w:val="FootnoteText"/>
      </w:pPr>
      <w:r>
        <w:rPr>
          <w:rStyle w:val="FootnoteReference"/>
        </w:rPr>
        <w:footnoteRef/>
      </w:r>
      <w:r>
        <w:t xml:space="preserve"> While Speedishuttle continues to believe its new service will ultimately enhance accessibility for an expanding number of prospective regulated customers in a dynamically growing airport environment, Shuttle Express now </w:t>
      </w:r>
      <w:r w:rsidRPr="005F1336">
        <w:rPr>
          <w:i/>
        </w:rPr>
        <w:t>requires</w:t>
      </w:r>
      <w:r>
        <w:rPr>
          <w:i/>
        </w:rPr>
        <w:t xml:space="preserve"> </w:t>
      </w:r>
      <w:r>
        <w:t>a mandatory showing thereof in its reinterpretation of WAC 480-30-140’s same service requirements.  Again, this type of testimony is simply immaterial and irrelevant not only to the revised scope of this proceeding, but also to any current application of the subject rule.</w:t>
      </w:r>
    </w:p>
  </w:footnote>
  <w:footnote w:id="36">
    <w:p w14:paraId="0C5FBF0A" w14:textId="77777777" w:rsidR="00ED4F9A" w:rsidRDefault="00ED4F9A" w:rsidP="006F6F56">
      <w:pPr>
        <w:pStyle w:val="FootnoteText"/>
      </w:pPr>
      <w:r>
        <w:rPr>
          <w:rStyle w:val="FootnoteReference"/>
        </w:rPr>
        <w:footnoteRef/>
      </w:r>
      <w:r>
        <w:t xml:space="preserve"> Order 02, ¶6.</w:t>
      </w:r>
    </w:p>
  </w:footnote>
  <w:footnote w:id="37">
    <w:p w14:paraId="0C5FBF0B" w14:textId="77777777" w:rsidR="00ED4F9A" w:rsidRDefault="00ED4F9A" w:rsidP="006F6F56">
      <w:pPr>
        <w:pStyle w:val="FootnoteText"/>
      </w:pPr>
      <w:r>
        <w:rPr>
          <w:rStyle w:val="FootnoteReference"/>
        </w:rPr>
        <w:footnoteRef/>
      </w:r>
      <w:r>
        <w:t xml:space="preserve"> Order 02, ¶15.</w:t>
      </w:r>
    </w:p>
  </w:footnote>
  <w:footnote w:id="38">
    <w:p w14:paraId="0C5FBF0C" w14:textId="77777777" w:rsidR="00ED4F9A" w:rsidRDefault="00ED4F9A">
      <w:pPr>
        <w:pStyle w:val="FootnoteText"/>
      </w:pPr>
      <w:r>
        <w:rPr>
          <w:rStyle w:val="FootnoteReference"/>
        </w:rPr>
        <w:footnoteRef/>
      </w:r>
      <w:r>
        <w:t xml:space="preserve"> Exhibit ___ (DJW-1T), p. 9: 17 – p.10: 13.</w:t>
      </w:r>
    </w:p>
  </w:footnote>
  <w:footnote w:id="39">
    <w:p w14:paraId="0C5FBF0D" w14:textId="77777777" w:rsidR="00ED4F9A" w:rsidRDefault="00ED4F9A">
      <w:pPr>
        <w:pStyle w:val="FootnoteText"/>
      </w:pPr>
      <w:r>
        <w:rPr>
          <w:rStyle w:val="FootnoteReference"/>
        </w:rPr>
        <w:footnoteRef/>
      </w:r>
      <w:r>
        <w:t xml:space="preserve"> Exhibit ___ (DJW-1T), p. 12: 18 – p. 13: 3.</w:t>
      </w:r>
    </w:p>
  </w:footnote>
  <w:footnote w:id="40">
    <w:p w14:paraId="0C5FBF0E" w14:textId="77777777" w:rsidR="00ED4F9A" w:rsidRPr="00246275" w:rsidRDefault="00ED4F9A">
      <w:pPr>
        <w:pStyle w:val="FootnoteText"/>
      </w:pPr>
      <w:r>
        <w:rPr>
          <w:rStyle w:val="FootnoteReference"/>
        </w:rPr>
        <w:footnoteRef/>
      </w:r>
      <w:r>
        <w:t xml:space="preserve"> </w:t>
      </w:r>
      <w:r>
        <w:rPr>
          <w:i/>
        </w:rPr>
        <w:t>Id</w:t>
      </w:r>
      <w:r>
        <w:t>. at p. 13: 13 – p. 14: 6</w:t>
      </w:r>
    </w:p>
  </w:footnote>
  <w:footnote w:id="41">
    <w:p w14:paraId="0C5FBF0F" w14:textId="77777777" w:rsidR="00ED4F9A" w:rsidRDefault="00ED4F9A">
      <w:pPr>
        <w:pStyle w:val="FootnoteText"/>
      </w:pPr>
      <w:r>
        <w:rPr>
          <w:rStyle w:val="FootnoteReference"/>
        </w:rPr>
        <w:footnoteRef/>
      </w:r>
      <w:r>
        <w:t xml:space="preserve"> Exhibit ___ (WAM-1T), p. 7: 15-18.</w:t>
      </w:r>
    </w:p>
  </w:footnote>
  <w:footnote w:id="42">
    <w:p w14:paraId="0C5FBF10" w14:textId="77777777" w:rsidR="00ED4F9A" w:rsidRPr="002F459A" w:rsidRDefault="00ED4F9A">
      <w:pPr>
        <w:pStyle w:val="FootnoteText"/>
      </w:pPr>
      <w:r>
        <w:rPr>
          <w:rStyle w:val="FootnoteReference"/>
        </w:rPr>
        <w:footnoteRef/>
      </w:r>
      <w:r>
        <w:t xml:space="preserve"> </w:t>
      </w:r>
      <w:r>
        <w:rPr>
          <w:i/>
        </w:rPr>
        <w:t>Id.</w:t>
      </w:r>
      <w:r>
        <w:t>, p. 9: 6-16, p. 10: 4 –16, p. 11: 1-11.</w:t>
      </w:r>
    </w:p>
  </w:footnote>
  <w:footnote w:id="43">
    <w:p w14:paraId="0C5FBF11" w14:textId="77777777" w:rsidR="00ED4F9A" w:rsidRPr="00027092" w:rsidRDefault="00ED4F9A" w:rsidP="002951D3">
      <w:pPr>
        <w:pStyle w:val="FootnoteText"/>
        <w:rPr>
          <w:rFonts w:cs="Times New Roman"/>
        </w:rPr>
      </w:pPr>
      <w:r w:rsidRPr="00027092">
        <w:rPr>
          <w:rStyle w:val="FootnoteReference"/>
          <w:rFonts w:cs="Times New Roman"/>
        </w:rPr>
        <w:footnoteRef/>
      </w:r>
      <w:r w:rsidRPr="00027092">
        <w:rPr>
          <w:rFonts w:cs="Times New Roman"/>
        </w:rPr>
        <w:t xml:space="preserve"> </w:t>
      </w:r>
      <w:r w:rsidRPr="00027092">
        <w:rPr>
          <w:rFonts w:cs="Times New Roman"/>
          <w:i/>
        </w:rPr>
        <w:t>Id</w:t>
      </w:r>
      <w:r w:rsidRPr="00027092">
        <w:rPr>
          <w:rFonts w:cs="Times New Roman"/>
        </w:rPr>
        <w:t>. at p. 8: 10-17.</w:t>
      </w:r>
    </w:p>
  </w:footnote>
  <w:footnote w:id="44">
    <w:p w14:paraId="0C5FBF12" w14:textId="77777777" w:rsidR="00ED4F9A" w:rsidRDefault="00ED4F9A" w:rsidP="00CB10EE">
      <w:pPr>
        <w:pStyle w:val="FootnoteText"/>
      </w:pPr>
      <w:r>
        <w:rPr>
          <w:rStyle w:val="FootnoteReference"/>
        </w:rPr>
        <w:footnoteRef/>
      </w:r>
      <w:r>
        <w:t xml:space="preserve"> </w:t>
      </w:r>
      <w:r w:rsidRPr="00005D0D">
        <w:rPr>
          <w:i/>
        </w:rPr>
        <w:t>Cal. Comput. Products, Inc. v. Int’l Bus. Machs. Corp</w:t>
      </w:r>
      <w:r w:rsidRPr="00005D0D">
        <w:t>., 613 F.2d 727, 743 (9th Cir. 1979)</w:t>
      </w:r>
      <w:r>
        <w:t>.</w:t>
      </w:r>
    </w:p>
  </w:footnote>
  <w:footnote w:id="45">
    <w:p w14:paraId="0C5FBF13" w14:textId="77777777" w:rsidR="00ED4F9A" w:rsidRDefault="00ED4F9A">
      <w:pPr>
        <w:pStyle w:val="FootnoteText"/>
      </w:pPr>
      <w:r>
        <w:rPr>
          <w:rStyle w:val="FootnoteReference"/>
        </w:rPr>
        <w:footnoteRef/>
      </w:r>
      <w:r>
        <w:t xml:space="preserve"> </w:t>
      </w:r>
      <w:r w:rsidRPr="00C82770">
        <w:rPr>
          <w:i/>
        </w:rPr>
        <w:t xml:space="preserve">See, </w:t>
      </w:r>
      <w:r w:rsidRPr="00C82770">
        <w:t>Speedishuttle Motion for Summary Determination of December 2</w:t>
      </w:r>
      <w:r>
        <w:t>1</w:t>
      </w:r>
      <w:r w:rsidRPr="00C82770">
        <w: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BED9" w14:textId="77777777" w:rsidR="00F146DD" w:rsidRDefault="00F14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BEDA" w14:textId="77777777" w:rsidR="00F146DD" w:rsidRDefault="00F14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BEE5" w14:textId="77777777" w:rsidR="00F146DD" w:rsidRDefault="00F14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8C2D33"/>
    <w:multiLevelType w:val="hybridMultilevel"/>
    <w:tmpl w:val="5032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07979"/>
    <w:multiLevelType w:val="hybridMultilevel"/>
    <w:tmpl w:val="55E23B4C"/>
    <w:lvl w:ilvl="0" w:tplc="1EB21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CF31F2"/>
    <w:multiLevelType w:val="multilevel"/>
    <w:tmpl w:val="DB62DE4E"/>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ind w:left="12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9999999" w:hAnsi="9999999"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5"/>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05D0D"/>
    <w:rsid w:val="000074C9"/>
    <w:rsid w:val="00011D56"/>
    <w:rsid w:val="00012D93"/>
    <w:rsid w:val="0001734E"/>
    <w:rsid w:val="000204ED"/>
    <w:rsid w:val="0002403F"/>
    <w:rsid w:val="00026C78"/>
    <w:rsid w:val="00026FDA"/>
    <w:rsid w:val="000275B5"/>
    <w:rsid w:val="0003472D"/>
    <w:rsid w:val="00035649"/>
    <w:rsid w:val="00041C09"/>
    <w:rsid w:val="00042E5F"/>
    <w:rsid w:val="00044FE5"/>
    <w:rsid w:val="000522E7"/>
    <w:rsid w:val="00060788"/>
    <w:rsid w:val="00061CE9"/>
    <w:rsid w:val="00066196"/>
    <w:rsid w:val="00066E81"/>
    <w:rsid w:val="00070A9E"/>
    <w:rsid w:val="00075019"/>
    <w:rsid w:val="000769F6"/>
    <w:rsid w:val="000819AC"/>
    <w:rsid w:val="00084052"/>
    <w:rsid w:val="0008512B"/>
    <w:rsid w:val="0009119E"/>
    <w:rsid w:val="000957FD"/>
    <w:rsid w:val="000966E2"/>
    <w:rsid w:val="00096EE4"/>
    <w:rsid w:val="00097688"/>
    <w:rsid w:val="000A3B40"/>
    <w:rsid w:val="000A4214"/>
    <w:rsid w:val="000A4F6B"/>
    <w:rsid w:val="000A52A2"/>
    <w:rsid w:val="000A60F4"/>
    <w:rsid w:val="000B0995"/>
    <w:rsid w:val="000B1F23"/>
    <w:rsid w:val="000B213E"/>
    <w:rsid w:val="000B297F"/>
    <w:rsid w:val="000B361E"/>
    <w:rsid w:val="000C36E1"/>
    <w:rsid w:val="000D0522"/>
    <w:rsid w:val="000D09FE"/>
    <w:rsid w:val="000D3FE8"/>
    <w:rsid w:val="000D5B61"/>
    <w:rsid w:val="000E07BD"/>
    <w:rsid w:val="000E3C66"/>
    <w:rsid w:val="000E5271"/>
    <w:rsid w:val="000E5712"/>
    <w:rsid w:val="000E715E"/>
    <w:rsid w:val="000F0135"/>
    <w:rsid w:val="000F0525"/>
    <w:rsid w:val="000F4B28"/>
    <w:rsid w:val="000F7374"/>
    <w:rsid w:val="000F7F48"/>
    <w:rsid w:val="0010069B"/>
    <w:rsid w:val="001017D4"/>
    <w:rsid w:val="00102B48"/>
    <w:rsid w:val="0011143E"/>
    <w:rsid w:val="0011229B"/>
    <w:rsid w:val="00112C3D"/>
    <w:rsid w:val="0012337D"/>
    <w:rsid w:val="00125627"/>
    <w:rsid w:val="00126BBB"/>
    <w:rsid w:val="00137D68"/>
    <w:rsid w:val="0014223D"/>
    <w:rsid w:val="00147237"/>
    <w:rsid w:val="00150C49"/>
    <w:rsid w:val="00150C95"/>
    <w:rsid w:val="00154655"/>
    <w:rsid w:val="001551C3"/>
    <w:rsid w:val="00156FB1"/>
    <w:rsid w:val="00157327"/>
    <w:rsid w:val="00157B85"/>
    <w:rsid w:val="00163D7D"/>
    <w:rsid w:val="001640F7"/>
    <w:rsid w:val="00166D66"/>
    <w:rsid w:val="0017196A"/>
    <w:rsid w:val="001721C7"/>
    <w:rsid w:val="00175AFB"/>
    <w:rsid w:val="0017796A"/>
    <w:rsid w:val="00183D39"/>
    <w:rsid w:val="001841C8"/>
    <w:rsid w:val="0019096D"/>
    <w:rsid w:val="00191C0B"/>
    <w:rsid w:val="0019485B"/>
    <w:rsid w:val="00197FF7"/>
    <w:rsid w:val="001A0816"/>
    <w:rsid w:val="001A4D44"/>
    <w:rsid w:val="001B0806"/>
    <w:rsid w:val="001B73E6"/>
    <w:rsid w:val="001C0AEF"/>
    <w:rsid w:val="001C20A4"/>
    <w:rsid w:val="001C6460"/>
    <w:rsid w:val="001D1BCC"/>
    <w:rsid w:val="001D23D1"/>
    <w:rsid w:val="001E07B2"/>
    <w:rsid w:val="001E5C3F"/>
    <w:rsid w:val="001F065D"/>
    <w:rsid w:val="001F2D59"/>
    <w:rsid w:val="001F4373"/>
    <w:rsid w:val="001F678C"/>
    <w:rsid w:val="001F6FD4"/>
    <w:rsid w:val="0020005B"/>
    <w:rsid w:val="00203C5E"/>
    <w:rsid w:val="00207BED"/>
    <w:rsid w:val="00207EF8"/>
    <w:rsid w:val="002109BA"/>
    <w:rsid w:val="00212B4E"/>
    <w:rsid w:val="00214845"/>
    <w:rsid w:val="00221594"/>
    <w:rsid w:val="00226511"/>
    <w:rsid w:val="002278E6"/>
    <w:rsid w:val="00231982"/>
    <w:rsid w:val="00231A9B"/>
    <w:rsid w:val="002329A5"/>
    <w:rsid w:val="00236C83"/>
    <w:rsid w:val="00240D62"/>
    <w:rsid w:val="002413FC"/>
    <w:rsid w:val="002428CD"/>
    <w:rsid w:val="002437EA"/>
    <w:rsid w:val="00243834"/>
    <w:rsid w:val="00246275"/>
    <w:rsid w:val="00247D71"/>
    <w:rsid w:val="0025267B"/>
    <w:rsid w:val="00252947"/>
    <w:rsid w:val="002611FB"/>
    <w:rsid w:val="00261469"/>
    <w:rsid w:val="00263220"/>
    <w:rsid w:val="00263C51"/>
    <w:rsid w:val="00273CD4"/>
    <w:rsid w:val="00274A68"/>
    <w:rsid w:val="00281786"/>
    <w:rsid w:val="0028201D"/>
    <w:rsid w:val="00291FA1"/>
    <w:rsid w:val="00292FB1"/>
    <w:rsid w:val="0029337E"/>
    <w:rsid w:val="00294E73"/>
    <w:rsid w:val="002951D3"/>
    <w:rsid w:val="002970B9"/>
    <w:rsid w:val="002978CE"/>
    <w:rsid w:val="002A26D6"/>
    <w:rsid w:val="002A5B5D"/>
    <w:rsid w:val="002B0001"/>
    <w:rsid w:val="002B4082"/>
    <w:rsid w:val="002C5442"/>
    <w:rsid w:val="002E1DF0"/>
    <w:rsid w:val="002F459A"/>
    <w:rsid w:val="002F5C70"/>
    <w:rsid w:val="003005B5"/>
    <w:rsid w:val="00301DE8"/>
    <w:rsid w:val="00302FC9"/>
    <w:rsid w:val="00303B63"/>
    <w:rsid w:val="00304893"/>
    <w:rsid w:val="00307639"/>
    <w:rsid w:val="00307DF0"/>
    <w:rsid w:val="00307FD7"/>
    <w:rsid w:val="00311816"/>
    <w:rsid w:val="00312B4A"/>
    <w:rsid w:val="0032015A"/>
    <w:rsid w:val="00320BBD"/>
    <w:rsid w:val="00321BFD"/>
    <w:rsid w:val="0032551A"/>
    <w:rsid w:val="003306A1"/>
    <w:rsid w:val="003349DD"/>
    <w:rsid w:val="00336667"/>
    <w:rsid w:val="00340014"/>
    <w:rsid w:val="0034061C"/>
    <w:rsid w:val="003410BF"/>
    <w:rsid w:val="00343AF0"/>
    <w:rsid w:val="0034518F"/>
    <w:rsid w:val="00345258"/>
    <w:rsid w:val="003478A6"/>
    <w:rsid w:val="003479C6"/>
    <w:rsid w:val="0035001A"/>
    <w:rsid w:val="00353BA8"/>
    <w:rsid w:val="00354071"/>
    <w:rsid w:val="0035776A"/>
    <w:rsid w:val="0035792A"/>
    <w:rsid w:val="003626AD"/>
    <w:rsid w:val="00363621"/>
    <w:rsid w:val="00363751"/>
    <w:rsid w:val="003649BA"/>
    <w:rsid w:val="00365C0D"/>
    <w:rsid w:val="00366949"/>
    <w:rsid w:val="00366BAF"/>
    <w:rsid w:val="00367445"/>
    <w:rsid w:val="00374EAF"/>
    <w:rsid w:val="00375946"/>
    <w:rsid w:val="00382E5B"/>
    <w:rsid w:val="00385D80"/>
    <w:rsid w:val="00391424"/>
    <w:rsid w:val="00391C19"/>
    <w:rsid w:val="0039480B"/>
    <w:rsid w:val="003955DD"/>
    <w:rsid w:val="003A1DB8"/>
    <w:rsid w:val="003A403D"/>
    <w:rsid w:val="003A7BED"/>
    <w:rsid w:val="003B698C"/>
    <w:rsid w:val="003B70BB"/>
    <w:rsid w:val="003C474E"/>
    <w:rsid w:val="003C5341"/>
    <w:rsid w:val="003C7233"/>
    <w:rsid w:val="003C77FF"/>
    <w:rsid w:val="003D1231"/>
    <w:rsid w:val="003D59ED"/>
    <w:rsid w:val="003E236E"/>
    <w:rsid w:val="003E2B8D"/>
    <w:rsid w:val="003E5C13"/>
    <w:rsid w:val="003E5E2A"/>
    <w:rsid w:val="003E65C5"/>
    <w:rsid w:val="003E67BA"/>
    <w:rsid w:val="003E7BFC"/>
    <w:rsid w:val="003F6CE0"/>
    <w:rsid w:val="00401809"/>
    <w:rsid w:val="00404681"/>
    <w:rsid w:val="00404FBA"/>
    <w:rsid w:val="004077E1"/>
    <w:rsid w:val="00412AAA"/>
    <w:rsid w:val="00412E9C"/>
    <w:rsid w:val="00415848"/>
    <w:rsid w:val="004229DB"/>
    <w:rsid w:val="004266C8"/>
    <w:rsid w:val="004267AA"/>
    <w:rsid w:val="00430F04"/>
    <w:rsid w:val="00432BB7"/>
    <w:rsid w:val="00434E21"/>
    <w:rsid w:val="00446FAF"/>
    <w:rsid w:val="00447368"/>
    <w:rsid w:val="00451672"/>
    <w:rsid w:val="00455105"/>
    <w:rsid w:val="00455868"/>
    <w:rsid w:val="00461BEA"/>
    <w:rsid w:val="00466FA6"/>
    <w:rsid w:val="00467DC8"/>
    <w:rsid w:val="00470B33"/>
    <w:rsid w:val="004765E7"/>
    <w:rsid w:val="004802AA"/>
    <w:rsid w:val="00480698"/>
    <w:rsid w:val="00483DA4"/>
    <w:rsid w:val="004913D7"/>
    <w:rsid w:val="00493AE8"/>
    <w:rsid w:val="004944F5"/>
    <w:rsid w:val="004945C5"/>
    <w:rsid w:val="00495CB8"/>
    <w:rsid w:val="004A4E73"/>
    <w:rsid w:val="004A5140"/>
    <w:rsid w:val="004B7779"/>
    <w:rsid w:val="004C0982"/>
    <w:rsid w:val="004C1828"/>
    <w:rsid w:val="004C2E82"/>
    <w:rsid w:val="004C316E"/>
    <w:rsid w:val="004C55D7"/>
    <w:rsid w:val="004D6752"/>
    <w:rsid w:val="004E1808"/>
    <w:rsid w:val="004E2BB8"/>
    <w:rsid w:val="004E37A1"/>
    <w:rsid w:val="004E3DAC"/>
    <w:rsid w:val="004E5696"/>
    <w:rsid w:val="004F6DAC"/>
    <w:rsid w:val="00500649"/>
    <w:rsid w:val="00503432"/>
    <w:rsid w:val="005047F1"/>
    <w:rsid w:val="00510CCA"/>
    <w:rsid w:val="00512D24"/>
    <w:rsid w:val="00514B2F"/>
    <w:rsid w:val="00514ED6"/>
    <w:rsid w:val="00514FBC"/>
    <w:rsid w:val="0051595B"/>
    <w:rsid w:val="0051665C"/>
    <w:rsid w:val="00517624"/>
    <w:rsid w:val="00520809"/>
    <w:rsid w:val="005212FF"/>
    <w:rsid w:val="0052270B"/>
    <w:rsid w:val="005245A1"/>
    <w:rsid w:val="00524F79"/>
    <w:rsid w:val="00532057"/>
    <w:rsid w:val="00535986"/>
    <w:rsid w:val="005371E4"/>
    <w:rsid w:val="0054117A"/>
    <w:rsid w:val="00543C15"/>
    <w:rsid w:val="00543D3C"/>
    <w:rsid w:val="005470BC"/>
    <w:rsid w:val="005475F0"/>
    <w:rsid w:val="005505D5"/>
    <w:rsid w:val="0055087A"/>
    <w:rsid w:val="00553489"/>
    <w:rsid w:val="005535E2"/>
    <w:rsid w:val="00554369"/>
    <w:rsid w:val="005549D5"/>
    <w:rsid w:val="0055612E"/>
    <w:rsid w:val="00561D1F"/>
    <w:rsid w:val="0056429F"/>
    <w:rsid w:val="00573A46"/>
    <w:rsid w:val="005824A8"/>
    <w:rsid w:val="005870B0"/>
    <w:rsid w:val="00591FF0"/>
    <w:rsid w:val="00597823"/>
    <w:rsid w:val="005A0948"/>
    <w:rsid w:val="005A15C9"/>
    <w:rsid w:val="005A1948"/>
    <w:rsid w:val="005A3B3A"/>
    <w:rsid w:val="005A68AF"/>
    <w:rsid w:val="005B29E0"/>
    <w:rsid w:val="005B309E"/>
    <w:rsid w:val="005B441F"/>
    <w:rsid w:val="005C1EDA"/>
    <w:rsid w:val="005D36A1"/>
    <w:rsid w:val="005D3C17"/>
    <w:rsid w:val="005D464B"/>
    <w:rsid w:val="005D5D65"/>
    <w:rsid w:val="005E2AC5"/>
    <w:rsid w:val="005E30CA"/>
    <w:rsid w:val="005E69D4"/>
    <w:rsid w:val="005F1C93"/>
    <w:rsid w:val="005F6D51"/>
    <w:rsid w:val="006006EB"/>
    <w:rsid w:val="006032C1"/>
    <w:rsid w:val="006041A3"/>
    <w:rsid w:val="00614689"/>
    <w:rsid w:val="00614DE0"/>
    <w:rsid w:val="006171A0"/>
    <w:rsid w:val="00617EC1"/>
    <w:rsid w:val="006222D2"/>
    <w:rsid w:val="0062241B"/>
    <w:rsid w:val="006244C1"/>
    <w:rsid w:val="00630052"/>
    <w:rsid w:val="00632AA0"/>
    <w:rsid w:val="006339AB"/>
    <w:rsid w:val="006372C1"/>
    <w:rsid w:val="006372C6"/>
    <w:rsid w:val="00637FF8"/>
    <w:rsid w:val="00644C60"/>
    <w:rsid w:val="00644C67"/>
    <w:rsid w:val="006526CD"/>
    <w:rsid w:val="00652D71"/>
    <w:rsid w:val="00654B9D"/>
    <w:rsid w:val="00654F7F"/>
    <w:rsid w:val="006565B0"/>
    <w:rsid w:val="00657995"/>
    <w:rsid w:val="00657FAF"/>
    <w:rsid w:val="0066055D"/>
    <w:rsid w:val="006676D0"/>
    <w:rsid w:val="0067027E"/>
    <w:rsid w:val="00670C9D"/>
    <w:rsid w:val="00671C05"/>
    <w:rsid w:val="00672B04"/>
    <w:rsid w:val="006741B9"/>
    <w:rsid w:val="00675218"/>
    <w:rsid w:val="00677C18"/>
    <w:rsid w:val="00681210"/>
    <w:rsid w:val="006837F4"/>
    <w:rsid w:val="00684B38"/>
    <w:rsid w:val="006856B6"/>
    <w:rsid w:val="00686D7F"/>
    <w:rsid w:val="00690D53"/>
    <w:rsid w:val="00690EA7"/>
    <w:rsid w:val="006963CF"/>
    <w:rsid w:val="0069691E"/>
    <w:rsid w:val="006A2492"/>
    <w:rsid w:val="006A4426"/>
    <w:rsid w:val="006A5EA8"/>
    <w:rsid w:val="006B3E8E"/>
    <w:rsid w:val="006B6FD4"/>
    <w:rsid w:val="006B7A15"/>
    <w:rsid w:val="006C131C"/>
    <w:rsid w:val="006C3D5D"/>
    <w:rsid w:val="006C536F"/>
    <w:rsid w:val="006C79C6"/>
    <w:rsid w:val="006D1838"/>
    <w:rsid w:val="006D1EB8"/>
    <w:rsid w:val="006D4C51"/>
    <w:rsid w:val="006E314C"/>
    <w:rsid w:val="006E56CB"/>
    <w:rsid w:val="006E5B2B"/>
    <w:rsid w:val="006F6775"/>
    <w:rsid w:val="006F6BA1"/>
    <w:rsid w:val="006F6F56"/>
    <w:rsid w:val="006F7395"/>
    <w:rsid w:val="006F7F55"/>
    <w:rsid w:val="0070196D"/>
    <w:rsid w:val="00701F61"/>
    <w:rsid w:val="0070206F"/>
    <w:rsid w:val="00702728"/>
    <w:rsid w:val="00703678"/>
    <w:rsid w:val="00703B29"/>
    <w:rsid w:val="00713F24"/>
    <w:rsid w:val="00714097"/>
    <w:rsid w:val="00714C0E"/>
    <w:rsid w:val="00720B52"/>
    <w:rsid w:val="00722FCA"/>
    <w:rsid w:val="00723D57"/>
    <w:rsid w:val="00724142"/>
    <w:rsid w:val="007254A3"/>
    <w:rsid w:val="007322E6"/>
    <w:rsid w:val="0073477C"/>
    <w:rsid w:val="00735920"/>
    <w:rsid w:val="00735B54"/>
    <w:rsid w:val="00737E2F"/>
    <w:rsid w:val="00743251"/>
    <w:rsid w:val="00743D2E"/>
    <w:rsid w:val="00744445"/>
    <w:rsid w:val="007474EB"/>
    <w:rsid w:val="00754A07"/>
    <w:rsid w:val="00756194"/>
    <w:rsid w:val="007614CB"/>
    <w:rsid w:val="007639CE"/>
    <w:rsid w:val="007665A3"/>
    <w:rsid w:val="0077302C"/>
    <w:rsid w:val="00773977"/>
    <w:rsid w:val="0077530D"/>
    <w:rsid w:val="007766C3"/>
    <w:rsid w:val="00780364"/>
    <w:rsid w:val="00782131"/>
    <w:rsid w:val="00782E8E"/>
    <w:rsid w:val="007834AE"/>
    <w:rsid w:val="00783C38"/>
    <w:rsid w:val="00791471"/>
    <w:rsid w:val="0079163B"/>
    <w:rsid w:val="007927D2"/>
    <w:rsid w:val="00793968"/>
    <w:rsid w:val="007945B8"/>
    <w:rsid w:val="00795016"/>
    <w:rsid w:val="00797318"/>
    <w:rsid w:val="007A2B4C"/>
    <w:rsid w:val="007A367A"/>
    <w:rsid w:val="007A6DFC"/>
    <w:rsid w:val="007A769B"/>
    <w:rsid w:val="007B1E92"/>
    <w:rsid w:val="007B2D93"/>
    <w:rsid w:val="007B30C2"/>
    <w:rsid w:val="007B3F69"/>
    <w:rsid w:val="007C1966"/>
    <w:rsid w:val="007C2730"/>
    <w:rsid w:val="007D022C"/>
    <w:rsid w:val="007D0B88"/>
    <w:rsid w:val="007D445B"/>
    <w:rsid w:val="007E1025"/>
    <w:rsid w:val="007E1A2F"/>
    <w:rsid w:val="007E1B67"/>
    <w:rsid w:val="007E5BF3"/>
    <w:rsid w:val="007F359B"/>
    <w:rsid w:val="007F3695"/>
    <w:rsid w:val="007F5970"/>
    <w:rsid w:val="00800168"/>
    <w:rsid w:val="008004C7"/>
    <w:rsid w:val="0080376A"/>
    <w:rsid w:val="00803E85"/>
    <w:rsid w:val="00804836"/>
    <w:rsid w:val="00805AFD"/>
    <w:rsid w:val="00805F0F"/>
    <w:rsid w:val="00810047"/>
    <w:rsid w:val="00816DD0"/>
    <w:rsid w:val="008221BD"/>
    <w:rsid w:val="00823FD0"/>
    <w:rsid w:val="00831688"/>
    <w:rsid w:val="0083266C"/>
    <w:rsid w:val="00833F0B"/>
    <w:rsid w:val="008372E4"/>
    <w:rsid w:val="00842E24"/>
    <w:rsid w:val="00852479"/>
    <w:rsid w:val="00856222"/>
    <w:rsid w:val="00857ED5"/>
    <w:rsid w:val="00867256"/>
    <w:rsid w:val="0087089E"/>
    <w:rsid w:val="0087316D"/>
    <w:rsid w:val="00877800"/>
    <w:rsid w:val="00882BF0"/>
    <w:rsid w:val="00882DDC"/>
    <w:rsid w:val="008845B2"/>
    <w:rsid w:val="00884FDE"/>
    <w:rsid w:val="00890E03"/>
    <w:rsid w:val="0089508C"/>
    <w:rsid w:val="0089649F"/>
    <w:rsid w:val="008A029A"/>
    <w:rsid w:val="008A07E4"/>
    <w:rsid w:val="008A4277"/>
    <w:rsid w:val="008A5607"/>
    <w:rsid w:val="008A6D30"/>
    <w:rsid w:val="008A7B48"/>
    <w:rsid w:val="008B5055"/>
    <w:rsid w:val="008B50F4"/>
    <w:rsid w:val="008C43E7"/>
    <w:rsid w:val="008C7BB0"/>
    <w:rsid w:val="008D0B9B"/>
    <w:rsid w:val="008D12FE"/>
    <w:rsid w:val="008D33AB"/>
    <w:rsid w:val="008D5361"/>
    <w:rsid w:val="008D6E30"/>
    <w:rsid w:val="008E40D4"/>
    <w:rsid w:val="008E751A"/>
    <w:rsid w:val="008F00E9"/>
    <w:rsid w:val="008F25D1"/>
    <w:rsid w:val="008F313C"/>
    <w:rsid w:val="008F4484"/>
    <w:rsid w:val="008F5865"/>
    <w:rsid w:val="00901C3E"/>
    <w:rsid w:val="00903975"/>
    <w:rsid w:val="00907BE0"/>
    <w:rsid w:val="00912F7E"/>
    <w:rsid w:val="00915BC2"/>
    <w:rsid w:val="00917D14"/>
    <w:rsid w:val="00920804"/>
    <w:rsid w:val="00921899"/>
    <w:rsid w:val="009254AC"/>
    <w:rsid w:val="0093086F"/>
    <w:rsid w:val="0093394B"/>
    <w:rsid w:val="00934A17"/>
    <w:rsid w:val="00934AF1"/>
    <w:rsid w:val="00940B4D"/>
    <w:rsid w:val="0094578B"/>
    <w:rsid w:val="00953704"/>
    <w:rsid w:val="00954F83"/>
    <w:rsid w:val="00956FEE"/>
    <w:rsid w:val="009608F3"/>
    <w:rsid w:val="00960AA5"/>
    <w:rsid w:val="00960FEF"/>
    <w:rsid w:val="009656CF"/>
    <w:rsid w:val="00967EA9"/>
    <w:rsid w:val="00972DF5"/>
    <w:rsid w:val="00972E98"/>
    <w:rsid w:val="0098426D"/>
    <w:rsid w:val="00984D69"/>
    <w:rsid w:val="00985CFE"/>
    <w:rsid w:val="00985F7B"/>
    <w:rsid w:val="0099227B"/>
    <w:rsid w:val="009937E0"/>
    <w:rsid w:val="009946FB"/>
    <w:rsid w:val="009B268D"/>
    <w:rsid w:val="009B47B1"/>
    <w:rsid w:val="009B6262"/>
    <w:rsid w:val="009B6F8C"/>
    <w:rsid w:val="009C035F"/>
    <w:rsid w:val="009C15EF"/>
    <w:rsid w:val="009C6BCF"/>
    <w:rsid w:val="009C7647"/>
    <w:rsid w:val="009D19D2"/>
    <w:rsid w:val="009D1D50"/>
    <w:rsid w:val="009D2139"/>
    <w:rsid w:val="009D3D7B"/>
    <w:rsid w:val="009D57C2"/>
    <w:rsid w:val="009D7823"/>
    <w:rsid w:val="009D7B3C"/>
    <w:rsid w:val="009E06CF"/>
    <w:rsid w:val="009E0EEF"/>
    <w:rsid w:val="009E25B1"/>
    <w:rsid w:val="009E4952"/>
    <w:rsid w:val="009E6E6D"/>
    <w:rsid w:val="009E74AF"/>
    <w:rsid w:val="009F19CA"/>
    <w:rsid w:val="009F1E12"/>
    <w:rsid w:val="009F498C"/>
    <w:rsid w:val="00A001DC"/>
    <w:rsid w:val="00A01CD1"/>
    <w:rsid w:val="00A04A46"/>
    <w:rsid w:val="00A04F4C"/>
    <w:rsid w:val="00A0684F"/>
    <w:rsid w:val="00A075C4"/>
    <w:rsid w:val="00A07673"/>
    <w:rsid w:val="00A111F0"/>
    <w:rsid w:val="00A11D26"/>
    <w:rsid w:val="00A12CCB"/>
    <w:rsid w:val="00A16DB8"/>
    <w:rsid w:val="00A229C8"/>
    <w:rsid w:val="00A33115"/>
    <w:rsid w:val="00A33C50"/>
    <w:rsid w:val="00A344A5"/>
    <w:rsid w:val="00A4057D"/>
    <w:rsid w:val="00A40ED8"/>
    <w:rsid w:val="00A53F7D"/>
    <w:rsid w:val="00A63E5C"/>
    <w:rsid w:val="00A650B1"/>
    <w:rsid w:val="00A66A32"/>
    <w:rsid w:val="00A721B8"/>
    <w:rsid w:val="00A73649"/>
    <w:rsid w:val="00A74EAC"/>
    <w:rsid w:val="00A766C0"/>
    <w:rsid w:val="00A80973"/>
    <w:rsid w:val="00A83567"/>
    <w:rsid w:val="00A83AF3"/>
    <w:rsid w:val="00A86A9F"/>
    <w:rsid w:val="00A872C4"/>
    <w:rsid w:val="00A90853"/>
    <w:rsid w:val="00A975B6"/>
    <w:rsid w:val="00AA61D5"/>
    <w:rsid w:val="00AA639A"/>
    <w:rsid w:val="00AA7A80"/>
    <w:rsid w:val="00AB0840"/>
    <w:rsid w:val="00AB33F4"/>
    <w:rsid w:val="00AB4483"/>
    <w:rsid w:val="00AC2252"/>
    <w:rsid w:val="00AC6A76"/>
    <w:rsid w:val="00AC6EE7"/>
    <w:rsid w:val="00AD4DC0"/>
    <w:rsid w:val="00AE047C"/>
    <w:rsid w:val="00AE3CDC"/>
    <w:rsid w:val="00AE67FC"/>
    <w:rsid w:val="00AE6DD1"/>
    <w:rsid w:val="00AE76C1"/>
    <w:rsid w:val="00AF3689"/>
    <w:rsid w:val="00B01B3A"/>
    <w:rsid w:val="00B056E1"/>
    <w:rsid w:val="00B0771C"/>
    <w:rsid w:val="00B1158C"/>
    <w:rsid w:val="00B120B0"/>
    <w:rsid w:val="00B12113"/>
    <w:rsid w:val="00B12B89"/>
    <w:rsid w:val="00B12BA8"/>
    <w:rsid w:val="00B14FB0"/>
    <w:rsid w:val="00B25E6A"/>
    <w:rsid w:val="00B3008E"/>
    <w:rsid w:val="00B30B22"/>
    <w:rsid w:val="00B3117F"/>
    <w:rsid w:val="00B36E39"/>
    <w:rsid w:val="00B40F9C"/>
    <w:rsid w:val="00B42077"/>
    <w:rsid w:val="00B50ACC"/>
    <w:rsid w:val="00B5123B"/>
    <w:rsid w:val="00B5207A"/>
    <w:rsid w:val="00B5686A"/>
    <w:rsid w:val="00B6078A"/>
    <w:rsid w:val="00B60D73"/>
    <w:rsid w:val="00B623EF"/>
    <w:rsid w:val="00B65F85"/>
    <w:rsid w:val="00B7056E"/>
    <w:rsid w:val="00B74B09"/>
    <w:rsid w:val="00B750CA"/>
    <w:rsid w:val="00B7718D"/>
    <w:rsid w:val="00B95CA9"/>
    <w:rsid w:val="00B96A4D"/>
    <w:rsid w:val="00B977BC"/>
    <w:rsid w:val="00B977D8"/>
    <w:rsid w:val="00BA0638"/>
    <w:rsid w:val="00BA1FFC"/>
    <w:rsid w:val="00BA444F"/>
    <w:rsid w:val="00BA573B"/>
    <w:rsid w:val="00BA7DFB"/>
    <w:rsid w:val="00BB1DD5"/>
    <w:rsid w:val="00BB2BF5"/>
    <w:rsid w:val="00BB66A6"/>
    <w:rsid w:val="00BB6AC4"/>
    <w:rsid w:val="00BB7E5D"/>
    <w:rsid w:val="00BC7E88"/>
    <w:rsid w:val="00BD3C92"/>
    <w:rsid w:val="00BD49FB"/>
    <w:rsid w:val="00BE2A8A"/>
    <w:rsid w:val="00BE41C8"/>
    <w:rsid w:val="00BE6617"/>
    <w:rsid w:val="00BF048E"/>
    <w:rsid w:val="00BF5FB4"/>
    <w:rsid w:val="00C01D58"/>
    <w:rsid w:val="00C04032"/>
    <w:rsid w:val="00C06843"/>
    <w:rsid w:val="00C13A4F"/>
    <w:rsid w:val="00C14196"/>
    <w:rsid w:val="00C141D7"/>
    <w:rsid w:val="00C1538E"/>
    <w:rsid w:val="00C21B25"/>
    <w:rsid w:val="00C22990"/>
    <w:rsid w:val="00C23898"/>
    <w:rsid w:val="00C24E76"/>
    <w:rsid w:val="00C2558F"/>
    <w:rsid w:val="00C255F9"/>
    <w:rsid w:val="00C2637D"/>
    <w:rsid w:val="00C36CCA"/>
    <w:rsid w:val="00C44741"/>
    <w:rsid w:val="00C44C37"/>
    <w:rsid w:val="00C45A3E"/>
    <w:rsid w:val="00C4751B"/>
    <w:rsid w:val="00C60E7F"/>
    <w:rsid w:val="00C67E6E"/>
    <w:rsid w:val="00C711AA"/>
    <w:rsid w:val="00C76D0A"/>
    <w:rsid w:val="00C808B7"/>
    <w:rsid w:val="00C82770"/>
    <w:rsid w:val="00C87195"/>
    <w:rsid w:val="00C87964"/>
    <w:rsid w:val="00C90C22"/>
    <w:rsid w:val="00C9224B"/>
    <w:rsid w:val="00C93242"/>
    <w:rsid w:val="00C93C50"/>
    <w:rsid w:val="00C97620"/>
    <w:rsid w:val="00CA0855"/>
    <w:rsid w:val="00CA35BB"/>
    <w:rsid w:val="00CA4A0D"/>
    <w:rsid w:val="00CB10EE"/>
    <w:rsid w:val="00CB2797"/>
    <w:rsid w:val="00CB2C7C"/>
    <w:rsid w:val="00CB3150"/>
    <w:rsid w:val="00CB3449"/>
    <w:rsid w:val="00CC07E9"/>
    <w:rsid w:val="00CC1576"/>
    <w:rsid w:val="00CC4909"/>
    <w:rsid w:val="00CC4EAD"/>
    <w:rsid w:val="00CC63A9"/>
    <w:rsid w:val="00CD312A"/>
    <w:rsid w:val="00CD4AE9"/>
    <w:rsid w:val="00CD5B3B"/>
    <w:rsid w:val="00CD6CE5"/>
    <w:rsid w:val="00CE5ADE"/>
    <w:rsid w:val="00CE68CD"/>
    <w:rsid w:val="00CE7B21"/>
    <w:rsid w:val="00CF2567"/>
    <w:rsid w:val="00CF321F"/>
    <w:rsid w:val="00CF3A8A"/>
    <w:rsid w:val="00CF66B3"/>
    <w:rsid w:val="00CF73A6"/>
    <w:rsid w:val="00CF782A"/>
    <w:rsid w:val="00D0197C"/>
    <w:rsid w:val="00D021F5"/>
    <w:rsid w:val="00D10105"/>
    <w:rsid w:val="00D1172A"/>
    <w:rsid w:val="00D11FF5"/>
    <w:rsid w:val="00D133F1"/>
    <w:rsid w:val="00D1772B"/>
    <w:rsid w:val="00D221F0"/>
    <w:rsid w:val="00D25E58"/>
    <w:rsid w:val="00D27D46"/>
    <w:rsid w:val="00D32036"/>
    <w:rsid w:val="00D332D3"/>
    <w:rsid w:val="00D33863"/>
    <w:rsid w:val="00D33C5A"/>
    <w:rsid w:val="00D40680"/>
    <w:rsid w:val="00D459FC"/>
    <w:rsid w:val="00D45DB8"/>
    <w:rsid w:val="00D47732"/>
    <w:rsid w:val="00D5085F"/>
    <w:rsid w:val="00D57489"/>
    <w:rsid w:val="00D6079C"/>
    <w:rsid w:val="00D629E3"/>
    <w:rsid w:val="00D70DE9"/>
    <w:rsid w:val="00D76F7A"/>
    <w:rsid w:val="00D819D3"/>
    <w:rsid w:val="00D8259D"/>
    <w:rsid w:val="00D82B5D"/>
    <w:rsid w:val="00D83D66"/>
    <w:rsid w:val="00D85A28"/>
    <w:rsid w:val="00D918EA"/>
    <w:rsid w:val="00D94561"/>
    <w:rsid w:val="00D94DEA"/>
    <w:rsid w:val="00D97E9A"/>
    <w:rsid w:val="00DA001C"/>
    <w:rsid w:val="00DA0885"/>
    <w:rsid w:val="00DA4E5C"/>
    <w:rsid w:val="00DA6018"/>
    <w:rsid w:val="00DB2248"/>
    <w:rsid w:val="00DB26D2"/>
    <w:rsid w:val="00DB315A"/>
    <w:rsid w:val="00DB7FFC"/>
    <w:rsid w:val="00DC36B1"/>
    <w:rsid w:val="00DC6D51"/>
    <w:rsid w:val="00DD308B"/>
    <w:rsid w:val="00DD38F7"/>
    <w:rsid w:val="00DD3BC4"/>
    <w:rsid w:val="00DD4C13"/>
    <w:rsid w:val="00DE2130"/>
    <w:rsid w:val="00DE222F"/>
    <w:rsid w:val="00DE2D80"/>
    <w:rsid w:val="00DE5392"/>
    <w:rsid w:val="00DE55AD"/>
    <w:rsid w:val="00DE5C69"/>
    <w:rsid w:val="00DF08B3"/>
    <w:rsid w:val="00DF0D93"/>
    <w:rsid w:val="00DF26DF"/>
    <w:rsid w:val="00DF41C2"/>
    <w:rsid w:val="00DF7DAD"/>
    <w:rsid w:val="00E005B4"/>
    <w:rsid w:val="00E01A7E"/>
    <w:rsid w:val="00E021FA"/>
    <w:rsid w:val="00E115E6"/>
    <w:rsid w:val="00E135C4"/>
    <w:rsid w:val="00E13D64"/>
    <w:rsid w:val="00E21299"/>
    <w:rsid w:val="00E227B2"/>
    <w:rsid w:val="00E22A75"/>
    <w:rsid w:val="00E25310"/>
    <w:rsid w:val="00E40AD1"/>
    <w:rsid w:val="00E43271"/>
    <w:rsid w:val="00E447A6"/>
    <w:rsid w:val="00E46955"/>
    <w:rsid w:val="00E46AE9"/>
    <w:rsid w:val="00E46FF0"/>
    <w:rsid w:val="00E473DC"/>
    <w:rsid w:val="00E5313F"/>
    <w:rsid w:val="00E541D6"/>
    <w:rsid w:val="00E55CC5"/>
    <w:rsid w:val="00E60538"/>
    <w:rsid w:val="00E64855"/>
    <w:rsid w:val="00E67A93"/>
    <w:rsid w:val="00E70D21"/>
    <w:rsid w:val="00E72E14"/>
    <w:rsid w:val="00E73792"/>
    <w:rsid w:val="00E74186"/>
    <w:rsid w:val="00E821DE"/>
    <w:rsid w:val="00E84044"/>
    <w:rsid w:val="00E9001E"/>
    <w:rsid w:val="00E90245"/>
    <w:rsid w:val="00E919E2"/>
    <w:rsid w:val="00EA1F49"/>
    <w:rsid w:val="00EA22D6"/>
    <w:rsid w:val="00EA3F71"/>
    <w:rsid w:val="00EB1919"/>
    <w:rsid w:val="00EB39D3"/>
    <w:rsid w:val="00EB587E"/>
    <w:rsid w:val="00EC0BFD"/>
    <w:rsid w:val="00EC1ABF"/>
    <w:rsid w:val="00EC1C8D"/>
    <w:rsid w:val="00EC1DA6"/>
    <w:rsid w:val="00EC312A"/>
    <w:rsid w:val="00ED17A1"/>
    <w:rsid w:val="00ED1D92"/>
    <w:rsid w:val="00ED220F"/>
    <w:rsid w:val="00ED4F9A"/>
    <w:rsid w:val="00ED51FC"/>
    <w:rsid w:val="00ED6A19"/>
    <w:rsid w:val="00ED6A58"/>
    <w:rsid w:val="00EE5945"/>
    <w:rsid w:val="00EE698C"/>
    <w:rsid w:val="00EF4C9D"/>
    <w:rsid w:val="00EF6116"/>
    <w:rsid w:val="00EF659A"/>
    <w:rsid w:val="00F0161C"/>
    <w:rsid w:val="00F01820"/>
    <w:rsid w:val="00F063D5"/>
    <w:rsid w:val="00F11CEE"/>
    <w:rsid w:val="00F146DD"/>
    <w:rsid w:val="00F166EE"/>
    <w:rsid w:val="00F25332"/>
    <w:rsid w:val="00F253C3"/>
    <w:rsid w:val="00F26114"/>
    <w:rsid w:val="00F316B8"/>
    <w:rsid w:val="00F326C3"/>
    <w:rsid w:val="00F32D49"/>
    <w:rsid w:val="00F353E9"/>
    <w:rsid w:val="00F36F5F"/>
    <w:rsid w:val="00F45503"/>
    <w:rsid w:val="00F47425"/>
    <w:rsid w:val="00F474FA"/>
    <w:rsid w:val="00F54894"/>
    <w:rsid w:val="00F57A84"/>
    <w:rsid w:val="00F60A13"/>
    <w:rsid w:val="00F62FA1"/>
    <w:rsid w:val="00F6338F"/>
    <w:rsid w:val="00F7115F"/>
    <w:rsid w:val="00F73D54"/>
    <w:rsid w:val="00F8032E"/>
    <w:rsid w:val="00F824FE"/>
    <w:rsid w:val="00F8333B"/>
    <w:rsid w:val="00F835FA"/>
    <w:rsid w:val="00F84DD8"/>
    <w:rsid w:val="00F85F5F"/>
    <w:rsid w:val="00F911ED"/>
    <w:rsid w:val="00F938E2"/>
    <w:rsid w:val="00FA2E29"/>
    <w:rsid w:val="00FA50E3"/>
    <w:rsid w:val="00FB0804"/>
    <w:rsid w:val="00FB632D"/>
    <w:rsid w:val="00FC2600"/>
    <w:rsid w:val="00FC27EB"/>
    <w:rsid w:val="00FD2A8A"/>
    <w:rsid w:val="00FD2F87"/>
    <w:rsid w:val="00FD6CD8"/>
    <w:rsid w:val="00FE034A"/>
    <w:rsid w:val="00FE284E"/>
    <w:rsid w:val="00FE3239"/>
    <w:rsid w:val="00FE5A63"/>
    <w:rsid w:val="00FE6966"/>
    <w:rsid w:val="00FE7594"/>
    <w:rsid w:val="00FF24B5"/>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14:docId w14:val="0C5FBBFB"/>
  <w15:docId w15:val="{BA8F713C-E6F5-464A-BBF8-73682585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fassburg@williamskastn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pearson@utc.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kopta@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2017-01-17T08:00:00+00:00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58F18-BFCD-48C7-B1BF-E9130C8244D2}">
  <ds:schemaRef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a7bd91e-004b-490a-8704-e368d63d59a0"/>
    <ds:schemaRef ds:uri="http://purl.org/dc/dcmitype/"/>
  </ds:schemaRefs>
</ds:datastoreItem>
</file>

<file path=customXml/itemProps2.xml><?xml version="1.0" encoding="utf-8"?>
<ds:datastoreItem xmlns:ds="http://schemas.openxmlformats.org/officeDocument/2006/customXml" ds:itemID="{66495150-67DB-452E-A0EF-31421F534922}">
  <ds:schemaRefs>
    <ds:schemaRef ds:uri="http://schemas.microsoft.com/sharepoint/v3/contenttype/forms"/>
  </ds:schemaRefs>
</ds:datastoreItem>
</file>

<file path=customXml/itemProps3.xml><?xml version="1.0" encoding="utf-8"?>
<ds:datastoreItem xmlns:ds="http://schemas.openxmlformats.org/officeDocument/2006/customXml" ds:itemID="{035EBB20-4956-4755-9C2F-8B8FA0172159}"/>
</file>

<file path=customXml/itemProps4.xml><?xml version="1.0" encoding="utf-8"?>
<ds:datastoreItem xmlns:ds="http://schemas.openxmlformats.org/officeDocument/2006/customXml" ds:itemID="{FAB3059D-6693-4A83-81D7-9943B5E02DF6}">
  <ds:schemaRefs>
    <ds:schemaRef ds:uri="http://schemas.openxmlformats.org/officeDocument/2006/bibliography"/>
  </ds:schemaRefs>
</ds:datastoreItem>
</file>

<file path=customXml/itemProps5.xml><?xml version="1.0" encoding="utf-8"?>
<ds:datastoreItem xmlns:ds="http://schemas.openxmlformats.org/officeDocument/2006/customXml" ds:itemID="{67EE4FB2-B892-4338-A452-5CC3FCD5512D}"/>
</file>

<file path=docProps/app.xml><?xml version="1.0" encoding="utf-8"?>
<Properties xmlns="http://schemas.openxmlformats.org/officeDocument/2006/extended-properties" xmlns:vt="http://schemas.openxmlformats.org/officeDocument/2006/docPropsVTypes">
  <Template>Normal.dotm</Template>
  <TotalTime>0</TotalTime>
  <Pages>38</Pages>
  <Words>9462</Words>
  <Characters>53939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63275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Fassburg, Blair</dc:creator>
  <cp:lastModifiedBy>Kredel, Ashley (UTC)</cp:lastModifiedBy>
  <cp:revision>2</cp:revision>
  <cp:lastPrinted>2017-01-17T19:53:00Z</cp:lastPrinted>
  <dcterms:created xsi:type="dcterms:W3CDTF">2017-01-18T23:04:00Z</dcterms:created>
  <dcterms:modified xsi:type="dcterms:W3CDTF">2017-01-18T23:04:00Z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5935278.4</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