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72" w:rsidRDefault="00ED4629" w:rsidP="00FD7F72">
      <w:pPr>
        <w:pStyle w:val="single"/>
        <w:widowControl w:val="0"/>
        <w:spacing w:line="240" w:lineRule="auto"/>
        <w:ind w:left="4320" w:firstLine="0"/>
        <w:rPr>
          <w:rStyle w:val="Strong"/>
          <w:szCs w:val="24"/>
        </w:rPr>
      </w:pPr>
      <w:r>
        <w:rPr>
          <w:rStyle w:val="Strong"/>
          <w:szCs w:val="24"/>
        </w:rPr>
        <w:t>EXHIBIT NO. </w:t>
      </w:r>
      <w:r w:rsidR="00FD7F72">
        <w:rPr>
          <w:rStyle w:val="Strong"/>
          <w:szCs w:val="24"/>
        </w:rPr>
        <w:t>___</w:t>
      </w:r>
      <w:r w:rsidR="001B1F9D">
        <w:rPr>
          <w:rStyle w:val="Strong"/>
          <w:szCs w:val="24"/>
        </w:rPr>
        <w:t>(</w:t>
      </w:r>
      <w:r>
        <w:rPr>
          <w:rStyle w:val="Strong"/>
          <w:szCs w:val="24"/>
        </w:rPr>
        <w:t>GJZ-1T</w:t>
      </w:r>
      <w:r w:rsidR="001B1F9D">
        <w:rPr>
          <w:rStyle w:val="Strong"/>
          <w:szCs w:val="24"/>
        </w:rPr>
        <w:t xml:space="preserve">) </w:t>
      </w:r>
      <w:r>
        <w:rPr>
          <w:rStyle w:val="Strong"/>
          <w:szCs w:val="24"/>
        </w:rPr>
        <w:br/>
        <w:t>DOCKET</w:t>
      </w:r>
      <w:r w:rsidR="00C03789">
        <w:rPr>
          <w:rStyle w:val="Strong"/>
          <w:szCs w:val="24"/>
        </w:rPr>
        <w:t>S</w:t>
      </w:r>
      <w:r>
        <w:rPr>
          <w:rStyle w:val="Strong"/>
          <w:szCs w:val="24"/>
        </w:rPr>
        <w:t xml:space="preserve"> UE-1</w:t>
      </w:r>
      <w:r w:rsidR="00D813CD">
        <w:rPr>
          <w:rStyle w:val="Strong"/>
          <w:szCs w:val="24"/>
        </w:rPr>
        <w:t>7</w:t>
      </w:r>
      <w:r>
        <w:rPr>
          <w:rStyle w:val="Strong"/>
          <w:szCs w:val="24"/>
        </w:rPr>
        <w:t>___/UG-1</w:t>
      </w:r>
      <w:r w:rsidR="00D813CD">
        <w:rPr>
          <w:rStyle w:val="Strong"/>
          <w:szCs w:val="24"/>
        </w:rPr>
        <w:t>7</w:t>
      </w:r>
      <w:r>
        <w:rPr>
          <w:rStyle w:val="Strong"/>
          <w:szCs w:val="24"/>
        </w:rPr>
        <w:t>___</w:t>
      </w:r>
      <w:r>
        <w:rPr>
          <w:rStyle w:val="Strong"/>
          <w:szCs w:val="24"/>
        </w:rPr>
        <w:br/>
        <w:t>201</w:t>
      </w:r>
      <w:r w:rsidR="00D813CD">
        <w:rPr>
          <w:rStyle w:val="Strong"/>
          <w:szCs w:val="24"/>
        </w:rPr>
        <w:t>7</w:t>
      </w:r>
      <w:r>
        <w:rPr>
          <w:rStyle w:val="Strong"/>
          <w:szCs w:val="24"/>
        </w:rPr>
        <w:t xml:space="preserve"> PSE GENERAL RATE CASE</w:t>
      </w:r>
      <w:r>
        <w:rPr>
          <w:rStyle w:val="Strong"/>
          <w:szCs w:val="24"/>
        </w:rPr>
        <w:br/>
        <w:t>WITNESS:  </w:t>
      </w:r>
      <w:r>
        <w:rPr>
          <w:b/>
          <w:color w:val="000000"/>
          <w:szCs w:val="24"/>
        </w:rPr>
        <w:t>GREG ZELLER</w:t>
      </w: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p w:rsidR="00087472" w:rsidRDefault="00ED4629">
      <w:pPr>
        <w:pStyle w:val="center"/>
        <w:keepLines w:val="0"/>
        <w:widowControl w:val="0"/>
        <w:spacing w:before="0" w:line="240" w:lineRule="auto"/>
        <w:rPr>
          <w:b/>
          <w:szCs w:val="24"/>
        </w:rPr>
      </w:pPr>
      <w:r>
        <w:rPr>
          <w:b/>
          <w:szCs w:val="24"/>
        </w:rPr>
        <w:t>BEFORE THE</w:t>
      </w:r>
    </w:p>
    <w:p w:rsidR="00087472" w:rsidRDefault="00ED4629">
      <w:pPr>
        <w:pStyle w:val="center"/>
        <w:keepLines w:val="0"/>
        <w:widowControl w:val="0"/>
        <w:spacing w:before="0" w:line="240" w:lineRule="auto"/>
        <w:rPr>
          <w:b/>
          <w:szCs w:val="24"/>
        </w:rPr>
      </w:pPr>
      <w:r>
        <w:rPr>
          <w:b/>
          <w:szCs w:val="24"/>
        </w:rPr>
        <w:t>WASHINGTON UTILITIES AND TRANSPORTATION COMMISSION</w:t>
      </w: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3"/>
        <w:gridCol w:w="4542"/>
      </w:tblGrid>
      <w:tr w:rsidR="00C02ACF" w:rsidRPr="00C02ACF" w:rsidTr="00C02ACF">
        <w:tc>
          <w:tcPr>
            <w:tcW w:w="4536" w:type="dxa"/>
            <w:tcBorders>
              <w:top w:val="nil"/>
              <w:left w:val="nil"/>
              <w:bottom w:val="single" w:sz="6" w:space="0" w:color="auto"/>
              <w:right w:val="single" w:sz="6" w:space="0" w:color="auto"/>
            </w:tcBorders>
            <w:hideMark/>
          </w:tcPr>
          <w:p w:rsidR="00C02ACF" w:rsidRPr="00C02ACF" w:rsidRDefault="00C02ACF" w:rsidP="00C02ACF">
            <w:pPr>
              <w:spacing w:after="240" w:line="240" w:lineRule="auto"/>
              <w:ind w:firstLine="0"/>
              <w:rPr>
                <w:b/>
              </w:rPr>
            </w:pPr>
            <w:r w:rsidRPr="00C02ACF">
              <w:rPr>
                <w:b/>
              </w:rPr>
              <w:t>WASHINGTON UTILITIES AND TRANSPORTATION COMMISSION,</w:t>
            </w:r>
          </w:p>
          <w:p w:rsidR="00C02ACF" w:rsidRPr="00C02ACF" w:rsidRDefault="00C02ACF" w:rsidP="00C02ACF">
            <w:pPr>
              <w:spacing w:after="240" w:line="240" w:lineRule="auto"/>
              <w:ind w:left="2160" w:firstLine="0"/>
              <w:rPr>
                <w:b/>
              </w:rPr>
            </w:pPr>
            <w:r w:rsidRPr="00C02ACF">
              <w:rPr>
                <w:b/>
              </w:rPr>
              <w:t>Complainant,</w:t>
            </w:r>
          </w:p>
          <w:p w:rsidR="00C02ACF" w:rsidRPr="00C02ACF" w:rsidRDefault="00C02ACF" w:rsidP="00C02ACF">
            <w:pPr>
              <w:spacing w:after="240" w:line="240" w:lineRule="auto"/>
              <w:ind w:left="1440" w:firstLine="0"/>
              <w:rPr>
                <w:b/>
              </w:rPr>
            </w:pPr>
            <w:r w:rsidRPr="00C02ACF">
              <w:rPr>
                <w:b/>
              </w:rPr>
              <w:t>v.</w:t>
            </w:r>
          </w:p>
          <w:p w:rsidR="00C02ACF" w:rsidRPr="00C02ACF" w:rsidRDefault="00C02ACF" w:rsidP="00C02ACF">
            <w:pPr>
              <w:spacing w:after="240" w:line="240" w:lineRule="auto"/>
              <w:ind w:firstLine="0"/>
              <w:rPr>
                <w:b/>
              </w:rPr>
            </w:pPr>
            <w:r w:rsidRPr="00C02ACF">
              <w:rPr>
                <w:b/>
              </w:rPr>
              <w:t>PUGET SOUND ENERGY,</w:t>
            </w:r>
          </w:p>
          <w:p w:rsidR="00C02ACF" w:rsidRPr="00C02ACF" w:rsidRDefault="00C02ACF" w:rsidP="00C02ACF">
            <w:pPr>
              <w:spacing w:after="240" w:line="240" w:lineRule="auto"/>
              <w:ind w:left="2160" w:firstLine="0"/>
              <w:rPr>
                <w:b/>
              </w:rPr>
            </w:pPr>
            <w:r w:rsidRPr="00C02ACF">
              <w:rPr>
                <w:b/>
              </w:rPr>
              <w:t>Respondent.</w:t>
            </w:r>
          </w:p>
        </w:tc>
        <w:tc>
          <w:tcPr>
            <w:tcW w:w="4545" w:type="dxa"/>
            <w:tcBorders>
              <w:top w:val="nil"/>
              <w:left w:val="single" w:sz="6" w:space="0" w:color="auto"/>
              <w:bottom w:val="nil"/>
              <w:right w:val="nil"/>
            </w:tcBorders>
            <w:vAlign w:val="center"/>
            <w:hideMark/>
          </w:tcPr>
          <w:p w:rsidR="00C02ACF" w:rsidRPr="00C02ACF" w:rsidRDefault="00C02ACF" w:rsidP="00C02ACF">
            <w:pPr>
              <w:keepNext/>
              <w:keepLines/>
              <w:spacing w:after="240" w:line="240" w:lineRule="auto"/>
              <w:ind w:left="324" w:firstLine="0"/>
              <w:rPr>
                <w:b/>
              </w:rPr>
            </w:pPr>
            <w:r w:rsidRPr="00C02ACF">
              <w:rPr>
                <w:b/>
              </w:rPr>
              <w:t>Docket UE-17____</w:t>
            </w:r>
            <w:r w:rsidRPr="00C02ACF">
              <w:rPr>
                <w:b/>
              </w:rPr>
              <w:br/>
              <w:t>Docket UG-17____</w:t>
            </w:r>
          </w:p>
        </w:tc>
      </w:tr>
    </w:tbl>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p w:rsidR="00C03789" w:rsidRDefault="00ED4629">
      <w:pPr>
        <w:pStyle w:val="center"/>
        <w:keepLines w:val="0"/>
        <w:widowControl w:val="0"/>
        <w:spacing w:before="0" w:line="240" w:lineRule="auto"/>
        <w:rPr>
          <w:b/>
          <w:color w:val="000000"/>
          <w:szCs w:val="24"/>
        </w:rPr>
      </w:pPr>
      <w:r>
        <w:rPr>
          <w:b/>
          <w:szCs w:val="24"/>
        </w:rPr>
        <w:t>PREFILED DIRECT TESTIMONY (NONCONFIDENTIAL) OF</w:t>
      </w:r>
      <w:r>
        <w:rPr>
          <w:b/>
          <w:szCs w:val="24"/>
        </w:rPr>
        <w:br/>
      </w:r>
    </w:p>
    <w:p w:rsidR="00C03789" w:rsidRDefault="00ED4629">
      <w:pPr>
        <w:pStyle w:val="center"/>
        <w:keepLines w:val="0"/>
        <w:widowControl w:val="0"/>
        <w:spacing w:before="0" w:line="240" w:lineRule="auto"/>
        <w:rPr>
          <w:b/>
          <w:szCs w:val="24"/>
        </w:rPr>
      </w:pPr>
      <w:r>
        <w:rPr>
          <w:b/>
          <w:color w:val="000000"/>
          <w:szCs w:val="24"/>
        </w:rPr>
        <w:t>GREG J. ZELLER</w:t>
      </w:r>
    </w:p>
    <w:p w:rsidR="00C02ACF" w:rsidRDefault="00C02ACF">
      <w:pPr>
        <w:pStyle w:val="center"/>
        <w:keepLines w:val="0"/>
        <w:widowControl w:val="0"/>
        <w:spacing w:before="0" w:line="240" w:lineRule="auto"/>
        <w:rPr>
          <w:b/>
          <w:szCs w:val="24"/>
        </w:rPr>
      </w:pPr>
    </w:p>
    <w:p w:rsidR="00087472" w:rsidRDefault="00ED4629">
      <w:pPr>
        <w:pStyle w:val="center"/>
        <w:keepLines w:val="0"/>
        <w:widowControl w:val="0"/>
        <w:spacing w:before="0" w:line="240" w:lineRule="auto"/>
        <w:rPr>
          <w:b/>
          <w:szCs w:val="24"/>
        </w:rPr>
      </w:pPr>
      <w:r>
        <w:rPr>
          <w:b/>
          <w:szCs w:val="24"/>
        </w:rPr>
        <w:t>ON BEHALF OF PUGET SOUND ENERGY</w:t>
      </w: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b/>
          <w:szCs w:val="24"/>
        </w:rPr>
      </w:pPr>
    </w:p>
    <w:p w:rsidR="00087472" w:rsidRDefault="00087472">
      <w:pPr>
        <w:pStyle w:val="center"/>
        <w:keepLines w:val="0"/>
        <w:widowControl w:val="0"/>
        <w:spacing w:before="0" w:line="240" w:lineRule="auto"/>
        <w:rPr>
          <w:szCs w:val="24"/>
        </w:rPr>
      </w:pPr>
    </w:p>
    <w:p w:rsidR="00087472" w:rsidRDefault="00087472">
      <w:pPr>
        <w:pStyle w:val="center"/>
        <w:keepLines w:val="0"/>
        <w:widowControl w:val="0"/>
        <w:spacing w:before="0" w:line="240" w:lineRule="auto"/>
        <w:rPr>
          <w:szCs w:val="24"/>
        </w:rPr>
      </w:pPr>
    </w:p>
    <w:p w:rsidR="00C02ACF" w:rsidRDefault="00C02ACF">
      <w:pPr>
        <w:pStyle w:val="center"/>
        <w:keepLines w:val="0"/>
        <w:widowControl w:val="0"/>
        <w:spacing w:before="0" w:line="240" w:lineRule="auto"/>
        <w:rPr>
          <w:szCs w:val="24"/>
        </w:rPr>
      </w:pPr>
    </w:p>
    <w:p w:rsidR="00C02ACF" w:rsidRDefault="00C02ACF">
      <w:pPr>
        <w:pStyle w:val="center"/>
        <w:keepLines w:val="0"/>
        <w:widowControl w:val="0"/>
        <w:spacing w:before="0" w:line="240" w:lineRule="auto"/>
        <w:rPr>
          <w:szCs w:val="24"/>
        </w:rPr>
      </w:pPr>
    </w:p>
    <w:p w:rsidR="00C02ACF" w:rsidRDefault="00C02ACF">
      <w:pPr>
        <w:pStyle w:val="center"/>
        <w:keepLines w:val="0"/>
        <w:widowControl w:val="0"/>
        <w:spacing w:before="0" w:line="240" w:lineRule="auto"/>
        <w:rPr>
          <w:szCs w:val="24"/>
        </w:rPr>
      </w:pPr>
    </w:p>
    <w:p w:rsidR="00C02ACF" w:rsidRDefault="00C02ACF">
      <w:pPr>
        <w:pStyle w:val="center"/>
        <w:keepLines w:val="0"/>
        <w:widowControl w:val="0"/>
        <w:spacing w:before="0" w:line="240" w:lineRule="auto"/>
        <w:rPr>
          <w:szCs w:val="24"/>
        </w:rPr>
      </w:pPr>
    </w:p>
    <w:p w:rsidR="00C03789" w:rsidRDefault="00C03789">
      <w:pPr>
        <w:pStyle w:val="center"/>
        <w:keepLines w:val="0"/>
        <w:widowControl w:val="0"/>
        <w:spacing w:before="0" w:line="240" w:lineRule="auto"/>
        <w:rPr>
          <w:szCs w:val="24"/>
        </w:rPr>
      </w:pPr>
    </w:p>
    <w:p w:rsidR="00087472" w:rsidRDefault="00087472">
      <w:pPr>
        <w:pStyle w:val="center"/>
        <w:keepLines w:val="0"/>
        <w:widowControl w:val="0"/>
        <w:spacing w:before="0" w:line="240" w:lineRule="auto"/>
        <w:rPr>
          <w:szCs w:val="24"/>
        </w:rPr>
      </w:pPr>
    </w:p>
    <w:p w:rsidR="00087472" w:rsidRDefault="00087472">
      <w:pPr>
        <w:pStyle w:val="center"/>
        <w:keepLines w:val="0"/>
        <w:widowControl w:val="0"/>
        <w:spacing w:before="0" w:line="240" w:lineRule="auto"/>
        <w:rPr>
          <w:szCs w:val="24"/>
        </w:rPr>
      </w:pPr>
    </w:p>
    <w:p w:rsidR="00087472" w:rsidRDefault="00087472">
      <w:pPr>
        <w:pStyle w:val="center"/>
        <w:keepLines w:val="0"/>
        <w:widowControl w:val="0"/>
        <w:spacing w:before="0" w:line="240" w:lineRule="auto"/>
        <w:rPr>
          <w:b/>
          <w:szCs w:val="24"/>
        </w:rPr>
      </w:pPr>
    </w:p>
    <w:p w:rsidR="00087472" w:rsidRDefault="00D37C54">
      <w:pPr>
        <w:pStyle w:val="center"/>
        <w:keepLines w:val="0"/>
        <w:widowControl w:val="0"/>
        <w:spacing w:before="0" w:line="240" w:lineRule="auto"/>
        <w:rPr>
          <w:szCs w:val="24"/>
        </w:rPr>
      </w:pPr>
      <w:r>
        <w:rPr>
          <w:b/>
          <w:szCs w:val="24"/>
        </w:rPr>
        <w:t>JANUARY 13,</w:t>
      </w:r>
      <w:r w:rsidR="00ED4629">
        <w:rPr>
          <w:b/>
          <w:szCs w:val="24"/>
        </w:rPr>
        <w:t xml:space="preserve"> 2017</w:t>
      </w:r>
    </w:p>
    <w:p w:rsidR="00087472" w:rsidRDefault="00087472">
      <w:pPr>
        <w:pStyle w:val="center"/>
        <w:keepLines w:val="0"/>
        <w:widowControl w:val="0"/>
        <w:spacing w:before="0" w:line="240" w:lineRule="auto"/>
        <w:rPr>
          <w:szCs w:val="24"/>
        </w:rPr>
        <w:sectPr w:rsidR="00087472">
          <w:headerReference w:type="even" r:id="rId14"/>
          <w:headerReference w:type="default" r:id="rId15"/>
          <w:footerReference w:type="even" r:id="rId16"/>
          <w:headerReference w:type="first" r:id="rId17"/>
          <w:footerReference w:type="first" r:id="rId18"/>
          <w:pgSz w:w="12240" w:h="15840" w:code="1"/>
          <w:pgMar w:top="1440" w:right="1440" w:bottom="1440" w:left="2160" w:header="720" w:footer="864" w:gutter="0"/>
          <w:pgNumType w:start="1"/>
          <w:cols w:space="720"/>
        </w:sectPr>
      </w:pPr>
    </w:p>
    <w:p w:rsidR="009C57B1" w:rsidRDefault="00ED4629" w:rsidP="009C57B1">
      <w:pPr>
        <w:keepNext/>
        <w:spacing w:before="240" w:after="480" w:line="240" w:lineRule="auto"/>
        <w:ind w:firstLine="0"/>
        <w:jc w:val="center"/>
        <w:rPr>
          <w:rStyle w:val="Strong"/>
          <w:szCs w:val="24"/>
        </w:rPr>
      </w:pPr>
      <w:r>
        <w:rPr>
          <w:rStyle w:val="Strong"/>
          <w:szCs w:val="24"/>
        </w:rPr>
        <w:lastRenderedPageBreak/>
        <w:t>PUGET SOUND ENERGY</w:t>
      </w:r>
    </w:p>
    <w:p w:rsidR="009C57B1" w:rsidRDefault="00ED4629" w:rsidP="009C57B1">
      <w:pPr>
        <w:keepNext/>
        <w:spacing w:before="240" w:after="480" w:line="240" w:lineRule="auto"/>
        <w:ind w:firstLine="0"/>
        <w:jc w:val="center"/>
        <w:rPr>
          <w:b/>
          <w:color w:val="000000"/>
          <w:szCs w:val="24"/>
        </w:rPr>
      </w:pPr>
      <w:proofErr w:type="spellStart"/>
      <w:r w:rsidRPr="009C57B1">
        <w:rPr>
          <w:rStyle w:val="Strong"/>
          <w:szCs w:val="24"/>
        </w:rPr>
        <w:t>PREFILED</w:t>
      </w:r>
      <w:proofErr w:type="spellEnd"/>
      <w:r w:rsidRPr="009C57B1">
        <w:rPr>
          <w:rStyle w:val="Strong"/>
          <w:szCs w:val="24"/>
        </w:rPr>
        <w:t xml:space="preserve"> DIRECT TESTIMONY</w:t>
      </w:r>
      <w:r w:rsidRPr="009C57B1">
        <w:rPr>
          <w:color w:val="000000"/>
          <w:szCs w:val="24"/>
        </w:rPr>
        <w:t xml:space="preserve"> </w:t>
      </w:r>
      <w:r w:rsidRPr="009C57B1">
        <w:rPr>
          <w:b/>
          <w:color w:val="000000"/>
          <w:szCs w:val="24"/>
        </w:rPr>
        <w:t>(</w:t>
      </w:r>
      <w:proofErr w:type="spellStart"/>
      <w:r w:rsidRPr="009C57B1">
        <w:rPr>
          <w:b/>
          <w:color w:val="000000"/>
          <w:szCs w:val="24"/>
        </w:rPr>
        <w:t>NONCONFIDENTIAL</w:t>
      </w:r>
      <w:proofErr w:type="spellEnd"/>
      <w:r w:rsidRPr="009C57B1">
        <w:rPr>
          <w:color w:val="000000"/>
          <w:szCs w:val="24"/>
        </w:rPr>
        <w:t>)</w:t>
      </w:r>
      <w:r w:rsidRPr="009C57B1">
        <w:rPr>
          <w:rStyle w:val="Strong"/>
          <w:szCs w:val="24"/>
        </w:rPr>
        <w:t xml:space="preserve"> OF</w:t>
      </w:r>
      <w:r w:rsidRPr="009C57B1">
        <w:rPr>
          <w:rStyle w:val="Strong"/>
          <w:b w:val="0"/>
          <w:szCs w:val="24"/>
        </w:rPr>
        <w:br/>
      </w:r>
      <w:r w:rsidRPr="009C57B1">
        <w:rPr>
          <w:b/>
          <w:color w:val="000000"/>
          <w:szCs w:val="24"/>
        </w:rPr>
        <w:t>GREG J. ZELLER</w:t>
      </w:r>
      <w:bookmarkStart w:id="2" w:name="TOCTitle"/>
    </w:p>
    <w:p w:rsidR="00087472" w:rsidRPr="009C57B1" w:rsidRDefault="00ED4629" w:rsidP="009C57B1">
      <w:pPr>
        <w:keepNext/>
        <w:spacing w:before="240" w:after="480" w:line="240" w:lineRule="auto"/>
        <w:ind w:firstLine="0"/>
        <w:jc w:val="center"/>
        <w:rPr>
          <w:rStyle w:val="Strong"/>
          <w:b w:val="0"/>
          <w:szCs w:val="24"/>
        </w:rPr>
      </w:pPr>
      <w:r>
        <w:rPr>
          <w:rStyle w:val="Strong"/>
        </w:rPr>
        <w:t>CONTENTS</w:t>
      </w:r>
      <w:bookmarkEnd w:id="2"/>
    </w:p>
    <w:p w:rsidR="009C57B1" w:rsidRPr="009C57B1" w:rsidRDefault="00ED4629">
      <w:pPr>
        <w:pStyle w:val="TOC1"/>
        <w:rPr>
          <w:rFonts w:asciiTheme="minorHAnsi" w:eastAsiaTheme="minorEastAsia" w:hAnsiTheme="minorHAnsi" w:cstheme="minorBidi"/>
          <w:color w:val="auto"/>
          <w:sz w:val="22"/>
          <w:szCs w:val="22"/>
          <w:lang w:eastAsia="en-US"/>
        </w:rPr>
      </w:pPr>
      <w:r w:rsidRPr="009C57B1">
        <w:rPr>
          <w:b/>
          <w:color w:val="auto"/>
        </w:rPr>
        <w:fldChar w:fldCharType="begin"/>
      </w:r>
      <w:r w:rsidRPr="009C57B1">
        <w:rPr>
          <w:b/>
          <w:color w:val="auto"/>
        </w:rPr>
        <w:instrText xml:space="preserve"> TOC \o "1-5" \h \z \u </w:instrText>
      </w:r>
      <w:r w:rsidRPr="009C57B1">
        <w:rPr>
          <w:b/>
          <w:color w:val="auto"/>
        </w:rPr>
        <w:fldChar w:fldCharType="separate"/>
      </w:r>
      <w:hyperlink w:anchor="_Toc471483986" w:history="1">
        <w:r w:rsidR="009C57B1" w:rsidRPr="009C57B1">
          <w:rPr>
            <w:rStyle w:val="Hyperlink"/>
            <w:color w:val="auto"/>
          </w:rPr>
          <w:t>I.</w:t>
        </w:r>
        <w:r w:rsidR="009C57B1" w:rsidRPr="009C57B1">
          <w:rPr>
            <w:rFonts w:asciiTheme="minorHAnsi" w:eastAsiaTheme="minorEastAsia" w:hAnsiTheme="minorHAnsi" w:cstheme="minorBidi"/>
            <w:color w:val="auto"/>
            <w:sz w:val="22"/>
            <w:szCs w:val="22"/>
            <w:lang w:eastAsia="en-US"/>
          </w:rPr>
          <w:tab/>
        </w:r>
        <w:r w:rsidR="009C57B1" w:rsidRPr="009C57B1">
          <w:rPr>
            <w:rStyle w:val="Hyperlink"/>
            <w:color w:val="auto"/>
          </w:rPr>
          <w:t>INTRODUCTION</w:t>
        </w:r>
        <w:r w:rsidR="009C57B1" w:rsidRPr="009C57B1">
          <w:rPr>
            <w:webHidden/>
            <w:color w:val="auto"/>
          </w:rPr>
          <w:tab/>
        </w:r>
        <w:r w:rsidR="009C57B1" w:rsidRPr="009C57B1">
          <w:rPr>
            <w:webHidden/>
            <w:color w:val="auto"/>
          </w:rPr>
          <w:fldChar w:fldCharType="begin"/>
        </w:r>
        <w:r w:rsidR="009C57B1" w:rsidRPr="009C57B1">
          <w:rPr>
            <w:webHidden/>
            <w:color w:val="auto"/>
          </w:rPr>
          <w:instrText xml:space="preserve"> PAGEREF _Toc471483986 \h </w:instrText>
        </w:r>
        <w:r w:rsidR="009C57B1" w:rsidRPr="009C57B1">
          <w:rPr>
            <w:webHidden/>
            <w:color w:val="auto"/>
          </w:rPr>
        </w:r>
        <w:r w:rsidR="009C57B1" w:rsidRPr="009C57B1">
          <w:rPr>
            <w:webHidden/>
            <w:color w:val="auto"/>
          </w:rPr>
          <w:fldChar w:fldCharType="separate"/>
        </w:r>
        <w:r w:rsidR="009C57B1" w:rsidRPr="009C57B1">
          <w:rPr>
            <w:webHidden/>
            <w:color w:val="auto"/>
          </w:rPr>
          <w:t>1</w:t>
        </w:r>
        <w:r w:rsidR="009C57B1" w:rsidRPr="009C57B1">
          <w:rPr>
            <w:webHidden/>
            <w:color w:val="auto"/>
          </w:rPr>
          <w:fldChar w:fldCharType="end"/>
        </w:r>
      </w:hyperlink>
    </w:p>
    <w:p w:rsidR="009C57B1" w:rsidRPr="009C57B1" w:rsidRDefault="009C57B1">
      <w:pPr>
        <w:pStyle w:val="TOC1"/>
        <w:rPr>
          <w:rFonts w:asciiTheme="minorHAnsi" w:eastAsiaTheme="minorEastAsia" w:hAnsiTheme="minorHAnsi" w:cstheme="minorBidi"/>
          <w:color w:val="auto"/>
          <w:sz w:val="22"/>
          <w:szCs w:val="22"/>
          <w:lang w:eastAsia="en-US"/>
        </w:rPr>
      </w:pPr>
      <w:hyperlink w:anchor="_Toc471483987" w:history="1">
        <w:r w:rsidRPr="009C57B1">
          <w:rPr>
            <w:rStyle w:val="Hyperlink"/>
            <w:color w:val="auto"/>
          </w:rPr>
          <w:t>II.</w:t>
        </w:r>
        <w:r w:rsidRPr="009C57B1">
          <w:rPr>
            <w:rFonts w:asciiTheme="minorHAnsi" w:eastAsiaTheme="minorEastAsia" w:hAnsiTheme="minorHAnsi" w:cstheme="minorBidi"/>
            <w:color w:val="auto"/>
            <w:sz w:val="22"/>
            <w:szCs w:val="22"/>
            <w:lang w:eastAsia="en-US"/>
          </w:rPr>
          <w:tab/>
        </w:r>
        <w:r w:rsidRPr="009C57B1">
          <w:rPr>
            <w:rStyle w:val="Hyperlink"/>
            <w:color w:val="auto"/>
          </w:rPr>
          <w:t>PSE’S SERVICE QUALITY PROGRAM</w:t>
        </w:r>
        <w:r w:rsidRPr="009C57B1">
          <w:rPr>
            <w:webHidden/>
            <w:color w:val="auto"/>
          </w:rPr>
          <w:tab/>
        </w:r>
        <w:r w:rsidRPr="009C57B1">
          <w:rPr>
            <w:webHidden/>
            <w:color w:val="auto"/>
          </w:rPr>
          <w:fldChar w:fldCharType="begin"/>
        </w:r>
        <w:r w:rsidRPr="009C57B1">
          <w:rPr>
            <w:webHidden/>
            <w:color w:val="auto"/>
          </w:rPr>
          <w:instrText xml:space="preserve"> PAGEREF _Toc471483987 \h </w:instrText>
        </w:r>
        <w:r w:rsidRPr="009C57B1">
          <w:rPr>
            <w:webHidden/>
            <w:color w:val="auto"/>
          </w:rPr>
        </w:r>
        <w:r w:rsidRPr="009C57B1">
          <w:rPr>
            <w:webHidden/>
            <w:color w:val="auto"/>
          </w:rPr>
          <w:fldChar w:fldCharType="separate"/>
        </w:r>
        <w:r w:rsidRPr="009C57B1">
          <w:rPr>
            <w:webHidden/>
            <w:color w:val="auto"/>
          </w:rPr>
          <w:t>2</w:t>
        </w:r>
        <w:r w:rsidRPr="009C57B1">
          <w:rPr>
            <w:webHidden/>
            <w:color w:val="auto"/>
          </w:rPr>
          <w:fldChar w:fldCharType="end"/>
        </w:r>
      </w:hyperlink>
    </w:p>
    <w:p w:rsidR="009C57B1" w:rsidRPr="009C57B1" w:rsidRDefault="009C57B1">
      <w:pPr>
        <w:pStyle w:val="TOC1"/>
        <w:rPr>
          <w:rFonts w:asciiTheme="minorHAnsi" w:eastAsiaTheme="minorEastAsia" w:hAnsiTheme="minorHAnsi" w:cstheme="minorBidi"/>
          <w:color w:val="auto"/>
          <w:sz w:val="22"/>
          <w:szCs w:val="22"/>
          <w:lang w:eastAsia="en-US"/>
        </w:rPr>
      </w:pPr>
      <w:hyperlink w:anchor="_Toc471483988" w:history="1">
        <w:r w:rsidRPr="009C57B1">
          <w:rPr>
            <w:rStyle w:val="Hyperlink"/>
            <w:color w:val="auto"/>
          </w:rPr>
          <w:t>III.</w:t>
        </w:r>
        <w:r w:rsidRPr="009C57B1">
          <w:rPr>
            <w:rFonts w:asciiTheme="minorHAnsi" w:eastAsiaTheme="minorEastAsia" w:hAnsiTheme="minorHAnsi" w:cstheme="minorBidi"/>
            <w:color w:val="auto"/>
            <w:sz w:val="22"/>
            <w:szCs w:val="22"/>
            <w:lang w:eastAsia="en-US"/>
          </w:rPr>
          <w:tab/>
        </w:r>
        <w:r w:rsidRPr="009C57B1">
          <w:rPr>
            <w:rStyle w:val="Hyperlink"/>
            <w:color w:val="auto"/>
          </w:rPr>
          <w:t>CUSTOMER CARE CENTER SERVICE QUALITY INDICES</w:t>
        </w:r>
        <w:r w:rsidRPr="009C57B1">
          <w:rPr>
            <w:webHidden/>
            <w:color w:val="auto"/>
          </w:rPr>
          <w:tab/>
        </w:r>
        <w:r w:rsidRPr="009C57B1">
          <w:rPr>
            <w:webHidden/>
            <w:color w:val="auto"/>
          </w:rPr>
          <w:fldChar w:fldCharType="begin"/>
        </w:r>
        <w:r w:rsidRPr="009C57B1">
          <w:rPr>
            <w:webHidden/>
            <w:color w:val="auto"/>
          </w:rPr>
          <w:instrText xml:space="preserve"> PAGEREF _Toc471483988 \h </w:instrText>
        </w:r>
        <w:r w:rsidRPr="009C57B1">
          <w:rPr>
            <w:webHidden/>
            <w:color w:val="auto"/>
          </w:rPr>
        </w:r>
        <w:r w:rsidRPr="009C57B1">
          <w:rPr>
            <w:webHidden/>
            <w:color w:val="auto"/>
          </w:rPr>
          <w:fldChar w:fldCharType="separate"/>
        </w:r>
        <w:r w:rsidRPr="009C57B1">
          <w:rPr>
            <w:webHidden/>
            <w:color w:val="auto"/>
          </w:rPr>
          <w:t>6</w:t>
        </w:r>
        <w:r w:rsidRPr="009C57B1">
          <w:rPr>
            <w:webHidden/>
            <w:color w:val="auto"/>
          </w:rPr>
          <w:fldChar w:fldCharType="end"/>
        </w:r>
      </w:hyperlink>
    </w:p>
    <w:p w:rsidR="009C57B1" w:rsidRPr="009C57B1" w:rsidRDefault="009C57B1">
      <w:pPr>
        <w:pStyle w:val="TOC1"/>
        <w:rPr>
          <w:rFonts w:asciiTheme="minorHAnsi" w:eastAsiaTheme="minorEastAsia" w:hAnsiTheme="minorHAnsi" w:cstheme="minorBidi"/>
          <w:color w:val="auto"/>
          <w:sz w:val="22"/>
          <w:szCs w:val="22"/>
          <w:lang w:eastAsia="en-US"/>
        </w:rPr>
      </w:pPr>
      <w:hyperlink w:anchor="_Toc471483989" w:history="1">
        <w:r w:rsidRPr="009C57B1">
          <w:rPr>
            <w:rStyle w:val="Hyperlink"/>
            <w:color w:val="auto"/>
          </w:rPr>
          <w:t>IV.</w:t>
        </w:r>
        <w:r w:rsidRPr="009C57B1">
          <w:rPr>
            <w:rFonts w:asciiTheme="minorHAnsi" w:eastAsiaTheme="minorEastAsia" w:hAnsiTheme="minorHAnsi" w:cstheme="minorBidi"/>
            <w:color w:val="auto"/>
            <w:sz w:val="22"/>
            <w:szCs w:val="22"/>
            <w:lang w:eastAsia="en-US"/>
          </w:rPr>
          <w:tab/>
        </w:r>
        <w:r w:rsidRPr="009C57B1">
          <w:rPr>
            <w:rStyle w:val="Hyperlink"/>
            <w:color w:val="auto"/>
          </w:rPr>
          <w:t>EVOLVING CHANNELS OF COMMUNICATIONS</w:t>
        </w:r>
        <w:r w:rsidRPr="009C57B1">
          <w:rPr>
            <w:webHidden/>
            <w:color w:val="auto"/>
          </w:rPr>
          <w:tab/>
        </w:r>
        <w:r w:rsidRPr="009C57B1">
          <w:rPr>
            <w:webHidden/>
            <w:color w:val="auto"/>
          </w:rPr>
          <w:fldChar w:fldCharType="begin"/>
        </w:r>
        <w:r w:rsidRPr="009C57B1">
          <w:rPr>
            <w:webHidden/>
            <w:color w:val="auto"/>
          </w:rPr>
          <w:instrText xml:space="preserve"> PAGEREF _Toc471483989 \h </w:instrText>
        </w:r>
        <w:r w:rsidRPr="009C57B1">
          <w:rPr>
            <w:webHidden/>
            <w:color w:val="auto"/>
          </w:rPr>
        </w:r>
        <w:r w:rsidRPr="009C57B1">
          <w:rPr>
            <w:webHidden/>
            <w:color w:val="auto"/>
          </w:rPr>
          <w:fldChar w:fldCharType="separate"/>
        </w:r>
        <w:r w:rsidRPr="009C57B1">
          <w:rPr>
            <w:webHidden/>
            <w:color w:val="auto"/>
          </w:rPr>
          <w:t>11</w:t>
        </w:r>
        <w:r w:rsidRPr="009C57B1">
          <w:rPr>
            <w:webHidden/>
            <w:color w:val="auto"/>
          </w:rPr>
          <w:fldChar w:fldCharType="end"/>
        </w:r>
      </w:hyperlink>
    </w:p>
    <w:p w:rsidR="009C57B1" w:rsidRPr="009C57B1" w:rsidRDefault="009C57B1">
      <w:pPr>
        <w:pStyle w:val="TOC1"/>
        <w:rPr>
          <w:rFonts w:asciiTheme="minorHAnsi" w:eastAsiaTheme="minorEastAsia" w:hAnsiTheme="minorHAnsi" w:cstheme="minorBidi"/>
          <w:color w:val="auto"/>
          <w:sz w:val="22"/>
          <w:szCs w:val="22"/>
          <w:lang w:eastAsia="en-US"/>
        </w:rPr>
      </w:pPr>
      <w:hyperlink w:anchor="_Toc471483990" w:history="1">
        <w:r w:rsidRPr="009C57B1">
          <w:rPr>
            <w:rStyle w:val="Hyperlink"/>
            <w:color w:val="auto"/>
          </w:rPr>
          <w:t>V.</w:t>
        </w:r>
        <w:r w:rsidRPr="009C57B1">
          <w:rPr>
            <w:rFonts w:asciiTheme="minorHAnsi" w:eastAsiaTheme="minorEastAsia" w:hAnsiTheme="minorHAnsi" w:cstheme="minorBidi"/>
            <w:color w:val="auto"/>
            <w:sz w:val="22"/>
            <w:szCs w:val="22"/>
            <w:lang w:eastAsia="en-US"/>
          </w:rPr>
          <w:tab/>
        </w:r>
        <w:r w:rsidRPr="009C57B1">
          <w:rPr>
            <w:rStyle w:val="Hyperlink"/>
            <w:color w:val="auto"/>
          </w:rPr>
          <w:t>PROPOSED CHANGE TO SQI NO. 5</w:t>
        </w:r>
        <w:r w:rsidRPr="009C57B1">
          <w:rPr>
            <w:webHidden/>
            <w:color w:val="auto"/>
          </w:rPr>
          <w:tab/>
        </w:r>
        <w:r w:rsidRPr="009C57B1">
          <w:rPr>
            <w:webHidden/>
            <w:color w:val="auto"/>
          </w:rPr>
          <w:fldChar w:fldCharType="begin"/>
        </w:r>
        <w:r w:rsidRPr="009C57B1">
          <w:rPr>
            <w:webHidden/>
            <w:color w:val="auto"/>
          </w:rPr>
          <w:instrText xml:space="preserve"> PAGEREF _Toc471483990 \h </w:instrText>
        </w:r>
        <w:r w:rsidRPr="009C57B1">
          <w:rPr>
            <w:webHidden/>
            <w:color w:val="auto"/>
          </w:rPr>
        </w:r>
        <w:r w:rsidRPr="009C57B1">
          <w:rPr>
            <w:webHidden/>
            <w:color w:val="auto"/>
          </w:rPr>
          <w:fldChar w:fldCharType="separate"/>
        </w:r>
        <w:r w:rsidRPr="009C57B1">
          <w:rPr>
            <w:webHidden/>
            <w:color w:val="auto"/>
          </w:rPr>
          <w:t>16</w:t>
        </w:r>
        <w:r w:rsidRPr="009C57B1">
          <w:rPr>
            <w:webHidden/>
            <w:color w:val="auto"/>
          </w:rPr>
          <w:fldChar w:fldCharType="end"/>
        </w:r>
      </w:hyperlink>
    </w:p>
    <w:p w:rsidR="009C57B1" w:rsidRPr="009C57B1" w:rsidRDefault="009C57B1">
      <w:pPr>
        <w:pStyle w:val="TOC1"/>
        <w:rPr>
          <w:rFonts w:asciiTheme="minorHAnsi" w:eastAsiaTheme="minorEastAsia" w:hAnsiTheme="minorHAnsi" w:cstheme="minorBidi"/>
          <w:color w:val="auto"/>
          <w:sz w:val="22"/>
          <w:szCs w:val="22"/>
          <w:lang w:eastAsia="en-US"/>
        </w:rPr>
      </w:pPr>
      <w:hyperlink w:anchor="_Toc471483991" w:history="1">
        <w:r w:rsidRPr="009C57B1">
          <w:rPr>
            <w:rStyle w:val="Hyperlink"/>
            <w:color w:val="auto"/>
          </w:rPr>
          <w:t>VI.</w:t>
        </w:r>
        <w:r w:rsidRPr="009C57B1">
          <w:rPr>
            <w:rFonts w:asciiTheme="minorHAnsi" w:eastAsiaTheme="minorEastAsia" w:hAnsiTheme="minorHAnsi" w:cstheme="minorBidi"/>
            <w:color w:val="auto"/>
            <w:sz w:val="22"/>
            <w:szCs w:val="22"/>
            <w:lang w:eastAsia="en-US"/>
          </w:rPr>
          <w:tab/>
        </w:r>
        <w:r w:rsidRPr="009C57B1">
          <w:rPr>
            <w:rStyle w:val="Hyperlink"/>
            <w:caps/>
            <w:color w:val="auto"/>
          </w:rPr>
          <w:t xml:space="preserve">PSE’s </w:t>
        </w:r>
        <w:r w:rsidRPr="009C57B1">
          <w:rPr>
            <w:rStyle w:val="Hyperlink"/>
            <w:color w:val="auto"/>
          </w:rPr>
          <w:t>OUTAGE MANAGEMENT AND CUSTOMER INFORMATION SYSTEMS</w:t>
        </w:r>
        <w:r w:rsidRPr="009C57B1">
          <w:rPr>
            <w:webHidden/>
            <w:color w:val="auto"/>
          </w:rPr>
          <w:tab/>
        </w:r>
        <w:r w:rsidRPr="009C57B1">
          <w:rPr>
            <w:webHidden/>
            <w:color w:val="auto"/>
          </w:rPr>
          <w:fldChar w:fldCharType="begin"/>
        </w:r>
        <w:r w:rsidRPr="009C57B1">
          <w:rPr>
            <w:webHidden/>
            <w:color w:val="auto"/>
          </w:rPr>
          <w:instrText xml:space="preserve"> PAGEREF _Toc471483991 \h </w:instrText>
        </w:r>
        <w:r w:rsidRPr="009C57B1">
          <w:rPr>
            <w:webHidden/>
            <w:color w:val="auto"/>
          </w:rPr>
        </w:r>
        <w:r w:rsidRPr="009C57B1">
          <w:rPr>
            <w:webHidden/>
            <w:color w:val="auto"/>
          </w:rPr>
          <w:fldChar w:fldCharType="separate"/>
        </w:r>
        <w:r w:rsidRPr="009C57B1">
          <w:rPr>
            <w:webHidden/>
            <w:color w:val="auto"/>
          </w:rPr>
          <w:t>18</w:t>
        </w:r>
        <w:r w:rsidRPr="009C57B1">
          <w:rPr>
            <w:webHidden/>
            <w:color w:val="auto"/>
          </w:rPr>
          <w:fldChar w:fldCharType="end"/>
        </w:r>
      </w:hyperlink>
    </w:p>
    <w:p w:rsidR="009C57B1" w:rsidRPr="009C57B1" w:rsidRDefault="009C57B1">
      <w:pPr>
        <w:pStyle w:val="TOC1"/>
        <w:rPr>
          <w:rFonts w:asciiTheme="minorHAnsi" w:eastAsiaTheme="minorEastAsia" w:hAnsiTheme="minorHAnsi" w:cstheme="minorBidi"/>
          <w:color w:val="auto"/>
          <w:sz w:val="22"/>
          <w:szCs w:val="22"/>
          <w:lang w:eastAsia="en-US"/>
        </w:rPr>
      </w:pPr>
      <w:hyperlink w:anchor="_Toc471483992" w:history="1">
        <w:r w:rsidRPr="009C57B1">
          <w:rPr>
            <w:rStyle w:val="Hyperlink"/>
            <w:color w:val="auto"/>
          </w:rPr>
          <w:t>VII.</w:t>
        </w:r>
        <w:r w:rsidRPr="009C57B1">
          <w:rPr>
            <w:rFonts w:asciiTheme="minorHAnsi" w:eastAsiaTheme="minorEastAsia" w:hAnsiTheme="minorHAnsi" w:cstheme="minorBidi"/>
            <w:color w:val="auto"/>
            <w:sz w:val="22"/>
            <w:szCs w:val="22"/>
            <w:lang w:eastAsia="en-US"/>
          </w:rPr>
          <w:tab/>
        </w:r>
        <w:r w:rsidRPr="009C57B1">
          <w:rPr>
            <w:rStyle w:val="Hyperlink"/>
            <w:color w:val="auto"/>
          </w:rPr>
          <w:t>CUSTOMERS’ EVOLVING EXPECTATIONS</w:t>
        </w:r>
        <w:r w:rsidRPr="009C57B1">
          <w:rPr>
            <w:webHidden/>
            <w:color w:val="auto"/>
          </w:rPr>
          <w:tab/>
        </w:r>
        <w:r w:rsidRPr="009C57B1">
          <w:rPr>
            <w:webHidden/>
            <w:color w:val="auto"/>
          </w:rPr>
          <w:fldChar w:fldCharType="begin"/>
        </w:r>
        <w:r w:rsidRPr="009C57B1">
          <w:rPr>
            <w:webHidden/>
            <w:color w:val="auto"/>
          </w:rPr>
          <w:instrText xml:space="preserve"> PAGEREF _Toc471483992 \h </w:instrText>
        </w:r>
        <w:r w:rsidRPr="009C57B1">
          <w:rPr>
            <w:webHidden/>
            <w:color w:val="auto"/>
          </w:rPr>
        </w:r>
        <w:r w:rsidRPr="009C57B1">
          <w:rPr>
            <w:webHidden/>
            <w:color w:val="auto"/>
          </w:rPr>
          <w:fldChar w:fldCharType="separate"/>
        </w:r>
        <w:r w:rsidRPr="009C57B1">
          <w:rPr>
            <w:webHidden/>
            <w:color w:val="auto"/>
          </w:rPr>
          <w:t>20</w:t>
        </w:r>
        <w:r w:rsidRPr="009C57B1">
          <w:rPr>
            <w:webHidden/>
            <w:color w:val="auto"/>
          </w:rPr>
          <w:fldChar w:fldCharType="end"/>
        </w:r>
      </w:hyperlink>
    </w:p>
    <w:p w:rsidR="009C57B1" w:rsidRPr="009C57B1" w:rsidRDefault="009C57B1">
      <w:pPr>
        <w:pStyle w:val="TOC1"/>
        <w:rPr>
          <w:rFonts w:asciiTheme="minorHAnsi" w:eastAsiaTheme="minorEastAsia" w:hAnsiTheme="minorHAnsi" w:cstheme="minorBidi"/>
          <w:color w:val="auto"/>
          <w:sz w:val="22"/>
          <w:szCs w:val="22"/>
          <w:lang w:eastAsia="en-US"/>
        </w:rPr>
      </w:pPr>
      <w:hyperlink w:anchor="_Toc471483993" w:history="1">
        <w:r w:rsidRPr="009C57B1">
          <w:rPr>
            <w:rStyle w:val="Hyperlink"/>
            <w:color w:val="auto"/>
          </w:rPr>
          <w:t>VIII.</w:t>
        </w:r>
        <w:r w:rsidRPr="009C57B1">
          <w:rPr>
            <w:rFonts w:asciiTheme="minorHAnsi" w:eastAsiaTheme="minorEastAsia" w:hAnsiTheme="minorHAnsi" w:cstheme="minorBidi"/>
            <w:color w:val="auto"/>
            <w:sz w:val="22"/>
            <w:szCs w:val="22"/>
            <w:lang w:eastAsia="en-US"/>
          </w:rPr>
          <w:tab/>
        </w:r>
        <w:r w:rsidRPr="009C57B1">
          <w:rPr>
            <w:rStyle w:val="Hyperlink"/>
            <w:color w:val="auto"/>
          </w:rPr>
          <w:t>CONCLUSION</w:t>
        </w:r>
        <w:r w:rsidRPr="009C57B1">
          <w:rPr>
            <w:webHidden/>
            <w:color w:val="auto"/>
          </w:rPr>
          <w:tab/>
        </w:r>
        <w:r w:rsidRPr="009C57B1">
          <w:rPr>
            <w:webHidden/>
            <w:color w:val="auto"/>
          </w:rPr>
          <w:fldChar w:fldCharType="begin"/>
        </w:r>
        <w:r w:rsidRPr="009C57B1">
          <w:rPr>
            <w:webHidden/>
            <w:color w:val="auto"/>
          </w:rPr>
          <w:instrText xml:space="preserve"> PAGEREF _Toc471483993 \h </w:instrText>
        </w:r>
        <w:r w:rsidRPr="009C57B1">
          <w:rPr>
            <w:webHidden/>
            <w:color w:val="auto"/>
          </w:rPr>
        </w:r>
        <w:r w:rsidRPr="009C57B1">
          <w:rPr>
            <w:webHidden/>
            <w:color w:val="auto"/>
          </w:rPr>
          <w:fldChar w:fldCharType="separate"/>
        </w:r>
        <w:r w:rsidRPr="009C57B1">
          <w:rPr>
            <w:webHidden/>
            <w:color w:val="auto"/>
          </w:rPr>
          <w:t>22</w:t>
        </w:r>
        <w:r w:rsidRPr="009C57B1">
          <w:rPr>
            <w:webHidden/>
            <w:color w:val="auto"/>
          </w:rPr>
          <w:fldChar w:fldCharType="end"/>
        </w:r>
      </w:hyperlink>
    </w:p>
    <w:p w:rsidR="00087472" w:rsidRDefault="00ED4629">
      <w:pPr>
        <w:pStyle w:val="Title1"/>
        <w:keepNext w:val="0"/>
        <w:keepLines w:val="0"/>
        <w:widowControl w:val="0"/>
        <w:tabs>
          <w:tab w:val="left" w:leader="dot" w:pos="8640"/>
        </w:tabs>
        <w:spacing w:after="240" w:line="240" w:lineRule="auto"/>
        <w:rPr>
          <w:b w:val="0"/>
          <w:szCs w:val="24"/>
        </w:rPr>
        <w:sectPr w:rsidR="00087472">
          <w:headerReference w:type="default" r:id="rId19"/>
          <w:footerReference w:type="default" r:id="rId20"/>
          <w:footerReference w:type="first" r:id="rId21"/>
          <w:pgSz w:w="12240" w:h="15840" w:code="1"/>
          <w:pgMar w:top="1440" w:right="1440" w:bottom="1440" w:left="2160" w:header="864" w:footer="576" w:gutter="0"/>
          <w:pgNumType w:fmt="lowerRoman" w:start="1"/>
          <w:cols w:space="720"/>
        </w:sectPr>
      </w:pPr>
      <w:r w:rsidRPr="009C57B1">
        <w:rPr>
          <w:b w:val="0"/>
          <w:szCs w:val="24"/>
        </w:rPr>
        <w:fldChar w:fldCharType="end"/>
      </w:r>
      <w:bookmarkStart w:id="6" w:name="_GoBack"/>
      <w:bookmarkEnd w:id="6"/>
    </w:p>
    <w:p w:rsidR="00C02ACF" w:rsidRDefault="00ED4629" w:rsidP="00C02ACF">
      <w:pPr>
        <w:keepNext/>
        <w:spacing w:before="240" w:after="480" w:line="240" w:lineRule="auto"/>
        <w:ind w:firstLine="0"/>
        <w:jc w:val="center"/>
        <w:rPr>
          <w:b/>
          <w:szCs w:val="24"/>
        </w:rPr>
      </w:pPr>
      <w:r w:rsidRPr="00C02ACF">
        <w:rPr>
          <w:b/>
          <w:szCs w:val="24"/>
        </w:rPr>
        <w:lastRenderedPageBreak/>
        <w:t>PUGET SOUND ENERGY</w:t>
      </w:r>
      <w:bookmarkStart w:id="7" w:name="_Toc117411518"/>
      <w:bookmarkStart w:id="8" w:name="_Toc125892215"/>
    </w:p>
    <w:p w:rsidR="00087472" w:rsidRPr="00C02ACF" w:rsidRDefault="00ED4629" w:rsidP="00C02ACF">
      <w:pPr>
        <w:keepNext/>
        <w:spacing w:before="240" w:after="480" w:line="240" w:lineRule="auto"/>
        <w:ind w:firstLine="0"/>
        <w:jc w:val="center"/>
        <w:rPr>
          <w:rStyle w:val="Strong"/>
          <w:rFonts w:eastAsia="SimSun"/>
          <w:b w:val="0"/>
          <w:szCs w:val="24"/>
          <w:lang w:eastAsia="en-US"/>
        </w:rPr>
      </w:pPr>
      <w:proofErr w:type="spellStart"/>
      <w:r w:rsidRPr="00C02ACF">
        <w:rPr>
          <w:rStyle w:val="Strong"/>
          <w:szCs w:val="24"/>
        </w:rPr>
        <w:t>PREFILED</w:t>
      </w:r>
      <w:proofErr w:type="spellEnd"/>
      <w:r w:rsidRPr="00C02ACF">
        <w:rPr>
          <w:rStyle w:val="Strong"/>
          <w:szCs w:val="24"/>
        </w:rPr>
        <w:t xml:space="preserve"> DIRECT TESTIMONY</w:t>
      </w:r>
      <w:r w:rsidRPr="00C02ACF">
        <w:rPr>
          <w:color w:val="000000"/>
          <w:szCs w:val="24"/>
        </w:rPr>
        <w:t xml:space="preserve"> </w:t>
      </w:r>
      <w:r w:rsidRPr="00C02ACF">
        <w:rPr>
          <w:b/>
          <w:color w:val="000000"/>
          <w:szCs w:val="24"/>
        </w:rPr>
        <w:t>(</w:t>
      </w:r>
      <w:proofErr w:type="spellStart"/>
      <w:r w:rsidRPr="00C02ACF">
        <w:rPr>
          <w:b/>
          <w:color w:val="000000"/>
          <w:szCs w:val="24"/>
        </w:rPr>
        <w:t>NONCONFIDENTIAL</w:t>
      </w:r>
      <w:proofErr w:type="spellEnd"/>
      <w:r w:rsidRPr="00C02ACF">
        <w:rPr>
          <w:color w:val="000000"/>
          <w:szCs w:val="24"/>
        </w:rPr>
        <w:t>)</w:t>
      </w:r>
      <w:r w:rsidRPr="00C02ACF">
        <w:rPr>
          <w:rStyle w:val="Strong"/>
          <w:szCs w:val="24"/>
        </w:rPr>
        <w:t xml:space="preserve"> OF</w:t>
      </w:r>
      <w:r w:rsidRPr="00C02ACF">
        <w:rPr>
          <w:rStyle w:val="Strong"/>
          <w:b w:val="0"/>
          <w:szCs w:val="24"/>
        </w:rPr>
        <w:br/>
      </w:r>
      <w:r w:rsidRPr="00C02ACF">
        <w:rPr>
          <w:b/>
          <w:color w:val="000000"/>
          <w:szCs w:val="24"/>
        </w:rPr>
        <w:t>GREG J. ZELLER</w:t>
      </w:r>
    </w:p>
    <w:p w:rsidR="00087472" w:rsidRPr="00C02ACF" w:rsidRDefault="00ED4629" w:rsidP="007B4D52">
      <w:pPr>
        <w:pStyle w:val="Heading1"/>
        <w:rPr>
          <w:rFonts w:eastAsia="SimSun"/>
        </w:rPr>
      </w:pPr>
      <w:bookmarkStart w:id="9" w:name="_Toc530981222"/>
      <w:bookmarkStart w:id="10" w:name="_Toc530989798"/>
      <w:bookmarkStart w:id="11" w:name="_Toc127352133"/>
      <w:bookmarkStart w:id="12" w:name="_Toc183245340"/>
      <w:bookmarkStart w:id="13" w:name="_Toc127705535"/>
      <w:bookmarkStart w:id="14" w:name="_Toc471483986"/>
      <w:r w:rsidRPr="00C02ACF">
        <w:t>I.</w:t>
      </w:r>
      <w:r w:rsidRPr="00C02ACF">
        <w:tab/>
        <w:t>INTRODUCTION</w:t>
      </w:r>
      <w:bookmarkEnd w:id="9"/>
      <w:bookmarkEnd w:id="10"/>
      <w:bookmarkEnd w:id="11"/>
      <w:bookmarkEnd w:id="12"/>
      <w:bookmarkEnd w:id="13"/>
      <w:bookmarkEnd w:id="14"/>
    </w:p>
    <w:bookmarkEnd w:id="7"/>
    <w:bookmarkEnd w:id="8"/>
    <w:p w:rsidR="00087472" w:rsidRDefault="00ED4629" w:rsidP="00C02ACF">
      <w:pPr>
        <w:pStyle w:val="question"/>
      </w:pPr>
      <w:r>
        <w:t>Q.</w:t>
      </w:r>
      <w:r>
        <w:tab/>
        <w:t>Please state your name, business address, and position with Puget Sound Energy.</w:t>
      </w:r>
    </w:p>
    <w:p w:rsidR="00087472" w:rsidRDefault="00ED4629">
      <w:pPr>
        <w:pStyle w:val="Answer1"/>
      </w:pPr>
      <w:r>
        <w:t>A.</w:t>
      </w:r>
      <w:r>
        <w:tab/>
        <w:t>My name is Greg Zeller.</w:t>
      </w:r>
      <w:r w:rsidR="00C02ACF">
        <w:t xml:space="preserve"> </w:t>
      </w:r>
      <w:r>
        <w:t>My business address is 10885 N.E. Fourth Street, Bellevue, WA 98004.</w:t>
      </w:r>
      <w:r w:rsidR="00C02ACF">
        <w:t xml:space="preserve"> </w:t>
      </w:r>
      <w:r>
        <w:t>I am the Director Customer Care for Puget Sound Energy (“PSE”).</w:t>
      </w:r>
    </w:p>
    <w:p w:rsidR="00087472" w:rsidRDefault="00ED4629" w:rsidP="00C02ACF">
      <w:pPr>
        <w:pStyle w:val="question"/>
      </w:pPr>
      <w:r>
        <w:t>Q.</w:t>
      </w:r>
      <w:r>
        <w:tab/>
        <w:t xml:space="preserve">Have you prepared an exhibit describing your </w:t>
      </w:r>
      <w:r w:rsidR="00C03789">
        <w:t>p</w:t>
      </w:r>
      <w:r>
        <w:t>rofessional qualifications?</w:t>
      </w:r>
    </w:p>
    <w:p w:rsidR="00087472" w:rsidRDefault="00ED4629">
      <w:pPr>
        <w:pStyle w:val="Answer1"/>
      </w:pPr>
      <w:r>
        <w:t>A.</w:t>
      </w:r>
      <w:r>
        <w:tab/>
        <w:t>Yes, I have.</w:t>
      </w:r>
      <w:r w:rsidR="00C02ACF">
        <w:t xml:space="preserve"> </w:t>
      </w:r>
      <w:r>
        <w:t>It is Exhibit No.</w:t>
      </w:r>
      <w:r w:rsidR="00C02ACF">
        <w:t> </w:t>
      </w:r>
      <w:r>
        <w:t>__</w:t>
      </w:r>
      <w:r w:rsidR="00D813CD">
        <w:t>_</w:t>
      </w:r>
      <w:r w:rsidR="001B1F9D">
        <w:t>(</w:t>
      </w:r>
      <w:r>
        <w:t>GJZ-2).</w:t>
      </w:r>
    </w:p>
    <w:p w:rsidR="00087472" w:rsidRDefault="00ED4629" w:rsidP="00C02ACF">
      <w:pPr>
        <w:pStyle w:val="question"/>
      </w:pPr>
      <w:r>
        <w:t>Q.</w:t>
      </w:r>
      <w:r>
        <w:tab/>
        <w:t>What are your duties as Director Customer Care for PSE?</w:t>
      </w:r>
    </w:p>
    <w:p w:rsidR="00087472" w:rsidRDefault="00ED4629">
      <w:pPr>
        <w:pStyle w:val="Answer1"/>
      </w:pPr>
      <w:r>
        <w:t>A.</w:t>
      </w:r>
      <w:r>
        <w:tab/>
        <w:t>I am responsible for the strategy and overall operations of customer services including the call center, customer experience (customer self-service channels), applications support for call center technologies, billing services, credit and collection services, customer related field and metering services, meter maintenance and support, and business reporting and analytics.</w:t>
      </w:r>
      <w:r w:rsidR="00C02ACF">
        <w:t xml:space="preserve"> </w:t>
      </w:r>
      <w:r>
        <w:t xml:space="preserve">I direct efforts to meet certain service quality indices as mandated by the </w:t>
      </w:r>
      <w:r w:rsidR="00C03789">
        <w:t>Washington Utilities and Transportation Commission (“Commission”)</w:t>
      </w:r>
      <w:r>
        <w:t xml:space="preserve"> and key business performance indicators, tariff requirements, WAC and RCW rules, and customer privacy secu</w:t>
      </w:r>
      <w:r w:rsidR="00C02ACF">
        <w:t>rity regulations and policies.</w:t>
      </w:r>
    </w:p>
    <w:p w:rsidR="00087472" w:rsidRDefault="00ED4629" w:rsidP="00C02ACF">
      <w:pPr>
        <w:pStyle w:val="question"/>
      </w:pPr>
      <w:r>
        <w:lastRenderedPageBreak/>
        <w:t>Q.</w:t>
      </w:r>
      <w:r>
        <w:tab/>
        <w:t>What is the nature of your testimony in this proceeding?</w:t>
      </w:r>
    </w:p>
    <w:p w:rsidR="00087472" w:rsidRDefault="00ED4629">
      <w:pPr>
        <w:pStyle w:val="Answer1"/>
      </w:pPr>
      <w:r>
        <w:t>A.</w:t>
      </w:r>
      <w:r>
        <w:tab/>
        <w:t>My testimony provides an overview of PSE’s Service Quality Index (“</w:t>
      </w:r>
      <w:proofErr w:type="spellStart"/>
      <w:r>
        <w:t>SQI</w:t>
      </w:r>
      <w:proofErr w:type="spellEnd"/>
      <w:r>
        <w:t xml:space="preserve">”) Program and PSE’s recommendation to modify </w:t>
      </w:r>
      <w:proofErr w:type="spellStart"/>
      <w:r>
        <w:t>SQI</w:t>
      </w:r>
      <w:proofErr w:type="spellEnd"/>
      <w:r>
        <w:t xml:space="preserve"> No. 5 – Customer Access Center Answering Performance metric</w:t>
      </w:r>
      <w:r w:rsidR="00C03789">
        <w:t xml:space="preserve"> PSE is proposing</w:t>
      </w:r>
      <w:r>
        <w:t xml:space="preserve"> to include the Integrated Voice Response (</w:t>
      </w:r>
      <w:r w:rsidR="00C03789">
        <w:t>“</w:t>
      </w:r>
      <w:proofErr w:type="spellStart"/>
      <w:r>
        <w:t>IVR</w:t>
      </w:r>
      <w:proofErr w:type="spellEnd"/>
      <w:r w:rsidR="00C03789">
        <w:t>”</w:t>
      </w:r>
      <w:r>
        <w:t>) self-service transactions in the calculation in order to better reflect today’s customer service expectations.</w:t>
      </w:r>
      <w:r w:rsidR="00C02ACF">
        <w:t xml:space="preserve"> </w:t>
      </w:r>
      <w:r>
        <w:t xml:space="preserve">The </w:t>
      </w:r>
      <w:proofErr w:type="spellStart"/>
      <w:r>
        <w:t>SQI</w:t>
      </w:r>
      <w:proofErr w:type="spellEnd"/>
      <w:r>
        <w:t xml:space="preserve"> No. 5 measurement has not changed since 1997 when it was originally established and measures </w:t>
      </w:r>
      <w:r w:rsidR="00DD57AD">
        <w:t>only one</w:t>
      </w:r>
      <w:r>
        <w:t xml:space="preserve"> currently declining customer contact channel.</w:t>
      </w:r>
      <w:r w:rsidR="00C02ACF">
        <w:t xml:space="preserve"> </w:t>
      </w:r>
      <w:r>
        <w:t>Customer’s expectations for greater self-service choice and better service have changed significantly since 1997.</w:t>
      </w:r>
      <w:r w:rsidR="00C02ACF">
        <w:t xml:space="preserve"> </w:t>
      </w:r>
      <w:r>
        <w:t xml:space="preserve">There is a growing segment of the PSE customers who expect </w:t>
      </w:r>
      <w:r w:rsidR="00DD57AD">
        <w:t xml:space="preserve">more sophisticated </w:t>
      </w:r>
      <w:r>
        <w:t>self-serve options</w:t>
      </w:r>
      <w:r w:rsidR="00DD57AD">
        <w:t>,</w:t>
      </w:r>
      <w:r>
        <w:t xml:space="preserve"> and with recent technology upgrades PSE has begun to enable more self-serve communication channels.</w:t>
      </w:r>
      <w:r w:rsidR="00C02ACF">
        <w:t xml:space="preserve"> </w:t>
      </w:r>
      <w:r>
        <w:t xml:space="preserve">Customers are responding </w:t>
      </w:r>
      <w:r w:rsidR="00DD57AD">
        <w:t xml:space="preserve">enthusiastically </w:t>
      </w:r>
      <w:r>
        <w:t xml:space="preserve">to the new self-serve channels and PSE is experiencing </w:t>
      </w:r>
      <w:r w:rsidR="00C02ACF">
        <w:t>increased customer utilization.</w:t>
      </w:r>
    </w:p>
    <w:p w:rsidR="00087472" w:rsidRPr="00C02ACF" w:rsidRDefault="00ED4629" w:rsidP="007B4D52">
      <w:pPr>
        <w:pStyle w:val="Heading1"/>
        <w:rPr>
          <w:rFonts w:eastAsia="SimSun"/>
        </w:rPr>
      </w:pPr>
      <w:bookmarkStart w:id="15" w:name="_Toc105737795"/>
      <w:bookmarkStart w:id="16" w:name="_Toc173038275"/>
      <w:bookmarkStart w:id="17" w:name="_Toc183245341"/>
      <w:bookmarkStart w:id="18" w:name="_Toc471483987"/>
      <w:r>
        <w:t>II.</w:t>
      </w:r>
      <w:r>
        <w:tab/>
        <w:t>PSE’S SERVICE QUALITY PROGRAM</w:t>
      </w:r>
      <w:bookmarkEnd w:id="18"/>
      <w:r>
        <w:t xml:space="preserve"> </w:t>
      </w:r>
    </w:p>
    <w:bookmarkEnd w:id="15"/>
    <w:bookmarkEnd w:id="16"/>
    <w:bookmarkEnd w:id="17"/>
    <w:p w:rsidR="00087472" w:rsidRDefault="00ED4629" w:rsidP="00C02ACF">
      <w:pPr>
        <w:pStyle w:val="question"/>
      </w:pPr>
      <w:r>
        <w:t>Q.</w:t>
      </w:r>
      <w:r>
        <w:tab/>
        <w:t>Please describe PSE’s Service Quality Program.</w:t>
      </w:r>
    </w:p>
    <w:p w:rsidR="00087472" w:rsidRDefault="00ED4629" w:rsidP="002A766E">
      <w:pPr>
        <w:pStyle w:val="Answer1"/>
        <w:spacing w:after="0"/>
      </w:pPr>
      <w:r>
        <w:t>A.</w:t>
      </w:r>
      <w:r>
        <w:tab/>
        <w:t>PSE first implemented its Service Quality Program ("SQ Program") in 1997 pursuant to Docket</w:t>
      </w:r>
      <w:r w:rsidR="00DD57AD">
        <w:t>s</w:t>
      </w:r>
      <w:r>
        <w:t xml:space="preserve"> UE-951270 and UE-960195, the dockets approving the merger of Washington Natural Gas Company and Puget Sound Power &amp; Light Company ("Merger").</w:t>
      </w:r>
      <w:r w:rsidR="00C02ACF">
        <w:t xml:space="preserve"> </w:t>
      </w:r>
      <w:r>
        <w:t xml:space="preserve">The purpose of the SQ Program is to “provide a specific mechanism to assure customers that they will not experience deterioration in </w:t>
      </w:r>
      <w:r>
        <w:lastRenderedPageBreak/>
        <w:t>quality of service”</w:t>
      </w:r>
      <w:r>
        <w:rPr>
          <w:vertAlign w:val="superscript"/>
        </w:rPr>
        <w:footnoteReference w:id="1"/>
      </w:r>
      <w:r>
        <w:t xml:space="preserve"> and to “protect customers of PSE from poorly-targeted cost cutting”</w:t>
      </w:r>
      <w:r>
        <w:rPr>
          <w:vertAlign w:val="superscript"/>
        </w:rPr>
        <w:footnoteReference w:id="2"/>
      </w:r>
      <w:r>
        <w:rPr>
          <w:vertAlign w:val="superscript"/>
        </w:rPr>
        <w:t xml:space="preserve"> </w:t>
      </w:r>
      <w:r>
        <w:t>as a result of that Merger.</w:t>
      </w:r>
      <w:r w:rsidR="00C02ACF">
        <w:t xml:space="preserve"> </w:t>
      </w:r>
    </w:p>
    <w:p w:rsidR="00087472" w:rsidRDefault="00ED4629" w:rsidP="00C02ACF">
      <w:pPr>
        <w:pStyle w:val="Answer1"/>
        <w:spacing w:after="0"/>
        <w:ind w:firstLine="0"/>
      </w:pPr>
      <w:r>
        <w:t xml:space="preserve">The </w:t>
      </w:r>
      <w:proofErr w:type="spellStart"/>
      <w:r>
        <w:t>SQ</w:t>
      </w:r>
      <w:proofErr w:type="spellEnd"/>
      <w:r>
        <w:t xml:space="preserve"> Program includes three components:</w:t>
      </w:r>
    </w:p>
    <w:p w:rsidR="00087472" w:rsidRDefault="00ED4629" w:rsidP="003E5D7B">
      <w:pPr>
        <w:pStyle w:val="ListParagraph"/>
        <w:numPr>
          <w:ilvl w:val="0"/>
          <w:numId w:val="48"/>
        </w:numPr>
        <w:kinsoku w:val="0"/>
        <w:overflowPunct w:val="0"/>
        <w:autoSpaceDE w:val="0"/>
        <w:autoSpaceDN w:val="0"/>
        <w:adjustRightInd w:val="0"/>
        <w:spacing w:before="240" w:after="240" w:line="240" w:lineRule="auto"/>
        <w:ind w:right="274"/>
        <w:contextualSpacing w:val="0"/>
      </w:pPr>
      <w:r>
        <w:t>Customer Service Guarantee</w:t>
      </w:r>
      <w:r w:rsidR="002A766E">
        <w:t>:</w:t>
      </w:r>
      <w:r w:rsidR="00C02ACF">
        <w:t xml:space="preserve"> </w:t>
      </w:r>
      <w:r>
        <w:t>The Customer Service Guarantee provides for a $50 missed appointment credit for both natural gas and electric service.</w:t>
      </w:r>
      <w:r w:rsidR="00C02ACF">
        <w:t xml:space="preserve"> </w:t>
      </w:r>
      <w:r>
        <w:t>This guarantee became effective in 1997.</w:t>
      </w:r>
    </w:p>
    <w:p w:rsidR="00087472" w:rsidRDefault="00ED4629" w:rsidP="003E5D7B">
      <w:pPr>
        <w:pStyle w:val="ListParagraph"/>
        <w:numPr>
          <w:ilvl w:val="0"/>
          <w:numId w:val="48"/>
        </w:numPr>
        <w:tabs>
          <w:tab w:val="left" w:pos="2394"/>
        </w:tabs>
        <w:kinsoku w:val="0"/>
        <w:overflowPunct w:val="0"/>
        <w:autoSpaceDE w:val="0"/>
        <w:autoSpaceDN w:val="0"/>
        <w:adjustRightInd w:val="0"/>
        <w:spacing w:before="240" w:after="240" w:line="240" w:lineRule="auto"/>
        <w:ind w:right="777"/>
        <w:contextualSpacing w:val="0"/>
      </w:pPr>
      <w:r>
        <w:t>Restoration Service Guarantee</w:t>
      </w:r>
      <w:r w:rsidR="002A766E">
        <w:t>:</w:t>
      </w:r>
      <w:r w:rsidR="00C02ACF">
        <w:t xml:space="preserve"> </w:t>
      </w:r>
      <w:r>
        <w:t>The Restoration Service Guarantee provides for a $50 electric outage restoration credit to a qualified PSE electric customer.</w:t>
      </w:r>
      <w:r w:rsidR="00C02ACF">
        <w:t xml:space="preserve"> </w:t>
      </w:r>
      <w:r>
        <w:t>This guarantee was established in 2008.</w:t>
      </w:r>
    </w:p>
    <w:p w:rsidR="003E5D7B" w:rsidRDefault="00ED4629" w:rsidP="00C02ACF">
      <w:pPr>
        <w:pStyle w:val="ListParagraph"/>
        <w:numPr>
          <w:ilvl w:val="0"/>
          <w:numId w:val="48"/>
        </w:numPr>
        <w:tabs>
          <w:tab w:val="left" w:pos="2394"/>
        </w:tabs>
        <w:kinsoku w:val="0"/>
        <w:overflowPunct w:val="0"/>
        <w:autoSpaceDE w:val="0"/>
        <w:autoSpaceDN w:val="0"/>
        <w:adjustRightInd w:val="0"/>
        <w:spacing w:before="240" w:after="240" w:line="267" w:lineRule="auto"/>
        <w:ind w:right="777"/>
        <w:contextualSpacing w:val="0"/>
      </w:pPr>
      <w:r>
        <w:t>Service Quality Indices</w:t>
      </w:r>
      <w:r w:rsidR="002A766E">
        <w:t>:</w:t>
      </w:r>
      <w:r w:rsidR="00C02ACF">
        <w:t xml:space="preserve"> </w:t>
      </w:r>
      <w:r>
        <w:t xml:space="preserve">PSE currently reports semiannually and annually to the UTC on nine </w:t>
      </w:r>
      <w:proofErr w:type="spellStart"/>
      <w:r>
        <w:t>SQIs</w:t>
      </w:r>
      <w:proofErr w:type="spellEnd"/>
      <w:r>
        <w:t>.</w:t>
      </w:r>
      <w:r w:rsidR="00C02ACF">
        <w:t xml:space="preserve"> </w:t>
      </w:r>
      <w:r>
        <w:t xml:space="preserve">The table below shows the indices, their associated benchmark, and PSE’s 2015 </w:t>
      </w:r>
      <w:proofErr w:type="spellStart"/>
      <w:r>
        <w:t>SQI</w:t>
      </w:r>
      <w:proofErr w:type="spellEnd"/>
      <w:r>
        <w:t xml:space="preserve"> performance.</w:t>
      </w:r>
      <w:r w:rsidR="003E5D7B">
        <w:br w:type="page"/>
      </w:r>
    </w:p>
    <w:tbl>
      <w:tblPr>
        <w:tblW w:w="6969" w:type="dxa"/>
        <w:tblInd w:w="1440" w:type="dxa"/>
        <w:tblLook w:val="04A0" w:firstRow="1" w:lastRow="0" w:firstColumn="1" w:lastColumn="0" w:noHBand="0" w:noVBand="1"/>
      </w:tblPr>
      <w:tblGrid>
        <w:gridCol w:w="827"/>
        <w:gridCol w:w="1812"/>
        <w:gridCol w:w="3114"/>
        <w:gridCol w:w="1216"/>
      </w:tblGrid>
      <w:tr w:rsidR="00087472">
        <w:trPr>
          <w:trHeight w:val="574"/>
          <w:tblHeader/>
        </w:trPr>
        <w:tc>
          <w:tcPr>
            <w:tcW w:w="6969" w:type="dxa"/>
            <w:gridSpan w:val="4"/>
            <w:tcBorders>
              <w:bottom w:val="single" w:sz="4" w:space="0" w:color="auto"/>
            </w:tcBorders>
            <w:shd w:val="clear" w:color="auto" w:fill="FFFFFF" w:themeFill="background1"/>
            <w:vAlign w:val="center"/>
          </w:tcPr>
          <w:p w:rsidR="00087472" w:rsidRPr="002A766E" w:rsidRDefault="002A766E">
            <w:pPr>
              <w:spacing w:line="240" w:lineRule="auto"/>
              <w:ind w:firstLine="0"/>
              <w:jc w:val="center"/>
              <w:rPr>
                <w:b/>
                <w:bCs/>
                <w:sz w:val="20"/>
                <w:lang w:eastAsia="en-US"/>
              </w:rPr>
            </w:pPr>
            <w:r w:rsidRPr="002A766E">
              <w:rPr>
                <w:b/>
                <w:bCs/>
                <w:sz w:val="20"/>
                <w:lang w:eastAsia="en-US"/>
              </w:rPr>
              <w:lastRenderedPageBreak/>
              <w:t>Table 1</w:t>
            </w:r>
            <w:r>
              <w:rPr>
                <w:b/>
                <w:bCs/>
                <w:sz w:val="20"/>
                <w:lang w:eastAsia="en-US"/>
              </w:rPr>
              <w:t xml:space="preserve"> - </w:t>
            </w:r>
            <w:proofErr w:type="spellStart"/>
            <w:r>
              <w:rPr>
                <w:b/>
                <w:bCs/>
                <w:sz w:val="20"/>
                <w:lang w:eastAsia="en-US"/>
              </w:rPr>
              <w:t>SQ</w:t>
            </w:r>
            <w:proofErr w:type="spellEnd"/>
            <w:r>
              <w:rPr>
                <w:b/>
                <w:bCs/>
                <w:sz w:val="20"/>
                <w:lang w:eastAsia="en-US"/>
              </w:rPr>
              <w:t xml:space="preserve"> Program Components</w:t>
            </w:r>
          </w:p>
        </w:tc>
      </w:tr>
      <w:tr w:rsidR="00087472">
        <w:trPr>
          <w:trHeight w:val="574"/>
          <w:tblHeader/>
        </w:trPr>
        <w:tc>
          <w:tcPr>
            <w:tcW w:w="0" w:type="auto"/>
            <w:tcBorders>
              <w:top w:val="single" w:sz="4" w:space="0" w:color="auto"/>
              <w:left w:val="single" w:sz="4" w:space="0" w:color="auto"/>
              <w:bottom w:val="single" w:sz="4" w:space="0" w:color="auto"/>
            </w:tcBorders>
            <w:shd w:val="clear" w:color="auto" w:fill="D9D9D9" w:themeFill="background1" w:themeFillShade="D9"/>
            <w:hideMark/>
          </w:tcPr>
          <w:p w:rsidR="00087472" w:rsidRDefault="00ED4629">
            <w:pPr>
              <w:spacing w:line="240" w:lineRule="auto"/>
              <w:ind w:firstLine="0"/>
              <w:jc w:val="center"/>
              <w:rPr>
                <w:b/>
                <w:bCs/>
                <w:sz w:val="18"/>
                <w:szCs w:val="18"/>
                <w:lang w:eastAsia="en-US"/>
              </w:rPr>
            </w:pPr>
            <w:r>
              <w:rPr>
                <w:b/>
                <w:bCs/>
                <w:sz w:val="18"/>
                <w:szCs w:val="18"/>
                <w:lang w:eastAsia="en-US"/>
              </w:rPr>
              <w:t>SQI No.</w:t>
            </w:r>
          </w:p>
        </w:tc>
        <w:tc>
          <w:tcPr>
            <w:tcW w:w="1812" w:type="dxa"/>
            <w:tcBorders>
              <w:top w:val="single" w:sz="4" w:space="0" w:color="auto"/>
              <w:bottom w:val="single" w:sz="4" w:space="0" w:color="auto"/>
            </w:tcBorders>
            <w:shd w:val="clear" w:color="auto" w:fill="D9D9D9" w:themeFill="background1" w:themeFillShade="D9"/>
            <w:hideMark/>
          </w:tcPr>
          <w:p w:rsidR="00087472" w:rsidRDefault="00ED4629">
            <w:pPr>
              <w:spacing w:line="240" w:lineRule="auto"/>
              <w:ind w:firstLine="0"/>
              <w:jc w:val="center"/>
              <w:rPr>
                <w:b/>
                <w:bCs/>
                <w:sz w:val="18"/>
                <w:szCs w:val="18"/>
                <w:lang w:eastAsia="en-US"/>
              </w:rPr>
            </w:pPr>
            <w:r>
              <w:rPr>
                <w:b/>
                <w:bCs/>
                <w:sz w:val="18"/>
                <w:szCs w:val="18"/>
                <w:lang w:eastAsia="en-US"/>
              </w:rPr>
              <w:t>Service Quality Index</w:t>
            </w:r>
          </w:p>
        </w:tc>
        <w:tc>
          <w:tcPr>
            <w:tcW w:w="3114" w:type="dxa"/>
            <w:tcBorders>
              <w:top w:val="single" w:sz="4" w:space="0" w:color="auto"/>
              <w:bottom w:val="single" w:sz="4" w:space="0" w:color="auto"/>
            </w:tcBorders>
            <w:shd w:val="clear" w:color="auto" w:fill="D9D9D9" w:themeFill="background1" w:themeFillShade="D9"/>
            <w:hideMark/>
          </w:tcPr>
          <w:p w:rsidR="00087472" w:rsidRDefault="00ED4629">
            <w:pPr>
              <w:spacing w:line="240" w:lineRule="auto"/>
              <w:ind w:firstLine="0"/>
              <w:jc w:val="center"/>
              <w:rPr>
                <w:b/>
                <w:bCs/>
                <w:sz w:val="18"/>
                <w:szCs w:val="18"/>
                <w:lang w:eastAsia="en-US"/>
              </w:rPr>
            </w:pPr>
            <w:r>
              <w:rPr>
                <w:b/>
                <w:bCs/>
                <w:sz w:val="18"/>
                <w:szCs w:val="18"/>
                <w:lang w:eastAsia="en-US"/>
              </w:rPr>
              <w:t>Annual Benchmark</w:t>
            </w:r>
          </w:p>
        </w:tc>
        <w:tc>
          <w:tcPr>
            <w:tcW w:w="1216" w:type="dxa"/>
            <w:tcBorders>
              <w:top w:val="single" w:sz="4" w:space="0" w:color="auto"/>
              <w:bottom w:val="single" w:sz="4" w:space="0" w:color="auto"/>
              <w:right w:val="single" w:sz="4" w:space="0" w:color="auto"/>
            </w:tcBorders>
            <w:shd w:val="clear" w:color="auto" w:fill="D9D9D9" w:themeFill="background1" w:themeFillShade="D9"/>
            <w:hideMark/>
          </w:tcPr>
          <w:p w:rsidR="00087472" w:rsidRDefault="00ED4629">
            <w:pPr>
              <w:spacing w:line="240" w:lineRule="auto"/>
              <w:ind w:firstLine="0"/>
              <w:jc w:val="center"/>
              <w:rPr>
                <w:b/>
                <w:bCs/>
                <w:sz w:val="18"/>
                <w:szCs w:val="18"/>
                <w:lang w:eastAsia="en-US"/>
              </w:rPr>
            </w:pPr>
            <w:r>
              <w:rPr>
                <w:b/>
                <w:bCs/>
                <w:sz w:val="18"/>
                <w:szCs w:val="18"/>
                <w:lang w:eastAsia="en-US"/>
              </w:rPr>
              <w:t>2015 SQI Performance</w:t>
            </w:r>
          </w:p>
        </w:tc>
      </w:tr>
      <w:tr w:rsidR="00087472">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2</w:t>
            </w:r>
          </w:p>
        </w:tc>
        <w:tc>
          <w:tcPr>
            <w:tcW w:w="1812"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UTC Complaint Ratio</w:t>
            </w:r>
          </w:p>
        </w:tc>
        <w:tc>
          <w:tcPr>
            <w:tcW w:w="3114"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0.40 complaints per 1000 customers, including all complaints filed with UTC</w:t>
            </w:r>
          </w:p>
        </w:tc>
        <w:tc>
          <w:tcPr>
            <w:tcW w:w="1216" w:type="dxa"/>
            <w:tcBorders>
              <w:top w:val="nil"/>
              <w:left w:val="nil"/>
              <w:bottom w:val="single" w:sz="4" w:space="0" w:color="auto"/>
              <w:right w:val="single" w:sz="4" w:space="0" w:color="auto"/>
            </w:tcBorders>
            <w:shd w:val="clear" w:color="auto" w:fill="auto"/>
            <w:noWrap/>
            <w:hideMark/>
          </w:tcPr>
          <w:p w:rsidR="00087472" w:rsidRDefault="00ED4629">
            <w:pPr>
              <w:spacing w:line="240" w:lineRule="auto"/>
              <w:ind w:firstLine="0"/>
              <w:jc w:val="right"/>
              <w:rPr>
                <w:sz w:val="18"/>
                <w:szCs w:val="18"/>
                <w:lang w:eastAsia="en-US"/>
              </w:rPr>
            </w:pPr>
            <w:r>
              <w:rPr>
                <w:sz w:val="18"/>
                <w:szCs w:val="18"/>
                <w:lang w:eastAsia="en-US"/>
              </w:rPr>
              <w:t>0.23</w:t>
            </w:r>
          </w:p>
        </w:tc>
      </w:tr>
      <w:tr w:rsidR="00087472">
        <w:trPr>
          <w:trHeight w:val="440"/>
        </w:trPr>
        <w:tc>
          <w:tcPr>
            <w:tcW w:w="0" w:type="auto"/>
            <w:tcBorders>
              <w:top w:val="nil"/>
              <w:left w:val="single" w:sz="8" w:space="0" w:color="auto"/>
              <w:bottom w:val="single" w:sz="4"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3</w:t>
            </w:r>
          </w:p>
        </w:tc>
        <w:tc>
          <w:tcPr>
            <w:tcW w:w="1812"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SAIDI (System Average Interruption Duration Index)</w:t>
            </w:r>
          </w:p>
        </w:tc>
        <w:tc>
          <w:tcPr>
            <w:tcW w:w="3114"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320 minutes per customer per year</w:t>
            </w:r>
          </w:p>
        </w:tc>
        <w:tc>
          <w:tcPr>
            <w:tcW w:w="1216"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jc w:val="right"/>
              <w:rPr>
                <w:sz w:val="18"/>
                <w:szCs w:val="18"/>
                <w:lang w:eastAsia="en-US"/>
              </w:rPr>
            </w:pPr>
            <w:r>
              <w:rPr>
                <w:sz w:val="18"/>
                <w:szCs w:val="18"/>
                <w:lang w:eastAsia="en-US"/>
              </w:rPr>
              <w:t>272</w:t>
            </w:r>
            <w:r>
              <w:rPr>
                <w:rStyle w:val="FootnoteReference"/>
                <w:szCs w:val="18"/>
                <w:lang w:eastAsia="en-US"/>
              </w:rPr>
              <w:footnoteReference w:id="3"/>
            </w:r>
          </w:p>
        </w:tc>
      </w:tr>
      <w:tr w:rsidR="00087472">
        <w:trPr>
          <w:trHeight w:val="360"/>
        </w:trPr>
        <w:tc>
          <w:tcPr>
            <w:tcW w:w="0" w:type="auto"/>
            <w:tcBorders>
              <w:top w:val="nil"/>
              <w:left w:val="single" w:sz="8" w:space="0" w:color="auto"/>
              <w:bottom w:val="single" w:sz="4"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4</w:t>
            </w:r>
          </w:p>
        </w:tc>
        <w:tc>
          <w:tcPr>
            <w:tcW w:w="1812"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SAIFI (System Average Interruption Frequency Index)</w:t>
            </w:r>
          </w:p>
        </w:tc>
        <w:tc>
          <w:tcPr>
            <w:tcW w:w="3114"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1.30 interruptions per year per customer</w:t>
            </w:r>
          </w:p>
        </w:tc>
        <w:tc>
          <w:tcPr>
            <w:tcW w:w="1216" w:type="dxa"/>
            <w:tcBorders>
              <w:top w:val="nil"/>
              <w:left w:val="nil"/>
              <w:bottom w:val="single" w:sz="4" w:space="0" w:color="auto"/>
              <w:right w:val="single" w:sz="4" w:space="0" w:color="auto"/>
            </w:tcBorders>
            <w:shd w:val="clear" w:color="auto" w:fill="auto"/>
            <w:noWrap/>
            <w:hideMark/>
          </w:tcPr>
          <w:p w:rsidR="00087472" w:rsidRDefault="00ED4629">
            <w:pPr>
              <w:spacing w:line="240" w:lineRule="auto"/>
              <w:ind w:firstLine="0"/>
              <w:jc w:val="right"/>
              <w:rPr>
                <w:sz w:val="18"/>
                <w:szCs w:val="18"/>
                <w:lang w:eastAsia="en-US"/>
              </w:rPr>
            </w:pPr>
            <w:r>
              <w:rPr>
                <w:sz w:val="18"/>
                <w:szCs w:val="18"/>
                <w:lang w:eastAsia="en-US"/>
              </w:rPr>
              <w:t>1.11</w:t>
            </w:r>
          </w:p>
        </w:tc>
      </w:tr>
      <w:tr w:rsidR="00087472">
        <w:trPr>
          <w:trHeight w:val="639"/>
        </w:trPr>
        <w:tc>
          <w:tcPr>
            <w:tcW w:w="0" w:type="auto"/>
            <w:tcBorders>
              <w:top w:val="nil"/>
              <w:left w:val="single" w:sz="8" w:space="0" w:color="auto"/>
              <w:bottom w:val="single" w:sz="4"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5</w:t>
            </w:r>
          </w:p>
        </w:tc>
        <w:tc>
          <w:tcPr>
            <w:tcW w:w="1812"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Customer Access Center Answering Performance</w:t>
            </w:r>
          </w:p>
        </w:tc>
        <w:tc>
          <w:tcPr>
            <w:tcW w:w="3114"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75</w:t>
            </w:r>
            <w:r w:rsidR="00D36596">
              <w:rPr>
                <w:sz w:val="18"/>
                <w:szCs w:val="18"/>
                <w:lang w:eastAsia="en-US"/>
              </w:rPr>
              <w:t xml:space="preserve"> percent</w:t>
            </w:r>
            <w:r>
              <w:rPr>
                <w:sz w:val="18"/>
                <w:szCs w:val="18"/>
                <w:lang w:eastAsia="en-US"/>
              </w:rPr>
              <w:t xml:space="preserve"> of calls answered by a live representative within 30 seconds of request to speak with live operator</w:t>
            </w:r>
          </w:p>
        </w:tc>
        <w:tc>
          <w:tcPr>
            <w:tcW w:w="1216"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jc w:val="right"/>
              <w:rPr>
                <w:sz w:val="18"/>
                <w:szCs w:val="18"/>
                <w:lang w:eastAsia="en-US"/>
              </w:rPr>
            </w:pPr>
            <w:r>
              <w:rPr>
                <w:sz w:val="18"/>
                <w:szCs w:val="18"/>
                <w:lang w:eastAsia="en-US"/>
              </w:rPr>
              <w:t>70</w:t>
            </w:r>
            <w:r w:rsidR="00D36596">
              <w:rPr>
                <w:sz w:val="18"/>
                <w:szCs w:val="18"/>
                <w:lang w:eastAsia="en-US"/>
              </w:rPr>
              <w:t xml:space="preserve"> percent</w:t>
            </w:r>
          </w:p>
        </w:tc>
      </w:tr>
      <w:tr w:rsidR="00087472">
        <w:trPr>
          <w:trHeight w:val="645"/>
        </w:trPr>
        <w:tc>
          <w:tcPr>
            <w:tcW w:w="0" w:type="auto"/>
            <w:tcBorders>
              <w:top w:val="nil"/>
              <w:left w:val="single" w:sz="8" w:space="0" w:color="auto"/>
              <w:bottom w:val="single" w:sz="4"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6</w:t>
            </w:r>
          </w:p>
        </w:tc>
        <w:tc>
          <w:tcPr>
            <w:tcW w:w="1812" w:type="dxa"/>
            <w:tcBorders>
              <w:top w:val="nil"/>
              <w:left w:val="nil"/>
              <w:bottom w:val="single" w:sz="4" w:space="0" w:color="auto"/>
              <w:right w:val="single" w:sz="4" w:space="0" w:color="auto"/>
            </w:tcBorders>
            <w:shd w:val="clear" w:color="auto" w:fill="auto"/>
            <w:hideMark/>
          </w:tcPr>
          <w:p w:rsidR="00087472" w:rsidRDefault="00ED4629" w:rsidP="007B4D52">
            <w:pPr>
              <w:spacing w:line="240" w:lineRule="auto"/>
              <w:ind w:firstLine="0"/>
              <w:rPr>
                <w:sz w:val="18"/>
                <w:szCs w:val="18"/>
                <w:lang w:eastAsia="en-US"/>
              </w:rPr>
            </w:pPr>
            <w:r>
              <w:rPr>
                <w:sz w:val="18"/>
                <w:szCs w:val="18"/>
                <w:lang w:eastAsia="en-US"/>
              </w:rPr>
              <w:t>Customer Access</w:t>
            </w:r>
            <w:r w:rsidR="007B4D52">
              <w:rPr>
                <w:sz w:val="18"/>
                <w:szCs w:val="18"/>
                <w:lang w:eastAsia="en-US"/>
              </w:rPr>
              <w:t xml:space="preserve"> </w:t>
            </w:r>
            <w:r>
              <w:rPr>
                <w:sz w:val="18"/>
                <w:szCs w:val="18"/>
                <w:lang w:eastAsia="en-US"/>
              </w:rPr>
              <w:t>Center Transactions Customer Satisfaction</w:t>
            </w:r>
          </w:p>
        </w:tc>
        <w:tc>
          <w:tcPr>
            <w:tcW w:w="3114"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90</w:t>
            </w:r>
            <w:r w:rsidR="00D36596">
              <w:rPr>
                <w:sz w:val="18"/>
                <w:szCs w:val="18"/>
                <w:lang w:eastAsia="en-US"/>
              </w:rPr>
              <w:t xml:space="preserve"> percent</w:t>
            </w:r>
            <w:r>
              <w:rPr>
                <w:sz w:val="18"/>
                <w:szCs w:val="18"/>
                <w:lang w:eastAsia="en-US"/>
              </w:rPr>
              <w:t xml:space="preserve"> satisfied (rating of 5 or higher on a 7-point scale)</w:t>
            </w:r>
          </w:p>
        </w:tc>
        <w:tc>
          <w:tcPr>
            <w:tcW w:w="1216"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jc w:val="right"/>
              <w:rPr>
                <w:sz w:val="18"/>
                <w:szCs w:val="18"/>
                <w:lang w:eastAsia="en-US"/>
              </w:rPr>
            </w:pPr>
            <w:r>
              <w:rPr>
                <w:sz w:val="18"/>
                <w:szCs w:val="18"/>
                <w:lang w:eastAsia="en-US"/>
              </w:rPr>
              <w:t>94</w:t>
            </w:r>
            <w:r w:rsidR="00D36596">
              <w:rPr>
                <w:sz w:val="18"/>
                <w:szCs w:val="18"/>
                <w:lang w:eastAsia="en-US"/>
              </w:rPr>
              <w:t xml:space="preserve"> percent</w:t>
            </w:r>
          </w:p>
        </w:tc>
      </w:tr>
      <w:tr w:rsidR="00087472">
        <w:trPr>
          <w:trHeight w:val="612"/>
        </w:trPr>
        <w:tc>
          <w:tcPr>
            <w:tcW w:w="0" w:type="auto"/>
            <w:tcBorders>
              <w:top w:val="nil"/>
              <w:left w:val="single" w:sz="8" w:space="0" w:color="auto"/>
              <w:bottom w:val="single" w:sz="4"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7</w:t>
            </w:r>
          </w:p>
        </w:tc>
        <w:tc>
          <w:tcPr>
            <w:tcW w:w="1812"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Gas Safety Response Time</w:t>
            </w:r>
          </w:p>
        </w:tc>
        <w:tc>
          <w:tcPr>
            <w:tcW w:w="3114"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Average of 55 minutes from customer call to arrival of field technician</w:t>
            </w:r>
          </w:p>
        </w:tc>
        <w:tc>
          <w:tcPr>
            <w:tcW w:w="1216" w:type="dxa"/>
            <w:tcBorders>
              <w:top w:val="nil"/>
              <w:left w:val="nil"/>
              <w:bottom w:val="single" w:sz="4" w:space="0" w:color="auto"/>
              <w:right w:val="single" w:sz="4" w:space="0" w:color="auto"/>
            </w:tcBorders>
            <w:shd w:val="clear" w:color="auto" w:fill="auto"/>
            <w:hideMark/>
          </w:tcPr>
          <w:p w:rsidR="00087472" w:rsidRDefault="007B4D52" w:rsidP="007B4D52">
            <w:pPr>
              <w:spacing w:line="240" w:lineRule="auto"/>
              <w:ind w:firstLine="0"/>
              <w:jc w:val="right"/>
              <w:rPr>
                <w:sz w:val="18"/>
                <w:szCs w:val="18"/>
                <w:lang w:eastAsia="en-US"/>
              </w:rPr>
            </w:pPr>
            <w:r>
              <w:rPr>
                <w:sz w:val="18"/>
                <w:szCs w:val="18"/>
                <w:lang w:eastAsia="en-US"/>
              </w:rPr>
              <w:t xml:space="preserve">    </w:t>
            </w:r>
            <w:r w:rsidR="00ED4629">
              <w:rPr>
                <w:sz w:val="18"/>
                <w:szCs w:val="18"/>
                <w:lang w:eastAsia="en-US"/>
              </w:rPr>
              <w:t xml:space="preserve">                                  29 </w:t>
            </w:r>
          </w:p>
        </w:tc>
      </w:tr>
      <w:tr w:rsidR="00087472">
        <w:trPr>
          <w:trHeight w:val="660"/>
        </w:trPr>
        <w:tc>
          <w:tcPr>
            <w:tcW w:w="0" w:type="auto"/>
            <w:tcBorders>
              <w:top w:val="nil"/>
              <w:left w:val="single" w:sz="8" w:space="0" w:color="auto"/>
              <w:bottom w:val="single" w:sz="4"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8</w:t>
            </w:r>
          </w:p>
        </w:tc>
        <w:tc>
          <w:tcPr>
            <w:tcW w:w="1812"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Field Service Operations Transactions Customer Satisfaction</w:t>
            </w:r>
          </w:p>
        </w:tc>
        <w:tc>
          <w:tcPr>
            <w:tcW w:w="3114"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90</w:t>
            </w:r>
            <w:r w:rsidR="00D36596">
              <w:rPr>
                <w:sz w:val="18"/>
                <w:szCs w:val="18"/>
                <w:lang w:eastAsia="en-US"/>
              </w:rPr>
              <w:t xml:space="preserve"> percent</w:t>
            </w:r>
            <w:r>
              <w:rPr>
                <w:sz w:val="18"/>
                <w:szCs w:val="18"/>
                <w:lang w:eastAsia="en-US"/>
              </w:rPr>
              <w:t xml:space="preserve"> satisfied (rating of 5 or higher on a 7-point scale)</w:t>
            </w:r>
          </w:p>
        </w:tc>
        <w:tc>
          <w:tcPr>
            <w:tcW w:w="1216"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jc w:val="right"/>
              <w:rPr>
                <w:sz w:val="18"/>
                <w:szCs w:val="18"/>
                <w:lang w:eastAsia="en-US"/>
              </w:rPr>
            </w:pPr>
            <w:r>
              <w:rPr>
                <w:sz w:val="18"/>
                <w:szCs w:val="18"/>
                <w:lang w:eastAsia="en-US"/>
              </w:rPr>
              <w:t>96</w:t>
            </w:r>
            <w:r w:rsidR="00D36596">
              <w:rPr>
                <w:sz w:val="18"/>
                <w:szCs w:val="18"/>
                <w:lang w:eastAsia="en-US"/>
              </w:rPr>
              <w:t xml:space="preserve"> percent</w:t>
            </w:r>
          </w:p>
        </w:tc>
      </w:tr>
      <w:tr w:rsidR="00087472">
        <w:trPr>
          <w:trHeight w:val="375"/>
        </w:trPr>
        <w:tc>
          <w:tcPr>
            <w:tcW w:w="0" w:type="auto"/>
            <w:tcBorders>
              <w:top w:val="nil"/>
              <w:left w:val="single" w:sz="8" w:space="0" w:color="auto"/>
              <w:bottom w:val="single" w:sz="4"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10</w:t>
            </w:r>
          </w:p>
        </w:tc>
        <w:tc>
          <w:tcPr>
            <w:tcW w:w="1812"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Kept Appointments</w:t>
            </w:r>
          </w:p>
        </w:tc>
        <w:tc>
          <w:tcPr>
            <w:tcW w:w="3114"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92</w:t>
            </w:r>
            <w:r w:rsidR="00D36596">
              <w:rPr>
                <w:sz w:val="18"/>
                <w:szCs w:val="18"/>
                <w:lang w:eastAsia="en-US"/>
              </w:rPr>
              <w:t xml:space="preserve"> percent</w:t>
            </w:r>
            <w:r>
              <w:rPr>
                <w:sz w:val="18"/>
                <w:szCs w:val="18"/>
                <w:lang w:eastAsia="en-US"/>
              </w:rPr>
              <w:t xml:space="preserve"> of appointments kept</w:t>
            </w:r>
          </w:p>
        </w:tc>
        <w:tc>
          <w:tcPr>
            <w:tcW w:w="1216"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jc w:val="right"/>
              <w:rPr>
                <w:sz w:val="18"/>
                <w:szCs w:val="18"/>
                <w:lang w:eastAsia="en-US"/>
              </w:rPr>
            </w:pPr>
            <w:r>
              <w:rPr>
                <w:sz w:val="18"/>
                <w:szCs w:val="18"/>
                <w:lang w:eastAsia="en-US"/>
              </w:rPr>
              <w:t>100</w:t>
            </w:r>
            <w:r w:rsidR="00D36596">
              <w:rPr>
                <w:sz w:val="18"/>
                <w:szCs w:val="18"/>
                <w:lang w:eastAsia="en-US"/>
              </w:rPr>
              <w:t xml:space="preserve"> percent</w:t>
            </w:r>
          </w:p>
        </w:tc>
      </w:tr>
      <w:tr w:rsidR="00087472">
        <w:trPr>
          <w:trHeight w:val="476"/>
        </w:trPr>
        <w:tc>
          <w:tcPr>
            <w:tcW w:w="0" w:type="auto"/>
            <w:tcBorders>
              <w:top w:val="nil"/>
              <w:left w:val="single" w:sz="8" w:space="0" w:color="auto"/>
              <w:bottom w:val="single" w:sz="8" w:space="0" w:color="auto"/>
              <w:right w:val="single" w:sz="4" w:space="0" w:color="auto"/>
            </w:tcBorders>
            <w:shd w:val="clear" w:color="auto" w:fill="auto"/>
            <w:noWrap/>
            <w:hideMark/>
          </w:tcPr>
          <w:p w:rsidR="00087472" w:rsidRDefault="00ED4629">
            <w:pPr>
              <w:spacing w:line="240" w:lineRule="auto"/>
              <w:ind w:firstLine="0"/>
              <w:jc w:val="center"/>
              <w:rPr>
                <w:sz w:val="18"/>
                <w:szCs w:val="18"/>
                <w:lang w:eastAsia="en-US"/>
              </w:rPr>
            </w:pPr>
            <w:r>
              <w:rPr>
                <w:sz w:val="18"/>
                <w:szCs w:val="18"/>
                <w:lang w:eastAsia="en-US"/>
              </w:rPr>
              <w:t>11</w:t>
            </w:r>
          </w:p>
        </w:tc>
        <w:tc>
          <w:tcPr>
            <w:tcW w:w="1812" w:type="dxa"/>
            <w:tcBorders>
              <w:top w:val="nil"/>
              <w:left w:val="nil"/>
              <w:bottom w:val="single" w:sz="8"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Electric Safety Response Time</w:t>
            </w:r>
          </w:p>
        </w:tc>
        <w:tc>
          <w:tcPr>
            <w:tcW w:w="3114" w:type="dxa"/>
            <w:tcBorders>
              <w:top w:val="nil"/>
              <w:left w:val="nil"/>
              <w:bottom w:val="single" w:sz="8" w:space="0" w:color="auto"/>
              <w:right w:val="single" w:sz="4" w:space="0" w:color="auto"/>
            </w:tcBorders>
            <w:shd w:val="clear" w:color="auto" w:fill="auto"/>
            <w:hideMark/>
          </w:tcPr>
          <w:p w:rsidR="00087472" w:rsidRDefault="00ED4629">
            <w:pPr>
              <w:spacing w:line="240" w:lineRule="auto"/>
              <w:ind w:firstLine="0"/>
              <w:rPr>
                <w:sz w:val="18"/>
                <w:szCs w:val="18"/>
                <w:lang w:eastAsia="en-US"/>
              </w:rPr>
            </w:pPr>
            <w:r>
              <w:rPr>
                <w:sz w:val="18"/>
                <w:szCs w:val="18"/>
                <w:lang w:eastAsia="en-US"/>
              </w:rPr>
              <w:t>Average of 55 minutes from customer call to arrival of field technician</w:t>
            </w:r>
          </w:p>
        </w:tc>
        <w:tc>
          <w:tcPr>
            <w:tcW w:w="1216" w:type="dxa"/>
            <w:tcBorders>
              <w:top w:val="nil"/>
              <w:left w:val="nil"/>
              <w:bottom w:val="single" w:sz="4" w:space="0" w:color="auto"/>
              <w:right w:val="single" w:sz="4" w:space="0" w:color="auto"/>
            </w:tcBorders>
            <w:shd w:val="clear" w:color="auto" w:fill="auto"/>
            <w:hideMark/>
          </w:tcPr>
          <w:p w:rsidR="00087472" w:rsidRDefault="00ED4629">
            <w:pPr>
              <w:spacing w:line="240" w:lineRule="auto"/>
              <w:ind w:firstLine="0"/>
              <w:jc w:val="right"/>
              <w:rPr>
                <w:sz w:val="18"/>
                <w:szCs w:val="18"/>
                <w:lang w:eastAsia="en-US"/>
              </w:rPr>
            </w:pPr>
            <w:r>
              <w:rPr>
                <w:sz w:val="18"/>
                <w:szCs w:val="18"/>
                <w:lang w:eastAsia="en-US"/>
              </w:rPr>
              <w:t xml:space="preserve">                                          54 </w:t>
            </w:r>
          </w:p>
        </w:tc>
      </w:tr>
    </w:tbl>
    <w:p w:rsidR="00087472" w:rsidRDefault="00ED4629" w:rsidP="00C02ACF">
      <w:pPr>
        <w:pStyle w:val="question"/>
        <w:spacing w:before="360"/>
      </w:pPr>
      <w:r>
        <w:t>Q.</w:t>
      </w:r>
      <w:r>
        <w:tab/>
        <w:t>Please describe the evolution of PSE’s Service Quality Program</w:t>
      </w:r>
      <w:r w:rsidR="002A766E">
        <w:t>.</w:t>
      </w:r>
    </w:p>
    <w:p w:rsidR="00087472" w:rsidRDefault="00ED4629">
      <w:pPr>
        <w:pStyle w:val="Answer1"/>
      </w:pPr>
      <w:r>
        <w:t>A.</w:t>
      </w:r>
      <w:r>
        <w:tab/>
        <w:t xml:space="preserve">The </w:t>
      </w:r>
      <w:proofErr w:type="spellStart"/>
      <w:r>
        <w:t>SQ</w:t>
      </w:r>
      <w:proofErr w:type="spellEnd"/>
      <w:r>
        <w:t xml:space="preserve"> Program </w:t>
      </w:r>
      <w:r w:rsidR="00206B2B">
        <w:t xml:space="preserve">began in 1997 and </w:t>
      </w:r>
      <w:r>
        <w:t>was to be in effect for five years.</w:t>
      </w:r>
      <w:r w:rsidR="00C02ACF">
        <w:t xml:space="preserve"> </w:t>
      </w:r>
      <w:r>
        <w:t xml:space="preserve">The </w:t>
      </w:r>
      <w:proofErr w:type="spellStart"/>
      <w:r>
        <w:t>SQ</w:t>
      </w:r>
      <w:proofErr w:type="spellEnd"/>
      <w:r>
        <w:t xml:space="preserve"> Program mechanics outlined the benchmarks, the potential penalty calculations, a</w:t>
      </w:r>
      <w:r w:rsidR="00C02ACF">
        <w:t>nd the reporting requirements.</w:t>
      </w:r>
    </w:p>
    <w:p w:rsidR="007B4D52" w:rsidRDefault="00ED4629" w:rsidP="007B4D52">
      <w:pPr>
        <w:pStyle w:val="Answer1"/>
        <w:ind w:firstLine="0"/>
      </w:pPr>
      <w:r>
        <w:t xml:space="preserve">The </w:t>
      </w:r>
      <w:proofErr w:type="spellStart"/>
      <w:r>
        <w:t>SQ</w:t>
      </w:r>
      <w:proofErr w:type="spellEnd"/>
      <w:r>
        <w:t xml:space="preserve"> Program was extended for a minimum of five years as part of the settlement in PSE’s 2001 general rate case, UE-01157</w:t>
      </w:r>
      <w:r w:rsidR="007B4D52">
        <w:t>0 and UG-011571 (consolidated).</w:t>
      </w:r>
      <w:r w:rsidR="009F0F05">
        <w:rPr>
          <w:position w:val="6"/>
          <w:sz w:val="16"/>
        </w:rPr>
        <w:footnoteReference w:id="4"/>
      </w:r>
    </w:p>
    <w:p w:rsidR="007B4D52" w:rsidRDefault="00ED4629" w:rsidP="00C02ACF">
      <w:pPr>
        <w:pStyle w:val="Answer1"/>
        <w:ind w:firstLine="0"/>
      </w:pPr>
      <w:r>
        <w:lastRenderedPageBreak/>
        <w:t>In 2007, Puget Holdings, LLC and PSE filed an application seeking approval of the acquisition of Puget Energy by Puget Holdings</w:t>
      </w:r>
      <w:r w:rsidR="002A766E">
        <w:t xml:space="preserve"> LLC</w:t>
      </w:r>
      <w:r>
        <w:t>, an investor consortium.</w:t>
      </w:r>
      <w:r w:rsidR="00C02ACF">
        <w:t xml:space="preserve"> </w:t>
      </w:r>
      <w:r>
        <w:t xml:space="preserve">The first commitment made by the Joint Applicants in that docket was that PSE would continue its </w:t>
      </w:r>
      <w:proofErr w:type="spellStart"/>
      <w:r>
        <w:t>SQ</w:t>
      </w:r>
      <w:proofErr w:type="spellEnd"/>
      <w:r>
        <w:t xml:space="preserve"> Program.</w:t>
      </w:r>
      <w:r w:rsidR="00C02ACF">
        <w:t xml:space="preserve"> </w:t>
      </w:r>
      <w:r>
        <w:t>As part of a multi-party settlement stipulation, PSE and Puget Holdings ultimately committed “to continue the Service Quality measures currently in place for PSE or as may be modified in any future proceeding.”</w:t>
      </w:r>
      <w:r>
        <w:rPr>
          <w:vertAlign w:val="superscript"/>
        </w:rPr>
        <w:t xml:space="preserve"> </w:t>
      </w:r>
      <w:r>
        <w:rPr>
          <w:vertAlign w:val="superscript"/>
        </w:rPr>
        <w:footnoteReference w:id="5"/>
      </w:r>
      <w:r w:rsidR="00C02ACF">
        <w:t xml:space="preserve"> </w:t>
      </w:r>
      <w:r>
        <w:t>The Commission approved the merger and the commitments made by PSE.</w:t>
      </w:r>
    </w:p>
    <w:p w:rsidR="00087472" w:rsidRDefault="00ED4629" w:rsidP="00C02ACF">
      <w:pPr>
        <w:pStyle w:val="Answer1"/>
        <w:ind w:firstLine="0"/>
        <w:rPr>
          <w:szCs w:val="24"/>
        </w:rPr>
      </w:pPr>
      <w:r>
        <w:t>The choices customers have to interact with PSE are evolving and the customer behavior has changed significantly since 1997 when the metrics were established.</w:t>
      </w:r>
      <w:r w:rsidR="007B4D52">
        <w:t xml:space="preserve"> </w:t>
      </w:r>
      <w:r>
        <w:t>The number of customers using the self-serve channels is increasing, which is addressed later in the testimony.</w:t>
      </w:r>
      <w:r w:rsidR="007B4D52">
        <w:t xml:space="preserve"> </w:t>
      </w:r>
      <w:r>
        <w:t xml:space="preserve">In order to respond to customer expectations, PSE </w:t>
      </w:r>
      <w:r w:rsidR="000B1FA2">
        <w:t>is focused on expansion support and</w:t>
      </w:r>
      <w:r>
        <w:t xml:space="preserve"> management of the new self-serve channels.</w:t>
      </w:r>
      <w:r w:rsidR="007B4D52">
        <w:rPr>
          <w:szCs w:val="24"/>
        </w:rPr>
        <w:t xml:space="preserve"> </w:t>
      </w:r>
      <w:r>
        <w:rPr>
          <w:szCs w:val="24"/>
        </w:rPr>
        <w:t xml:space="preserve">The changing customer expectations and PSE’s improved technology capabilities support this evolution. </w:t>
      </w:r>
    </w:p>
    <w:p w:rsidR="00087472" w:rsidRPr="00C02ACF" w:rsidRDefault="00C02ACF" w:rsidP="007B4D52">
      <w:pPr>
        <w:pStyle w:val="Heading1"/>
        <w:rPr>
          <w:rFonts w:eastAsia="SimSun"/>
        </w:rPr>
      </w:pPr>
      <w:bookmarkStart w:id="19" w:name="_Toc471483988"/>
      <w:r>
        <w:lastRenderedPageBreak/>
        <w:t>III.</w:t>
      </w:r>
      <w:r>
        <w:tab/>
        <w:t>CUSTOMER CARE CENTER SERVICE</w:t>
      </w:r>
      <w:r>
        <w:br/>
        <w:t>QUALITY INDICES</w:t>
      </w:r>
      <w:bookmarkEnd w:id="19"/>
      <w:r>
        <w:t xml:space="preserve"> </w:t>
      </w:r>
    </w:p>
    <w:p w:rsidR="00087472" w:rsidRDefault="00ED4629" w:rsidP="00C02ACF">
      <w:pPr>
        <w:pStyle w:val="question"/>
      </w:pPr>
      <w:r>
        <w:t>Q.</w:t>
      </w:r>
      <w:r>
        <w:tab/>
        <w:t xml:space="preserve">What are the current </w:t>
      </w:r>
      <w:r w:rsidR="000B1FA2">
        <w:t xml:space="preserve">service quality indices </w:t>
      </w:r>
      <w:r>
        <w:t>pertaining to PSE’s Customer Care Center</w:t>
      </w:r>
      <w:r w:rsidR="000B1FA2">
        <w:t xml:space="preserve"> performance</w:t>
      </w:r>
      <w:r>
        <w:t>?</w:t>
      </w:r>
    </w:p>
    <w:p w:rsidR="00087472" w:rsidRDefault="00ED4629" w:rsidP="00CC5582">
      <w:pPr>
        <w:pStyle w:val="Answer1"/>
        <w:spacing w:after="0"/>
      </w:pPr>
      <w:r>
        <w:t>A.</w:t>
      </w:r>
      <w:r>
        <w:tab/>
        <w:t xml:space="preserve">There are three indices that measure </w:t>
      </w:r>
      <w:r w:rsidR="000B1FA2">
        <w:t>PSE’s</w:t>
      </w:r>
      <w:r w:rsidR="00CC5582">
        <w:t xml:space="preserve"> </w:t>
      </w:r>
      <w:r>
        <w:t>Customer Care Center</w:t>
      </w:r>
      <w:r w:rsidR="00CC5582">
        <w:t xml:space="preserve"> performance</w:t>
      </w:r>
      <w:r>
        <w:t>:</w:t>
      </w:r>
    </w:p>
    <w:p w:rsidR="00087472" w:rsidRDefault="00ED4629" w:rsidP="00CC5582">
      <w:pPr>
        <w:pStyle w:val="Answer1"/>
        <w:numPr>
          <w:ilvl w:val="0"/>
          <w:numId w:val="49"/>
        </w:numPr>
        <w:spacing w:before="0" w:after="0" w:line="240" w:lineRule="auto"/>
      </w:pPr>
      <w:r>
        <w:t>SQI No. 2 –UTC Complaint Ratio,</w:t>
      </w:r>
    </w:p>
    <w:p w:rsidR="00087472" w:rsidRDefault="00ED4629" w:rsidP="00CC5582">
      <w:pPr>
        <w:pStyle w:val="Answer1"/>
        <w:numPr>
          <w:ilvl w:val="0"/>
          <w:numId w:val="49"/>
        </w:numPr>
        <w:spacing w:after="0" w:line="240" w:lineRule="auto"/>
      </w:pPr>
      <w:r>
        <w:t xml:space="preserve">SQI No. 5 – Customer Access Center Answering Performance, and </w:t>
      </w:r>
    </w:p>
    <w:p w:rsidR="00087472" w:rsidRDefault="00ED4629" w:rsidP="00CC5582">
      <w:pPr>
        <w:pStyle w:val="Answer1"/>
        <w:numPr>
          <w:ilvl w:val="0"/>
          <w:numId w:val="49"/>
        </w:numPr>
        <w:spacing w:after="0" w:line="240" w:lineRule="auto"/>
      </w:pPr>
      <w:r>
        <w:t>SQI No. 6 – Customer Access Center Transactions Customer Satisfaction.</w:t>
      </w:r>
    </w:p>
    <w:p w:rsidR="00087472" w:rsidRDefault="00ED4629" w:rsidP="00C02ACF">
      <w:pPr>
        <w:pStyle w:val="question"/>
      </w:pPr>
      <w:r>
        <w:t>Q.</w:t>
      </w:r>
      <w:r>
        <w:tab/>
        <w:t>How does PSE calculate SQI No. 2 –</w:t>
      </w:r>
      <w:r w:rsidR="00CC5582">
        <w:t xml:space="preserve"> </w:t>
      </w:r>
      <w:r>
        <w:t>UTC Complaint Ratio performance?</w:t>
      </w:r>
    </w:p>
    <w:p w:rsidR="00087472" w:rsidRDefault="00ED4629">
      <w:pPr>
        <w:pStyle w:val="Answer1"/>
      </w:pPr>
      <w:r>
        <w:t>A.</w:t>
      </w:r>
      <w:r>
        <w:tab/>
        <w:t>The UTC complaint ratio is calculated by dividing the sum of all gas and electric complaints reported to the UTC by the average monthly number of PSE customers. The quotient is then multiplied by 1,000.</w:t>
      </w:r>
      <w:r w:rsidR="007B4D52">
        <w:t xml:space="preserve"> </w:t>
      </w:r>
      <w:r>
        <w:t>The formula follows:</w:t>
      </w:r>
    </w:p>
    <w:tbl>
      <w:tblPr>
        <w:tblW w:w="8145" w:type="dxa"/>
        <w:tblInd w:w="763" w:type="dxa"/>
        <w:tblCellMar>
          <w:left w:w="0" w:type="dxa"/>
          <w:right w:w="0" w:type="dxa"/>
        </w:tblCellMar>
        <w:tblLook w:val="04A0" w:firstRow="1" w:lastRow="0" w:firstColumn="1" w:lastColumn="0" w:noHBand="0" w:noVBand="1"/>
      </w:tblPr>
      <w:tblGrid>
        <w:gridCol w:w="2160"/>
        <w:gridCol w:w="4848"/>
        <w:gridCol w:w="1137"/>
      </w:tblGrid>
      <w:tr w:rsidR="00087472">
        <w:trPr>
          <w:trHeight w:val="510"/>
        </w:trPr>
        <w:tc>
          <w:tcPr>
            <w:tcW w:w="2160" w:type="dxa"/>
            <w:vMerge w:val="restart"/>
            <w:tcMar>
              <w:top w:w="0" w:type="dxa"/>
              <w:left w:w="43" w:type="dxa"/>
              <w:bottom w:w="0" w:type="dxa"/>
              <w:right w:w="43" w:type="dxa"/>
            </w:tcMar>
            <w:vAlign w:val="center"/>
            <w:hideMark/>
          </w:tcPr>
          <w:p w:rsidR="00087472" w:rsidRDefault="00ED4629">
            <w:pPr>
              <w:pStyle w:val="TableText"/>
              <w:spacing w:before="120" w:after="0"/>
              <w:rPr>
                <w:iCs/>
                <w:sz w:val="20"/>
                <w:szCs w:val="24"/>
              </w:rPr>
            </w:pPr>
            <w:r>
              <w:rPr>
                <w:b/>
                <w:bCs/>
                <w:iCs/>
                <w:sz w:val="20"/>
                <w:szCs w:val="24"/>
              </w:rPr>
              <w:t>UTC complaint ratio =</w:t>
            </w:r>
          </w:p>
        </w:tc>
        <w:tc>
          <w:tcPr>
            <w:tcW w:w="4848" w:type="dxa"/>
            <w:tcBorders>
              <w:top w:val="nil"/>
              <w:left w:val="nil"/>
              <w:bottom w:val="single" w:sz="8" w:space="0" w:color="auto"/>
              <w:right w:val="nil"/>
            </w:tcBorders>
            <w:tcMar>
              <w:top w:w="0" w:type="dxa"/>
              <w:left w:w="43" w:type="dxa"/>
              <w:bottom w:w="0" w:type="dxa"/>
              <w:right w:w="43" w:type="dxa"/>
            </w:tcMar>
            <w:hideMark/>
          </w:tcPr>
          <w:p w:rsidR="00087472" w:rsidRDefault="00ED4629">
            <w:pPr>
              <w:pStyle w:val="TableText"/>
              <w:spacing w:before="20" w:after="0"/>
              <w:rPr>
                <w:iCs/>
                <w:sz w:val="20"/>
                <w:szCs w:val="24"/>
              </w:rPr>
            </w:pPr>
            <w:r>
              <w:rPr>
                <w:b/>
                <w:bCs/>
                <w:iCs/>
                <w:sz w:val="20"/>
                <w:szCs w:val="24"/>
              </w:rPr>
              <w:t>electric and gas complaints recorded by UTC</w:t>
            </w:r>
          </w:p>
        </w:tc>
        <w:tc>
          <w:tcPr>
            <w:tcW w:w="1137" w:type="dxa"/>
            <w:vMerge w:val="restart"/>
            <w:tcMar>
              <w:top w:w="0" w:type="dxa"/>
              <w:left w:w="43" w:type="dxa"/>
              <w:bottom w:w="0" w:type="dxa"/>
              <w:right w:w="43" w:type="dxa"/>
            </w:tcMar>
            <w:vAlign w:val="center"/>
            <w:hideMark/>
          </w:tcPr>
          <w:p w:rsidR="00087472" w:rsidRDefault="00ED4629">
            <w:pPr>
              <w:pStyle w:val="TableText"/>
              <w:spacing w:before="120" w:after="0"/>
              <w:rPr>
                <w:iCs/>
                <w:sz w:val="20"/>
                <w:szCs w:val="24"/>
              </w:rPr>
            </w:pPr>
            <w:r>
              <w:rPr>
                <w:b/>
                <w:bCs/>
                <w:iCs/>
                <w:sz w:val="20"/>
                <w:szCs w:val="24"/>
              </w:rPr>
              <w:t>X 1,000</w:t>
            </w:r>
          </w:p>
        </w:tc>
      </w:tr>
      <w:tr w:rsidR="00087472">
        <w:trPr>
          <w:trHeight w:val="283"/>
        </w:trPr>
        <w:tc>
          <w:tcPr>
            <w:tcW w:w="2160" w:type="dxa"/>
            <w:vMerge/>
            <w:vAlign w:val="center"/>
            <w:hideMark/>
          </w:tcPr>
          <w:p w:rsidR="00087472" w:rsidRDefault="00087472">
            <w:pPr>
              <w:rPr>
                <w:rFonts w:ascii="Garamond" w:eastAsiaTheme="minorHAnsi" w:hAnsi="Garamond"/>
                <w:iCs/>
                <w:sz w:val="20"/>
                <w:szCs w:val="24"/>
              </w:rPr>
            </w:pPr>
          </w:p>
        </w:tc>
        <w:tc>
          <w:tcPr>
            <w:tcW w:w="4848" w:type="dxa"/>
            <w:tcMar>
              <w:top w:w="0" w:type="dxa"/>
              <w:left w:w="43" w:type="dxa"/>
              <w:bottom w:w="0" w:type="dxa"/>
              <w:right w:w="43" w:type="dxa"/>
            </w:tcMar>
            <w:hideMark/>
          </w:tcPr>
          <w:p w:rsidR="00087472" w:rsidRDefault="00ED4629">
            <w:pPr>
              <w:pStyle w:val="TableText"/>
              <w:spacing w:before="20" w:after="20"/>
              <w:rPr>
                <w:iCs/>
                <w:sz w:val="20"/>
                <w:szCs w:val="24"/>
              </w:rPr>
            </w:pPr>
            <w:r>
              <w:rPr>
                <w:b/>
                <w:bCs/>
                <w:iCs/>
                <w:sz w:val="20"/>
                <w:szCs w:val="24"/>
              </w:rPr>
              <w:t>average monthly number of electric and gas customers</w:t>
            </w:r>
          </w:p>
        </w:tc>
        <w:tc>
          <w:tcPr>
            <w:tcW w:w="0" w:type="auto"/>
            <w:vMerge/>
            <w:vAlign w:val="center"/>
            <w:hideMark/>
          </w:tcPr>
          <w:p w:rsidR="00087472" w:rsidRDefault="00087472">
            <w:pPr>
              <w:rPr>
                <w:rFonts w:ascii="Garamond" w:eastAsiaTheme="minorHAnsi" w:hAnsi="Garamond"/>
                <w:i/>
                <w:iCs/>
                <w:sz w:val="20"/>
                <w:szCs w:val="24"/>
              </w:rPr>
            </w:pPr>
          </w:p>
        </w:tc>
      </w:tr>
    </w:tbl>
    <w:p w:rsidR="00087472" w:rsidRDefault="00ED4629" w:rsidP="007B4D52">
      <w:pPr>
        <w:pStyle w:val="Answer1"/>
        <w:spacing w:before="360" w:after="0"/>
        <w:ind w:firstLine="0"/>
        <w:rPr>
          <w:szCs w:val="22"/>
        </w:rPr>
      </w:pPr>
      <w:r>
        <w:t>The average monthly customer count is the average of the total number of PSE customers, per month, during the reporting period.</w:t>
      </w:r>
      <w:r w:rsidR="007B4D52">
        <w:t xml:space="preserve"> </w:t>
      </w:r>
      <w:r>
        <w:t xml:space="preserve">The </w:t>
      </w:r>
      <w:proofErr w:type="spellStart"/>
      <w:r>
        <w:t>SQI</w:t>
      </w:r>
      <w:proofErr w:type="spellEnd"/>
      <w:r>
        <w:t xml:space="preserve"> No. 2 </w:t>
      </w:r>
      <w:r w:rsidR="001B1F9D">
        <w:t>benchmark is</w:t>
      </w:r>
      <w:r>
        <w:t xml:space="preserve"> no more than 0.40 complaints per 1,000 customers, including all complaints filed with </w:t>
      </w:r>
      <w:r w:rsidR="003E5D7B">
        <w:t>the Commission</w:t>
      </w:r>
      <w:r>
        <w:t>.</w:t>
      </w:r>
    </w:p>
    <w:p w:rsidR="00087472" w:rsidRDefault="00ED4629" w:rsidP="00C02ACF">
      <w:pPr>
        <w:pStyle w:val="question"/>
      </w:pPr>
      <w:r>
        <w:lastRenderedPageBreak/>
        <w:t>Q.</w:t>
      </w:r>
      <w:r>
        <w:tab/>
        <w:t>Please describe PSE’s performance o</w:t>
      </w:r>
      <w:r w:rsidR="00CC5582">
        <w:t>n</w:t>
      </w:r>
      <w:r>
        <w:t xml:space="preserve"> </w:t>
      </w:r>
      <w:proofErr w:type="spellStart"/>
      <w:r>
        <w:t>SQI</w:t>
      </w:r>
      <w:proofErr w:type="spellEnd"/>
      <w:r>
        <w:t xml:space="preserve"> No. 2.</w:t>
      </w:r>
    </w:p>
    <w:p w:rsidR="00087472" w:rsidRDefault="00ED4629" w:rsidP="00CC5582">
      <w:pPr>
        <w:pStyle w:val="Answer1"/>
        <w:keepNext/>
        <w:keepLines/>
        <w:spacing w:after="0"/>
      </w:pPr>
      <w:r>
        <w:t>A.</w:t>
      </w:r>
      <w:r>
        <w:tab/>
        <w:t>PSE has met the benchmark every year since the SQ Program started in 1997.</w:t>
      </w:r>
    </w:p>
    <w:p w:rsidR="00087472" w:rsidRPr="009C57B1" w:rsidRDefault="00ED4629" w:rsidP="00CC5582">
      <w:pPr>
        <w:pStyle w:val="Caption"/>
        <w:keepNext/>
        <w:keepLines/>
        <w:spacing w:before="0" w:after="0"/>
        <w:jc w:val="center"/>
        <w:rPr>
          <w:sz w:val="24"/>
          <w:szCs w:val="24"/>
        </w:rPr>
      </w:pPr>
      <w:r w:rsidRPr="009C57B1">
        <w:rPr>
          <w:sz w:val="24"/>
          <w:szCs w:val="24"/>
        </w:rPr>
        <w:t xml:space="preserve">Figure </w:t>
      </w:r>
      <w:r w:rsidR="00C7630C" w:rsidRPr="009C57B1">
        <w:rPr>
          <w:sz w:val="24"/>
          <w:szCs w:val="24"/>
        </w:rPr>
        <w:fldChar w:fldCharType="begin"/>
      </w:r>
      <w:r w:rsidR="00C7630C" w:rsidRPr="009C57B1">
        <w:rPr>
          <w:sz w:val="24"/>
          <w:szCs w:val="24"/>
        </w:rPr>
        <w:instrText xml:space="preserve"> SEQ Figure \* ARABIC </w:instrText>
      </w:r>
      <w:r w:rsidR="00C7630C" w:rsidRPr="009C57B1">
        <w:rPr>
          <w:sz w:val="24"/>
          <w:szCs w:val="24"/>
        </w:rPr>
        <w:fldChar w:fldCharType="separate"/>
      </w:r>
      <w:r w:rsidR="009C57B1">
        <w:rPr>
          <w:noProof/>
          <w:sz w:val="24"/>
          <w:szCs w:val="24"/>
        </w:rPr>
        <w:t>1</w:t>
      </w:r>
      <w:r w:rsidR="00C7630C" w:rsidRPr="009C57B1">
        <w:rPr>
          <w:noProof/>
          <w:sz w:val="24"/>
          <w:szCs w:val="24"/>
        </w:rPr>
        <w:fldChar w:fldCharType="end"/>
      </w:r>
      <w:r w:rsidR="00845B88" w:rsidRPr="009C57B1">
        <w:rPr>
          <w:noProof/>
          <w:sz w:val="24"/>
          <w:szCs w:val="24"/>
        </w:rPr>
        <w:t xml:space="preserve"> </w:t>
      </w:r>
      <w:r w:rsidRPr="009C57B1">
        <w:rPr>
          <w:sz w:val="24"/>
          <w:szCs w:val="24"/>
        </w:rPr>
        <w:t>- UTC Complaint Ratio Performance</w:t>
      </w:r>
    </w:p>
    <w:p w:rsidR="00087472" w:rsidRDefault="00ED4629">
      <w:pPr>
        <w:pStyle w:val="answer"/>
        <w:keepNext/>
        <w:spacing w:line="240" w:lineRule="auto"/>
        <w:ind w:left="0" w:firstLine="0"/>
        <w:jc w:val="center"/>
      </w:pPr>
      <w:r>
        <w:rPr>
          <w:noProof/>
          <w:lang w:eastAsia="en-US"/>
        </w:rPr>
        <w:drawing>
          <wp:inline distT="0" distB="0" distL="0" distR="0" wp14:anchorId="42BB4CF4" wp14:editId="268403B6">
            <wp:extent cx="3600450" cy="2146244"/>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972" cy="2146555"/>
                    </a:xfrm>
                    <a:prstGeom prst="rect">
                      <a:avLst/>
                    </a:prstGeom>
                    <a:noFill/>
                  </pic:spPr>
                </pic:pic>
              </a:graphicData>
            </a:graphic>
          </wp:inline>
        </w:drawing>
      </w:r>
    </w:p>
    <w:p w:rsidR="00087472" w:rsidRDefault="00ED4629" w:rsidP="009C57B1">
      <w:pPr>
        <w:pStyle w:val="question"/>
        <w:spacing w:before="360"/>
      </w:pPr>
      <w:r>
        <w:t>Q.</w:t>
      </w:r>
      <w:r>
        <w:tab/>
        <w:t xml:space="preserve">How does PSE calculate its SQI No. 5 </w:t>
      </w:r>
      <w:r w:rsidR="005111A9">
        <w:t>(</w:t>
      </w:r>
      <w:r>
        <w:t>Customer Access Center Answering Performance</w:t>
      </w:r>
      <w:r w:rsidR="005111A9">
        <w:t>)</w:t>
      </w:r>
      <w:r>
        <w:t>?</w:t>
      </w:r>
    </w:p>
    <w:p w:rsidR="00087472" w:rsidRDefault="00ED4629">
      <w:pPr>
        <w:pStyle w:val="Answer1"/>
      </w:pPr>
      <w:r>
        <w:t>A.</w:t>
      </w:r>
      <w:r>
        <w:tab/>
      </w:r>
      <w:proofErr w:type="spellStart"/>
      <w:r w:rsidR="005111A9">
        <w:t>SQI</w:t>
      </w:r>
      <w:proofErr w:type="spellEnd"/>
      <w:r w:rsidR="005111A9">
        <w:t xml:space="preserve"> </w:t>
      </w:r>
      <w:r w:rsidR="0011314E">
        <w:t xml:space="preserve">No. </w:t>
      </w:r>
      <w:r w:rsidR="005111A9">
        <w:t>5</w:t>
      </w:r>
      <w:r>
        <w:t xml:space="preserve"> measures the amount of time from when a customer initiates a request to speak with a</w:t>
      </w:r>
      <w:r>
        <w:rPr>
          <w:b/>
          <w:i/>
        </w:rPr>
        <w:t xml:space="preserve"> </w:t>
      </w:r>
      <w:r>
        <w:t xml:space="preserve">live Customer Care Center representative until a representative arrives on the line. </w:t>
      </w:r>
    </w:p>
    <w:p w:rsidR="00087472" w:rsidRDefault="00ED4629" w:rsidP="007B4D52">
      <w:pPr>
        <w:pStyle w:val="Answer1"/>
        <w:ind w:firstLine="0"/>
      </w:pPr>
      <w:r>
        <w:t>The annual performance is determined by the average of the 12 monthly call answering performance percentages. The calculation of the monthly answering performance is demonstrated through the following formula:</w:t>
      </w:r>
    </w:p>
    <w:tbl>
      <w:tblPr>
        <w:tblW w:w="7617" w:type="dxa"/>
        <w:tblInd w:w="706" w:type="dxa"/>
        <w:tblBorders>
          <w:insideH w:val="single" w:sz="4" w:space="0" w:color="auto"/>
        </w:tblBorders>
        <w:tblLayout w:type="fixed"/>
        <w:tblCellMar>
          <w:left w:w="43" w:type="dxa"/>
          <w:right w:w="43" w:type="dxa"/>
        </w:tblCellMar>
        <w:tblLook w:val="01E0" w:firstRow="1" w:lastRow="1" w:firstColumn="1" w:lastColumn="1" w:noHBand="0" w:noVBand="0"/>
      </w:tblPr>
      <w:tblGrid>
        <w:gridCol w:w="2937"/>
        <w:gridCol w:w="4680"/>
      </w:tblGrid>
      <w:tr w:rsidR="00087472" w:rsidTr="009C57B1">
        <w:tc>
          <w:tcPr>
            <w:tcW w:w="2937" w:type="dxa"/>
            <w:vMerge w:val="restart"/>
            <w:vAlign w:val="center"/>
          </w:tcPr>
          <w:p w:rsidR="00087472" w:rsidRDefault="00ED4629">
            <w:pPr>
              <w:pStyle w:val="TableText"/>
              <w:rPr>
                <w:rFonts w:ascii="Times New Roman" w:hAnsi="Times New Roman"/>
                <w:i/>
              </w:rPr>
            </w:pPr>
            <w:r>
              <w:rPr>
                <w:rFonts w:ascii="Times New Roman" w:hAnsi="Times New Roman"/>
                <w:i/>
              </w:rPr>
              <w:t>Monthly call answering performance =</w:t>
            </w:r>
          </w:p>
        </w:tc>
        <w:tc>
          <w:tcPr>
            <w:tcW w:w="4680" w:type="dxa"/>
          </w:tcPr>
          <w:p w:rsidR="00087472" w:rsidRDefault="00ED4629">
            <w:pPr>
              <w:pStyle w:val="TableText"/>
              <w:spacing w:before="20" w:after="20"/>
              <w:jc w:val="center"/>
              <w:rPr>
                <w:rFonts w:ascii="Times New Roman" w:hAnsi="Times New Roman"/>
                <w:i/>
              </w:rPr>
            </w:pPr>
            <w:r>
              <w:rPr>
                <w:rFonts w:ascii="Times New Roman" w:hAnsi="Times New Roman"/>
                <w:i/>
              </w:rPr>
              <w:t>aggregate number of calls answered by a company rep within 30 seconds</w:t>
            </w:r>
          </w:p>
        </w:tc>
      </w:tr>
      <w:tr w:rsidR="00087472" w:rsidTr="009C57B1">
        <w:tc>
          <w:tcPr>
            <w:tcW w:w="2937" w:type="dxa"/>
            <w:vMerge/>
          </w:tcPr>
          <w:p w:rsidR="00087472" w:rsidRDefault="00087472">
            <w:pPr>
              <w:pStyle w:val="TableText"/>
              <w:rPr>
                <w:rFonts w:ascii="Times New Roman" w:hAnsi="Times New Roman"/>
                <w:i/>
              </w:rPr>
            </w:pPr>
          </w:p>
        </w:tc>
        <w:tc>
          <w:tcPr>
            <w:tcW w:w="4680" w:type="dxa"/>
          </w:tcPr>
          <w:p w:rsidR="00087472" w:rsidRDefault="00ED4629">
            <w:pPr>
              <w:pStyle w:val="TableText"/>
              <w:spacing w:before="20" w:after="20"/>
              <w:jc w:val="center"/>
              <w:rPr>
                <w:rFonts w:ascii="Times New Roman" w:hAnsi="Times New Roman"/>
                <w:i/>
              </w:rPr>
            </w:pPr>
            <w:r>
              <w:rPr>
                <w:rFonts w:ascii="Times New Roman" w:hAnsi="Times New Roman"/>
                <w:i/>
              </w:rPr>
              <w:t>aggregate number of calls received</w:t>
            </w:r>
          </w:p>
        </w:tc>
      </w:tr>
    </w:tbl>
    <w:p w:rsidR="00087472" w:rsidRDefault="00ED4629" w:rsidP="007B4D52">
      <w:pPr>
        <w:pStyle w:val="Answer1"/>
        <w:spacing w:before="240"/>
        <w:ind w:firstLine="0"/>
      </w:pPr>
      <w:r>
        <w:t>PSE is currently required to achieve a benchmark of 75 percent of calls answered within 30 seconds.</w:t>
      </w:r>
    </w:p>
    <w:p w:rsidR="00087472" w:rsidRDefault="00ED4629" w:rsidP="00C02ACF">
      <w:pPr>
        <w:pStyle w:val="question"/>
      </w:pPr>
      <w:r>
        <w:lastRenderedPageBreak/>
        <w:t>Q.</w:t>
      </w:r>
      <w:r>
        <w:tab/>
        <w:t xml:space="preserve">Please describe PSE’s </w:t>
      </w:r>
      <w:r w:rsidR="0028361A">
        <w:t xml:space="preserve">performance on </w:t>
      </w:r>
      <w:proofErr w:type="spellStart"/>
      <w:r>
        <w:t>SQI</w:t>
      </w:r>
      <w:proofErr w:type="spellEnd"/>
      <w:r>
        <w:t xml:space="preserve"> No. 5.</w:t>
      </w:r>
    </w:p>
    <w:p w:rsidR="00087472" w:rsidRDefault="00ED4629">
      <w:pPr>
        <w:pStyle w:val="Answer1"/>
      </w:pPr>
      <w:r>
        <w:t>A.</w:t>
      </w:r>
      <w:r>
        <w:tab/>
        <w:t>The graph below illustrates PSE’s performance on SQI No. 5 since the inception of the SQI program.</w:t>
      </w:r>
    </w:p>
    <w:p w:rsidR="00087472" w:rsidRPr="009C57B1" w:rsidRDefault="00ED4629">
      <w:pPr>
        <w:pStyle w:val="Caption"/>
        <w:keepNext/>
        <w:jc w:val="center"/>
        <w:rPr>
          <w:sz w:val="24"/>
          <w:szCs w:val="24"/>
        </w:rPr>
      </w:pPr>
      <w:r w:rsidRPr="009C57B1">
        <w:rPr>
          <w:sz w:val="24"/>
          <w:szCs w:val="24"/>
        </w:rPr>
        <w:t xml:space="preserve">Figure </w:t>
      </w:r>
      <w:r w:rsidR="00C7630C" w:rsidRPr="009C57B1">
        <w:rPr>
          <w:sz w:val="24"/>
          <w:szCs w:val="24"/>
        </w:rPr>
        <w:fldChar w:fldCharType="begin"/>
      </w:r>
      <w:r w:rsidR="00C7630C" w:rsidRPr="009C57B1">
        <w:rPr>
          <w:sz w:val="24"/>
          <w:szCs w:val="24"/>
        </w:rPr>
        <w:instrText xml:space="preserve"> SEQ Figure \* ARABIC </w:instrText>
      </w:r>
      <w:r w:rsidR="00C7630C" w:rsidRPr="009C57B1">
        <w:rPr>
          <w:sz w:val="24"/>
          <w:szCs w:val="24"/>
        </w:rPr>
        <w:fldChar w:fldCharType="separate"/>
      </w:r>
      <w:r w:rsidR="009C57B1">
        <w:rPr>
          <w:noProof/>
          <w:sz w:val="24"/>
          <w:szCs w:val="24"/>
        </w:rPr>
        <w:t>2</w:t>
      </w:r>
      <w:r w:rsidR="00C7630C" w:rsidRPr="009C57B1">
        <w:rPr>
          <w:noProof/>
          <w:sz w:val="24"/>
          <w:szCs w:val="24"/>
        </w:rPr>
        <w:fldChar w:fldCharType="end"/>
      </w:r>
      <w:r w:rsidRPr="009C57B1">
        <w:rPr>
          <w:sz w:val="24"/>
          <w:szCs w:val="24"/>
        </w:rPr>
        <w:t xml:space="preserve"> - 1997-2015 SQI No. 5</w:t>
      </w:r>
    </w:p>
    <w:p w:rsidR="00087472" w:rsidRDefault="00ED4629">
      <w:pPr>
        <w:pStyle w:val="Answer1"/>
        <w:widowControl w:val="0"/>
        <w:spacing w:line="240" w:lineRule="auto"/>
        <w:ind w:left="0" w:firstLine="0"/>
        <w:jc w:val="center"/>
      </w:pPr>
      <w:r>
        <w:rPr>
          <w:noProof/>
          <w:lang w:eastAsia="en-US"/>
        </w:rPr>
        <w:drawing>
          <wp:inline distT="0" distB="0" distL="0" distR="0" wp14:anchorId="318F1324" wp14:editId="58DE247E">
            <wp:extent cx="3676232" cy="2204721"/>
            <wp:effectExtent l="0" t="0" r="63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78780" cy="2206249"/>
                    </a:xfrm>
                    <a:prstGeom prst="rect">
                      <a:avLst/>
                    </a:prstGeom>
                    <a:noFill/>
                  </pic:spPr>
                </pic:pic>
              </a:graphicData>
            </a:graphic>
          </wp:inline>
        </w:drawing>
      </w:r>
    </w:p>
    <w:p w:rsidR="0028361A" w:rsidRDefault="00ED4629" w:rsidP="006B74ED">
      <w:pPr>
        <w:pStyle w:val="Answer1"/>
        <w:spacing w:before="360"/>
        <w:ind w:firstLine="0"/>
      </w:pPr>
      <w:r>
        <w:t>Since 1997, PSE has been meeting the SQI No. 5 benchmark of 75 percent for most of the reporting years except 1997, 2013, and 2015.</w:t>
      </w:r>
      <w:r w:rsidR="007B4D52">
        <w:t xml:space="preserve"> </w:t>
      </w:r>
      <w:r>
        <w:t>In 2015</w:t>
      </w:r>
      <w:r w:rsidR="0028361A">
        <w:t>,</w:t>
      </w:r>
      <w:r>
        <w:t xml:space="preserve"> PSE’s Customer Care Center representatives answered 70 percent of calls within 30 seconds of customer requests, which is below the 75 percent benchmark.</w:t>
      </w:r>
      <w:r w:rsidR="007B4D52">
        <w:t xml:space="preserve"> </w:t>
      </w:r>
      <w:r>
        <w:t>There were three contributing factors to this:</w:t>
      </w:r>
      <w:r w:rsidR="007B4D52">
        <w:t xml:space="preserve"> </w:t>
      </w:r>
      <w:r>
        <w:t>1) a change in bill collection and disconnect procedure, 2) unseasonal outage and storm activity, and 3) unexpected staff turnover including impacts of new-hire training.</w:t>
      </w:r>
    </w:p>
    <w:p w:rsidR="00087472" w:rsidRDefault="00ED4629">
      <w:pPr>
        <w:pStyle w:val="Answer1"/>
        <w:ind w:firstLine="0"/>
      </w:pPr>
      <w:r>
        <w:lastRenderedPageBreak/>
        <w:t>The primary cause for missing the 2013 benchmark by 9</w:t>
      </w:r>
      <w:r w:rsidR="00D36596">
        <w:t xml:space="preserve"> percent</w:t>
      </w:r>
      <w:r>
        <w:t xml:space="preserve"> was due to the major technology improvements</w:t>
      </w:r>
      <w:r w:rsidR="00D37C54">
        <w:t>;</w:t>
      </w:r>
      <w:r>
        <w:t xml:space="preserve"> however PSE was granted approval of </w:t>
      </w:r>
      <w:r w:rsidR="0028361A">
        <w:t>its</w:t>
      </w:r>
      <w:r>
        <w:t xml:space="preserve"> petition for penalty mitigation</w:t>
      </w:r>
      <w:r w:rsidR="00D37C54">
        <w:t>.</w:t>
      </w:r>
      <w:r>
        <w:rPr>
          <w:rStyle w:val="FootnoteReference"/>
        </w:rPr>
        <w:footnoteReference w:id="6"/>
      </w:r>
      <w:r>
        <w:t xml:space="preserve"> </w:t>
      </w:r>
    </w:p>
    <w:p w:rsidR="00087472" w:rsidRDefault="00ED4629">
      <w:pPr>
        <w:pStyle w:val="Answer1"/>
        <w:rPr>
          <w:b/>
        </w:rPr>
      </w:pPr>
      <w:r>
        <w:rPr>
          <w:b/>
        </w:rPr>
        <w:t>Q.</w:t>
      </w:r>
      <w:r>
        <w:rPr>
          <w:b/>
        </w:rPr>
        <w:tab/>
        <w:t>How does PSE calculate SQI No. 6</w:t>
      </w:r>
      <w:r w:rsidR="0028361A">
        <w:rPr>
          <w:b/>
        </w:rPr>
        <w:t xml:space="preserve"> </w:t>
      </w:r>
      <w:r w:rsidR="005111A9">
        <w:rPr>
          <w:b/>
        </w:rPr>
        <w:t>(</w:t>
      </w:r>
      <w:r>
        <w:rPr>
          <w:b/>
        </w:rPr>
        <w:t>Customer Access Center Transactions Customer Satisfaction performance</w:t>
      </w:r>
      <w:r w:rsidR="005111A9">
        <w:rPr>
          <w:b/>
        </w:rPr>
        <w:t>)</w:t>
      </w:r>
      <w:r>
        <w:rPr>
          <w:b/>
        </w:rPr>
        <w:t>?</w:t>
      </w:r>
    </w:p>
    <w:p w:rsidR="00087472" w:rsidRDefault="00ED4629">
      <w:pPr>
        <w:pStyle w:val="Answer1"/>
        <w:rPr>
          <w:rFonts w:eastAsia="MS Mincho"/>
          <w:lang w:eastAsia="en-US"/>
        </w:rPr>
      </w:pPr>
      <w:r>
        <w:t>A.</w:t>
      </w:r>
      <w:r>
        <w:tab/>
      </w:r>
      <w:r>
        <w:rPr>
          <w:rFonts w:eastAsia="MS Mincho"/>
          <w:lang w:eastAsia="en-US"/>
        </w:rPr>
        <w:t>On a weekly basis, EMC Research Inc., an independent research company, conducts phone surveys to customers who have made calls to PSE following the survey procedures established in consolidated Docket</w:t>
      </w:r>
      <w:r w:rsidR="00D37C54">
        <w:rPr>
          <w:rFonts w:eastAsia="MS Mincho"/>
          <w:lang w:eastAsia="en-US"/>
        </w:rPr>
        <w:t>s</w:t>
      </w:r>
      <w:r>
        <w:rPr>
          <w:rFonts w:eastAsia="MS Mincho"/>
          <w:lang w:eastAsia="en-US"/>
        </w:rPr>
        <w:t xml:space="preserve"> UE-011570 and UG-011571.</w:t>
      </w:r>
      <w:r>
        <w:rPr>
          <w:rStyle w:val="FootnoteReference"/>
          <w:rFonts w:eastAsia="MS Mincho"/>
          <w:lang w:eastAsia="en-US"/>
        </w:rPr>
        <w:footnoteReference w:id="7"/>
      </w:r>
      <w:r w:rsidR="007B4D52">
        <w:rPr>
          <w:rFonts w:eastAsia="MS Mincho"/>
          <w:lang w:eastAsia="en-US"/>
        </w:rPr>
        <w:t xml:space="preserve"> </w:t>
      </w:r>
      <w:r>
        <w:rPr>
          <w:rFonts w:eastAsia="MS Mincho"/>
          <w:lang w:eastAsia="en-US"/>
        </w:rPr>
        <w:t>The survey question pertaining SQI No. 6 is as follows:</w:t>
      </w:r>
    </w:p>
    <w:p w:rsidR="00087472" w:rsidRDefault="00ED4629" w:rsidP="007B4D52">
      <w:pPr>
        <w:pStyle w:val="Answer1"/>
        <w:spacing w:after="240" w:line="240" w:lineRule="auto"/>
        <w:ind w:left="1440" w:right="720" w:firstLine="0"/>
        <w:jc w:val="both"/>
        <w:rPr>
          <w:rFonts w:eastAsia="MS Mincho"/>
          <w:lang w:eastAsia="en-US"/>
        </w:rPr>
      </w:pPr>
      <w:r>
        <w:rPr>
          <w:rFonts w:eastAsia="MS Mincho"/>
          <w:lang w:eastAsia="en-US"/>
        </w:rPr>
        <w:t>Overall, how would you rate your satisfaction with this call to Puget Sound Energy?</w:t>
      </w:r>
      <w:r w:rsidR="007B4D52">
        <w:rPr>
          <w:rFonts w:eastAsia="MS Mincho"/>
          <w:lang w:eastAsia="en-US"/>
        </w:rPr>
        <w:t xml:space="preserve"> </w:t>
      </w:r>
      <w:r>
        <w:rPr>
          <w:rFonts w:eastAsia="MS Mincho"/>
          <w:lang w:eastAsia="en-US"/>
        </w:rPr>
        <w:t>Would you say 7 – completely satisfied, 1- not at all satisfied or some number in between?</w:t>
      </w:r>
    </w:p>
    <w:p w:rsidR="00087472" w:rsidRDefault="00ED4629" w:rsidP="007B4D52">
      <w:pPr>
        <w:pStyle w:val="Answer1"/>
        <w:ind w:firstLine="0"/>
      </w:pPr>
      <w:r>
        <w:t>Customers are considered to be satisfied if they responded 5, 6 or 7.</w:t>
      </w:r>
      <w:r w:rsidR="007B4D52">
        <w:t xml:space="preserve"> </w:t>
      </w:r>
      <w:r>
        <w:t>The annual performance is determined by the monthly weighted average percent of satisfied customers.</w:t>
      </w:r>
      <w:r w:rsidR="007B4D52">
        <w:t xml:space="preserve"> </w:t>
      </w:r>
      <w:r>
        <w:t>The formula for the monthly percentage follows:</w:t>
      </w:r>
    </w:p>
    <w:tbl>
      <w:tblPr>
        <w:tblW w:w="7792" w:type="dxa"/>
        <w:tblInd w:w="711" w:type="dxa"/>
        <w:tblBorders>
          <w:insideH w:val="single" w:sz="4" w:space="0" w:color="auto"/>
        </w:tblBorders>
        <w:tblLayout w:type="fixed"/>
        <w:tblCellMar>
          <w:left w:w="43" w:type="dxa"/>
          <w:right w:w="43" w:type="dxa"/>
        </w:tblCellMar>
        <w:tblLook w:val="01E0" w:firstRow="1" w:lastRow="1" w:firstColumn="1" w:lastColumn="1" w:noHBand="0" w:noVBand="0"/>
      </w:tblPr>
      <w:tblGrid>
        <w:gridCol w:w="3022"/>
        <w:gridCol w:w="4770"/>
      </w:tblGrid>
      <w:tr w:rsidR="00087472">
        <w:tc>
          <w:tcPr>
            <w:tcW w:w="3022" w:type="dxa"/>
            <w:vMerge w:val="restart"/>
            <w:vAlign w:val="center"/>
          </w:tcPr>
          <w:p w:rsidR="00087472" w:rsidRDefault="00ED4629">
            <w:pPr>
              <w:pStyle w:val="TableText"/>
              <w:rPr>
                <w:rFonts w:ascii="Times New Roman" w:hAnsi="Times New Roman"/>
                <w:i/>
              </w:rPr>
            </w:pPr>
            <w:r>
              <w:rPr>
                <w:rFonts w:ascii="Times New Roman" w:hAnsi="Times New Roman"/>
                <w:i/>
              </w:rPr>
              <w:t>Monthly percentage of satisfied customers =</w:t>
            </w:r>
          </w:p>
        </w:tc>
        <w:tc>
          <w:tcPr>
            <w:tcW w:w="4770" w:type="dxa"/>
          </w:tcPr>
          <w:p w:rsidR="00087472" w:rsidRDefault="00ED4629">
            <w:pPr>
              <w:pStyle w:val="TableText"/>
              <w:spacing w:before="20" w:after="20"/>
              <w:ind w:left="-223" w:firstLine="223"/>
              <w:jc w:val="center"/>
              <w:rPr>
                <w:rFonts w:ascii="Times New Roman" w:hAnsi="Times New Roman"/>
                <w:i/>
              </w:rPr>
            </w:pPr>
            <w:r>
              <w:rPr>
                <w:rFonts w:ascii="Times New Roman" w:hAnsi="Times New Roman"/>
                <w:i/>
              </w:rPr>
              <w:t>aggregate number of survey responses of 5, 6 or 7</w:t>
            </w:r>
          </w:p>
        </w:tc>
      </w:tr>
      <w:tr w:rsidR="00087472">
        <w:tc>
          <w:tcPr>
            <w:tcW w:w="3022" w:type="dxa"/>
            <w:vMerge/>
          </w:tcPr>
          <w:p w:rsidR="00087472" w:rsidRDefault="00087472">
            <w:pPr>
              <w:pStyle w:val="TableText"/>
              <w:rPr>
                <w:rFonts w:ascii="Times New Roman" w:hAnsi="Times New Roman"/>
                <w:i/>
              </w:rPr>
            </w:pPr>
          </w:p>
        </w:tc>
        <w:tc>
          <w:tcPr>
            <w:tcW w:w="4770" w:type="dxa"/>
          </w:tcPr>
          <w:p w:rsidR="00087472" w:rsidRDefault="00ED4629">
            <w:pPr>
              <w:pStyle w:val="TableText"/>
              <w:spacing w:before="20" w:after="20"/>
              <w:jc w:val="center"/>
              <w:rPr>
                <w:rFonts w:ascii="Times New Roman" w:hAnsi="Times New Roman"/>
                <w:i/>
              </w:rPr>
            </w:pPr>
            <w:r>
              <w:rPr>
                <w:rFonts w:ascii="Times New Roman" w:hAnsi="Times New Roman"/>
                <w:i/>
              </w:rPr>
              <w:t xml:space="preserve">aggregate number of survey responses of </w:t>
            </w:r>
          </w:p>
          <w:p w:rsidR="00087472" w:rsidRDefault="00ED4629">
            <w:pPr>
              <w:pStyle w:val="TableText"/>
              <w:spacing w:before="20" w:after="20"/>
              <w:jc w:val="center"/>
              <w:rPr>
                <w:rFonts w:ascii="Times New Roman" w:hAnsi="Times New Roman"/>
                <w:i/>
              </w:rPr>
            </w:pPr>
            <w:r>
              <w:rPr>
                <w:rFonts w:ascii="Times New Roman" w:hAnsi="Times New Roman"/>
                <w:i/>
              </w:rPr>
              <w:t xml:space="preserve">1, 2, 3, 4, 5, 6 </w:t>
            </w:r>
            <w:r>
              <w:rPr>
                <w:rFonts w:ascii="Times New Roman" w:eastAsia="Times New Roman" w:hAnsi="Times New Roman"/>
                <w:i/>
                <w:kern w:val="0"/>
                <w:sz w:val="24"/>
                <w:szCs w:val="20"/>
                <w:lang w:eastAsia="zh-CN"/>
              </w:rPr>
              <w:t>or 7</w:t>
            </w:r>
          </w:p>
        </w:tc>
      </w:tr>
    </w:tbl>
    <w:p w:rsidR="00087472" w:rsidRDefault="00ED4629" w:rsidP="00D813CD">
      <w:pPr>
        <w:pStyle w:val="answer"/>
        <w:spacing w:before="360"/>
        <w:ind w:left="1440"/>
      </w:pPr>
      <w:r>
        <w:t>PSE must meet a customer satisfaction percentage of at least 90 percent.</w:t>
      </w:r>
    </w:p>
    <w:p w:rsidR="00087472" w:rsidRDefault="00ED4629" w:rsidP="00C02ACF">
      <w:pPr>
        <w:pStyle w:val="question"/>
      </w:pPr>
      <w:r>
        <w:lastRenderedPageBreak/>
        <w:t>Q.</w:t>
      </w:r>
      <w:r>
        <w:tab/>
        <w:t xml:space="preserve">Please describe </w:t>
      </w:r>
      <w:r w:rsidR="0028361A">
        <w:t xml:space="preserve">PSE’s performance on </w:t>
      </w:r>
      <w:proofErr w:type="spellStart"/>
      <w:r>
        <w:t>SQI</w:t>
      </w:r>
      <w:proofErr w:type="spellEnd"/>
      <w:r>
        <w:t xml:space="preserve"> No. 6.</w:t>
      </w:r>
    </w:p>
    <w:p w:rsidR="00087472" w:rsidRDefault="00ED4629">
      <w:pPr>
        <w:pStyle w:val="Answer1"/>
      </w:pPr>
      <w:r>
        <w:t>A.</w:t>
      </w:r>
      <w:r>
        <w:tab/>
        <w:t>The graph below illustrates PSE’s performance on SQI No. 6 since the inception of the SQI program.</w:t>
      </w:r>
    </w:p>
    <w:p w:rsidR="00087472" w:rsidRPr="007B4D52" w:rsidRDefault="00ED4629">
      <w:pPr>
        <w:pStyle w:val="Caption"/>
        <w:keepNext/>
        <w:jc w:val="center"/>
        <w:rPr>
          <w:sz w:val="24"/>
          <w:szCs w:val="24"/>
        </w:rPr>
      </w:pPr>
      <w:r w:rsidRPr="007B4D52">
        <w:rPr>
          <w:sz w:val="24"/>
          <w:szCs w:val="24"/>
        </w:rPr>
        <w:t xml:space="preserve">Figure </w:t>
      </w:r>
      <w:r w:rsidR="00C7630C" w:rsidRPr="007B4D52">
        <w:rPr>
          <w:sz w:val="24"/>
          <w:szCs w:val="24"/>
        </w:rPr>
        <w:fldChar w:fldCharType="begin"/>
      </w:r>
      <w:r w:rsidR="00C7630C" w:rsidRPr="007B4D52">
        <w:rPr>
          <w:sz w:val="24"/>
          <w:szCs w:val="24"/>
        </w:rPr>
        <w:instrText xml:space="preserve"> SEQ Figure \* ARABIC </w:instrText>
      </w:r>
      <w:r w:rsidR="00C7630C" w:rsidRPr="007B4D52">
        <w:rPr>
          <w:sz w:val="24"/>
          <w:szCs w:val="24"/>
        </w:rPr>
        <w:fldChar w:fldCharType="separate"/>
      </w:r>
      <w:r w:rsidR="009C57B1">
        <w:rPr>
          <w:noProof/>
          <w:sz w:val="24"/>
          <w:szCs w:val="24"/>
        </w:rPr>
        <w:t>3</w:t>
      </w:r>
      <w:r w:rsidR="00C7630C" w:rsidRPr="007B4D52">
        <w:rPr>
          <w:noProof/>
          <w:sz w:val="24"/>
          <w:szCs w:val="24"/>
        </w:rPr>
        <w:fldChar w:fldCharType="end"/>
      </w:r>
      <w:r w:rsidR="00845B88" w:rsidRPr="007B4D52">
        <w:rPr>
          <w:noProof/>
          <w:sz w:val="24"/>
          <w:szCs w:val="24"/>
        </w:rPr>
        <w:t xml:space="preserve"> </w:t>
      </w:r>
      <w:r w:rsidRPr="007B4D52">
        <w:rPr>
          <w:sz w:val="24"/>
          <w:szCs w:val="24"/>
        </w:rPr>
        <w:t xml:space="preserve">- 1997-2015 </w:t>
      </w:r>
      <w:proofErr w:type="spellStart"/>
      <w:r w:rsidRPr="007B4D52">
        <w:rPr>
          <w:sz w:val="24"/>
          <w:szCs w:val="24"/>
        </w:rPr>
        <w:t>SQI</w:t>
      </w:r>
      <w:proofErr w:type="spellEnd"/>
      <w:r w:rsidRPr="007B4D52">
        <w:rPr>
          <w:sz w:val="24"/>
          <w:szCs w:val="24"/>
        </w:rPr>
        <w:t xml:space="preserve"> No. 6 </w:t>
      </w:r>
    </w:p>
    <w:p w:rsidR="00087472" w:rsidRDefault="00ED4629">
      <w:pPr>
        <w:pStyle w:val="Answer1"/>
        <w:widowControl w:val="0"/>
        <w:spacing w:line="240" w:lineRule="auto"/>
        <w:ind w:left="0" w:firstLine="0"/>
        <w:jc w:val="center"/>
      </w:pPr>
      <w:r>
        <w:rPr>
          <w:noProof/>
          <w:lang w:eastAsia="en-US"/>
        </w:rPr>
        <w:drawing>
          <wp:inline distT="0" distB="0" distL="0" distR="0" wp14:anchorId="5D2ADC80" wp14:editId="5059F576">
            <wp:extent cx="3724275" cy="2243334"/>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6856" cy="2244889"/>
                    </a:xfrm>
                    <a:prstGeom prst="rect">
                      <a:avLst/>
                    </a:prstGeom>
                    <a:noFill/>
                  </pic:spPr>
                </pic:pic>
              </a:graphicData>
            </a:graphic>
          </wp:inline>
        </w:drawing>
      </w:r>
    </w:p>
    <w:p w:rsidR="00087472" w:rsidRDefault="00ED4629" w:rsidP="009C57B1">
      <w:pPr>
        <w:pStyle w:val="Answer1"/>
        <w:spacing w:before="360"/>
        <w:ind w:firstLine="0"/>
        <w:rPr>
          <w:sz w:val="20"/>
        </w:rPr>
      </w:pPr>
      <w:r>
        <w:t xml:space="preserve">As demonstrated above, PSE has consistently met the SQI No. 6 benchmark since 2002. </w:t>
      </w:r>
    </w:p>
    <w:p w:rsidR="00087472" w:rsidRDefault="00ED4629" w:rsidP="00C02ACF">
      <w:pPr>
        <w:pStyle w:val="question"/>
      </w:pPr>
      <w:r>
        <w:t>Q.</w:t>
      </w:r>
      <w:r>
        <w:tab/>
        <w:t xml:space="preserve">How did </w:t>
      </w:r>
      <w:r w:rsidR="0028361A">
        <w:t xml:space="preserve">PSE’s performance on </w:t>
      </w:r>
      <w:proofErr w:type="spellStart"/>
      <w:r>
        <w:t>SQI</w:t>
      </w:r>
      <w:proofErr w:type="spellEnd"/>
      <w:r>
        <w:t xml:space="preserve"> No. 6 compare to </w:t>
      </w:r>
      <w:r w:rsidR="0028361A">
        <w:t xml:space="preserve">its performance on </w:t>
      </w:r>
      <w:proofErr w:type="spellStart"/>
      <w:r>
        <w:t>SQI</w:t>
      </w:r>
      <w:proofErr w:type="spellEnd"/>
      <w:r>
        <w:t xml:space="preserve"> No. 5 </w:t>
      </w:r>
      <w:r w:rsidR="0028361A">
        <w:t xml:space="preserve">in </w:t>
      </w:r>
      <w:r>
        <w:t>2013 and 2015?</w:t>
      </w:r>
    </w:p>
    <w:p w:rsidR="00087472" w:rsidRDefault="00ED4629">
      <w:pPr>
        <w:pStyle w:val="Answer1"/>
        <w:rPr>
          <w:szCs w:val="24"/>
        </w:rPr>
      </w:pPr>
      <w:r>
        <w:t>A.</w:t>
      </w:r>
      <w:r>
        <w:tab/>
      </w:r>
      <w:r w:rsidR="00D36596">
        <w:t>Figure 4,</w:t>
      </w:r>
      <w:r>
        <w:t xml:space="preserve"> below</w:t>
      </w:r>
      <w:r w:rsidR="00D36596">
        <w:t>,</w:t>
      </w:r>
      <w:r>
        <w:t xml:space="preserve"> illustrates PSE’s performance on SQI No. 5 and SQI No. 6 since the inception of the SQI program. </w:t>
      </w:r>
    </w:p>
    <w:p w:rsidR="00087472" w:rsidRPr="007B4D52" w:rsidRDefault="00ED4629">
      <w:pPr>
        <w:pStyle w:val="Caption"/>
        <w:keepNext/>
        <w:jc w:val="center"/>
        <w:rPr>
          <w:sz w:val="24"/>
          <w:szCs w:val="24"/>
        </w:rPr>
      </w:pPr>
      <w:r w:rsidRPr="007B4D52">
        <w:rPr>
          <w:sz w:val="24"/>
          <w:szCs w:val="24"/>
        </w:rPr>
        <w:lastRenderedPageBreak/>
        <w:t xml:space="preserve">Figure </w:t>
      </w:r>
      <w:r w:rsidR="00C7630C" w:rsidRPr="007B4D52">
        <w:rPr>
          <w:sz w:val="24"/>
          <w:szCs w:val="24"/>
        </w:rPr>
        <w:fldChar w:fldCharType="begin"/>
      </w:r>
      <w:r w:rsidR="00C7630C" w:rsidRPr="007B4D52">
        <w:rPr>
          <w:sz w:val="24"/>
          <w:szCs w:val="24"/>
        </w:rPr>
        <w:instrText xml:space="preserve"> SEQ Figure \* ARABIC </w:instrText>
      </w:r>
      <w:r w:rsidR="00C7630C" w:rsidRPr="007B4D52">
        <w:rPr>
          <w:sz w:val="24"/>
          <w:szCs w:val="24"/>
        </w:rPr>
        <w:fldChar w:fldCharType="separate"/>
      </w:r>
      <w:r w:rsidR="009C57B1">
        <w:rPr>
          <w:noProof/>
          <w:sz w:val="24"/>
          <w:szCs w:val="24"/>
        </w:rPr>
        <w:t>4</w:t>
      </w:r>
      <w:r w:rsidR="00C7630C" w:rsidRPr="007B4D52">
        <w:rPr>
          <w:noProof/>
          <w:sz w:val="24"/>
          <w:szCs w:val="24"/>
        </w:rPr>
        <w:fldChar w:fldCharType="end"/>
      </w:r>
      <w:r w:rsidR="00845B88" w:rsidRPr="007B4D52">
        <w:rPr>
          <w:noProof/>
          <w:sz w:val="24"/>
          <w:szCs w:val="24"/>
        </w:rPr>
        <w:t xml:space="preserve"> </w:t>
      </w:r>
      <w:r w:rsidRPr="007B4D52">
        <w:rPr>
          <w:sz w:val="24"/>
          <w:szCs w:val="24"/>
        </w:rPr>
        <w:t>- 1997 to 2015 SQI No. 5 and No. 6 Performance</w:t>
      </w:r>
    </w:p>
    <w:p w:rsidR="00087472" w:rsidRDefault="00ED4629">
      <w:pPr>
        <w:pStyle w:val="answer"/>
        <w:spacing w:line="240" w:lineRule="auto"/>
        <w:ind w:left="0" w:firstLine="0"/>
        <w:jc w:val="center"/>
        <w:rPr>
          <w:b/>
          <w:szCs w:val="24"/>
        </w:rPr>
      </w:pPr>
      <w:r>
        <w:rPr>
          <w:noProof/>
          <w:lang w:eastAsia="en-US"/>
        </w:rPr>
        <w:drawing>
          <wp:inline distT="0" distB="0" distL="0" distR="0" wp14:anchorId="262A9D57" wp14:editId="4BE2D48B">
            <wp:extent cx="3418637" cy="2057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0903" cy="2058764"/>
                    </a:xfrm>
                    <a:prstGeom prst="rect">
                      <a:avLst/>
                    </a:prstGeom>
                    <a:noFill/>
                  </pic:spPr>
                </pic:pic>
              </a:graphicData>
            </a:graphic>
          </wp:inline>
        </w:drawing>
      </w:r>
    </w:p>
    <w:p w:rsidR="00087472" w:rsidRDefault="00ED4629" w:rsidP="007B4D52">
      <w:pPr>
        <w:pStyle w:val="Answer1"/>
        <w:spacing w:before="360"/>
        <w:ind w:firstLine="0"/>
      </w:pPr>
      <w:proofErr w:type="spellStart"/>
      <w:r>
        <w:t>SQI</w:t>
      </w:r>
      <w:proofErr w:type="spellEnd"/>
      <w:r>
        <w:t xml:space="preserve"> No. 6 was met or exceeded during 2013 and 2015</w:t>
      </w:r>
      <w:r w:rsidR="0028361A">
        <w:t xml:space="preserve"> when PSE did not meet the benchmark for</w:t>
      </w:r>
      <w:r>
        <w:t xml:space="preserve"> </w:t>
      </w:r>
      <w:proofErr w:type="spellStart"/>
      <w:r>
        <w:t>SQI</w:t>
      </w:r>
      <w:proofErr w:type="spellEnd"/>
      <w:r>
        <w:t xml:space="preserve"> No. 5.</w:t>
      </w:r>
      <w:r w:rsidR="007B4D52">
        <w:t xml:space="preserve"> </w:t>
      </w:r>
      <w:r>
        <w:t xml:space="preserve">In 2013, </w:t>
      </w:r>
      <w:proofErr w:type="spellStart"/>
      <w:r>
        <w:t>SQI</w:t>
      </w:r>
      <w:proofErr w:type="spellEnd"/>
      <w:r>
        <w:t xml:space="preserve"> No. 6 performance was 91 percent and in 2015, </w:t>
      </w:r>
      <w:r w:rsidR="00FA0A2B">
        <w:t>it</w:t>
      </w:r>
      <w:r>
        <w:t xml:space="preserve"> was 94 percent</w:t>
      </w:r>
      <w:r w:rsidR="00673701">
        <w:t>, demonstrating that customer satisfaction remained high even in the years when less than 75 percent of calls were answered within 30 seconds</w:t>
      </w:r>
      <w:r>
        <w:t>.</w:t>
      </w:r>
    </w:p>
    <w:p w:rsidR="00087472" w:rsidRPr="007B4D52" w:rsidRDefault="007B4D52" w:rsidP="007B4D52">
      <w:pPr>
        <w:pStyle w:val="Heading1"/>
        <w:rPr>
          <w:rFonts w:eastAsia="SimSun"/>
        </w:rPr>
      </w:pPr>
      <w:bookmarkStart w:id="20" w:name="_Toc352132219"/>
      <w:bookmarkStart w:id="21" w:name="_Toc280792513"/>
      <w:bookmarkStart w:id="22" w:name="_Toc276382646"/>
      <w:bookmarkStart w:id="23" w:name="_Toc251764332"/>
      <w:bookmarkStart w:id="24" w:name="_Toc245092159"/>
      <w:bookmarkStart w:id="25" w:name="_Toc221691905"/>
      <w:bookmarkStart w:id="26" w:name="UTCcomplaintRatio"/>
      <w:bookmarkStart w:id="27" w:name="_Toc471483989"/>
      <w:bookmarkEnd w:id="20"/>
      <w:bookmarkEnd w:id="21"/>
      <w:bookmarkEnd w:id="22"/>
      <w:bookmarkEnd w:id="23"/>
      <w:bookmarkEnd w:id="24"/>
      <w:bookmarkEnd w:id="25"/>
      <w:bookmarkEnd w:id="26"/>
      <w:r>
        <w:t>IV</w:t>
      </w:r>
      <w:r w:rsidR="00ED4629">
        <w:t>.</w:t>
      </w:r>
      <w:r w:rsidR="00ED4629">
        <w:tab/>
        <w:t>EVOLVING CHANNELS OF COMMUNICATIONS</w:t>
      </w:r>
      <w:bookmarkEnd w:id="27"/>
    </w:p>
    <w:p w:rsidR="00087472" w:rsidRDefault="00ED4629" w:rsidP="00C02ACF">
      <w:pPr>
        <w:pStyle w:val="question"/>
      </w:pPr>
      <w:r>
        <w:t>Q.</w:t>
      </w:r>
      <w:r>
        <w:tab/>
        <w:t>How have customer calls changed over the years?</w:t>
      </w:r>
    </w:p>
    <w:p w:rsidR="00087472" w:rsidRDefault="00ED4629">
      <w:pPr>
        <w:pStyle w:val="Answer1"/>
      </w:pPr>
      <w:r>
        <w:t>A.</w:t>
      </w:r>
      <w:r>
        <w:tab/>
        <w:t>The availability of customer self-serve channels of communication has influenced PSE’s incoming calls.</w:t>
      </w:r>
      <w:r w:rsidR="007B4D52">
        <w:t xml:space="preserve"> </w:t>
      </w:r>
      <w:r>
        <w:t>A significant segment</w:t>
      </w:r>
      <w:r w:rsidR="007B4D52">
        <w:t xml:space="preserve"> </w:t>
      </w:r>
      <w:r>
        <w:t>of PSE customers utilize Integrated Voice Response (“IVR”) to complete self-serve transactions for outage, account balance, credit card payments and setup of installment plans.</w:t>
      </w:r>
    </w:p>
    <w:p w:rsidR="00087472" w:rsidRDefault="00ED4629" w:rsidP="007B4D52">
      <w:pPr>
        <w:pStyle w:val="Answer1"/>
        <w:ind w:firstLine="0"/>
      </w:pPr>
      <w:r>
        <w:t>There is a growing customer segment that prefers the web, mobile applications, and social media channels to relay and receive information from PSE.</w:t>
      </w:r>
      <w:r w:rsidR="007B4D52">
        <w:t xml:space="preserve"> </w:t>
      </w:r>
      <w:r>
        <w:t>These self-</w:t>
      </w:r>
      <w:r>
        <w:lastRenderedPageBreak/>
        <w:t xml:space="preserve">serve alternatives to phone calls were virtually unheard of when </w:t>
      </w:r>
      <w:proofErr w:type="spellStart"/>
      <w:r>
        <w:t>SQI</w:t>
      </w:r>
      <w:proofErr w:type="spellEnd"/>
      <w:r>
        <w:t xml:space="preserve"> </w:t>
      </w:r>
      <w:r w:rsidR="0011314E">
        <w:t xml:space="preserve">No. </w:t>
      </w:r>
      <w:r>
        <w:t xml:space="preserve">5 was established in 1997. </w:t>
      </w:r>
      <w:r>
        <w:tab/>
      </w:r>
    </w:p>
    <w:p w:rsidR="00087472" w:rsidRDefault="00ED4629" w:rsidP="00C02ACF">
      <w:pPr>
        <w:pStyle w:val="question"/>
      </w:pPr>
      <w:r>
        <w:t>Q.</w:t>
      </w:r>
      <w:r>
        <w:tab/>
        <w:t>What is an automated self-service communication channel?</w:t>
      </w:r>
    </w:p>
    <w:p w:rsidR="00087472" w:rsidRDefault="00ED4629">
      <w:pPr>
        <w:pStyle w:val="Answer1"/>
      </w:pPr>
      <w:r>
        <w:t>A.</w:t>
      </w:r>
      <w:r>
        <w:tab/>
        <w:t xml:space="preserve">The automated self-serve channels include IVR, web, mobile device, electronic mail and social media; essentially any mode of communication between a customer and PSE that does not involve speaking directly to </w:t>
      </w:r>
      <w:r w:rsidR="00155FD9">
        <w:t>a</w:t>
      </w:r>
      <w:r>
        <w:t xml:space="preserve"> PSE Customer Care Center </w:t>
      </w:r>
      <w:r w:rsidR="00155FD9">
        <w:t>agent</w:t>
      </w:r>
      <w:r>
        <w:t xml:space="preserve"> or a </w:t>
      </w:r>
      <w:r w:rsidR="0006435A">
        <w:t>communication method</w:t>
      </w:r>
      <w:r>
        <w:t xml:space="preserve"> that enables customers to complete their request by themselves at their convenience.</w:t>
      </w:r>
    </w:p>
    <w:p w:rsidR="00087472" w:rsidRDefault="00ED4629" w:rsidP="00C02ACF">
      <w:pPr>
        <w:pStyle w:val="question"/>
      </w:pPr>
      <w:r>
        <w:t>Q.</w:t>
      </w:r>
      <w:r>
        <w:tab/>
        <w:t>How has PSE responded to increased customer preference for automated self-serve channels?</w:t>
      </w:r>
    </w:p>
    <w:p w:rsidR="00087472" w:rsidRDefault="00ED4629">
      <w:pPr>
        <w:pStyle w:val="Answer1"/>
      </w:pPr>
      <w:r>
        <w:t>A.</w:t>
      </w:r>
      <w:r>
        <w:tab/>
        <w:t xml:space="preserve">The </w:t>
      </w:r>
      <w:r w:rsidR="00673701">
        <w:t>customer information system (“CIS”)</w:t>
      </w:r>
      <w:r>
        <w:t xml:space="preserve"> project completed</w:t>
      </w:r>
      <w:r w:rsidR="00673701">
        <w:t xml:space="preserve"> by PSE</w:t>
      </w:r>
      <w:r>
        <w:t xml:space="preserve"> in 2013 set the foundation necessary to begin to offer automated self-serve channels to customers.</w:t>
      </w:r>
      <w:r w:rsidR="007B4D52">
        <w:t xml:space="preserve"> </w:t>
      </w:r>
      <w:r>
        <w:t>In 2014</w:t>
      </w:r>
      <w:r w:rsidR="00673701">
        <w:t>,</w:t>
      </w:r>
      <w:r>
        <w:t xml:space="preserve"> PSE made technology upgrades to its IVR capabilities and launched its web/mobile outage map and application.</w:t>
      </w:r>
      <w:r w:rsidR="007B4D52">
        <w:t xml:space="preserve"> </w:t>
      </w:r>
      <w:r>
        <w:t>In 2015</w:t>
      </w:r>
      <w:r w:rsidR="00673701">
        <w:t>,</w:t>
      </w:r>
      <w:r>
        <w:t xml:space="preserve"> customers completed approximately fourteen million</w:t>
      </w:r>
      <w:r>
        <w:rPr>
          <w:i/>
        </w:rPr>
        <w:t xml:space="preserve"> </w:t>
      </w:r>
      <w:r>
        <w:t>transactions via self-serve channels.</w:t>
      </w:r>
      <w:r w:rsidR="007B4D52">
        <w:t xml:space="preserve"> </w:t>
      </w:r>
      <w:r>
        <w:t>Figure 5 reflects growth in the various self-serve channels since the 2013 technology upgrades through September 30, 2016.</w:t>
      </w:r>
    </w:p>
    <w:p w:rsidR="00087472" w:rsidRPr="007B4D52" w:rsidRDefault="00ED4629">
      <w:pPr>
        <w:pStyle w:val="Caption"/>
        <w:keepNext/>
        <w:jc w:val="center"/>
        <w:rPr>
          <w:sz w:val="24"/>
          <w:szCs w:val="24"/>
        </w:rPr>
      </w:pPr>
      <w:r w:rsidRPr="007B4D52">
        <w:rPr>
          <w:sz w:val="24"/>
          <w:szCs w:val="24"/>
        </w:rPr>
        <w:lastRenderedPageBreak/>
        <w:t xml:space="preserve">Figure </w:t>
      </w:r>
      <w:r w:rsidR="00C7630C" w:rsidRPr="007B4D52">
        <w:rPr>
          <w:sz w:val="24"/>
          <w:szCs w:val="24"/>
        </w:rPr>
        <w:fldChar w:fldCharType="begin"/>
      </w:r>
      <w:r w:rsidR="00C7630C" w:rsidRPr="007B4D52">
        <w:rPr>
          <w:sz w:val="24"/>
          <w:szCs w:val="24"/>
        </w:rPr>
        <w:instrText xml:space="preserve"> SEQ Figure \* ARABIC </w:instrText>
      </w:r>
      <w:r w:rsidR="00C7630C" w:rsidRPr="007B4D52">
        <w:rPr>
          <w:sz w:val="24"/>
          <w:szCs w:val="24"/>
        </w:rPr>
        <w:fldChar w:fldCharType="separate"/>
      </w:r>
      <w:r w:rsidR="009C57B1">
        <w:rPr>
          <w:noProof/>
          <w:sz w:val="24"/>
          <w:szCs w:val="24"/>
        </w:rPr>
        <w:t>5</w:t>
      </w:r>
      <w:r w:rsidR="00C7630C" w:rsidRPr="007B4D52">
        <w:rPr>
          <w:noProof/>
          <w:sz w:val="24"/>
          <w:szCs w:val="24"/>
        </w:rPr>
        <w:fldChar w:fldCharType="end"/>
      </w:r>
      <w:r w:rsidR="00845B88" w:rsidRPr="007B4D52">
        <w:rPr>
          <w:noProof/>
          <w:sz w:val="24"/>
          <w:szCs w:val="24"/>
        </w:rPr>
        <w:t xml:space="preserve"> </w:t>
      </w:r>
      <w:r w:rsidRPr="007B4D52">
        <w:rPr>
          <w:sz w:val="24"/>
          <w:szCs w:val="24"/>
        </w:rPr>
        <w:t>- 2013 - 9/30/2016 Customer Self-Serve Transactions</w:t>
      </w:r>
    </w:p>
    <w:p w:rsidR="00087472" w:rsidRDefault="00811070">
      <w:pPr>
        <w:pStyle w:val="Answer1"/>
        <w:widowControl w:val="0"/>
        <w:tabs>
          <w:tab w:val="left" w:pos="0"/>
        </w:tabs>
        <w:spacing w:line="240" w:lineRule="auto"/>
        <w:ind w:left="0" w:firstLine="0"/>
        <w:jc w:val="center"/>
      </w:pPr>
      <w:r>
        <w:rPr>
          <w:noProof/>
          <w:lang w:eastAsia="en-US"/>
        </w:rPr>
        <w:drawing>
          <wp:inline distT="0" distB="0" distL="0" distR="0" wp14:anchorId="5800AC57" wp14:editId="2CE06943">
            <wp:extent cx="4260273" cy="2275609"/>
            <wp:effectExtent l="0" t="0" r="2603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7472" w:rsidRPr="00D813CD" w:rsidRDefault="00D813CD" w:rsidP="007B4D52">
      <w:pPr>
        <w:pStyle w:val="Answer1"/>
        <w:spacing w:before="360"/>
        <w:ind w:firstLine="0"/>
        <w:rPr>
          <w:i/>
        </w:rPr>
      </w:pPr>
      <w:r>
        <w:rPr>
          <w:i/>
        </w:rPr>
        <w:t xml:space="preserve">The </w:t>
      </w:r>
      <w:proofErr w:type="spellStart"/>
      <w:r>
        <w:rPr>
          <w:i/>
        </w:rPr>
        <w:t>IVR</w:t>
      </w:r>
      <w:proofErr w:type="spellEnd"/>
      <w:r>
        <w:rPr>
          <w:i/>
        </w:rPr>
        <w:t xml:space="preserve"> </w:t>
      </w:r>
      <w:r w:rsidR="00ED4629">
        <w:rPr>
          <w:i/>
        </w:rPr>
        <w:t xml:space="preserve">channel </w:t>
      </w:r>
      <w:r>
        <w:rPr>
          <w:i/>
        </w:rPr>
        <w:t>–</w:t>
      </w:r>
      <w:r w:rsidR="00ED4629">
        <w:rPr>
          <w:i/>
        </w:rPr>
        <w:t xml:space="preserve"> </w:t>
      </w:r>
      <w:r w:rsidR="00ED4629">
        <w:t xml:space="preserve">The </w:t>
      </w:r>
      <w:proofErr w:type="spellStart"/>
      <w:r w:rsidR="00ED4629">
        <w:t>IVR</w:t>
      </w:r>
      <w:proofErr w:type="spellEnd"/>
      <w:r w:rsidR="00ED4629">
        <w:t xml:space="preserve"> Self Service channel provides capabilities for the customer to complete an outage report, inquire about account balance, make a payment and establish an installment plan from a phone call without any wait time.</w:t>
      </w:r>
      <w:r w:rsidR="007B4D52">
        <w:t xml:space="preserve"> </w:t>
      </w:r>
      <w:r w:rsidR="00ED4629">
        <w:t>In 2014, improvements were made to the IVR resulting in improved IVR utilization for these transactions.</w:t>
      </w:r>
      <w:r w:rsidR="007B4D52">
        <w:t xml:space="preserve"> </w:t>
      </w:r>
      <w:r w:rsidR="00ED4629">
        <w:t>In the November 2014 JD Power Summary of Changes customer survey</w:t>
      </w:r>
      <w:r w:rsidR="00ED4629">
        <w:rPr>
          <w:rStyle w:val="FootnoteReference"/>
        </w:rPr>
        <w:footnoteReference w:id="8"/>
      </w:r>
      <w:r w:rsidR="00ED4629">
        <w:t xml:space="preserve"> results, customers reported a 28 percent improvement in ease of IVR menu prompts over the 2013 survey results.</w:t>
      </w:r>
      <w:r w:rsidR="007B4D52">
        <w:t xml:space="preserve"> </w:t>
      </w:r>
      <w:r w:rsidR="00ED4629">
        <w:t xml:space="preserve">Figure 6 reflects the customer phone calls handled by the IVR and </w:t>
      </w:r>
      <w:r w:rsidR="00FA0A2B">
        <w:t>Customer Care Center</w:t>
      </w:r>
      <w:r w:rsidR="00ED4629">
        <w:t xml:space="preserve"> representatives.</w:t>
      </w:r>
      <w:r w:rsidR="007B4D52">
        <w:t xml:space="preserve"> </w:t>
      </w:r>
      <w:r w:rsidR="00ED4629">
        <w:t xml:space="preserve">There is a significant increase in the </w:t>
      </w:r>
      <w:proofErr w:type="spellStart"/>
      <w:r w:rsidR="00ED4629">
        <w:t>IVR</w:t>
      </w:r>
      <w:proofErr w:type="spellEnd"/>
      <w:r w:rsidR="005C68A2">
        <w:t>-</w:t>
      </w:r>
      <w:r w:rsidR="00ED4629">
        <w:t xml:space="preserve">handled phone calls </w:t>
      </w:r>
      <w:r w:rsidR="005C68A2">
        <w:t xml:space="preserve">starting </w:t>
      </w:r>
      <w:r w:rsidR="00ED4629">
        <w:t xml:space="preserve">in October 2014 when the </w:t>
      </w:r>
      <w:proofErr w:type="spellStart"/>
      <w:r w:rsidR="00ED4629">
        <w:t>IVR</w:t>
      </w:r>
      <w:proofErr w:type="spellEnd"/>
      <w:r w:rsidR="00ED4629">
        <w:t xml:space="preserve"> improvements were introduced.</w:t>
      </w:r>
      <w:r w:rsidR="007B4D52">
        <w:t xml:space="preserve"> </w:t>
      </w:r>
      <w:r w:rsidR="00ED4629">
        <w:t xml:space="preserve">The 2016 </w:t>
      </w:r>
      <w:proofErr w:type="spellStart"/>
      <w:r w:rsidR="00ED4629">
        <w:t>IVR</w:t>
      </w:r>
      <w:proofErr w:type="spellEnd"/>
      <w:r w:rsidR="00ED4629">
        <w:t xml:space="preserve"> </w:t>
      </w:r>
      <w:r w:rsidR="005C68A2">
        <w:t>transactions</w:t>
      </w:r>
      <w:r w:rsidR="00ED4629">
        <w:t xml:space="preserve"> through September 30, 2016 continues to exceed the number of agent handled calls indicating higher utilization of the IVR self-serve channel.</w:t>
      </w:r>
    </w:p>
    <w:p w:rsidR="00087472" w:rsidRPr="007B4D52" w:rsidRDefault="00ED4629">
      <w:pPr>
        <w:pStyle w:val="Caption"/>
        <w:keepNext/>
        <w:jc w:val="center"/>
        <w:rPr>
          <w:sz w:val="24"/>
          <w:szCs w:val="24"/>
        </w:rPr>
      </w:pPr>
      <w:r w:rsidRPr="007B4D52">
        <w:rPr>
          <w:sz w:val="24"/>
          <w:szCs w:val="24"/>
        </w:rPr>
        <w:lastRenderedPageBreak/>
        <w:t xml:space="preserve">Figure </w:t>
      </w:r>
      <w:r w:rsidR="00C7630C" w:rsidRPr="007B4D52">
        <w:rPr>
          <w:sz w:val="24"/>
          <w:szCs w:val="24"/>
        </w:rPr>
        <w:fldChar w:fldCharType="begin"/>
      </w:r>
      <w:r w:rsidR="00C7630C" w:rsidRPr="007B4D52">
        <w:rPr>
          <w:sz w:val="24"/>
          <w:szCs w:val="24"/>
        </w:rPr>
        <w:instrText xml:space="preserve"> SEQ Figure \* ARABIC </w:instrText>
      </w:r>
      <w:r w:rsidR="00C7630C" w:rsidRPr="007B4D52">
        <w:rPr>
          <w:sz w:val="24"/>
          <w:szCs w:val="24"/>
        </w:rPr>
        <w:fldChar w:fldCharType="separate"/>
      </w:r>
      <w:r w:rsidR="009C57B1">
        <w:rPr>
          <w:noProof/>
          <w:sz w:val="24"/>
          <w:szCs w:val="24"/>
        </w:rPr>
        <w:t>6</w:t>
      </w:r>
      <w:r w:rsidR="00C7630C" w:rsidRPr="007B4D52">
        <w:rPr>
          <w:noProof/>
          <w:sz w:val="24"/>
          <w:szCs w:val="24"/>
        </w:rPr>
        <w:fldChar w:fldCharType="end"/>
      </w:r>
      <w:r w:rsidR="00845B88" w:rsidRPr="007B4D52">
        <w:rPr>
          <w:noProof/>
          <w:sz w:val="24"/>
          <w:szCs w:val="24"/>
        </w:rPr>
        <w:t xml:space="preserve"> </w:t>
      </w:r>
      <w:r w:rsidRPr="007B4D52">
        <w:rPr>
          <w:sz w:val="24"/>
          <w:szCs w:val="24"/>
        </w:rPr>
        <w:t xml:space="preserve">- Total </w:t>
      </w:r>
      <w:r w:rsidR="005C68A2" w:rsidRPr="007B4D52">
        <w:rPr>
          <w:sz w:val="24"/>
          <w:szCs w:val="24"/>
        </w:rPr>
        <w:t xml:space="preserve">Successful </w:t>
      </w:r>
      <w:proofErr w:type="spellStart"/>
      <w:r w:rsidRPr="007B4D52">
        <w:rPr>
          <w:sz w:val="24"/>
          <w:szCs w:val="24"/>
        </w:rPr>
        <w:t>IVR</w:t>
      </w:r>
      <w:proofErr w:type="spellEnd"/>
      <w:r w:rsidRPr="007B4D52">
        <w:rPr>
          <w:sz w:val="24"/>
          <w:szCs w:val="24"/>
        </w:rPr>
        <w:t xml:space="preserve"> and Agent Handled Phone Calls</w:t>
      </w:r>
      <w:r w:rsidR="007B4D52">
        <w:rPr>
          <w:sz w:val="24"/>
          <w:szCs w:val="24"/>
        </w:rPr>
        <w:br/>
      </w:r>
      <w:r w:rsidRPr="007B4D52">
        <w:rPr>
          <w:sz w:val="24"/>
          <w:szCs w:val="24"/>
        </w:rPr>
        <w:t>(</w:t>
      </w:r>
      <w:r w:rsidR="00FA0A2B" w:rsidRPr="007B4D52">
        <w:rPr>
          <w:sz w:val="24"/>
          <w:szCs w:val="24"/>
        </w:rPr>
        <w:t xml:space="preserve">Jan. 1, </w:t>
      </w:r>
      <w:r w:rsidRPr="007B4D52">
        <w:rPr>
          <w:sz w:val="24"/>
          <w:szCs w:val="24"/>
        </w:rPr>
        <w:t>3013-</w:t>
      </w:r>
      <w:r w:rsidR="00FA0A2B" w:rsidRPr="007B4D52">
        <w:rPr>
          <w:sz w:val="24"/>
          <w:szCs w:val="24"/>
        </w:rPr>
        <w:t xml:space="preserve">Sept. </w:t>
      </w:r>
      <w:r w:rsidRPr="007B4D52">
        <w:rPr>
          <w:sz w:val="24"/>
          <w:szCs w:val="24"/>
        </w:rPr>
        <w:t>30</w:t>
      </w:r>
      <w:r w:rsidR="001B1F9D" w:rsidRPr="007B4D52">
        <w:rPr>
          <w:sz w:val="24"/>
          <w:szCs w:val="24"/>
        </w:rPr>
        <w:t>, 2016</w:t>
      </w:r>
      <w:r w:rsidRPr="007B4D52">
        <w:rPr>
          <w:sz w:val="24"/>
          <w:szCs w:val="24"/>
        </w:rPr>
        <w:t>)</w:t>
      </w:r>
    </w:p>
    <w:p w:rsidR="00087472" w:rsidRDefault="005C68A2">
      <w:pPr>
        <w:pStyle w:val="Answer1"/>
        <w:widowControl w:val="0"/>
        <w:spacing w:line="240" w:lineRule="auto"/>
        <w:ind w:left="0" w:firstLine="0"/>
        <w:jc w:val="center"/>
      </w:pPr>
      <w:r>
        <w:rPr>
          <w:noProof/>
          <w:lang w:eastAsia="en-US"/>
        </w:rPr>
        <w:drawing>
          <wp:inline distT="0" distB="0" distL="0" distR="0" wp14:anchorId="3832F925" wp14:editId="168CD710">
            <wp:extent cx="4404360" cy="27508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04360" cy="27508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87472" w:rsidRDefault="00ED4629" w:rsidP="007B4D52">
      <w:pPr>
        <w:pStyle w:val="Answer1"/>
        <w:spacing w:before="360"/>
        <w:ind w:firstLine="0"/>
      </w:pPr>
      <w:r>
        <w:rPr>
          <w:i/>
        </w:rPr>
        <w:t xml:space="preserve">The web transactions - </w:t>
      </w:r>
      <w:r>
        <w:t>The web capabilities on PSE.com and my.PSE.com have evolved significantly.</w:t>
      </w:r>
      <w:r w:rsidR="007B4D52">
        <w:t xml:space="preserve"> </w:t>
      </w:r>
      <w:r>
        <w:t>PSE has developed web self-serve transactions including energy usage analysis, payment, bill history, and start/stop service.</w:t>
      </w:r>
      <w:r w:rsidR="007B4D52">
        <w:t xml:space="preserve"> </w:t>
      </w:r>
      <w:r>
        <w:t xml:space="preserve">Figure 7 reflects the percentage of web self-serve transactions excluding </w:t>
      </w:r>
      <w:r w:rsidR="005C68A2">
        <w:t>o</w:t>
      </w:r>
      <w:r>
        <w:t>utages reflecting a high utilization by customers specifically for billing and payment.</w:t>
      </w:r>
    </w:p>
    <w:p w:rsidR="00087472" w:rsidRPr="007B4D52" w:rsidRDefault="00ED4629">
      <w:pPr>
        <w:pStyle w:val="Caption"/>
        <w:keepNext/>
        <w:jc w:val="center"/>
        <w:rPr>
          <w:sz w:val="24"/>
          <w:szCs w:val="24"/>
        </w:rPr>
      </w:pPr>
      <w:r w:rsidRPr="007B4D52">
        <w:rPr>
          <w:sz w:val="24"/>
          <w:szCs w:val="24"/>
        </w:rPr>
        <w:t xml:space="preserve">Figure </w:t>
      </w:r>
      <w:r w:rsidR="00C7630C" w:rsidRPr="007B4D52">
        <w:rPr>
          <w:sz w:val="24"/>
          <w:szCs w:val="24"/>
        </w:rPr>
        <w:fldChar w:fldCharType="begin"/>
      </w:r>
      <w:r w:rsidR="00C7630C" w:rsidRPr="007B4D52">
        <w:rPr>
          <w:sz w:val="24"/>
          <w:szCs w:val="24"/>
        </w:rPr>
        <w:instrText xml:space="preserve"> SEQ Figure \* ARABIC </w:instrText>
      </w:r>
      <w:r w:rsidR="00C7630C" w:rsidRPr="007B4D52">
        <w:rPr>
          <w:sz w:val="24"/>
          <w:szCs w:val="24"/>
        </w:rPr>
        <w:fldChar w:fldCharType="separate"/>
      </w:r>
      <w:r w:rsidR="009C57B1">
        <w:rPr>
          <w:noProof/>
          <w:sz w:val="24"/>
          <w:szCs w:val="24"/>
        </w:rPr>
        <w:t>7</w:t>
      </w:r>
      <w:r w:rsidR="00C7630C" w:rsidRPr="007B4D52">
        <w:rPr>
          <w:noProof/>
          <w:sz w:val="24"/>
          <w:szCs w:val="24"/>
        </w:rPr>
        <w:fldChar w:fldCharType="end"/>
      </w:r>
      <w:r w:rsidR="00845B88" w:rsidRPr="007B4D52">
        <w:rPr>
          <w:noProof/>
          <w:sz w:val="24"/>
          <w:szCs w:val="24"/>
        </w:rPr>
        <w:t xml:space="preserve"> </w:t>
      </w:r>
      <w:r w:rsidRPr="007B4D52">
        <w:rPr>
          <w:sz w:val="24"/>
          <w:szCs w:val="24"/>
        </w:rPr>
        <w:t>- Web Self-Serve Transactions 2013- 9/30/2016</w:t>
      </w:r>
    </w:p>
    <w:p w:rsidR="00087472" w:rsidRDefault="00ED4629">
      <w:pPr>
        <w:pStyle w:val="Answer1"/>
        <w:jc w:val="center"/>
      </w:pPr>
      <w:r>
        <w:rPr>
          <w:noProof/>
          <w:lang w:eastAsia="en-US"/>
        </w:rPr>
        <w:drawing>
          <wp:inline distT="0" distB="0" distL="0" distR="0" wp14:anchorId="34233364" wp14:editId="45774E1B">
            <wp:extent cx="4335780" cy="2567940"/>
            <wp:effectExtent l="0" t="0" r="26670" b="228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87472" w:rsidRDefault="00ED4629" w:rsidP="007B4D52">
      <w:pPr>
        <w:pStyle w:val="Answer1"/>
        <w:ind w:firstLine="0"/>
      </w:pPr>
      <w:r>
        <w:rPr>
          <w:i/>
        </w:rPr>
        <w:lastRenderedPageBreak/>
        <w:t xml:space="preserve">Web and Mobile for Outage Status- </w:t>
      </w:r>
      <w:r>
        <w:t>PSE upgraded its technology in 2014 to enhance customers’ web and mobile capabilities for outage reporting and outage status inquiry.</w:t>
      </w:r>
      <w:r w:rsidR="007B4D52">
        <w:t xml:space="preserve"> </w:t>
      </w:r>
      <w:r>
        <w:t>In 2015 there were approximately 1.6 million self-serve outage transactions for the outage map on the PSE website and approximately half a million mobile outage customer transactions.</w:t>
      </w:r>
      <w:r w:rsidR="007B4D52">
        <w:t xml:space="preserve"> </w:t>
      </w:r>
      <w:r>
        <w:t>This represents customers either reporting an outage or inquiring about an outage status.</w:t>
      </w:r>
      <w:r w:rsidR="007B4D52">
        <w:t xml:space="preserve"> </w:t>
      </w:r>
      <w:r>
        <w:t>Customers are using this self-service channel to obtain periodic updates during a storm or other outage event.</w:t>
      </w:r>
    </w:p>
    <w:p w:rsidR="007B4D52" w:rsidRDefault="00ED4629" w:rsidP="007B4D52">
      <w:pPr>
        <w:pStyle w:val="Answer1"/>
        <w:ind w:firstLine="0"/>
      </w:pPr>
      <w:r>
        <w:rPr>
          <w:i/>
        </w:rPr>
        <w:t>E-mail and Text Messaging -</w:t>
      </w:r>
      <w:r w:rsidR="007B4D52">
        <w:rPr>
          <w:i/>
        </w:rPr>
        <w:t xml:space="preserve"> </w:t>
      </w:r>
      <w:r>
        <w:t>PSE currently utilizes email and to a lesser extent text messaging to communicate with its customers.</w:t>
      </w:r>
      <w:r w:rsidR="007B4D52">
        <w:t xml:space="preserve"> </w:t>
      </w:r>
      <w:r>
        <w:t>Use of texting will increase as PSE begins to enable pro-active notifications and communicate via customer preference.</w:t>
      </w:r>
    </w:p>
    <w:p w:rsidR="00087472" w:rsidRDefault="00ED4629" w:rsidP="007B4D52">
      <w:pPr>
        <w:pStyle w:val="Answer1"/>
        <w:ind w:firstLine="0"/>
      </w:pPr>
      <w:r>
        <w:rPr>
          <w:i/>
        </w:rPr>
        <w:t>Social Media</w:t>
      </w:r>
      <w:r>
        <w:t xml:space="preserve"> - PSE is engaged with customers on social media channels Facebook and Twitter.</w:t>
      </w:r>
      <w:r w:rsidR="007B4D52">
        <w:t xml:space="preserve"> </w:t>
      </w:r>
      <w:r>
        <w:t>PSE maintains an inter-company social media communication protocol for all Customer Care Center inquiries that are received through this channel.</w:t>
      </w:r>
      <w:r w:rsidR="007B4D52">
        <w:t xml:space="preserve"> </w:t>
      </w:r>
      <w:r>
        <w:t xml:space="preserve">The inquiry is forwarded to the </w:t>
      </w:r>
      <w:r w:rsidR="00FA0A2B">
        <w:t>Customer Care Center</w:t>
      </w:r>
      <w:r>
        <w:t xml:space="preserve"> supervisor for direct customer resolution.</w:t>
      </w:r>
      <w:r w:rsidR="007B4D52">
        <w:t xml:space="preserve"> </w:t>
      </w:r>
      <w:r>
        <w:t>As of December 31, 2015, PSE had approximately 53,000 active followers on Facebook and Twitter.</w:t>
      </w:r>
      <w:r w:rsidR="007B4D52">
        <w:t xml:space="preserve"> </w:t>
      </w:r>
      <w:r>
        <w:t>The social media channels are heavily used during storms.</w:t>
      </w:r>
      <w:r w:rsidR="007B4D52">
        <w:t xml:space="preserve"> </w:t>
      </w:r>
      <w:r>
        <w:t>Customers use Flicker, a web-based image application, to post pictures of storm damage and restoration progress.</w:t>
      </w:r>
      <w:r w:rsidR="007B4D52">
        <w:t xml:space="preserve"> </w:t>
      </w:r>
      <w:r>
        <w:t xml:space="preserve">PSE anticipates that more customers will begin to use this channel </w:t>
      </w:r>
      <w:r w:rsidR="002F3AB1">
        <w:lastRenderedPageBreak/>
        <w:t xml:space="preserve">because </w:t>
      </w:r>
      <w:r>
        <w:t xml:space="preserve">it </w:t>
      </w:r>
      <w:r w:rsidR="002F3AB1">
        <w:t xml:space="preserve">enables PSE to </w:t>
      </w:r>
      <w:r>
        <w:t>proactively communicate with customers via their mobile devices.</w:t>
      </w:r>
    </w:p>
    <w:p w:rsidR="00087472" w:rsidRDefault="00ED4629" w:rsidP="00C02ACF">
      <w:pPr>
        <w:pStyle w:val="question"/>
      </w:pPr>
      <w:r>
        <w:t>Q.</w:t>
      </w:r>
      <w:r>
        <w:tab/>
        <w:t>How do customers access automated self-service channels?</w:t>
      </w:r>
    </w:p>
    <w:p w:rsidR="00616C18" w:rsidRDefault="00ED4629">
      <w:pPr>
        <w:pStyle w:val="Answer1"/>
      </w:pPr>
      <w:r>
        <w:t>A.</w:t>
      </w:r>
      <w:r>
        <w:tab/>
        <w:t>In order to access the IVR self-serve channel, a customer will make a phone call to the Customer Care Center.</w:t>
      </w:r>
      <w:r w:rsidR="007B4D52">
        <w:t xml:space="preserve"> </w:t>
      </w:r>
      <w:r>
        <w:t>In order to access the web, mobile device applications, electronic mail and social media self-serve channels, a customer uses a computer, smart phone, or oth</w:t>
      </w:r>
      <w:r w:rsidR="007B4D52">
        <w:t>er hand held electronic device.</w:t>
      </w:r>
    </w:p>
    <w:p w:rsidR="00087472" w:rsidRPr="00C02ACF" w:rsidRDefault="00616C18" w:rsidP="007B4D52">
      <w:pPr>
        <w:pStyle w:val="Heading1"/>
        <w:rPr>
          <w:rFonts w:eastAsia="SimSun"/>
        </w:rPr>
      </w:pPr>
      <w:bookmarkStart w:id="28" w:name="_Toc173038276"/>
      <w:bookmarkStart w:id="29" w:name="_Toc183245342"/>
      <w:bookmarkStart w:id="30" w:name="_Toc471483990"/>
      <w:r>
        <w:t>V.</w:t>
      </w:r>
      <w:r w:rsidR="002F3AB1">
        <w:tab/>
      </w:r>
      <w:r w:rsidR="00ED4629">
        <w:t>PROPOSED CHANGE TO SQI NO. 5</w:t>
      </w:r>
      <w:bookmarkEnd w:id="30"/>
    </w:p>
    <w:p w:rsidR="00087472" w:rsidRDefault="00ED4629" w:rsidP="00C02ACF">
      <w:pPr>
        <w:pStyle w:val="question"/>
      </w:pPr>
      <w:r>
        <w:t>Q.</w:t>
      </w:r>
      <w:r>
        <w:tab/>
        <w:t>How should the Customer Care Center performance be assessed if the current SQI No. 5 does not measure how customers interact with PSE today?</w:t>
      </w:r>
    </w:p>
    <w:p w:rsidR="00087472" w:rsidRDefault="00ED4629">
      <w:pPr>
        <w:pStyle w:val="Answer1"/>
      </w:pPr>
      <w:r>
        <w:t>A.</w:t>
      </w:r>
      <w:r>
        <w:tab/>
        <w:t xml:space="preserve">The </w:t>
      </w:r>
      <w:proofErr w:type="spellStart"/>
      <w:r>
        <w:t>SQI</w:t>
      </w:r>
      <w:proofErr w:type="spellEnd"/>
      <w:r>
        <w:t>-</w:t>
      </w:r>
      <w:r w:rsidR="0011314E">
        <w:t xml:space="preserve">No. </w:t>
      </w:r>
      <w:r>
        <w:t xml:space="preserve">5 measure should be modified to include IVR transactions as well as </w:t>
      </w:r>
      <w:r w:rsidR="002F3AB1">
        <w:t>transactions</w:t>
      </w:r>
      <w:r>
        <w:t xml:space="preserve"> handled by a live agent </w:t>
      </w:r>
      <w:r w:rsidR="002F3AB1">
        <w:t xml:space="preserve">because </w:t>
      </w:r>
      <w:r>
        <w:t xml:space="preserve">both </w:t>
      </w:r>
      <w:r w:rsidR="002F3AB1">
        <w:t xml:space="preserve">types of transactions </w:t>
      </w:r>
      <w:r>
        <w:t>are originated by a phone call to PSE.</w:t>
      </w:r>
      <w:r w:rsidR="007B4D52">
        <w:t xml:space="preserve"> </w:t>
      </w:r>
      <w:r>
        <w:t xml:space="preserve">The current </w:t>
      </w:r>
      <w:proofErr w:type="spellStart"/>
      <w:r>
        <w:t>SQI</w:t>
      </w:r>
      <w:proofErr w:type="spellEnd"/>
      <w:r>
        <w:t>-</w:t>
      </w:r>
      <w:r w:rsidR="0011314E">
        <w:t xml:space="preserve">No. </w:t>
      </w:r>
      <w:r>
        <w:t xml:space="preserve">5 calculation is no longer a representative measure of customer satisfaction </w:t>
      </w:r>
      <w:r w:rsidR="002F3AB1">
        <w:t xml:space="preserve">because </w:t>
      </w:r>
      <w:r w:rsidR="008C112A">
        <w:t xml:space="preserve">of the number of customers successfully transacting through the </w:t>
      </w:r>
      <w:proofErr w:type="spellStart"/>
      <w:r w:rsidR="008C112A">
        <w:t>IVR</w:t>
      </w:r>
      <w:proofErr w:type="spellEnd"/>
      <w:r w:rsidR="008C112A">
        <w:t>.</w:t>
      </w:r>
      <w:r w:rsidR="007B4D52">
        <w:t xml:space="preserve"> </w:t>
      </w:r>
      <w:r>
        <w:t xml:space="preserve">Customers are increasing their use of self-serve channels, and PSE is experiencing declining </w:t>
      </w:r>
      <w:r w:rsidR="002F3AB1">
        <w:t>live agent-</w:t>
      </w:r>
      <w:r>
        <w:t>customer contact.</w:t>
      </w:r>
      <w:r w:rsidR="007B4D52">
        <w:t xml:space="preserve"> </w:t>
      </w:r>
      <w:r>
        <w:t xml:space="preserve">The current </w:t>
      </w:r>
      <w:proofErr w:type="spellStart"/>
      <w:r>
        <w:t>SQI</w:t>
      </w:r>
      <w:proofErr w:type="spellEnd"/>
      <w:r>
        <w:t xml:space="preserve"> No. 5 measures a contact channel that is being transformed progressively by self-serve channels.</w:t>
      </w:r>
      <w:r w:rsidR="007B4D52">
        <w:t xml:space="preserve"> </w:t>
      </w:r>
      <w:r w:rsidR="00663F20">
        <w:t>Such</w:t>
      </w:r>
      <w:r>
        <w:t xml:space="preserve"> self-serve channels did not exist in 1997</w:t>
      </w:r>
      <w:r w:rsidR="00663F20">
        <w:t>,</w:t>
      </w:r>
      <w:r>
        <w:t xml:space="preserve"> when SQI No. 5 was established.</w:t>
      </w:r>
      <w:r w:rsidR="007B4D52">
        <w:t xml:space="preserve"> </w:t>
      </w:r>
      <w:r>
        <w:t xml:space="preserve">In fact, the self-serve channels that have been expanded through the 2013 technology upgrade have set the foundation for the continued growth of self-serve capabilities. </w:t>
      </w:r>
    </w:p>
    <w:p w:rsidR="00087472" w:rsidRDefault="00ED4629">
      <w:pPr>
        <w:pStyle w:val="Answer1"/>
        <w:rPr>
          <w:b/>
        </w:rPr>
      </w:pPr>
      <w:r>
        <w:rPr>
          <w:b/>
        </w:rPr>
        <w:lastRenderedPageBreak/>
        <w:t>Q.</w:t>
      </w:r>
      <w:r>
        <w:rPr>
          <w:b/>
        </w:rPr>
        <w:tab/>
        <w:t>What about the customers who do not have access to the internet or a smart phone?</w:t>
      </w:r>
    </w:p>
    <w:p w:rsidR="00087472" w:rsidRDefault="00ED4629">
      <w:pPr>
        <w:pStyle w:val="Answer1"/>
      </w:pPr>
      <w:r>
        <w:t>A.</w:t>
      </w:r>
      <w:r>
        <w:tab/>
        <w:t>For those customers, PSE’s Customer Care Center is always able to help them via a phone call.</w:t>
      </w:r>
      <w:r w:rsidR="007B4D52">
        <w:t xml:space="preserve"> </w:t>
      </w:r>
      <w:r>
        <w:t>The</w:t>
      </w:r>
      <w:r w:rsidR="00663F20">
        <w:t>y</w:t>
      </w:r>
      <w:r>
        <w:t xml:space="preserve"> will not experience any deterioration in service </w:t>
      </w:r>
      <w:r w:rsidR="008C112A">
        <w:t xml:space="preserve">quality </w:t>
      </w:r>
      <w:r>
        <w:t>when they call PSE.</w:t>
      </w:r>
    </w:p>
    <w:p w:rsidR="00087472" w:rsidRDefault="00ED4629">
      <w:pPr>
        <w:pStyle w:val="Answer1"/>
        <w:rPr>
          <w:b/>
        </w:rPr>
      </w:pPr>
      <w:r>
        <w:t>Q.</w:t>
      </w:r>
      <w:r>
        <w:tab/>
      </w:r>
      <w:r>
        <w:rPr>
          <w:b/>
        </w:rPr>
        <w:t>What does PSE propose for the measurement of customer contact with PSE’s Customer Care Center?</w:t>
      </w:r>
    </w:p>
    <w:p w:rsidR="00087472" w:rsidRDefault="007B4D52">
      <w:pPr>
        <w:pStyle w:val="Answer1"/>
      </w:pPr>
      <w:r>
        <w:t>A.</w:t>
      </w:r>
      <w:r w:rsidR="00ED4629">
        <w:tab/>
        <w:t xml:space="preserve">The </w:t>
      </w:r>
      <w:proofErr w:type="spellStart"/>
      <w:r w:rsidR="00ED4629">
        <w:t>SQI</w:t>
      </w:r>
      <w:proofErr w:type="spellEnd"/>
      <w:r w:rsidR="00ED4629">
        <w:t xml:space="preserve"> </w:t>
      </w:r>
      <w:r w:rsidR="0011314E">
        <w:t xml:space="preserve">No. </w:t>
      </w:r>
      <w:r w:rsidR="00ED4629">
        <w:t>5 measure should be modified to include both live calls as well as calls that do not require a live agent</w:t>
      </w:r>
      <w:r w:rsidR="00663F20">
        <w:t>,</w:t>
      </w:r>
      <w:r w:rsidR="00ED4629">
        <w:t xml:space="preserve"> as measured through the </w:t>
      </w:r>
      <w:proofErr w:type="spellStart"/>
      <w:r w:rsidR="00ED4629">
        <w:t>IVR</w:t>
      </w:r>
      <w:proofErr w:type="spellEnd"/>
      <w:r w:rsidR="00ED4629">
        <w:t xml:space="preserve"> transactions.</w:t>
      </w:r>
      <w:r>
        <w:t xml:space="preserve"> </w:t>
      </w:r>
      <w:r w:rsidR="00ED4629">
        <w:t>As discussed earlier, customers access the IVR channel by initiating a phone call</w:t>
      </w:r>
      <w:r w:rsidR="008C112A">
        <w:t>,</w:t>
      </w:r>
      <w:r w:rsidR="00ED4629">
        <w:t xml:space="preserve"> and many transactions can be completed by the customer without ever requiring an interaction with a live agent.</w:t>
      </w:r>
      <w:r>
        <w:t xml:space="preserve"> </w:t>
      </w:r>
      <w:r w:rsidR="00ED4629">
        <w:t xml:space="preserve">The </w:t>
      </w:r>
      <w:proofErr w:type="spellStart"/>
      <w:r w:rsidR="00ED4629">
        <w:t>IVR</w:t>
      </w:r>
      <w:proofErr w:type="spellEnd"/>
      <w:r w:rsidR="00ED4629">
        <w:t xml:space="preserve"> transactions should be treated equally </w:t>
      </w:r>
      <w:r w:rsidR="00663F20">
        <w:t xml:space="preserve">to </w:t>
      </w:r>
      <w:r w:rsidR="00ED4629">
        <w:t xml:space="preserve">those </w:t>
      </w:r>
      <w:r w:rsidR="00663F20">
        <w:t xml:space="preserve">involving </w:t>
      </w:r>
      <w:r w:rsidR="00ED4629">
        <w:t>a live agent and</w:t>
      </w:r>
      <w:r w:rsidR="00663F20">
        <w:t>,</w:t>
      </w:r>
      <w:r w:rsidR="00ED4629">
        <w:t xml:space="preserve"> therefore</w:t>
      </w:r>
      <w:r w:rsidR="00663F20">
        <w:t>,</w:t>
      </w:r>
      <w:r w:rsidR="00ED4629">
        <w:t xml:space="preserve"> the number of IVR transactions should be included in both the numerator and the denominator of the measure.</w:t>
      </w:r>
      <w:r>
        <w:t xml:space="preserve"> </w:t>
      </w:r>
      <w:r w:rsidR="00ED4629">
        <w:t xml:space="preserve">As indicated in PSE’s August 2015 customer communication preference survey </w:t>
      </w:r>
      <w:r w:rsidR="008C112A">
        <w:t xml:space="preserve">(as shown in Figures 8 and 9) </w:t>
      </w:r>
      <w:r w:rsidR="00ED4629">
        <w:t xml:space="preserve">and the decreasing trend in the number of calls requesting to speak with a </w:t>
      </w:r>
      <w:r w:rsidR="00FA0A2B">
        <w:t>Customer Care Center</w:t>
      </w:r>
      <w:r w:rsidR="00ED4629">
        <w:t xml:space="preserve"> representative, the current SQI No. 5 calculation is no longer a good measure of PSE’s customer contact performance.</w:t>
      </w:r>
      <w:r>
        <w:t xml:space="preserve"> </w:t>
      </w:r>
      <w:r w:rsidR="00ED4629">
        <w:t>To better meet customer’s changing expectation and need, it is appropriate to include the transactions completed through the IVR self-service channel with the Customer Care Center performance.</w:t>
      </w:r>
      <w:r>
        <w:t xml:space="preserve"> </w:t>
      </w:r>
      <w:r w:rsidR="00ED4629">
        <w:t xml:space="preserve">The benefit to customers of the IVR is that it allows them to complete certain simple transactions, on their </w:t>
      </w:r>
      <w:r w:rsidR="00ED4629">
        <w:lastRenderedPageBreak/>
        <w:t xml:space="preserve">own, on their schedule rather than only during the 7 a.m. to 7 p.m. </w:t>
      </w:r>
      <w:r w:rsidR="00663F20">
        <w:t xml:space="preserve">Customer Care Center </w:t>
      </w:r>
      <w:r w:rsidR="00ED4629">
        <w:t xml:space="preserve">business </w:t>
      </w:r>
      <w:r w:rsidR="001B1F9D">
        <w:t xml:space="preserve">hours. </w:t>
      </w:r>
    </w:p>
    <w:p w:rsidR="00087472" w:rsidRPr="00C02ACF" w:rsidRDefault="00ED4629" w:rsidP="007B4D52">
      <w:pPr>
        <w:pStyle w:val="Heading1"/>
        <w:rPr>
          <w:rFonts w:eastAsia="SimSun"/>
        </w:rPr>
      </w:pPr>
      <w:bookmarkStart w:id="31" w:name="_Toc471483991"/>
      <w:r>
        <w:t>V</w:t>
      </w:r>
      <w:r w:rsidR="007B4D52">
        <w:t>I</w:t>
      </w:r>
      <w:r>
        <w:t>.</w:t>
      </w:r>
      <w:r>
        <w:tab/>
      </w:r>
      <w:r w:rsidR="001C01B5">
        <w:rPr>
          <w:caps/>
        </w:rPr>
        <w:t xml:space="preserve">PSE’s </w:t>
      </w:r>
      <w:r w:rsidR="001C01B5">
        <w:t>OUTAGE MANAGEMENT AND CUSTOMER INFORMATION SYSTEMS</w:t>
      </w:r>
      <w:bookmarkEnd w:id="31"/>
      <w:r>
        <w:t xml:space="preserve"> </w:t>
      </w:r>
    </w:p>
    <w:p w:rsidR="00087472" w:rsidRDefault="00ED4629" w:rsidP="00C02ACF">
      <w:pPr>
        <w:pStyle w:val="question"/>
      </w:pPr>
      <w:r>
        <w:t>Q.</w:t>
      </w:r>
      <w:r>
        <w:tab/>
        <w:t xml:space="preserve">Do PSE’S new outage management system </w:t>
      </w:r>
      <w:r w:rsidR="001C01B5">
        <w:t>(</w:t>
      </w:r>
      <w:r w:rsidR="006B74ED">
        <w:t>“</w:t>
      </w:r>
      <w:r w:rsidR="001C01B5">
        <w:t xml:space="preserve">OMS”) </w:t>
      </w:r>
      <w:r>
        <w:t xml:space="preserve">and </w:t>
      </w:r>
      <w:r w:rsidR="00673701">
        <w:t>CIS</w:t>
      </w:r>
      <w:r w:rsidR="001C01B5">
        <w:t xml:space="preserve"> effect </w:t>
      </w:r>
      <w:r>
        <w:t>Customer Care Center operations?</w:t>
      </w:r>
    </w:p>
    <w:p w:rsidR="00087472" w:rsidRDefault="00ED4629">
      <w:pPr>
        <w:pStyle w:val="answer"/>
      </w:pPr>
      <w:r>
        <w:t>A.</w:t>
      </w:r>
      <w:r>
        <w:tab/>
        <w:t xml:space="preserve">Yes. </w:t>
      </w:r>
    </w:p>
    <w:p w:rsidR="00087472" w:rsidRDefault="00ED4629" w:rsidP="00C02ACF">
      <w:pPr>
        <w:pStyle w:val="question"/>
      </w:pPr>
      <w:r>
        <w:t>Q.</w:t>
      </w:r>
      <w:r>
        <w:tab/>
        <w:t xml:space="preserve">How </w:t>
      </w:r>
      <w:r w:rsidR="001C01B5">
        <w:t>so</w:t>
      </w:r>
      <w:r>
        <w:t>?</w:t>
      </w:r>
    </w:p>
    <w:p w:rsidR="00087472" w:rsidRDefault="00ED4629">
      <w:pPr>
        <w:pStyle w:val="Answer1"/>
      </w:pPr>
      <w:r>
        <w:t>A.</w:t>
      </w:r>
      <w:r>
        <w:tab/>
        <w:t>The</w:t>
      </w:r>
      <w:r w:rsidR="001C01B5">
        <w:t xml:space="preserve"> 2013</w:t>
      </w:r>
      <w:r>
        <w:t xml:space="preserve"> implementation of OMS and CIS has enabled integration among different systems</w:t>
      </w:r>
      <w:r w:rsidR="001C01B5">
        <w:t>, which ha</w:t>
      </w:r>
      <w:r w:rsidR="0026578D">
        <w:t>s</w:t>
      </w:r>
      <w:r>
        <w:t xml:space="preserve"> enhanced operational performance reporting and enabled integrated web and mobile self-serve transactions</w:t>
      </w:r>
      <w:r w:rsidR="0026578D">
        <w:t>,</w:t>
      </w:r>
      <w:r>
        <w:t xml:space="preserve"> </w:t>
      </w:r>
      <w:r w:rsidR="0026578D">
        <w:t>as shown in Figure 5</w:t>
      </w:r>
      <w:r>
        <w:t>.</w:t>
      </w:r>
    </w:p>
    <w:p w:rsidR="00087472" w:rsidRDefault="00ED4629" w:rsidP="00C02ACF">
      <w:pPr>
        <w:pStyle w:val="question"/>
      </w:pPr>
      <w:r>
        <w:t>Q.</w:t>
      </w:r>
      <w:r>
        <w:tab/>
        <w:t>What technology, process and training improvements have occurred in the last three years at PSE’s Customer Care Center?</w:t>
      </w:r>
    </w:p>
    <w:p w:rsidR="0026578D" w:rsidRDefault="00ED4629">
      <w:pPr>
        <w:pStyle w:val="Answer1"/>
      </w:pPr>
      <w:r>
        <w:t>A.</w:t>
      </w:r>
      <w:r>
        <w:tab/>
      </w:r>
      <w:r w:rsidR="0026578D">
        <w:t>The following is a chronology of the changes that have occurred since 2013:</w:t>
      </w:r>
    </w:p>
    <w:p w:rsidR="00087472" w:rsidRDefault="00ED4629" w:rsidP="007B4D52">
      <w:pPr>
        <w:pStyle w:val="Answer1"/>
        <w:ind w:firstLine="0"/>
      </w:pPr>
      <w:r>
        <w:rPr>
          <w:u w:val="single"/>
        </w:rPr>
        <w:t>2013</w:t>
      </w:r>
      <w:r>
        <w:t xml:space="preserve"> –</w:t>
      </w:r>
      <w:r w:rsidR="007B4D52">
        <w:tab/>
      </w:r>
      <w:r>
        <w:t>New CIS and OMS were implemented in April, 2013.</w:t>
      </w:r>
    </w:p>
    <w:p w:rsidR="00087472" w:rsidRDefault="00ED4629" w:rsidP="0026578D">
      <w:pPr>
        <w:pStyle w:val="Answer1"/>
        <w:ind w:left="1440"/>
      </w:pPr>
      <w:r>
        <w:rPr>
          <w:u w:val="single"/>
        </w:rPr>
        <w:t>2014</w:t>
      </w:r>
      <w:r>
        <w:t xml:space="preserve"> –</w:t>
      </w:r>
      <w:r w:rsidR="007B4D52">
        <w:tab/>
      </w:r>
      <w:r>
        <w:t>PSE was focused on stabilizing the current CIS and OMS environments and enabling new technology capabilities to provide more self-serve choices for customers.</w:t>
      </w:r>
    </w:p>
    <w:p w:rsidR="007B4D52" w:rsidRDefault="00ED4629" w:rsidP="007B4D52">
      <w:pPr>
        <w:pStyle w:val="Answer1"/>
        <w:ind w:left="1440" w:firstLine="0"/>
      </w:pPr>
      <w:r>
        <w:t xml:space="preserve">The web and mobile outage capabilities have enabled an increase in self-service customer transactions and </w:t>
      </w:r>
      <w:r w:rsidR="0026578D">
        <w:t xml:space="preserve">have </w:t>
      </w:r>
      <w:r>
        <w:t xml:space="preserve">resulted in decreased phone calls </w:t>
      </w:r>
      <w:r>
        <w:lastRenderedPageBreak/>
        <w:t>during storms.</w:t>
      </w:r>
      <w:r w:rsidR="007B4D52">
        <w:t xml:space="preserve"> </w:t>
      </w:r>
      <w:r w:rsidR="0026578D">
        <w:t>C</w:t>
      </w:r>
      <w:r>
        <w:t xml:space="preserve">ustomers </w:t>
      </w:r>
      <w:r w:rsidR="0026578D">
        <w:t xml:space="preserve">are </w:t>
      </w:r>
      <w:r>
        <w:t>accessing this self-service channel during storms for outage reporting and periodic updates.</w:t>
      </w:r>
      <w:r w:rsidR="007B4D52">
        <w:t xml:space="preserve"> </w:t>
      </w:r>
      <w:r>
        <w:t>As PSE builds the capability for proactive outage communications to customers through mobile channels, PSE fully expects more customers will use the mobile channel</w:t>
      </w:r>
      <w:r w:rsidR="001C01B5">
        <w:t>,</w:t>
      </w:r>
      <w:r>
        <w:t xml:space="preserve"> ultimately reducing calls to the </w:t>
      </w:r>
      <w:r w:rsidR="00FA0A2B">
        <w:t>Customer Care Center</w:t>
      </w:r>
      <w:r>
        <w:t xml:space="preserve">. </w:t>
      </w:r>
    </w:p>
    <w:p w:rsidR="007B4D52" w:rsidRDefault="00ED4629" w:rsidP="007B4D52">
      <w:pPr>
        <w:pStyle w:val="Answer1"/>
        <w:ind w:left="1440" w:firstLine="0"/>
      </w:pPr>
      <w:r>
        <w:t>PSE anticipates that, over time, the ability for a customer to report an outage through a mobile device or the web will reduce the number of calls to the Customer Care Center.</w:t>
      </w:r>
    </w:p>
    <w:p w:rsidR="00087472" w:rsidRDefault="00ED4629" w:rsidP="007B4D52">
      <w:pPr>
        <w:pStyle w:val="Answer1"/>
        <w:ind w:left="1440" w:firstLine="0"/>
      </w:pPr>
      <w:r>
        <w:t xml:space="preserve">The </w:t>
      </w:r>
      <w:proofErr w:type="spellStart"/>
      <w:r>
        <w:t>IVR</w:t>
      </w:r>
      <w:proofErr w:type="spellEnd"/>
      <w:r>
        <w:t xml:space="preserve"> upgrade in the fourth quarter of 2014 included a Cisco</w:t>
      </w:r>
      <w:r>
        <w:rPr>
          <w:rStyle w:val="FootnoteReference"/>
        </w:rPr>
        <w:footnoteReference w:id="9"/>
      </w:r>
      <w:r>
        <w:t xml:space="preserve"> phone system upgrade and enhanced authentication integration with the </w:t>
      </w:r>
      <w:r w:rsidR="00D813CD">
        <w:t>CIS</w:t>
      </w:r>
      <w:r>
        <w:t>.</w:t>
      </w:r>
      <w:r w:rsidR="007B4D52">
        <w:t xml:space="preserve"> </w:t>
      </w:r>
      <w:r>
        <w:t xml:space="preserve">In addition, there were IVR menu prompt changes, which improved the outage </w:t>
      </w:r>
      <w:r w:rsidR="001B1F9D">
        <w:t>reporting,</w:t>
      </w:r>
      <w:r>
        <w:t xml:space="preserve"> and status update, enhanced menu path for Spanish speaking customers, and increased payment arrangement transactions.</w:t>
      </w:r>
      <w:r w:rsidR="007B4D52">
        <w:t xml:space="preserve"> </w:t>
      </w:r>
      <w:r>
        <w:t xml:space="preserve">This resulted in increased </w:t>
      </w:r>
      <w:proofErr w:type="spellStart"/>
      <w:r>
        <w:t>IVR</w:t>
      </w:r>
      <w:proofErr w:type="spellEnd"/>
      <w:r>
        <w:t xml:space="preserve"> utilization </w:t>
      </w:r>
      <w:r w:rsidR="009A5232">
        <w:t>in 2015 and through September 2016</w:t>
      </w:r>
      <w:r>
        <w:t>.</w:t>
      </w:r>
    </w:p>
    <w:p w:rsidR="00087472" w:rsidRDefault="00ED4629" w:rsidP="0026578D">
      <w:pPr>
        <w:pStyle w:val="Answer1"/>
        <w:ind w:left="1440"/>
      </w:pPr>
      <w:r>
        <w:rPr>
          <w:u w:val="single"/>
        </w:rPr>
        <w:t>2015</w:t>
      </w:r>
      <w:r>
        <w:t xml:space="preserve"> –</w:t>
      </w:r>
      <w:r w:rsidR="007B4D52">
        <w:tab/>
      </w:r>
      <w:r>
        <w:t>PSE made business transaction enhancements to enable OMS technology capabilities.</w:t>
      </w:r>
      <w:r w:rsidR="007B4D52">
        <w:t xml:space="preserve"> </w:t>
      </w:r>
      <w:r>
        <w:t xml:space="preserve">The </w:t>
      </w:r>
      <w:r w:rsidR="00FA0A2B">
        <w:t>Customer Care Center</w:t>
      </w:r>
      <w:r>
        <w:t xml:space="preserve"> continued operational integration with call skill management technique training.</w:t>
      </w:r>
      <w:r w:rsidR="007B4D52">
        <w:t xml:space="preserve"> </w:t>
      </w:r>
      <w:r>
        <w:t xml:space="preserve">PSE implemented more proactive collection practices, which had a latent effect on the </w:t>
      </w:r>
      <w:r w:rsidR="00FA0A2B">
        <w:t xml:space="preserve">Customer </w:t>
      </w:r>
      <w:r w:rsidR="00FA0A2B">
        <w:lastRenderedPageBreak/>
        <w:t>Care Center</w:t>
      </w:r>
      <w:r>
        <w:t xml:space="preserve"> call volume.</w:t>
      </w:r>
      <w:r w:rsidR="007B4D52">
        <w:t xml:space="preserve"> </w:t>
      </w:r>
      <w:r>
        <w:t xml:space="preserve">PSE also revised its customer bill format, which was last updated in 1998. </w:t>
      </w:r>
    </w:p>
    <w:p w:rsidR="00087472" w:rsidRDefault="00ED4629" w:rsidP="0026578D">
      <w:pPr>
        <w:pStyle w:val="Answer1"/>
        <w:ind w:left="1440"/>
      </w:pPr>
      <w:r>
        <w:rPr>
          <w:u w:val="single"/>
        </w:rPr>
        <w:t xml:space="preserve">2016 </w:t>
      </w:r>
      <w:r>
        <w:t>–</w:t>
      </w:r>
      <w:r w:rsidR="007B4D52">
        <w:tab/>
      </w:r>
      <w:r>
        <w:t>PSE deployed billing and payment improvements to the bill payment presentment, account status on the web, streamlined the IVR and web customer experience, outage text communication, and made</w:t>
      </w:r>
      <w:r w:rsidR="009A5232">
        <w:t xml:space="preserve"> improvements to</w:t>
      </w:r>
      <w:r>
        <w:t xml:space="preserve"> the</w:t>
      </w:r>
      <w:r w:rsidR="009A5232">
        <w:t xml:space="preserve"> self-service</w:t>
      </w:r>
      <w:r>
        <w:t xml:space="preserve"> start/stop/transfer </w:t>
      </w:r>
      <w:r w:rsidR="009A5232">
        <w:t>transaction web tool.</w:t>
      </w:r>
    </w:p>
    <w:p w:rsidR="00087472" w:rsidRPr="00C02ACF" w:rsidRDefault="00ED4629" w:rsidP="007B4D52">
      <w:pPr>
        <w:pStyle w:val="Heading1"/>
        <w:rPr>
          <w:rFonts w:eastAsia="SimSun"/>
        </w:rPr>
      </w:pPr>
      <w:bookmarkStart w:id="32" w:name="_Toc471483992"/>
      <w:r>
        <w:t>V</w:t>
      </w:r>
      <w:r w:rsidR="007B4D52">
        <w:t>I</w:t>
      </w:r>
      <w:r>
        <w:t>I.</w:t>
      </w:r>
      <w:r>
        <w:tab/>
        <w:t>CUSTOMERS’ EVOLVING EXPECTATIONS</w:t>
      </w:r>
      <w:bookmarkEnd w:id="32"/>
      <w:r>
        <w:t xml:space="preserve"> </w:t>
      </w:r>
    </w:p>
    <w:p w:rsidR="00087472" w:rsidRDefault="00ED4629" w:rsidP="00C02ACF">
      <w:pPr>
        <w:pStyle w:val="question"/>
      </w:pPr>
      <w:r>
        <w:t>Q.</w:t>
      </w:r>
      <w:r>
        <w:tab/>
        <w:t>What other trends are you observing that are likely to affect Customer Care Center answering performance?</w:t>
      </w:r>
    </w:p>
    <w:p w:rsidR="00087472" w:rsidRDefault="00ED4629">
      <w:pPr>
        <w:pStyle w:val="Answer1"/>
      </w:pPr>
      <w:r>
        <w:t>A.</w:t>
      </w:r>
      <w:r>
        <w:tab/>
        <w:t>PSE customers’ increasing</w:t>
      </w:r>
      <w:r w:rsidR="009A5232">
        <w:t>ly</w:t>
      </w:r>
      <w:r>
        <w:t xml:space="preserve"> prefer interacting with PSE through multiple self-serve communication channels, including online and mobile phone applications.</w:t>
      </w:r>
      <w:r w:rsidR="007B4D52">
        <w:t xml:space="preserve"> </w:t>
      </w:r>
      <w:r w:rsidR="009A5232">
        <w:t xml:space="preserve">Many of </w:t>
      </w:r>
      <w:r>
        <w:t xml:space="preserve">PSE’s customers </w:t>
      </w:r>
      <w:r w:rsidR="009A5232">
        <w:t>are</w:t>
      </w:r>
      <w:r w:rsidR="002772C7">
        <w:t xml:space="preserve"> </w:t>
      </w:r>
      <w:r>
        <w:t xml:space="preserve">accustomed to interacting with </w:t>
      </w:r>
      <w:r w:rsidR="002772C7">
        <w:t>retail</w:t>
      </w:r>
      <w:r>
        <w:t xml:space="preserve"> </w:t>
      </w:r>
      <w:r w:rsidR="009A5232">
        <w:t xml:space="preserve">and service </w:t>
      </w:r>
      <w:r>
        <w:t>providers through smart devices</w:t>
      </w:r>
      <w:r w:rsidR="009A5232">
        <w:t xml:space="preserve">, and they </w:t>
      </w:r>
      <w:r w:rsidR="009800FF">
        <w:t xml:space="preserve">expect similar self-service experiences </w:t>
      </w:r>
      <w:r w:rsidR="009A5232">
        <w:t xml:space="preserve">to be </w:t>
      </w:r>
      <w:r w:rsidR="009800FF">
        <w:t xml:space="preserve">offered by </w:t>
      </w:r>
      <w:r w:rsidR="009A5232">
        <w:t>PSE</w:t>
      </w:r>
      <w:r w:rsidR="009800FF">
        <w:t>.</w:t>
      </w:r>
      <w:r w:rsidR="007B4D52">
        <w:t xml:space="preserve"> </w:t>
      </w:r>
      <w:r w:rsidR="009800FF">
        <w:t>They want</w:t>
      </w:r>
      <w:r>
        <w:t xml:space="preserve"> the ability to handle their business at all hours of the day or night</w:t>
      </w:r>
      <w:r w:rsidR="009800FF">
        <w:t>,</w:t>
      </w:r>
      <w:r w:rsidR="007B4D52">
        <w:t xml:space="preserve"> with no agent interaction.</w:t>
      </w:r>
    </w:p>
    <w:p w:rsidR="00087472" w:rsidRDefault="00ED4629" w:rsidP="00C02ACF">
      <w:pPr>
        <w:pStyle w:val="question"/>
      </w:pPr>
      <w:r>
        <w:t>Q.</w:t>
      </w:r>
      <w:r>
        <w:tab/>
        <w:t>Have you completed customer communication preference surveys and</w:t>
      </w:r>
      <w:r w:rsidR="009800FF">
        <w:t>, if so,</w:t>
      </w:r>
      <w:r>
        <w:t xml:space="preserve"> what were the results?</w:t>
      </w:r>
    </w:p>
    <w:p w:rsidR="00087472" w:rsidRDefault="00ED4629">
      <w:pPr>
        <w:pStyle w:val="Answer1"/>
      </w:pPr>
      <w:r>
        <w:t>A.</w:t>
      </w:r>
      <w:r>
        <w:tab/>
        <w:t>Yes.</w:t>
      </w:r>
      <w:r w:rsidR="007B4D52">
        <w:t xml:space="preserve"> </w:t>
      </w:r>
      <w:r>
        <w:t xml:space="preserve">A customer communication preferences survey was </w:t>
      </w:r>
      <w:r w:rsidR="009800FF">
        <w:t xml:space="preserve">conducted on PSE’s residential research panel </w:t>
      </w:r>
      <w:r>
        <w:t>in August 2015. The residential research panel is comprised of about 2,000 residential customers from across the PSE service territory.</w:t>
      </w:r>
      <w:r w:rsidR="007B4D52">
        <w:t xml:space="preserve"> </w:t>
      </w:r>
      <w:r>
        <w:t>It was originally recruited in 2013 by mail invitation.</w:t>
      </w:r>
      <w:r w:rsidR="007B4D52">
        <w:t xml:space="preserve"> </w:t>
      </w:r>
      <w:r>
        <w:t xml:space="preserve">Panelists were told </w:t>
      </w:r>
      <w:r>
        <w:lastRenderedPageBreak/>
        <w:t>to expect 1-2 surveys per month, with topics ranging from energy efficiency, program ideas, and other utility- or energy-related issues.</w:t>
      </w:r>
      <w:r w:rsidR="007B4D52">
        <w:t xml:space="preserve"> </w:t>
      </w:r>
      <w:r>
        <w:t>The panel has been used to field surveys about customer communication preferences, testing outage map design, the redesigned bill, and various program ideas.</w:t>
      </w:r>
      <w:r w:rsidR="007B4D52">
        <w:t xml:space="preserve"> </w:t>
      </w:r>
      <w:r>
        <w:t>These online surveys are processed via email.</w:t>
      </w:r>
    </w:p>
    <w:p w:rsidR="00087472" w:rsidRDefault="00C71842">
      <w:pPr>
        <w:pStyle w:val="Answer1"/>
        <w:ind w:firstLine="0"/>
      </w:pPr>
      <w:r>
        <w:t>Out of the 2,000 customers surveyed a</w:t>
      </w:r>
      <w:r w:rsidR="00ED4629">
        <w:t xml:space="preserve">pproximately thirteen hundred customers </w:t>
      </w:r>
      <w:r>
        <w:t>responded to</w:t>
      </w:r>
      <w:r w:rsidR="00ED4629">
        <w:t xml:space="preserve"> the</w:t>
      </w:r>
      <w:r>
        <w:t xml:space="preserve"> communication preference</w:t>
      </w:r>
      <w:r w:rsidR="00ED4629">
        <w:t xml:space="preserve"> survey</w:t>
      </w:r>
      <w:r>
        <w:t>.</w:t>
      </w:r>
      <w:r w:rsidR="007B4D52">
        <w:t xml:space="preserve"> </w:t>
      </w:r>
      <w:r>
        <w:t xml:space="preserve">Eighty percent of </w:t>
      </w:r>
      <w:r w:rsidR="001B1F9D">
        <w:t>the customers</w:t>
      </w:r>
      <w:r>
        <w:t xml:space="preserve"> who responded </w:t>
      </w:r>
      <w:r w:rsidR="00ED4629">
        <w:t xml:space="preserve">indicated that they prefer to communicate with PSE using a </w:t>
      </w:r>
      <w:r>
        <w:t xml:space="preserve">self-serve channel like the IVR, </w:t>
      </w:r>
      <w:r w:rsidR="00ED4629">
        <w:t>website</w:t>
      </w:r>
      <w:r>
        <w:t>,</w:t>
      </w:r>
      <w:r w:rsidR="00ED4629">
        <w:t xml:space="preserve"> and/or a mobile phone application.</w:t>
      </w:r>
      <w:r w:rsidR="007B4D52">
        <w:t xml:space="preserve"> </w:t>
      </w:r>
      <w:r w:rsidR="00ED4629">
        <w:t>In addition, they indicated that they prefer to receive pro-active notifications from PSE through email and text messaging.</w:t>
      </w:r>
    </w:p>
    <w:p w:rsidR="00087472" w:rsidRDefault="00ED4629">
      <w:pPr>
        <w:pStyle w:val="Answer1"/>
        <w:ind w:firstLine="0"/>
      </w:pPr>
      <w:r>
        <w:t xml:space="preserve">Figure 8 shows a strong customer preference for non-agent transactions through the web/mobile, </w:t>
      </w:r>
      <w:proofErr w:type="spellStart"/>
      <w:r>
        <w:t>IVR</w:t>
      </w:r>
      <w:proofErr w:type="spellEnd"/>
      <w:r>
        <w:t>, and email/chat/social.</w:t>
      </w:r>
      <w:r w:rsidR="007B4D52">
        <w:t xml:space="preserve"> </w:t>
      </w:r>
      <w:r>
        <w:t>Figure 9 reflects a strong notification preference for email and text messaging.</w:t>
      </w:r>
      <w:r w:rsidR="007B4D52">
        <w:t xml:space="preserve"> </w:t>
      </w:r>
      <w:r>
        <w:t>Proactive text messaging reflects an increased preference during outage events.</w:t>
      </w:r>
    </w:p>
    <w:p w:rsidR="00087472" w:rsidRPr="007B4D52" w:rsidRDefault="00ED4629" w:rsidP="007B4D52">
      <w:pPr>
        <w:pStyle w:val="Caption"/>
        <w:keepNext/>
        <w:spacing w:before="360" w:line="240" w:lineRule="auto"/>
        <w:jc w:val="center"/>
        <w:rPr>
          <w:sz w:val="24"/>
          <w:szCs w:val="24"/>
        </w:rPr>
      </w:pPr>
      <w:r w:rsidRPr="007B4D52">
        <w:rPr>
          <w:sz w:val="24"/>
          <w:szCs w:val="24"/>
        </w:rPr>
        <w:lastRenderedPageBreak/>
        <w:t>Figure 8 - 2015 Customer Communication Preference Survey Results</w:t>
      </w:r>
    </w:p>
    <w:p w:rsidR="00087472" w:rsidRDefault="00ED4629">
      <w:pPr>
        <w:pStyle w:val="answer"/>
        <w:keepNext/>
        <w:spacing w:line="240" w:lineRule="auto"/>
        <w:ind w:left="0" w:firstLine="0"/>
        <w:jc w:val="center"/>
        <w:rPr>
          <w:sz w:val="20"/>
        </w:rPr>
      </w:pPr>
      <w:r>
        <w:rPr>
          <w:noProof/>
          <w:sz w:val="20"/>
          <w:lang w:eastAsia="en-US"/>
        </w:rPr>
        <w:drawing>
          <wp:inline distT="0" distB="0" distL="0" distR="0" wp14:anchorId="0CFC464A" wp14:editId="45214E9D">
            <wp:extent cx="4584700" cy="27559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87472" w:rsidRPr="007B4D52" w:rsidRDefault="00ED4629" w:rsidP="007B4D52">
      <w:pPr>
        <w:pStyle w:val="Caption"/>
        <w:keepNext/>
        <w:spacing w:before="360" w:line="240" w:lineRule="auto"/>
        <w:jc w:val="center"/>
        <w:rPr>
          <w:sz w:val="24"/>
          <w:szCs w:val="24"/>
        </w:rPr>
      </w:pPr>
      <w:r w:rsidRPr="007B4D52">
        <w:rPr>
          <w:sz w:val="24"/>
          <w:szCs w:val="24"/>
        </w:rPr>
        <w:t>Figure 9 - 2015 Customer Preference Pro-active Notification Survey Results</w:t>
      </w:r>
    </w:p>
    <w:p w:rsidR="00087472" w:rsidRDefault="00ED4629" w:rsidP="006B74ED">
      <w:pPr>
        <w:pStyle w:val="answer"/>
        <w:keepNext/>
        <w:spacing w:line="240" w:lineRule="auto"/>
        <w:ind w:left="0" w:firstLine="0"/>
        <w:jc w:val="center"/>
      </w:pPr>
      <w:r>
        <w:rPr>
          <w:noProof/>
          <w:lang w:eastAsia="en-US"/>
        </w:rPr>
        <w:drawing>
          <wp:inline distT="0" distB="0" distL="0" distR="0" wp14:anchorId="29D1ACB0" wp14:editId="6BDA92A2">
            <wp:extent cx="4533900" cy="27253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37307" cy="2727413"/>
                    </a:xfrm>
                    <a:prstGeom prst="rect">
                      <a:avLst/>
                    </a:prstGeom>
                    <a:noFill/>
                  </pic:spPr>
                </pic:pic>
              </a:graphicData>
            </a:graphic>
          </wp:inline>
        </w:drawing>
      </w:r>
    </w:p>
    <w:p w:rsidR="00087472" w:rsidRPr="00C02ACF" w:rsidRDefault="00ED4629" w:rsidP="007B4D52">
      <w:pPr>
        <w:pStyle w:val="Heading1"/>
        <w:rPr>
          <w:rFonts w:eastAsia="SimSun"/>
        </w:rPr>
      </w:pPr>
      <w:bookmarkStart w:id="33" w:name="_Toc68192291"/>
      <w:bookmarkStart w:id="34" w:name="_Toc68609742"/>
      <w:bookmarkStart w:id="35" w:name="_Toc119762066"/>
      <w:bookmarkStart w:id="36" w:name="_Toc126812442"/>
      <w:bookmarkStart w:id="37" w:name="_Toc160376507"/>
      <w:bookmarkStart w:id="38" w:name="_Toc173038277"/>
      <w:bookmarkStart w:id="39" w:name="_Toc183245343"/>
      <w:bookmarkStart w:id="40" w:name="_Toc471483993"/>
      <w:bookmarkEnd w:id="28"/>
      <w:bookmarkEnd w:id="29"/>
      <w:r>
        <w:t>VII</w:t>
      </w:r>
      <w:r w:rsidR="007B4D52">
        <w:t>I</w:t>
      </w:r>
      <w:r>
        <w:t>.</w:t>
      </w:r>
      <w:r>
        <w:tab/>
        <w:t>CONCLUSION</w:t>
      </w:r>
      <w:bookmarkEnd w:id="33"/>
      <w:bookmarkEnd w:id="34"/>
      <w:bookmarkEnd w:id="35"/>
      <w:bookmarkEnd w:id="36"/>
      <w:bookmarkEnd w:id="37"/>
      <w:bookmarkEnd w:id="38"/>
      <w:bookmarkEnd w:id="39"/>
      <w:bookmarkEnd w:id="40"/>
    </w:p>
    <w:p w:rsidR="00087472" w:rsidRDefault="00ED4629" w:rsidP="00C02ACF">
      <w:pPr>
        <w:pStyle w:val="question"/>
      </w:pPr>
      <w:r>
        <w:t>Q.</w:t>
      </w:r>
      <w:r>
        <w:tab/>
        <w:t>Does that conclude your testimony?</w:t>
      </w:r>
    </w:p>
    <w:p w:rsidR="00087472" w:rsidRDefault="00ED4629">
      <w:pPr>
        <w:pStyle w:val="Answer1"/>
      </w:pPr>
      <w:r>
        <w:t>A.</w:t>
      </w:r>
      <w:r>
        <w:tab/>
        <w:t>Yes, it does.</w:t>
      </w:r>
    </w:p>
    <w:sectPr w:rsidR="00087472" w:rsidSect="00C02ACF">
      <w:footerReference w:type="default" r:id="rId31"/>
      <w:footerReference w:type="first" r:id="rId32"/>
      <w:pgSz w:w="12240" w:h="15840" w:code="1"/>
      <w:pgMar w:top="1440" w:right="1440" w:bottom="1440" w:left="2160" w:header="864" w:footer="576" w:gutter="0"/>
      <w:lnNumType w:countBy="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0C" w:rsidRDefault="00C7630C">
      <w:r>
        <w:separator/>
      </w:r>
    </w:p>
  </w:endnote>
  <w:endnote w:type="continuationSeparator" w:id="0">
    <w:p w:rsidR="00C7630C" w:rsidRDefault="00C7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embedBold r:id="rId1" w:subsetted="1" w:fontKey="{FE18740B-9F5C-45B1-8A10-94A1C1CC326E}"/>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629" w:rsidRDefault="00ED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ED4629" w:rsidRDefault="00ED4629">
    <w:pPr>
      <w:pStyle w:val="Footer"/>
      <w:tabs>
        <w:tab w:val="clear" w:pos="4507"/>
        <w:tab w:val="clear" w:pos="9000"/>
        <w:tab w:val="right" w:pos="8640"/>
      </w:tabs>
      <w:spacing w:line="240" w:lineRule="auto"/>
      <w:ind w:left="-630" w:right="0" w:hanging="4"/>
      <w:rPr>
        <w:sz w:val="10"/>
        <w:szCs w:val="10"/>
      </w:rPr>
    </w:pPr>
  </w:p>
  <w:p w:rsidR="00ED4629" w:rsidRDefault="00ED4629">
    <w:pPr>
      <w:pStyle w:val="Footer"/>
      <w:tabs>
        <w:tab w:val="clear" w:pos="4507"/>
        <w:tab w:val="clear" w:pos="9000"/>
        <w:tab w:val="right" w:pos="8640"/>
      </w:tabs>
      <w:ind w:left="-630" w:hanging="4"/>
    </w:pPr>
    <w:r>
      <w:t>Prefiled Direct Testimony of</w:t>
    </w:r>
    <w:r>
      <w:tab/>
      <w:t>Exhibit No. __</w:t>
    </w:r>
    <w:r w:rsidR="001B1F9D">
      <w:t>_ (</w:t>
    </w:r>
    <w:r>
      <w:t>EMM-1CT)</w:t>
    </w:r>
  </w:p>
  <w:p w:rsidR="00ED4629" w:rsidRDefault="00ED4629">
    <w:pPr>
      <w:pStyle w:val="Footer"/>
      <w:tabs>
        <w:tab w:val="clear" w:pos="4507"/>
        <w:tab w:val="clear" w:pos="9000"/>
        <w:tab w:val="right" w:pos="8640"/>
      </w:tabs>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ED4629" w:rsidRDefault="00ED4629">
    <w:pPr>
      <w:pStyle w:val="Footer"/>
      <w:tabs>
        <w:tab w:val="clear" w:pos="4507"/>
        <w:tab w:val="clear" w:pos="9000"/>
        <w:tab w:val="right" w:pos="8640"/>
      </w:tabs>
      <w:spacing w:line="240" w:lineRule="auto"/>
      <w:ind w:right="0" w:hanging="4"/>
      <w:rPr>
        <w:sz w:val="10"/>
        <w:szCs w:val="10"/>
      </w:rPr>
    </w:pPr>
  </w:p>
  <w:p w:rsidR="00ED4629" w:rsidRDefault="00ED4629">
    <w:pPr>
      <w:pStyle w:val="Footer"/>
      <w:tabs>
        <w:tab w:val="clear" w:pos="4507"/>
        <w:tab w:val="clear" w:pos="9000"/>
        <w:tab w:val="right" w:pos="8640"/>
      </w:tabs>
      <w:ind w:hanging="4"/>
    </w:pPr>
    <w:r>
      <w:t xml:space="preserve">Prefiled Direct Testimony </w:t>
    </w:r>
    <w:r>
      <w:tab/>
      <w:t>Exhibit No. __</w:t>
    </w:r>
    <w:r w:rsidR="001B1F9D">
      <w:t>_(</w:t>
    </w:r>
    <w:r>
      <w:t>GJZ-1T)</w:t>
    </w:r>
  </w:p>
  <w:p w:rsidR="00ED4629" w:rsidRDefault="00ED4629">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9C57B1">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9C57B1">
      <w:rPr>
        <w:rStyle w:val="PageNumber"/>
        <w:noProof/>
      </w:rPr>
      <w:t>i</w:t>
    </w:r>
    <w:r>
      <w:rPr>
        <w:rStyle w:val="PageNumber"/>
      </w:rPr>
      <w:fldChar w:fldCharType="end"/>
    </w:r>
  </w:p>
  <w:p w:rsidR="00ED4629" w:rsidRDefault="00ED4629">
    <w:pPr>
      <w:pStyle w:val="Footer"/>
      <w:tabs>
        <w:tab w:val="clear" w:pos="4507"/>
        <w:tab w:val="clear" w:pos="9000"/>
        <w:tab w:val="right" w:pos="8640"/>
      </w:tabs>
    </w:pPr>
    <w:r>
      <w:t xml:space="preserve">Greg </w:t>
    </w:r>
    <w:r w:rsidR="00FD7F72">
      <w:t xml:space="preserve">J. </w:t>
    </w:r>
    <w:r>
      <w:t>Zeller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ED4629" w:rsidRDefault="00ED4629">
    <w:pPr>
      <w:pStyle w:val="Footer"/>
      <w:tabs>
        <w:tab w:val="clear" w:pos="4507"/>
        <w:tab w:val="clear" w:pos="9000"/>
        <w:tab w:val="right" w:pos="8640"/>
      </w:tabs>
      <w:spacing w:line="240" w:lineRule="auto"/>
      <w:ind w:left="-630" w:right="0" w:hanging="4"/>
      <w:rPr>
        <w:sz w:val="10"/>
        <w:szCs w:val="10"/>
      </w:rPr>
    </w:pPr>
  </w:p>
  <w:p w:rsidR="00ED4629" w:rsidRDefault="00ED4629">
    <w:pPr>
      <w:pStyle w:val="Footer"/>
      <w:tabs>
        <w:tab w:val="clear" w:pos="4507"/>
        <w:tab w:val="clear" w:pos="9000"/>
        <w:tab w:val="right" w:pos="8640"/>
      </w:tabs>
      <w:ind w:left="-630" w:hanging="4"/>
    </w:pPr>
    <w:r>
      <w:t>Prefiled Direct Testimony of</w:t>
    </w:r>
    <w:r>
      <w:tab/>
      <w:t>Exhibit No. __</w:t>
    </w:r>
    <w:r w:rsidR="001B1F9D">
      <w:t>_ (</w:t>
    </w:r>
    <w:r>
      <w:t>RAM-1T)</w:t>
    </w:r>
  </w:p>
  <w:p w:rsidR="00ED4629" w:rsidRDefault="00ED4629">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ED4629" w:rsidRDefault="00ED4629">
    <w:pPr>
      <w:pStyle w:val="Footer"/>
      <w:tabs>
        <w:tab w:val="clear" w:pos="4507"/>
        <w:tab w:val="clear" w:pos="9000"/>
        <w:tab w:val="right" w:pos="8640"/>
      </w:tabs>
      <w:spacing w:line="240" w:lineRule="auto"/>
      <w:ind w:right="0" w:hanging="4"/>
      <w:rPr>
        <w:sz w:val="10"/>
        <w:szCs w:val="10"/>
      </w:rPr>
    </w:pPr>
  </w:p>
  <w:p w:rsidR="00ED4629" w:rsidRDefault="00ED4629">
    <w:pPr>
      <w:pStyle w:val="Footer"/>
      <w:tabs>
        <w:tab w:val="clear" w:pos="4507"/>
        <w:tab w:val="clear" w:pos="9000"/>
        <w:tab w:val="right" w:pos="8640"/>
      </w:tabs>
      <w:ind w:hanging="4"/>
    </w:pPr>
    <w:r>
      <w:t>Prefiled Direct Testimony</w:t>
    </w:r>
    <w:r>
      <w:tab/>
      <w:t>Exhibit No. __</w:t>
    </w:r>
    <w:r w:rsidR="006B74ED">
      <w:t>_</w:t>
    </w:r>
    <w:r w:rsidR="001B1F9D">
      <w:t>(</w:t>
    </w:r>
    <w:r>
      <w:t>GJZ-1T)</w:t>
    </w:r>
  </w:p>
  <w:p w:rsidR="00ED4629" w:rsidRDefault="00ED4629">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9C57B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9C57B1">
      <w:rPr>
        <w:rStyle w:val="PageNumber"/>
        <w:noProof/>
      </w:rPr>
      <w:t>22</w:t>
    </w:r>
    <w:r>
      <w:rPr>
        <w:rStyle w:val="PageNumber"/>
      </w:rPr>
      <w:fldChar w:fldCharType="end"/>
    </w:r>
  </w:p>
  <w:p w:rsidR="00ED4629" w:rsidRDefault="00ED4629">
    <w:pPr>
      <w:pStyle w:val="Footer"/>
      <w:tabs>
        <w:tab w:val="clear" w:pos="4507"/>
        <w:tab w:val="clear" w:pos="9000"/>
        <w:tab w:val="right" w:pos="8640"/>
      </w:tabs>
      <w:ind w:hanging="4"/>
    </w:pPr>
    <w:r>
      <w:t xml:space="preserve">Greg </w:t>
    </w:r>
    <w:r w:rsidR="00CC5582">
      <w:t xml:space="preserve">J. </w:t>
    </w:r>
    <w:r>
      <w:t>Zeller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ED4629" w:rsidRDefault="00ED4629">
    <w:pPr>
      <w:pStyle w:val="Footer"/>
      <w:tabs>
        <w:tab w:val="clear" w:pos="4507"/>
        <w:tab w:val="clear" w:pos="9000"/>
        <w:tab w:val="right" w:pos="8640"/>
      </w:tabs>
      <w:spacing w:line="240" w:lineRule="auto"/>
      <w:ind w:left="-630" w:right="0" w:hanging="4"/>
      <w:rPr>
        <w:sz w:val="10"/>
        <w:szCs w:val="10"/>
      </w:rPr>
    </w:pPr>
  </w:p>
  <w:p w:rsidR="00ED4629" w:rsidRDefault="00ED4629">
    <w:pPr>
      <w:pStyle w:val="Footer"/>
      <w:tabs>
        <w:tab w:val="clear" w:pos="4507"/>
        <w:tab w:val="clear" w:pos="9000"/>
        <w:tab w:val="right" w:pos="8640"/>
      </w:tabs>
      <w:ind w:left="-630" w:hanging="4"/>
    </w:pPr>
    <w:r>
      <w:t>Prefiled Direct Testimony of</w:t>
    </w:r>
    <w:r>
      <w:tab/>
      <w:t>Exhibit No. __</w:t>
    </w:r>
    <w:r w:rsidR="001B1F9D">
      <w:t>_ (</w:t>
    </w:r>
    <w:r>
      <w:t>JD-1CT)</w:t>
    </w:r>
  </w:p>
  <w:p w:rsidR="00ED4629" w:rsidRDefault="00ED4629">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0C" w:rsidRDefault="00C7630C">
      <w:r>
        <w:separator/>
      </w:r>
    </w:p>
  </w:footnote>
  <w:footnote w:type="continuationSeparator" w:id="0">
    <w:p w:rsidR="00C7630C" w:rsidRDefault="00C7630C">
      <w:r>
        <w:continuationSeparator/>
      </w:r>
    </w:p>
  </w:footnote>
  <w:footnote w:id="1">
    <w:p w:rsidR="00ED4629" w:rsidRPr="006B74ED" w:rsidRDefault="00ED4629" w:rsidP="002A766E">
      <w:pPr>
        <w:pStyle w:val="FootnoteText"/>
        <w:spacing w:before="0" w:line="240" w:lineRule="auto"/>
        <w:rPr>
          <w:rFonts w:cstheme="minorBidi"/>
          <w:sz w:val="20"/>
        </w:rPr>
      </w:pPr>
      <w:r w:rsidRPr="006B74ED">
        <w:rPr>
          <w:rStyle w:val="FootnoteReference"/>
          <w:sz w:val="20"/>
        </w:rPr>
        <w:footnoteRef/>
      </w:r>
      <w:r w:rsidRPr="006B74ED">
        <w:rPr>
          <w:sz w:val="20"/>
        </w:rPr>
        <w:t xml:space="preserve"> Docket Nos. UE-951270 and UG-960195, Fourteenth Supplemental Order Accepting Stipulation (Feb. 5, 1997) (Stipulation at 11:11-15). </w:t>
      </w:r>
    </w:p>
  </w:footnote>
  <w:footnote w:id="2">
    <w:p w:rsidR="00ED4629" w:rsidRPr="006B74ED" w:rsidRDefault="00ED4629" w:rsidP="002A766E">
      <w:pPr>
        <w:pStyle w:val="FootnoteText"/>
        <w:spacing w:before="0" w:line="240" w:lineRule="auto"/>
        <w:rPr>
          <w:sz w:val="20"/>
        </w:rPr>
      </w:pPr>
      <w:r w:rsidRPr="006B74ED">
        <w:rPr>
          <w:rStyle w:val="FootnoteReference"/>
          <w:sz w:val="20"/>
        </w:rPr>
        <w:footnoteRef/>
      </w:r>
      <w:r w:rsidRPr="006B74ED">
        <w:rPr>
          <w:sz w:val="20"/>
        </w:rPr>
        <w:t xml:space="preserve"> </w:t>
      </w:r>
      <w:r w:rsidRPr="006B74ED">
        <w:rPr>
          <w:i/>
          <w:sz w:val="20"/>
        </w:rPr>
        <w:t xml:space="preserve">Id., </w:t>
      </w:r>
      <w:r w:rsidRPr="006B74ED">
        <w:rPr>
          <w:sz w:val="20"/>
        </w:rPr>
        <w:t xml:space="preserve">Fourteenth Supplemental Order at 32.  </w:t>
      </w:r>
    </w:p>
  </w:footnote>
  <w:footnote w:id="3">
    <w:p w:rsidR="00ED4629" w:rsidRPr="006B74ED" w:rsidRDefault="00ED4629" w:rsidP="00206B2B">
      <w:pPr>
        <w:spacing w:line="240" w:lineRule="auto"/>
        <w:rPr>
          <w:sz w:val="20"/>
        </w:rPr>
      </w:pPr>
      <w:r w:rsidRPr="006B74ED">
        <w:rPr>
          <w:rStyle w:val="FootnoteReference"/>
          <w:sz w:val="20"/>
        </w:rPr>
        <w:footnoteRef/>
      </w:r>
      <w:r w:rsidR="002A766E" w:rsidRPr="006B74ED">
        <w:rPr>
          <w:sz w:val="20"/>
        </w:rPr>
        <w:t xml:space="preserve"> </w:t>
      </w:r>
      <w:r w:rsidRPr="006B74ED">
        <w:rPr>
          <w:sz w:val="20"/>
        </w:rPr>
        <w:t xml:space="preserve">Taking effect in </w:t>
      </w:r>
      <w:proofErr w:type="spellStart"/>
      <w:r w:rsidRPr="006B74ED">
        <w:rPr>
          <w:sz w:val="20"/>
        </w:rPr>
        <w:t>SQI</w:t>
      </w:r>
      <w:proofErr w:type="spellEnd"/>
      <w:r w:rsidRPr="006B74ED">
        <w:rPr>
          <w:sz w:val="20"/>
        </w:rPr>
        <w:t xml:space="preserve"> reporting year 2016, the target for PSE SQI SAIDI is set to 155 outage minutes per customer.  The target and PSE’s performance will be reported in PSE’s Service Quality Report Card, and any failure to meet the target for consecutive years will also be noted in the Service Quality Report Card.  However, the current SQI penalty for any failure by PSE to meet its SQI SAIDI benchmark is removed for reporting years 2016 and after.</w:t>
      </w:r>
    </w:p>
  </w:footnote>
  <w:footnote w:id="4">
    <w:p w:rsidR="009F0F05" w:rsidRPr="006B74ED" w:rsidRDefault="009F0F05" w:rsidP="009F0F05">
      <w:pPr>
        <w:pStyle w:val="FootnoteText"/>
        <w:rPr>
          <w:sz w:val="20"/>
        </w:rPr>
      </w:pPr>
      <w:r w:rsidRPr="006B74ED">
        <w:rPr>
          <w:rStyle w:val="FootnoteReference"/>
          <w:sz w:val="20"/>
        </w:rPr>
        <w:footnoteRef/>
      </w:r>
      <w:r w:rsidRPr="006B74ED">
        <w:rPr>
          <w:sz w:val="20"/>
        </w:rPr>
        <w:t xml:space="preserve"> Updated Appendix 2 to Exhibit J in the Twelfth Supplemental Order in Docket Nos. UE-011570 and UG-011570 (consolidated) as in the January 18, 2015 compliance filing of the appendix per Order No. 25 of Docket Nos. UE-072300 and UG-072301 (consolidated)–, </w:t>
      </w:r>
    </w:p>
    <w:p w:rsidR="009F0F05" w:rsidRPr="006B74ED" w:rsidRDefault="00C7630C" w:rsidP="009F0F05">
      <w:pPr>
        <w:pStyle w:val="FootnoteText"/>
        <w:spacing w:before="0"/>
        <w:rPr>
          <w:sz w:val="20"/>
        </w:rPr>
      </w:pPr>
      <w:hyperlink r:id="rId1" w:history="1">
        <w:r w:rsidR="009F0F05" w:rsidRPr="006B74ED">
          <w:rPr>
            <w:rStyle w:val="Hyperlink"/>
            <w:sz w:val="20"/>
          </w:rPr>
          <w:t>http://www.utc.wa.gov/_layouts/CasesPublicWebsite/GetDocument.ashx?docID=2104&amp;year=2007&amp;docketNumber=072300</w:t>
        </w:r>
      </w:hyperlink>
      <w:r w:rsidR="009F0F05" w:rsidRPr="006B74ED">
        <w:rPr>
          <w:sz w:val="20"/>
        </w:rPr>
        <w:t xml:space="preserve"> </w:t>
      </w:r>
    </w:p>
  </w:footnote>
  <w:footnote w:id="5">
    <w:p w:rsidR="00ED4629" w:rsidRPr="006B74ED" w:rsidRDefault="00ED4629">
      <w:pPr>
        <w:pStyle w:val="FootnoteText"/>
        <w:spacing w:before="0"/>
        <w:rPr>
          <w:rFonts w:cstheme="minorBidi"/>
          <w:sz w:val="20"/>
        </w:rPr>
      </w:pPr>
      <w:r w:rsidRPr="006B74ED">
        <w:rPr>
          <w:rStyle w:val="FootnoteReference"/>
          <w:sz w:val="20"/>
        </w:rPr>
        <w:footnoteRef/>
      </w:r>
      <w:r w:rsidRPr="006B74ED">
        <w:rPr>
          <w:i/>
          <w:sz w:val="20"/>
        </w:rPr>
        <w:t>In re Joint Application of Puget Holdings LLC and Puget Sound Energy, Inc., For an Order Authorizing Proposed Transaction</w:t>
      </w:r>
      <w:r w:rsidRPr="006B74ED">
        <w:rPr>
          <w:sz w:val="20"/>
        </w:rPr>
        <w:t>, Docket U-072375, Order 08 Approving and Adopting Settlement Stipulation; Authorizing Transaction Subject to Conditions, Appendix A to Attachment A at 1.</w:t>
      </w:r>
    </w:p>
  </w:footnote>
  <w:footnote w:id="6">
    <w:p w:rsidR="00ED4629" w:rsidRPr="006B74ED" w:rsidRDefault="00ED4629">
      <w:pPr>
        <w:pStyle w:val="FootnoteText"/>
        <w:rPr>
          <w:sz w:val="20"/>
        </w:rPr>
      </w:pPr>
      <w:r w:rsidRPr="006B74ED">
        <w:rPr>
          <w:rStyle w:val="FootnoteReference"/>
          <w:sz w:val="20"/>
        </w:rPr>
        <w:footnoteRef/>
      </w:r>
      <w:r w:rsidRPr="006B74ED">
        <w:rPr>
          <w:sz w:val="20"/>
        </w:rPr>
        <w:t xml:space="preserve"> Dockets UE-072300 and UG-072301, Order 24 Final Order Granting Petition for Mitigation (April 29, 2014).</w:t>
      </w:r>
    </w:p>
  </w:footnote>
  <w:footnote w:id="7">
    <w:p w:rsidR="00ED4629" w:rsidRPr="006B74ED" w:rsidRDefault="00ED4629">
      <w:pPr>
        <w:pStyle w:val="FootnoteText"/>
        <w:spacing w:before="0"/>
        <w:rPr>
          <w:rStyle w:val="FootnoteReference"/>
          <w:sz w:val="20"/>
        </w:rPr>
      </w:pPr>
      <w:r w:rsidRPr="006B74ED">
        <w:rPr>
          <w:rStyle w:val="FootnoteReference"/>
          <w:sz w:val="20"/>
        </w:rPr>
        <w:footnoteRef/>
      </w:r>
      <w:r w:rsidRPr="006B74ED">
        <w:rPr>
          <w:sz w:val="20"/>
        </w:rPr>
        <w:t xml:space="preserve"> PSE’s compliance filing pursuant to the paragraph 13 of Order 21 of Dockets UE-072300 and UG-072301 (consolidated), Granting in Part, and Denying in Part, Puget Sound Energy, Inc's Petition for Waiver and Suspension of Service Quality Index Nos. 6 and 8 (June 21, 2013).</w:t>
      </w:r>
      <w:r w:rsidRPr="006B74ED">
        <w:rPr>
          <w:rStyle w:val="FootnoteReference"/>
          <w:sz w:val="20"/>
        </w:rPr>
        <w:t xml:space="preserve"> </w:t>
      </w:r>
    </w:p>
  </w:footnote>
  <w:footnote w:id="8">
    <w:p w:rsidR="00ED4629" w:rsidRPr="006B74ED" w:rsidRDefault="00ED4629">
      <w:pPr>
        <w:pStyle w:val="FootnoteText"/>
        <w:rPr>
          <w:sz w:val="20"/>
        </w:rPr>
      </w:pPr>
      <w:r w:rsidRPr="006B74ED">
        <w:rPr>
          <w:rStyle w:val="FootnoteReference"/>
          <w:sz w:val="20"/>
        </w:rPr>
        <w:footnoteRef/>
      </w:r>
      <w:r w:rsidRPr="006B74ED">
        <w:rPr>
          <w:sz w:val="20"/>
        </w:rPr>
        <w:t xml:space="preserve"> JD Power November 2014, Current JD Power Scorecard Metrics - Summary of </w:t>
      </w:r>
      <w:r w:rsidR="001B1F9D" w:rsidRPr="006B74ED">
        <w:rPr>
          <w:sz w:val="20"/>
        </w:rPr>
        <w:t>Changes.</w:t>
      </w:r>
    </w:p>
  </w:footnote>
  <w:footnote w:id="9">
    <w:p w:rsidR="00ED4629" w:rsidRPr="006B74ED" w:rsidRDefault="00ED4629">
      <w:pPr>
        <w:pStyle w:val="FootnoteText"/>
        <w:rPr>
          <w:sz w:val="20"/>
        </w:rPr>
      </w:pPr>
      <w:r w:rsidRPr="006B74ED">
        <w:rPr>
          <w:rStyle w:val="FootnoteReference"/>
          <w:sz w:val="20"/>
        </w:rPr>
        <w:footnoteRef/>
      </w:r>
      <w:r w:rsidRPr="006B74ED">
        <w:rPr>
          <w:sz w:val="20"/>
        </w:rPr>
        <w:t xml:space="preserve"> PSE’s phone system provider, Cisco Systems, Inc., is an American multinational technology company headquartered in San Jose, California, that designs, manufactures and sells networking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Header"/>
    </w:pPr>
    <w:r>
      <w:rPr>
        <w:rStyle w:val="PageNumber"/>
        <w:noProof/>
      </w:rPr>
      <w:t>39</w:t>
    </w: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Header"/>
    </w:pPr>
    <w:r>
      <w:rPr>
        <w:noProof/>
        <w:lang w:eastAsia="en-US"/>
      </w:rPr>
      <mc:AlternateContent>
        <mc:Choice Requires="wps">
          <w:drawing>
            <wp:anchor distT="0" distB="0" distL="114300" distR="114300" simplePos="0" relativeHeight="251658240" behindDoc="0" locked="0" layoutInCell="1" allowOverlap="1" wp14:anchorId="6C668ED8" wp14:editId="3582D2E1">
              <wp:simplePos x="0" y="0"/>
              <wp:positionH relativeFrom="column">
                <wp:posOffset>-177165</wp:posOffset>
              </wp:positionH>
              <wp:positionV relativeFrom="paragraph">
                <wp:posOffset>-35560</wp:posOffset>
              </wp:positionV>
              <wp:extent cx="0" cy="9296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8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29" w:rsidRDefault="00ED4629">
    <w:pPr>
      <w:pStyle w:val="Header"/>
      <w:jc w:val="right"/>
      <w:rPr>
        <w:b/>
        <w:i/>
      </w:rPr>
    </w:pPr>
    <w:r>
      <w:rPr>
        <w:b/>
        <w:i/>
        <w:color w:val="FF0000"/>
        <w:sz w:val="20"/>
      </w:rPr>
      <w:t>CONFIDENTIAL ATTORNEY-CLIENT PRIVILEGED/ATTORNEY WORK PRODUCT</w:t>
    </w:r>
  </w:p>
  <w:p w:rsidR="00ED4629" w:rsidRDefault="00ED46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bookmarkStart w:id="4" w:name="OLE_LINK2"/>
  <w:bookmarkStart w:id="5" w:name="_Hlk125911586"/>
  <w:p w:rsidR="00ED4629" w:rsidRDefault="00ED4629">
    <w:pPr>
      <w:pStyle w:val="Header"/>
      <w:jc w:val="right"/>
    </w:pPr>
    <w:r>
      <w:rPr>
        <w:b/>
        <w:i/>
        <w:noProof/>
        <w:color w:val="FF0000"/>
        <w:sz w:val="20"/>
        <w:lang w:eastAsia="en-US"/>
      </w:rPr>
      <mc:AlternateContent>
        <mc:Choice Requires="wps">
          <w:drawing>
            <wp:anchor distT="0" distB="0" distL="114300" distR="114300" simplePos="0" relativeHeight="251657216" behindDoc="0" locked="0" layoutInCell="1" allowOverlap="1" wp14:anchorId="2D8A11AA" wp14:editId="24D46939">
              <wp:simplePos x="0" y="0"/>
              <wp:positionH relativeFrom="column">
                <wp:posOffset>-177165</wp:posOffset>
              </wp:positionH>
              <wp:positionV relativeFrom="paragraph">
                <wp:posOffset>-127000</wp:posOffset>
              </wp:positionV>
              <wp:extent cx="0" cy="9296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JLGgIAADQEAAAOAAAAZHJzL2Uyb0RvYy54bWysU02P2jAQvVfqf7B8hyRsSi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" strokeweight="3pt">
              <v:stroke linestyle="thinThin"/>
            </v:line>
          </w:pict>
        </mc:Fallback>
      </mc:AlternateConten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B32FF"/>
    <w:multiLevelType w:val="hybridMultilevel"/>
    <w:tmpl w:val="42F2BEB0"/>
    <w:lvl w:ilvl="0" w:tplc="8410F5FC">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6106BC"/>
    <w:multiLevelType w:val="hybridMultilevel"/>
    <w:tmpl w:val="0CAA2D52"/>
    <w:lvl w:ilvl="0" w:tplc="8410F5FC">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2AB08D6"/>
    <w:multiLevelType w:val="hybridMultilevel"/>
    <w:tmpl w:val="4AD4132C"/>
    <w:lvl w:ilvl="0" w:tplc="8410F5FC">
      <w:start w:val="1"/>
      <w:numFmt w:val="upperLetter"/>
      <w:lvlText w:val="%1."/>
      <w:lvlJc w:val="left"/>
      <w:pPr>
        <w:ind w:left="21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4DA5443"/>
    <w:multiLevelType w:val="hybridMultilevel"/>
    <w:tmpl w:val="A7529C32"/>
    <w:lvl w:ilvl="0" w:tplc="0409000F">
      <w:start w:val="1"/>
      <w:numFmt w:val="decimal"/>
      <w:lvlText w:val="%1."/>
      <w:lvlJc w:val="left"/>
      <w:pPr>
        <w:ind w:left="720" w:hanging="360"/>
      </w:pPr>
    </w:lvl>
    <w:lvl w:ilvl="1" w:tplc="8410F5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06E65DA8"/>
    <w:multiLevelType w:val="hybridMultilevel"/>
    <w:tmpl w:val="B11CF4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0BEC7E70"/>
    <w:multiLevelType w:val="hybridMultilevel"/>
    <w:tmpl w:val="57B658EE"/>
    <w:lvl w:ilvl="0" w:tplc="0409000F">
      <w:start w:val="1"/>
      <w:numFmt w:val="decimal"/>
      <w:lvlText w:val="%1."/>
      <w:lvlJc w:val="left"/>
      <w:pPr>
        <w:ind w:left="720" w:hanging="360"/>
      </w:pPr>
    </w:lvl>
    <w:lvl w:ilvl="1" w:tplc="8410F5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852E4D"/>
    <w:multiLevelType w:val="hybridMultilevel"/>
    <w:tmpl w:val="F2960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39D276C"/>
    <w:multiLevelType w:val="hybridMultilevel"/>
    <w:tmpl w:val="48D815C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20">
    <w:nsid w:val="15A51514"/>
    <w:multiLevelType w:val="hybridMultilevel"/>
    <w:tmpl w:val="969A3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2">
    <w:nsid w:val="1B7A3CD8"/>
    <w:multiLevelType w:val="hybridMultilevel"/>
    <w:tmpl w:val="EDD8FCF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1F7A4537"/>
    <w:multiLevelType w:val="hybridMultilevel"/>
    <w:tmpl w:val="EED02BBC"/>
    <w:lvl w:ilvl="0" w:tplc="0409000F">
      <w:start w:val="1"/>
      <w:numFmt w:val="decimal"/>
      <w:lvlText w:val="%1."/>
      <w:lvlJc w:val="left"/>
      <w:pPr>
        <w:ind w:left="720" w:hanging="360"/>
      </w:pPr>
    </w:lvl>
    <w:lvl w:ilvl="1" w:tplc="25CEAB0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7900F6"/>
    <w:multiLevelType w:val="hybridMultilevel"/>
    <w:tmpl w:val="63F4DC52"/>
    <w:lvl w:ilvl="0" w:tplc="0409000F">
      <w:start w:val="1"/>
      <w:numFmt w:val="decimal"/>
      <w:lvlText w:val="%1."/>
      <w:lvlJc w:val="left"/>
      <w:pPr>
        <w:ind w:left="720" w:hanging="360"/>
      </w:pPr>
    </w:lvl>
    <w:lvl w:ilvl="1" w:tplc="EC66A892">
      <w:start w:val="1"/>
      <w:numFmt w:val="upperLetter"/>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8336E0"/>
    <w:multiLevelType w:val="hybridMultilevel"/>
    <w:tmpl w:val="D9B6A0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1D90348"/>
    <w:multiLevelType w:val="hybridMultilevel"/>
    <w:tmpl w:val="2F2ACFBC"/>
    <w:lvl w:ilvl="0" w:tplc="8410F5FC">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80305EB"/>
    <w:multiLevelType w:val="hybridMultilevel"/>
    <w:tmpl w:val="7CF42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86670A1"/>
    <w:multiLevelType w:val="hybridMultilevel"/>
    <w:tmpl w:val="35FC73CA"/>
    <w:lvl w:ilvl="0" w:tplc="8410F5FC">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3BB97697"/>
    <w:multiLevelType w:val="hybridMultilevel"/>
    <w:tmpl w:val="ACFE1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7E180F"/>
    <w:multiLevelType w:val="hybridMultilevel"/>
    <w:tmpl w:val="A00443FE"/>
    <w:lvl w:ilvl="0" w:tplc="8410F5FC">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4">
    <w:nsid w:val="4BD9092A"/>
    <w:multiLevelType w:val="hybridMultilevel"/>
    <w:tmpl w:val="7960F4C2"/>
    <w:lvl w:ilvl="0" w:tplc="0409000F">
      <w:start w:val="1"/>
      <w:numFmt w:val="decimal"/>
      <w:lvlText w:val="%1."/>
      <w:lvlJc w:val="left"/>
      <w:pPr>
        <w:ind w:left="720" w:hanging="360"/>
      </w:pPr>
    </w:lvl>
    <w:lvl w:ilvl="1" w:tplc="8410F5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1C438E"/>
    <w:multiLevelType w:val="hybridMultilevel"/>
    <w:tmpl w:val="4D76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9">
    <w:nsid w:val="5F994D41"/>
    <w:multiLevelType w:val="hybridMultilevel"/>
    <w:tmpl w:val="0D888862"/>
    <w:lvl w:ilvl="0" w:tplc="8410F5FC">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C37465"/>
    <w:multiLevelType w:val="hybridMultilevel"/>
    <w:tmpl w:val="3210E3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3BF61A9"/>
    <w:multiLevelType w:val="hybridMultilevel"/>
    <w:tmpl w:val="9DC4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630315"/>
    <w:multiLevelType w:val="hybridMultilevel"/>
    <w:tmpl w:val="5D06142C"/>
    <w:lvl w:ilvl="0" w:tplc="0409000F">
      <w:start w:val="1"/>
      <w:numFmt w:val="decimal"/>
      <w:lvlText w:val="%1."/>
      <w:lvlJc w:val="left"/>
      <w:pPr>
        <w:ind w:left="720" w:hanging="360"/>
      </w:pPr>
    </w:lvl>
    <w:lvl w:ilvl="1" w:tplc="8410F5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E750D2"/>
    <w:multiLevelType w:val="hybridMultilevel"/>
    <w:tmpl w:val="98B28C3C"/>
    <w:lvl w:ilvl="0" w:tplc="8410F5FC">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7">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9">
    <w:nsid w:val="7DD0776E"/>
    <w:multiLevelType w:val="hybridMultilevel"/>
    <w:tmpl w:val="83EEDDF8"/>
    <w:lvl w:ilvl="0" w:tplc="0409000F">
      <w:start w:val="1"/>
      <w:numFmt w:val="decimal"/>
      <w:lvlText w:val="%1."/>
      <w:lvlJc w:val="left"/>
      <w:pPr>
        <w:ind w:left="720" w:hanging="360"/>
      </w:pPr>
    </w:lvl>
    <w:lvl w:ilvl="1" w:tplc="8410F5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4"/>
  </w:num>
  <w:num w:numId="3">
    <w:abstractNumId w:val="46"/>
  </w:num>
  <w:num w:numId="4">
    <w:abstractNumId w:val="32"/>
  </w:num>
  <w:num w:numId="5">
    <w:abstractNumId w:val="38"/>
  </w:num>
  <w:num w:numId="6">
    <w:abstractNumId w:val="44"/>
  </w:num>
  <w:num w:numId="7">
    <w:abstractNumId w:val="47"/>
  </w:num>
  <w:num w:numId="8">
    <w:abstractNumId w:val="33"/>
  </w:num>
  <w:num w:numId="9">
    <w:abstractNumId w:val="48"/>
  </w:num>
  <w:num w:numId="10">
    <w:abstractNumId w:val="36"/>
  </w:num>
  <w:num w:numId="11">
    <w:abstractNumId w:val="37"/>
  </w:num>
  <w:num w:numId="12">
    <w:abstractNumId w:val="21"/>
  </w:num>
  <w:num w:numId="13">
    <w:abstractNumId w:val="19"/>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24"/>
  </w:num>
  <w:num w:numId="27">
    <w:abstractNumId w:val="23"/>
  </w:num>
  <w:num w:numId="28">
    <w:abstractNumId w:val="16"/>
  </w:num>
  <w:num w:numId="29">
    <w:abstractNumId w:val="28"/>
  </w:num>
  <w:num w:numId="30">
    <w:abstractNumId w:val="13"/>
  </w:num>
  <w:num w:numId="31">
    <w:abstractNumId w:val="49"/>
  </w:num>
  <w:num w:numId="32">
    <w:abstractNumId w:val="42"/>
  </w:num>
  <w:num w:numId="33">
    <w:abstractNumId w:val="30"/>
  </w:num>
  <w:num w:numId="34">
    <w:abstractNumId w:val="11"/>
  </w:num>
  <w:num w:numId="35">
    <w:abstractNumId w:val="26"/>
  </w:num>
  <w:num w:numId="36">
    <w:abstractNumId w:val="39"/>
  </w:num>
  <w:num w:numId="37">
    <w:abstractNumId w:val="31"/>
  </w:num>
  <w:num w:numId="38">
    <w:abstractNumId w:val="12"/>
  </w:num>
  <w:num w:numId="39">
    <w:abstractNumId w:val="22"/>
  </w:num>
  <w:num w:numId="40">
    <w:abstractNumId w:val="43"/>
  </w:num>
  <w:num w:numId="41">
    <w:abstractNumId w:val="10"/>
  </w:num>
  <w:num w:numId="42">
    <w:abstractNumId w:val="29"/>
  </w:num>
  <w:num w:numId="43">
    <w:abstractNumId w:val="1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7"/>
  </w:num>
  <w:num w:numId="47">
    <w:abstractNumId w:val="20"/>
  </w:num>
  <w:num w:numId="48">
    <w:abstractNumId w:val="25"/>
  </w:num>
  <w:num w:numId="49">
    <w:abstractNumId w:val="35"/>
  </w:num>
  <w:num w:numId="50">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45/134011121.1"/>
    <w:docVar w:name="MPDocIDTemplate" w:val="%c-|%m/|%n|.%v"/>
    <w:docVar w:name="MPDocIDTemplateDefault" w:val="%c-|%m/|%n|.%v"/>
    <w:docVar w:name="NewDocStampType" w:val="1"/>
  </w:docVars>
  <w:rsids>
    <w:rsidRoot w:val="00087472"/>
    <w:rsid w:val="00057ABC"/>
    <w:rsid w:val="0006435A"/>
    <w:rsid w:val="00087472"/>
    <w:rsid w:val="000B1FA2"/>
    <w:rsid w:val="0011314E"/>
    <w:rsid w:val="00155FD9"/>
    <w:rsid w:val="001B1F9D"/>
    <w:rsid w:val="001C01B5"/>
    <w:rsid w:val="00206B2B"/>
    <w:rsid w:val="00235A6F"/>
    <w:rsid w:val="0026578D"/>
    <w:rsid w:val="002772C7"/>
    <w:rsid w:val="0028361A"/>
    <w:rsid w:val="002A766E"/>
    <w:rsid w:val="002F3AB1"/>
    <w:rsid w:val="003E5D7B"/>
    <w:rsid w:val="004F1B5C"/>
    <w:rsid w:val="005076E3"/>
    <w:rsid w:val="005111A9"/>
    <w:rsid w:val="0053145A"/>
    <w:rsid w:val="005C68A2"/>
    <w:rsid w:val="00616C18"/>
    <w:rsid w:val="00663F20"/>
    <w:rsid w:val="00673701"/>
    <w:rsid w:val="006A6D88"/>
    <w:rsid w:val="006B74ED"/>
    <w:rsid w:val="007B4D52"/>
    <w:rsid w:val="00811070"/>
    <w:rsid w:val="00844E19"/>
    <w:rsid w:val="00845B88"/>
    <w:rsid w:val="008C112A"/>
    <w:rsid w:val="008D3DE1"/>
    <w:rsid w:val="009800FF"/>
    <w:rsid w:val="009A5232"/>
    <w:rsid w:val="009A6DB1"/>
    <w:rsid w:val="009C57B1"/>
    <w:rsid w:val="009D2DCE"/>
    <w:rsid w:val="009F0F05"/>
    <w:rsid w:val="00AB24EA"/>
    <w:rsid w:val="00B97AE0"/>
    <w:rsid w:val="00C02ACF"/>
    <w:rsid w:val="00C03789"/>
    <w:rsid w:val="00C71842"/>
    <w:rsid w:val="00C7630C"/>
    <w:rsid w:val="00C97D41"/>
    <w:rsid w:val="00CC5582"/>
    <w:rsid w:val="00CF60AB"/>
    <w:rsid w:val="00D36596"/>
    <w:rsid w:val="00D37C54"/>
    <w:rsid w:val="00D813CD"/>
    <w:rsid w:val="00DD57AD"/>
    <w:rsid w:val="00E7167D"/>
    <w:rsid w:val="00ED4629"/>
    <w:rsid w:val="00FA0A2B"/>
    <w:rsid w:val="00FD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qFormat/>
    <w:rsid w:val="007B4D52"/>
    <w:pPr>
      <w:keepNext/>
      <w:keepLines/>
      <w:spacing w:before="480" w:after="320" w:line="240" w:lineRule="auto"/>
      <w:ind w:left="720" w:right="720" w:firstLine="0"/>
      <w:jc w:val="center"/>
      <w:outlineLvl w:val="0"/>
    </w:pPr>
    <w:rPr>
      <w:b/>
    </w:rPr>
  </w:style>
  <w:style w:type="paragraph" w:styleId="Heading2">
    <w:name w:val="heading 2"/>
    <w:aliases w:val="h2"/>
    <w:basedOn w:val="Heading1"/>
    <w:next w:val="Normal"/>
    <w:link w:val="Heading2Char"/>
    <w:qFormat/>
    <w:pPr>
      <w:spacing w:before="360" w:after="360"/>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C02ACF"/>
    <w:pPr>
      <w:keepNext/>
      <w:spacing w:after="120" w:line="480" w:lineRule="auto"/>
    </w:pPr>
    <w:rPr>
      <w:b/>
    </w:rPr>
  </w:style>
  <w:style w:type="paragraph" w:customStyle="1" w:styleId="answer">
    <w:name w:val="answer"/>
    <w:basedOn w:val="Normal"/>
    <w:link w:val="answerChar1"/>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eading1Char">
    <w:name w:val="Heading 1 Char"/>
    <w:aliases w:val="h1 Char"/>
    <w:basedOn w:val="singleChar"/>
    <w:link w:val="Heading1"/>
    <w:rsid w:val="007B4D52"/>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Pr>
      <w:rFonts w:ascii="Times New Roman" w:hAnsi="Times New Roman"/>
      <w:b/>
      <w:noProof w:val="0"/>
      <w:sz w:val="24"/>
      <w:u w:val="single"/>
      <w:lang w:val="en-US" w:eastAsia="zh-CN" w:bidi="ar-SA"/>
    </w:rPr>
  </w:style>
  <w:style w:type="paragraph" w:customStyle="1" w:styleId="Notes">
    <w:name w:val="Notes"/>
    <w:basedOn w:val="Normal"/>
    <w:pPr>
      <w:spacing w:line="240" w:lineRule="auto"/>
      <w:ind w:left="2160" w:hanging="2160"/>
    </w:pPr>
    <w:rPr>
      <w:szCs w:val="24"/>
      <w:lang w:eastAsia="en-US"/>
    </w:rPr>
  </w:style>
  <w:style w:type="table" w:styleId="TableGrid">
    <w:name w:val="Table Grid"/>
    <w:basedOn w:val="TableNormal"/>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0">
    <w:name w:val="$Question"/>
    <w:basedOn w:val="Normal"/>
    <w:next w:val="NormalIndent"/>
    <w:pPr>
      <w:widowControl w:val="0"/>
      <w:spacing w:line="480" w:lineRule="exact"/>
      <w:ind w:left="576" w:hanging="576"/>
    </w:pPr>
    <w:rPr>
      <w:lang w:eastAsia="en-US"/>
    </w:rPr>
  </w:style>
  <w:style w:type="paragraph" w:customStyle="1" w:styleId="Answer0">
    <w:name w:val="$Answer"/>
    <w:basedOn w:val="Normal"/>
    <w:next w:val="NormalIndent"/>
    <w:pPr>
      <w:widowControl w:val="0"/>
      <w:spacing w:line="480" w:lineRule="exact"/>
      <w:ind w:left="576" w:hanging="576"/>
    </w:pPr>
    <w:rPr>
      <w:lang w:eastAsia="en-US"/>
    </w:rPr>
  </w:style>
  <w:style w:type="paragraph" w:customStyle="1" w:styleId="Header2QA">
    <w:name w:val="Header 2 Q&amp;A"/>
    <w:basedOn w:val="Normal"/>
    <w:pPr>
      <w:widowControl w:val="0"/>
      <w:spacing w:line="240" w:lineRule="auto"/>
      <w:ind w:left="6048" w:firstLine="0"/>
    </w:pPr>
    <w:rPr>
      <w:lang w:eastAsia="en-US"/>
    </w:rPr>
  </w:style>
  <w:style w:type="paragraph" w:customStyle="1" w:styleId="HeaderCover">
    <w:name w:val="HeaderCover"/>
    <w:basedOn w:val="Header2QA"/>
  </w:style>
  <w:style w:type="paragraph" w:customStyle="1" w:styleId="CenterUnderline">
    <w:name w:val="$CenterUnderline"/>
    <w:basedOn w:val="Normal"/>
    <w:pPr>
      <w:widowControl w:val="0"/>
      <w:spacing w:line="480" w:lineRule="exact"/>
      <w:ind w:firstLine="0"/>
      <w:jc w:val="center"/>
    </w:pPr>
    <w:rPr>
      <w:u w:val="single"/>
      <w:lang w:eastAsia="en-US"/>
    </w:rPr>
  </w:style>
  <w:style w:type="paragraph" w:customStyle="1" w:styleId="CenterNormal">
    <w:name w:val="$CenterNormal"/>
    <w:basedOn w:val="CenterUnderline"/>
    <w:pPr>
      <w:tabs>
        <w:tab w:val="left" w:pos="1296"/>
      </w:tabs>
      <w:spacing w:line="280" w:lineRule="exact"/>
    </w:pPr>
    <w:rPr>
      <w:u w:val="none"/>
    </w:rPr>
  </w:style>
  <w:style w:type="paragraph" w:customStyle="1" w:styleId="BulletNormal">
    <w:name w:val="$BulletNormal"/>
    <w:basedOn w:val="Normal"/>
    <w:pPr>
      <w:widowControl w:val="0"/>
      <w:spacing w:line="480" w:lineRule="exact"/>
      <w:ind w:left="1152" w:hanging="576"/>
    </w:pPr>
    <w:rPr>
      <w:lang w:eastAsia="en-US"/>
    </w:rPr>
  </w:style>
  <w:style w:type="paragraph" w:customStyle="1" w:styleId="BulletIndent">
    <w:name w:val="$BulletIndent"/>
    <w:basedOn w:val="BulletNormal"/>
    <w:pPr>
      <w:ind w:left="1728"/>
    </w:pPr>
  </w:style>
  <w:style w:type="paragraph" w:customStyle="1" w:styleId="Heading3Text">
    <w:name w:val="Heading 3 Text"/>
    <w:basedOn w:val="Normal"/>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paragraph" w:customStyle="1" w:styleId="Answer1">
    <w:name w:val="Answer"/>
    <w:basedOn w:val="Normal"/>
    <w:link w:val="AnswerChar"/>
    <w:pPr>
      <w:spacing w:before="120" w:after="120" w:line="480" w:lineRule="auto"/>
      <w:ind w:left="720" w:hanging="720"/>
    </w:pPr>
  </w:style>
  <w:style w:type="character" w:customStyle="1" w:styleId="zzmpTrailerItem">
    <w:name w:val="zzmpTrailerItem"/>
    <w:rsid w:val="000B1FA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questionChar">
    <w:name w:val="question Char"/>
    <w:basedOn w:val="DefaultParagraphFont"/>
    <w:link w:val="question"/>
    <w:rsid w:val="00C02ACF"/>
    <w:rPr>
      <w:rFonts w:ascii="Times New Roman" w:hAnsi="Times New Roman"/>
      <w:b/>
      <w:sz w:val="24"/>
      <w:lang w:eastAsia="zh-CN"/>
    </w:rPr>
  </w:style>
  <w:style w:type="character" w:customStyle="1" w:styleId="answerChar1">
    <w:name w:val="answer Char1"/>
    <w:basedOn w:val="DefaultParagraphFont"/>
    <w:link w:val="answer"/>
    <w:rPr>
      <w:sz w:val="24"/>
      <w:lang w:val="en-US" w:eastAsia="zh-CN" w:bidi="ar-SA"/>
    </w:rPr>
  </w:style>
  <w:style w:type="character" w:customStyle="1" w:styleId="AnswerChar">
    <w:name w:val="Answer Char"/>
    <w:basedOn w:val="DefaultParagraphFont"/>
    <w:link w:val="Answer1"/>
    <w:rPr>
      <w:sz w:val="24"/>
      <w:lang w:val="en-US" w:eastAsia="zh-CN" w:bidi="ar-SA"/>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locked/>
    <w:rPr>
      <w:rFonts w:ascii="Times New Roman" w:hAnsi="Times New Roman"/>
      <w:sz w:val="22"/>
      <w:lang w:eastAsia="zh-CN"/>
    </w:rPr>
  </w:style>
  <w:style w:type="paragraph" w:styleId="ListParagraph">
    <w:name w:val="List Paragraph"/>
    <w:basedOn w:val="Normal"/>
    <w:uiPriority w:val="34"/>
    <w:qFormat/>
    <w:pPr>
      <w:ind w:left="720"/>
      <w:contextualSpacing/>
    </w:pPr>
  </w:style>
  <w:style w:type="paragraph" w:customStyle="1" w:styleId="TableText">
    <w:name w:val="Table Text"/>
    <w:basedOn w:val="BodyText"/>
    <w:pPr>
      <w:spacing w:before="40" w:after="40"/>
      <w:jc w:val="left"/>
    </w:pPr>
    <w:rPr>
      <w:rFonts w:ascii="Garamond" w:eastAsia="MS Mincho" w:hAnsi="Garamond"/>
      <w:kern w:val="28"/>
      <w:sz w:val="22"/>
      <w:szCs w:val="22"/>
      <w:lang w:val="en-US" w:eastAsia="en-US"/>
    </w:rPr>
  </w:style>
  <w:style w:type="paragraph" w:customStyle="1" w:styleId="Body0">
    <w:name w:val="Body"/>
    <w:basedOn w:val="Normal"/>
    <w:link w:val="BodyChar1"/>
    <w:pPr>
      <w:spacing w:before="120" w:after="120" w:line="240" w:lineRule="auto"/>
      <w:ind w:left="1440" w:firstLine="0"/>
    </w:pPr>
    <w:rPr>
      <w:rFonts w:ascii="Garamond" w:eastAsia="MS Mincho" w:hAnsi="Garamond"/>
      <w:kern w:val="28"/>
      <w:szCs w:val="24"/>
      <w:lang w:eastAsia="en-US"/>
    </w:rPr>
  </w:style>
  <w:style w:type="character" w:customStyle="1" w:styleId="BodyChar1">
    <w:name w:val="Body Char1"/>
    <w:link w:val="Body0"/>
    <w:rPr>
      <w:rFonts w:ascii="Garamond" w:eastAsia="MS Mincho" w:hAnsi="Garamond"/>
      <w:kern w:val="28"/>
      <w:sz w:val="24"/>
      <w:szCs w:val="24"/>
    </w:rPr>
  </w:style>
  <w:style w:type="paragraph" w:styleId="Revision">
    <w:name w:val="Revision"/>
    <w:hidden/>
    <w:uiPriority w:val="99"/>
    <w:semiHidden/>
    <w:rPr>
      <w:rFonts w:ascii="Times New Roman" w:hAnsi="Times New Roman"/>
      <w:sz w:val="24"/>
      <w:lang w:eastAsia="zh-CN"/>
    </w:rPr>
  </w:style>
  <w:style w:type="character" w:customStyle="1" w:styleId="oneclick-link">
    <w:name w:val="oneclick-link"/>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qFormat/>
    <w:rsid w:val="007B4D52"/>
    <w:pPr>
      <w:keepNext/>
      <w:keepLines/>
      <w:spacing w:before="480" w:after="320" w:line="240" w:lineRule="auto"/>
      <w:ind w:left="720" w:right="720" w:firstLine="0"/>
      <w:jc w:val="center"/>
      <w:outlineLvl w:val="0"/>
    </w:pPr>
    <w:rPr>
      <w:b/>
    </w:rPr>
  </w:style>
  <w:style w:type="paragraph" w:styleId="Heading2">
    <w:name w:val="heading 2"/>
    <w:aliases w:val="h2"/>
    <w:basedOn w:val="Heading1"/>
    <w:next w:val="Normal"/>
    <w:link w:val="Heading2Char"/>
    <w:qFormat/>
    <w:pPr>
      <w:spacing w:before="360" w:after="360"/>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C02ACF"/>
    <w:pPr>
      <w:keepNext/>
      <w:spacing w:after="120" w:line="480" w:lineRule="auto"/>
    </w:pPr>
    <w:rPr>
      <w:b/>
    </w:rPr>
  </w:style>
  <w:style w:type="paragraph" w:customStyle="1" w:styleId="answer">
    <w:name w:val="answer"/>
    <w:basedOn w:val="Normal"/>
    <w:link w:val="answerChar1"/>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eading1Char">
    <w:name w:val="Heading 1 Char"/>
    <w:aliases w:val="h1 Char"/>
    <w:basedOn w:val="singleChar"/>
    <w:link w:val="Heading1"/>
    <w:rsid w:val="007B4D52"/>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Pr>
      <w:rFonts w:ascii="Times New Roman" w:hAnsi="Times New Roman"/>
      <w:b/>
      <w:noProof w:val="0"/>
      <w:sz w:val="24"/>
      <w:u w:val="single"/>
      <w:lang w:val="en-US" w:eastAsia="zh-CN" w:bidi="ar-SA"/>
    </w:rPr>
  </w:style>
  <w:style w:type="paragraph" w:customStyle="1" w:styleId="Notes">
    <w:name w:val="Notes"/>
    <w:basedOn w:val="Normal"/>
    <w:pPr>
      <w:spacing w:line="240" w:lineRule="auto"/>
      <w:ind w:left="2160" w:hanging="2160"/>
    </w:pPr>
    <w:rPr>
      <w:szCs w:val="24"/>
      <w:lang w:eastAsia="en-US"/>
    </w:rPr>
  </w:style>
  <w:style w:type="table" w:styleId="TableGrid">
    <w:name w:val="Table Grid"/>
    <w:basedOn w:val="TableNormal"/>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0">
    <w:name w:val="$Question"/>
    <w:basedOn w:val="Normal"/>
    <w:next w:val="NormalIndent"/>
    <w:pPr>
      <w:widowControl w:val="0"/>
      <w:spacing w:line="480" w:lineRule="exact"/>
      <w:ind w:left="576" w:hanging="576"/>
    </w:pPr>
    <w:rPr>
      <w:lang w:eastAsia="en-US"/>
    </w:rPr>
  </w:style>
  <w:style w:type="paragraph" w:customStyle="1" w:styleId="Answer0">
    <w:name w:val="$Answer"/>
    <w:basedOn w:val="Normal"/>
    <w:next w:val="NormalIndent"/>
    <w:pPr>
      <w:widowControl w:val="0"/>
      <w:spacing w:line="480" w:lineRule="exact"/>
      <w:ind w:left="576" w:hanging="576"/>
    </w:pPr>
    <w:rPr>
      <w:lang w:eastAsia="en-US"/>
    </w:rPr>
  </w:style>
  <w:style w:type="paragraph" w:customStyle="1" w:styleId="Header2QA">
    <w:name w:val="Header 2 Q&amp;A"/>
    <w:basedOn w:val="Normal"/>
    <w:pPr>
      <w:widowControl w:val="0"/>
      <w:spacing w:line="240" w:lineRule="auto"/>
      <w:ind w:left="6048" w:firstLine="0"/>
    </w:pPr>
    <w:rPr>
      <w:lang w:eastAsia="en-US"/>
    </w:rPr>
  </w:style>
  <w:style w:type="paragraph" w:customStyle="1" w:styleId="HeaderCover">
    <w:name w:val="HeaderCover"/>
    <w:basedOn w:val="Header2QA"/>
  </w:style>
  <w:style w:type="paragraph" w:customStyle="1" w:styleId="CenterUnderline">
    <w:name w:val="$CenterUnderline"/>
    <w:basedOn w:val="Normal"/>
    <w:pPr>
      <w:widowControl w:val="0"/>
      <w:spacing w:line="480" w:lineRule="exact"/>
      <w:ind w:firstLine="0"/>
      <w:jc w:val="center"/>
    </w:pPr>
    <w:rPr>
      <w:u w:val="single"/>
      <w:lang w:eastAsia="en-US"/>
    </w:rPr>
  </w:style>
  <w:style w:type="paragraph" w:customStyle="1" w:styleId="CenterNormal">
    <w:name w:val="$CenterNormal"/>
    <w:basedOn w:val="CenterUnderline"/>
    <w:pPr>
      <w:tabs>
        <w:tab w:val="left" w:pos="1296"/>
      </w:tabs>
      <w:spacing w:line="280" w:lineRule="exact"/>
    </w:pPr>
    <w:rPr>
      <w:u w:val="none"/>
    </w:rPr>
  </w:style>
  <w:style w:type="paragraph" w:customStyle="1" w:styleId="BulletNormal">
    <w:name w:val="$BulletNormal"/>
    <w:basedOn w:val="Normal"/>
    <w:pPr>
      <w:widowControl w:val="0"/>
      <w:spacing w:line="480" w:lineRule="exact"/>
      <w:ind w:left="1152" w:hanging="576"/>
    </w:pPr>
    <w:rPr>
      <w:lang w:eastAsia="en-US"/>
    </w:rPr>
  </w:style>
  <w:style w:type="paragraph" w:customStyle="1" w:styleId="BulletIndent">
    <w:name w:val="$BulletIndent"/>
    <w:basedOn w:val="BulletNormal"/>
    <w:pPr>
      <w:ind w:left="1728"/>
    </w:pPr>
  </w:style>
  <w:style w:type="paragraph" w:customStyle="1" w:styleId="Heading3Text">
    <w:name w:val="Heading 3 Text"/>
    <w:basedOn w:val="Normal"/>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paragraph" w:customStyle="1" w:styleId="Answer1">
    <w:name w:val="Answer"/>
    <w:basedOn w:val="Normal"/>
    <w:link w:val="AnswerChar"/>
    <w:pPr>
      <w:spacing w:before="120" w:after="120" w:line="480" w:lineRule="auto"/>
      <w:ind w:left="720" w:hanging="720"/>
    </w:pPr>
  </w:style>
  <w:style w:type="character" w:customStyle="1" w:styleId="zzmpTrailerItem">
    <w:name w:val="zzmpTrailerItem"/>
    <w:rsid w:val="000B1FA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questionChar">
    <w:name w:val="question Char"/>
    <w:basedOn w:val="DefaultParagraphFont"/>
    <w:link w:val="question"/>
    <w:rsid w:val="00C02ACF"/>
    <w:rPr>
      <w:rFonts w:ascii="Times New Roman" w:hAnsi="Times New Roman"/>
      <w:b/>
      <w:sz w:val="24"/>
      <w:lang w:eastAsia="zh-CN"/>
    </w:rPr>
  </w:style>
  <w:style w:type="character" w:customStyle="1" w:styleId="answerChar1">
    <w:name w:val="answer Char1"/>
    <w:basedOn w:val="DefaultParagraphFont"/>
    <w:link w:val="answer"/>
    <w:rPr>
      <w:sz w:val="24"/>
      <w:lang w:val="en-US" w:eastAsia="zh-CN" w:bidi="ar-SA"/>
    </w:rPr>
  </w:style>
  <w:style w:type="character" w:customStyle="1" w:styleId="AnswerChar">
    <w:name w:val="Answer Char"/>
    <w:basedOn w:val="DefaultParagraphFont"/>
    <w:link w:val="Answer1"/>
    <w:rPr>
      <w:sz w:val="24"/>
      <w:lang w:val="en-US" w:eastAsia="zh-CN" w:bidi="ar-SA"/>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locked/>
    <w:rPr>
      <w:rFonts w:ascii="Times New Roman" w:hAnsi="Times New Roman"/>
      <w:sz w:val="22"/>
      <w:lang w:eastAsia="zh-CN"/>
    </w:rPr>
  </w:style>
  <w:style w:type="paragraph" w:styleId="ListParagraph">
    <w:name w:val="List Paragraph"/>
    <w:basedOn w:val="Normal"/>
    <w:uiPriority w:val="34"/>
    <w:qFormat/>
    <w:pPr>
      <w:ind w:left="720"/>
      <w:contextualSpacing/>
    </w:pPr>
  </w:style>
  <w:style w:type="paragraph" w:customStyle="1" w:styleId="TableText">
    <w:name w:val="Table Text"/>
    <w:basedOn w:val="BodyText"/>
    <w:pPr>
      <w:spacing w:before="40" w:after="40"/>
      <w:jc w:val="left"/>
    </w:pPr>
    <w:rPr>
      <w:rFonts w:ascii="Garamond" w:eastAsia="MS Mincho" w:hAnsi="Garamond"/>
      <w:kern w:val="28"/>
      <w:sz w:val="22"/>
      <w:szCs w:val="22"/>
      <w:lang w:val="en-US" w:eastAsia="en-US"/>
    </w:rPr>
  </w:style>
  <w:style w:type="paragraph" w:customStyle="1" w:styleId="Body0">
    <w:name w:val="Body"/>
    <w:basedOn w:val="Normal"/>
    <w:link w:val="BodyChar1"/>
    <w:pPr>
      <w:spacing w:before="120" w:after="120" w:line="240" w:lineRule="auto"/>
      <w:ind w:left="1440" w:firstLine="0"/>
    </w:pPr>
    <w:rPr>
      <w:rFonts w:ascii="Garamond" w:eastAsia="MS Mincho" w:hAnsi="Garamond"/>
      <w:kern w:val="28"/>
      <w:szCs w:val="24"/>
      <w:lang w:eastAsia="en-US"/>
    </w:rPr>
  </w:style>
  <w:style w:type="character" w:customStyle="1" w:styleId="BodyChar1">
    <w:name w:val="Body Char1"/>
    <w:link w:val="Body0"/>
    <w:rPr>
      <w:rFonts w:ascii="Garamond" w:eastAsia="MS Mincho" w:hAnsi="Garamond"/>
      <w:kern w:val="28"/>
      <w:sz w:val="24"/>
      <w:szCs w:val="24"/>
    </w:rPr>
  </w:style>
  <w:style w:type="paragraph" w:styleId="Revision">
    <w:name w:val="Revision"/>
    <w:hidden/>
    <w:uiPriority w:val="99"/>
    <w:semiHidden/>
    <w:rPr>
      <w:rFonts w:ascii="Times New Roman" w:hAnsi="Times New Roman"/>
      <w:sz w:val="24"/>
      <w:lang w:eastAsia="zh-CN"/>
    </w:rPr>
  </w:style>
  <w:style w:type="character" w:customStyle="1" w:styleId="oneclick-link">
    <w:name w:val="oneclick-link"/>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6720">
      <w:bodyDiv w:val="1"/>
      <w:marLeft w:val="0"/>
      <w:marRight w:val="0"/>
      <w:marTop w:val="0"/>
      <w:marBottom w:val="0"/>
      <w:divBdr>
        <w:top w:val="none" w:sz="0" w:space="0" w:color="auto"/>
        <w:left w:val="none" w:sz="0" w:space="0" w:color="auto"/>
        <w:bottom w:val="none" w:sz="0" w:space="0" w:color="auto"/>
        <w:right w:val="none" w:sz="0" w:space="0" w:color="auto"/>
      </w:divBdr>
    </w:div>
    <w:div w:id="170418904">
      <w:bodyDiv w:val="1"/>
      <w:marLeft w:val="0"/>
      <w:marRight w:val="0"/>
      <w:marTop w:val="0"/>
      <w:marBottom w:val="0"/>
      <w:divBdr>
        <w:top w:val="none" w:sz="0" w:space="0" w:color="auto"/>
        <w:left w:val="none" w:sz="0" w:space="0" w:color="auto"/>
        <w:bottom w:val="none" w:sz="0" w:space="0" w:color="auto"/>
        <w:right w:val="none" w:sz="0" w:space="0" w:color="auto"/>
      </w:divBdr>
    </w:div>
    <w:div w:id="227307478">
      <w:bodyDiv w:val="1"/>
      <w:marLeft w:val="0"/>
      <w:marRight w:val="0"/>
      <w:marTop w:val="0"/>
      <w:marBottom w:val="0"/>
      <w:divBdr>
        <w:top w:val="none" w:sz="0" w:space="0" w:color="auto"/>
        <w:left w:val="none" w:sz="0" w:space="0" w:color="auto"/>
        <w:bottom w:val="none" w:sz="0" w:space="0" w:color="auto"/>
        <w:right w:val="none" w:sz="0" w:space="0" w:color="auto"/>
      </w:divBdr>
    </w:div>
    <w:div w:id="282344457">
      <w:bodyDiv w:val="1"/>
      <w:marLeft w:val="0"/>
      <w:marRight w:val="0"/>
      <w:marTop w:val="0"/>
      <w:marBottom w:val="0"/>
      <w:divBdr>
        <w:top w:val="none" w:sz="0" w:space="0" w:color="auto"/>
        <w:left w:val="none" w:sz="0" w:space="0" w:color="auto"/>
        <w:bottom w:val="none" w:sz="0" w:space="0" w:color="auto"/>
        <w:right w:val="none" w:sz="0" w:space="0" w:color="auto"/>
      </w:divBdr>
    </w:div>
    <w:div w:id="330182159">
      <w:bodyDiv w:val="1"/>
      <w:marLeft w:val="0"/>
      <w:marRight w:val="0"/>
      <w:marTop w:val="0"/>
      <w:marBottom w:val="0"/>
      <w:divBdr>
        <w:top w:val="none" w:sz="0" w:space="0" w:color="auto"/>
        <w:left w:val="none" w:sz="0" w:space="0" w:color="auto"/>
        <w:bottom w:val="none" w:sz="0" w:space="0" w:color="auto"/>
        <w:right w:val="none" w:sz="0" w:space="0" w:color="auto"/>
      </w:divBdr>
    </w:div>
    <w:div w:id="516966062">
      <w:bodyDiv w:val="1"/>
      <w:marLeft w:val="0"/>
      <w:marRight w:val="0"/>
      <w:marTop w:val="0"/>
      <w:marBottom w:val="0"/>
      <w:divBdr>
        <w:top w:val="none" w:sz="0" w:space="0" w:color="auto"/>
        <w:left w:val="none" w:sz="0" w:space="0" w:color="auto"/>
        <w:bottom w:val="none" w:sz="0" w:space="0" w:color="auto"/>
        <w:right w:val="none" w:sz="0" w:space="0" w:color="auto"/>
      </w:divBdr>
    </w:div>
    <w:div w:id="753168621">
      <w:bodyDiv w:val="1"/>
      <w:marLeft w:val="0"/>
      <w:marRight w:val="0"/>
      <w:marTop w:val="0"/>
      <w:marBottom w:val="0"/>
      <w:divBdr>
        <w:top w:val="none" w:sz="0" w:space="0" w:color="auto"/>
        <w:left w:val="none" w:sz="0" w:space="0" w:color="auto"/>
        <w:bottom w:val="none" w:sz="0" w:space="0" w:color="auto"/>
        <w:right w:val="none" w:sz="0" w:space="0" w:color="auto"/>
      </w:divBdr>
    </w:div>
    <w:div w:id="1141002300">
      <w:bodyDiv w:val="1"/>
      <w:marLeft w:val="0"/>
      <w:marRight w:val="0"/>
      <w:marTop w:val="0"/>
      <w:marBottom w:val="0"/>
      <w:divBdr>
        <w:top w:val="none" w:sz="0" w:space="0" w:color="auto"/>
        <w:left w:val="none" w:sz="0" w:space="0" w:color="auto"/>
        <w:bottom w:val="none" w:sz="0" w:space="0" w:color="auto"/>
        <w:right w:val="none" w:sz="0" w:space="0" w:color="auto"/>
      </w:divBdr>
    </w:div>
    <w:div w:id="1167284919">
      <w:bodyDiv w:val="1"/>
      <w:marLeft w:val="0"/>
      <w:marRight w:val="0"/>
      <w:marTop w:val="0"/>
      <w:marBottom w:val="0"/>
      <w:divBdr>
        <w:top w:val="none" w:sz="0" w:space="0" w:color="auto"/>
        <w:left w:val="none" w:sz="0" w:space="0" w:color="auto"/>
        <w:bottom w:val="none" w:sz="0" w:space="0" w:color="auto"/>
        <w:right w:val="none" w:sz="0" w:space="0" w:color="auto"/>
      </w:divBdr>
    </w:div>
    <w:div w:id="1228615902">
      <w:bodyDiv w:val="1"/>
      <w:marLeft w:val="0"/>
      <w:marRight w:val="0"/>
      <w:marTop w:val="0"/>
      <w:marBottom w:val="0"/>
      <w:divBdr>
        <w:top w:val="none" w:sz="0" w:space="0" w:color="auto"/>
        <w:left w:val="none" w:sz="0" w:space="0" w:color="auto"/>
        <w:bottom w:val="none" w:sz="0" w:space="0" w:color="auto"/>
        <w:right w:val="none" w:sz="0" w:space="0" w:color="auto"/>
      </w:divBdr>
    </w:div>
    <w:div w:id="1329557513">
      <w:bodyDiv w:val="1"/>
      <w:marLeft w:val="0"/>
      <w:marRight w:val="0"/>
      <w:marTop w:val="0"/>
      <w:marBottom w:val="0"/>
      <w:divBdr>
        <w:top w:val="none" w:sz="0" w:space="0" w:color="auto"/>
        <w:left w:val="none" w:sz="0" w:space="0" w:color="auto"/>
        <w:bottom w:val="none" w:sz="0" w:space="0" w:color="auto"/>
        <w:right w:val="none" w:sz="0" w:space="0" w:color="auto"/>
      </w:divBdr>
    </w:div>
    <w:div w:id="1340545356">
      <w:bodyDiv w:val="1"/>
      <w:marLeft w:val="0"/>
      <w:marRight w:val="0"/>
      <w:marTop w:val="0"/>
      <w:marBottom w:val="0"/>
      <w:divBdr>
        <w:top w:val="none" w:sz="0" w:space="0" w:color="auto"/>
        <w:left w:val="none" w:sz="0" w:space="0" w:color="auto"/>
        <w:bottom w:val="none" w:sz="0" w:space="0" w:color="auto"/>
        <w:right w:val="none" w:sz="0" w:space="0" w:color="auto"/>
      </w:divBdr>
    </w:div>
    <w:div w:id="16062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chart" Target="charts/chart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image" Target="media/image5.emf"/><Relationship Id="rId30"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www.utc.wa.gov/_layouts/CasesPublicWebsite/GetDocument.ashx?docID=2104&amp;year=2007&amp;docketNumber=0723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tvalde\AppData\Local\Microsoft\Windows\Temporary%20Internet%20Files\Content.Outlook\ZMCP3IU7\Customer%20Contact%20counts%20by%20channel%20through%20Sept%202016%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Customer Self-Serve Transactions by Channel </a:t>
            </a:r>
          </a:p>
          <a:p>
            <a:pPr>
              <a:defRPr/>
            </a:pPr>
            <a:r>
              <a:rPr lang="en-US" sz="1100"/>
              <a:t>(2013- Sept 2016)</a:t>
            </a:r>
          </a:p>
        </c:rich>
      </c:tx>
      <c:overlay val="0"/>
    </c:title>
    <c:autoTitleDeleted val="0"/>
    <c:plotArea>
      <c:layout/>
      <c:barChart>
        <c:barDir val="col"/>
        <c:grouping val="stacked"/>
        <c:varyColors val="0"/>
        <c:ser>
          <c:idx val="0"/>
          <c:order val="0"/>
          <c:tx>
            <c:strRef>
              <c:f>Summary!$B$8</c:f>
              <c:strCache>
                <c:ptCount val="1"/>
                <c:pt idx="0">
                  <c:v>Web</c:v>
                </c:pt>
              </c:strCache>
            </c:strRef>
          </c:tx>
          <c:spPr>
            <a:solidFill>
              <a:schemeClr val="accent6">
                <a:lumMod val="40000"/>
                <a:lumOff val="60000"/>
              </a:schemeClr>
            </a:solidFill>
          </c:spPr>
          <c:invertIfNegative val="0"/>
          <c:cat>
            <c:strRef>
              <c:f>Summary!$A$28:$A$31</c:f>
              <c:strCache>
                <c:ptCount val="4"/>
                <c:pt idx="0">
                  <c:v>2013</c:v>
                </c:pt>
                <c:pt idx="1">
                  <c:v>2014</c:v>
                </c:pt>
                <c:pt idx="2">
                  <c:v>2015</c:v>
                </c:pt>
                <c:pt idx="3">
                  <c:v>Jan-Sept 2016</c:v>
                </c:pt>
              </c:strCache>
            </c:strRef>
          </c:cat>
          <c:val>
            <c:numRef>
              <c:f>Summary!$B$28:$B$31</c:f>
              <c:numCache>
                <c:formatCode>_(* #,##0_);_(* \(#,##0\);_(* "-"??_);_(@_)</c:formatCode>
                <c:ptCount val="4"/>
                <c:pt idx="0">
                  <c:v>7780251</c:v>
                </c:pt>
                <c:pt idx="1">
                  <c:v>8423911</c:v>
                </c:pt>
                <c:pt idx="2">
                  <c:v>9033355</c:v>
                </c:pt>
                <c:pt idx="3">
                  <c:v>7438795</c:v>
                </c:pt>
              </c:numCache>
            </c:numRef>
          </c:val>
        </c:ser>
        <c:ser>
          <c:idx val="1"/>
          <c:order val="1"/>
          <c:tx>
            <c:strRef>
              <c:f>Summary!$C$8</c:f>
              <c:strCache>
                <c:ptCount val="1"/>
                <c:pt idx="0">
                  <c:v>IVR</c:v>
                </c:pt>
              </c:strCache>
            </c:strRef>
          </c:tx>
          <c:invertIfNegative val="0"/>
          <c:cat>
            <c:strRef>
              <c:f>Summary!$A$28:$A$31</c:f>
              <c:strCache>
                <c:ptCount val="4"/>
                <c:pt idx="0">
                  <c:v>2013</c:v>
                </c:pt>
                <c:pt idx="1">
                  <c:v>2014</c:v>
                </c:pt>
                <c:pt idx="2">
                  <c:v>2015</c:v>
                </c:pt>
                <c:pt idx="3">
                  <c:v>Jan-Sept 2016</c:v>
                </c:pt>
              </c:strCache>
            </c:strRef>
          </c:cat>
          <c:val>
            <c:numRef>
              <c:f>Summary!$C$28:$C$31</c:f>
              <c:numCache>
                <c:formatCode>_(* #,##0_);_(* \(#,##0\);_(* "-"??_);_(@_)</c:formatCode>
                <c:ptCount val="4"/>
                <c:pt idx="0">
                  <c:v>1810871</c:v>
                </c:pt>
                <c:pt idx="1">
                  <c:v>1881498</c:v>
                </c:pt>
                <c:pt idx="2">
                  <c:v>2559486</c:v>
                </c:pt>
                <c:pt idx="3">
                  <c:v>1916688</c:v>
                </c:pt>
              </c:numCache>
            </c:numRef>
          </c:val>
        </c:ser>
        <c:ser>
          <c:idx val="2"/>
          <c:order val="2"/>
          <c:tx>
            <c:strRef>
              <c:f>Summary!$D$8</c:f>
              <c:strCache>
                <c:ptCount val="1"/>
                <c:pt idx="0">
                  <c:v>Outage</c:v>
                </c:pt>
              </c:strCache>
            </c:strRef>
          </c:tx>
          <c:invertIfNegative val="0"/>
          <c:cat>
            <c:strRef>
              <c:f>Summary!$A$28:$A$31</c:f>
              <c:strCache>
                <c:ptCount val="4"/>
                <c:pt idx="0">
                  <c:v>2013</c:v>
                </c:pt>
                <c:pt idx="1">
                  <c:v>2014</c:v>
                </c:pt>
                <c:pt idx="2">
                  <c:v>2015</c:v>
                </c:pt>
                <c:pt idx="3">
                  <c:v>Jan-Sept 2016</c:v>
                </c:pt>
              </c:strCache>
            </c:strRef>
          </c:cat>
          <c:val>
            <c:numRef>
              <c:f>Summary!$D$28:$D$31</c:f>
              <c:numCache>
                <c:formatCode>_(* #,##0_);_(* \(#,##0\);_(* "-"??_);_(@_)</c:formatCode>
                <c:ptCount val="4"/>
                <c:pt idx="0">
                  <c:v>131440</c:v>
                </c:pt>
                <c:pt idx="1">
                  <c:v>814740.56513000245</c:v>
                </c:pt>
                <c:pt idx="2">
                  <c:v>2520436.8374164887</c:v>
                </c:pt>
                <c:pt idx="3">
                  <c:v>1190753.159493129</c:v>
                </c:pt>
              </c:numCache>
            </c:numRef>
          </c:val>
        </c:ser>
        <c:ser>
          <c:idx val="3"/>
          <c:order val="3"/>
          <c:tx>
            <c:strRef>
              <c:f>Summary!$E$8</c:f>
              <c:strCache>
                <c:ptCount val="1"/>
                <c:pt idx="0">
                  <c:v>Email</c:v>
                </c:pt>
              </c:strCache>
            </c:strRef>
          </c:tx>
          <c:spPr>
            <a:solidFill>
              <a:schemeClr val="accent4">
                <a:lumMod val="75000"/>
              </a:schemeClr>
            </a:solidFill>
          </c:spPr>
          <c:invertIfNegative val="0"/>
          <c:cat>
            <c:strRef>
              <c:f>Summary!$A$28:$A$31</c:f>
              <c:strCache>
                <c:ptCount val="4"/>
                <c:pt idx="0">
                  <c:v>2013</c:v>
                </c:pt>
                <c:pt idx="1">
                  <c:v>2014</c:v>
                </c:pt>
                <c:pt idx="2">
                  <c:v>2015</c:v>
                </c:pt>
                <c:pt idx="3">
                  <c:v>Jan-Sept 2016</c:v>
                </c:pt>
              </c:strCache>
            </c:strRef>
          </c:cat>
          <c:val>
            <c:numRef>
              <c:f>Summary!$E$28:$E$31</c:f>
              <c:numCache>
                <c:formatCode>_(* #,##0_);_(* \(#,##0\);_(* "-"??_);_(@_)</c:formatCode>
                <c:ptCount val="4"/>
                <c:pt idx="0">
                  <c:v>193178</c:v>
                </c:pt>
                <c:pt idx="1">
                  <c:v>186809</c:v>
                </c:pt>
                <c:pt idx="2">
                  <c:v>127241</c:v>
                </c:pt>
                <c:pt idx="3">
                  <c:v>130988</c:v>
                </c:pt>
              </c:numCache>
            </c:numRef>
          </c:val>
        </c:ser>
        <c:ser>
          <c:idx val="5"/>
          <c:order val="4"/>
          <c:tx>
            <c:strRef>
              <c:f>Summary!$G$8</c:f>
              <c:strCache>
                <c:ptCount val="1"/>
                <c:pt idx="0">
                  <c:v>Social Media</c:v>
                </c:pt>
              </c:strCache>
            </c:strRef>
          </c:tx>
          <c:invertIfNegative val="0"/>
          <c:cat>
            <c:strRef>
              <c:f>Summary!$A$28:$A$31</c:f>
              <c:strCache>
                <c:ptCount val="4"/>
                <c:pt idx="0">
                  <c:v>2013</c:v>
                </c:pt>
                <c:pt idx="1">
                  <c:v>2014</c:v>
                </c:pt>
                <c:pt idx="2">
                  <c:v>2015</c:v>
                </c:pt>
                <c:pt idx="3">
                  <c:v>Jan-Sept 2016</c:v>
                </c:pt>
              </c:strCache>
            </c:strRef>
          </c:cat>
          <c:val>
            <c:numRef>
              <c:f>Summary!$G$28:$G$31</c:f>
              <c:numCache>
                <c:formatCode>_(* #,##0_);_(* \(#,##0\);_(* "-"??_);_(@_)</c:formatCode>
                <c:ptCount val="4"/>
                <c:pt idx="0">
                  <c:v>0</c:v>
                </c:pt>
                <c:pt idx="1">
                  <c:v>0</c:v>
                </c:pt>
                <c:pt idx="2">
                  <c:v>52504</c:v>
                </c:pt>
                <c:pt idx="3">
                  <c:v>60300</c:v>
                </c:pt>
              </c:numCache>
            </c:numRef>
          </c:val>
        </c:ser>
        <c:dLbls>
          <c:showLegendKey val="0"/>
          <c:showVal val="0"/>
          <c:showCatName val="0"/>
          <c:showSerName val="0"/>
          <c:showPercent val="0"/>
          <c:showBubbleSize val="0"/>
        </c:dLbls>
        <c:gapWidth val="75"/>
        <c:overlap val="100"/>
        <c:axId val="409772032"/>
        <c:axId val="409774336"/>
      </c:barChart>
      <c:catAx>
        <c:axId val="409772032"/>
        <c:scaling>
          <c:orientation val="minMax"/>
        </c:scaling>
        <c:delete val="0"/>
        <c:axPos val="b"/>
        <c:numFmt formatCode="General" sourceLinked="1"/>
        <c:majorTickMark val="none"/>
        <c:minorTickMark val="none"/>
        <c:tickLblPos val="nextTo"/>
        <c:crossAx val="409774336"/>
        <c:crossesAt val="0"/>
        <c:auto val="1"/>
        <c:lblAlgn val="ctr"/>
        <c:lblOffset val="100"/>
        <c:noMultiLvlLbl val="0"/>
      </c:catAx>
      <c:valAx>
        <c:axId val="409774336"/>
        <c:scaling>
          <c:orientation val="minMax"/>
        </c:scaling>
        <c:delete val="0"/>
        <c:axPos val="l"/>
        <c:majorGridlines/>
        <c:numFmt formatCode="#,##0" sourceLinked="0"/>
        <c:majorTickMark val="none"/>
        <c:minorTickMark val="none"/>
        <c:tickLblPos val="nextTo"/>
        <c:spPr>
          <a:ln w="9525">
            <a:noFill/>
          </a:ln>
        </c:spPr>
        <c:crossAx val="40977203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Web Self-Serve</a:t>
            </a:r>
            <a:r>
              <a:rPr lang="en-US" sz="1100" baseline="0"/>
              <a:t> Transactions 1/1/2013 - 9/30/2016) (excluding Outage)</a:t>
            </a:r>
            <a:endParaRPr lang="en-US" sz="1100"/>
          </a:p>
        </c:rich>
      </c:tx>
      <c:overlay val="0"/>
    </c:title>
    <c:autoTitleDeleted val="0"/>
    <c:plotArea>
      <c:layout/>
      <c:barChart>
        <c:barDir val="col"/>
        <c:grouping val="percentStacked"/>
        <c:varyColors val="0"/>
        <c:ser>
          <c:idx val="0"/>
          <c:order val="0"/>
          <c:tx>
            <c:v>Payment</c:v>
          </c:tx>
          <c:invertIfNegative val="0"/>
          <c:cat>
            <c:strRef>
              <c:f>Web!$A$7:$A$10</c:f>
              <c:strCache>
                <c:ptCount val="4"/>
                <c:pt idx="0">
                  <c:v>2013</c:v>
                </c:pt>
                <c:pt idx="1">
                  <c:v>2014</c:v>
                </c:pt>
                <c:pt idx="2">
                  <c:v>2015</c:v>
                </c:pt>
                <c:pt idx="3">
                  <c:v>Jan-Sept 2016</c:v>
                </c:pt>
              </c:strCache>
            </c:strRef>
          </c:cat>
          <c:val>
            <c:numRef>
              <c:f>Web!$E$7:$E$10</c:f>
              <c:numCache>
                <c:formatCode>_(* #,##0_);_(* \(#,##0\);_(* "-"??_);_(@_)</c:formatCode>
                <c:ptCount val="4"/>
                <c:pt idx="0">
                  <c:v>2605096</c:v>
                </c:pt>
                <c:pt idx="1">
                  <c:v>2802809</c:v>
                </c:pt>
                <c:pt idx="2">
                  <c:v>3083010</c:v>
                </c:pt>
                <c:pt idx="3">
                  <c:v>2603268</c:v>
                </c:pt>
              </c:numCache>
            </c:numRef>
          </c:val>
        </c:ser>
        <c:ser>
          <c:idx val="1"/>
          <c:order val="1"/>
          <c:tx>
            <c:v>Bill View</c:v>
          </c:tx>
          <c:invertIfNegative val="0"/>
          <c:cat>
            <c:strRef>
              <c:f>Web!$A$7:$A$10</c:f>
              <c:strCache>
                <c:ptCount val="4"/>
                <c:pt idx="0">
                  <c:v>2013</c:v>
                </c:pt>
                <c:pt idx="1">
                  <c:v>2014</c:v>
                </c:pt>
                <c:pt idx="2">
                  <c:v>2015</c:v>
                </c:pt>
                <c:pt idx="3">
                  <c:v>Jan-Sept 2016</c:v>
                </c:pt>
              </c:strCache>
            </c:strRef>
          </c:cat>
          <c:val>
            <c:numRef>
              <c:f>Web!$I$7:$I$10</c:f>
              <c:numCache>
                <c:formatCode>_(* #,##0_);_(* \(#,##0\);_(* "-"??_);_(@_)</c:formatCode>
                <c:ptCount val="4"/>
                <c:pt idx="0">
                  <c:v>3512559</c:v>
                </c:pt>
                <c:pt idx="1">
                  <c:v>3897683</c:v>
                </c:pt>
                <c:pt idx="2">
                  <c:v>4206231</c:v>
                </c:pt>
                <c:pt idx="3">
                  <c:v>3423752</c:v>
                </c:pt>
              </c:numCache>
            </c:numRef>
          </c:val>
        </c:ser>
        <c:ser>
          <c:idx val="2"/>
          <c:order val="2"/>
          <c:tx>
            <c:v>Other Web</c:v>
          </c:tx>
          <c:invertIfNegative val="0"/>
          <c:cat>
            <c:strRef>
              <c:f>Web!$A$7:$A$10</c:f>
              <c:strCache>
                <c:ptCount val="4"/>
                <c:pt idx="0">
                  <c:v>2013</c:v>
                </c:pt>
                <c:pt idx="1">
                  <c:v>2014</c:v>
                </c:pt>
                <c:pt idx="2">
                  <c:v>2015</c:v>
                </c:pt>
                <c:pt idx="3">
                  <c:v>Jan-Sept 2016</c:v>
                </c:pt>
              </c:strCache>
            </c:strRef>
          </c:cat>
          <c:val>
            <c:numRef>
              <c:f>Web!$K$7:$K$10</c:f>
              <c:numCache>
                <c:formatCode>_(* #,##0_);_(* \(#,##0\);_(* "-"??_);_(@_)</c:formatCode>
                <c:ptCount val="4"/>
                <c:pt idx="0">
                  <c:v>1662596</c:v>
                </c:pt>
                <c:pt idx="1">
                  <c:v>1723419</c:v>
                </c:pt>
                <c:pt idx="2">
                  <c:v>1744114</c:v>
                </c:pt>
                <c:pt idx="3">
                  <c:v>1411775</c:v>
                </c:pt>
              </c:numCache>
            </c:numRef>
          </c:val>
        </c:ser>
        <c:dLbls>
          <c:showLegendKey val="0"/>
          <c:showVal val="0"/>
          <c:showCatName val="0"/>
          <c:showSerName val="0"/>
          <c:showPercent val="0"/>
          <c:showBubbleSize val="0"/>
        </c:dLbls>
        <c:gapWidth val="150"/>
        <c:overlap val="100"/>
        <c:axId val="169397248"/>
        <c:axId val="407515904"/>
      </c:barChart>
      <c:catAx>
        <c:axId val="169397248"/>
        <c:scaling>
          <c:orientation val="minMax"/>
        </c:scaling>
        <c:delete val="0"/>
        <c:axPos val="b"/>
        <c:numFmt formatCode="General" sourceLinked="1"/>
        <c:majorTickMark val="out"/>
        <c:minorTickMark val="none"/>
        <c:tickLblPos val="nextTo"/>
        <c:crossAx val="407515904"/>
        <c:crosses val="autoZero"/>
        <c:auto val="1"/>
        <c:lblAlgn val="ctr"/>
        <c:lblOffset val="100"/>
        <c:noMultiLvlLbl val="0"/>
      </c:catAx>
      <c:valAx>
        <c:axId val="407515904"/>
        <c:scaling>
          <c:orientation val="minMax"/>
        </c:scaling>
        <c:delete val="0"/>
        <c:axPos val="l"/>
        <c:majorGridlines/>
        <c:numFmt formatCode="0%" sourceLinked="0"/>
        <c:majorTickMark val="out"/>
        <c:minorTickMark val="none"/>
        <c:tickLblPos val="nextTo"/>
        <c:crossAx val="169397248"/>
        <c:crosses val="autoZero"/>
        <c:crossBetween val="between"/>
      </c:valAx>
      <c:dTable>
        <c:showHorzBorder val="0"/>
        <c:showVertBorder val="1"/>
        <c:showOutline val="0"/>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8511-9611-492A-BC9D-920073DA9602}"/>
</file>

<file path=customXml/itemProps2.xml><?xml version="1.0" encoding="utf-8"?>
<ds:datastoreItem xmlns:ds="http://schemas.openxmlformats.org/officeDocument/2006/customXml" ds:itemID="{F8EB0D7D-AC6A-467D-8DB6-41D508CF129F}">
  <ds:schemaRefs>
    <ds:schemaRef ds:uri="http://schemas.microsoft.com/sharepoint/v3/contenttype/forms"/>
  </ds:schemaRefs>
</ds:datastoreItem>
</file>

<file path=customXml/itemProps3.xml><?xml version="1.0" encoding="utf-8"?>
<ds:datastoreItem xmlns:ds="http://schemas.openxmlformats.org/officeDocument/2006/customXml" ds:itemID="{23DE4319-1F4B-4ADF-B1B6-3F5305454FA2}"/>
</file>

<file path=customXml/itemProps4.xml><?xml version="1.0" encoding="utf-8"?>
<ds:datastoreItem xmlns:ds="http://schemas.openxmlformats.org/officeDocument/2006/customXml" ds:itemID="{1E4666E1-109D-4489-B1DF-FB6BB9EE9A4F}">
  <ds:schemaRefs>
    <ds:schemaRef ds:uri="http://schemas.microsoft.com/office/2006/metadata/longProperties"/>
  </ds:schemaRefs>
</ds:datastoreItem>
</file>

<file path=customXml/itemProps5.xml><?xml version="1.0" encoding="utf-8"?>
<ds:datastoreItem xmlns:ds="http://schemas.openxmlformats.org/officeDocument/2006/customXml" ds:itemID="{003F9DE4-BF03-4D44-B934-08317CCBFDBE}">
  <ds:schemaRefs>
    <ds:schemaRef ds:uri="http://schemas.microsoft.com/office/2006/metadata/properties"/>
    <ds:schemaRef ds:uri="http://schemas.microsoft.com/office/infopath/2007/PartnerControls"/>
    <ds:schemaRef ds:uri="dc463f71-b30c-4ab2-9473-d307f9d35888"/>
  </ds:schemaRefs>
</ds:datastoreItem>
</file>

<file path=customXml/itemProps6.xml><?xml version="1.0" encoding="utf-8"?>
<ds:datastoreItem xmlns:ds="http://schemas.openxmlformats.org/officeDocument/2006/customXml" ds:itemID="{4D586278-0FAA-4EC4-B4E7-69070680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24</Pages>
  <Words>3735</Words>
  <Characters>21294</Characters>
  <Application>Microsoft Office Word</Application>
  <DocSecurity>0</DocSecurity>
  <PresentationFormat/>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24980</CharactersWithSpaces>
  <SharedDoc>false</SharedDoc>
  <HyperlinkBase/>
  <HLinks>
    <vt:vector size="24" baseType="variant">
      <vt:variant>
        <vt:i4>1441844</vt:i4>
      </vt:variant>
      <vt:variant>
        <vt:i4>20</vt:i4>
      </vt:variant>
      <vt:variant>
        <vt:i4>0</vt:i4>
      </vt:variant>
      <vt:variant>
        <vt:i4>5</vt:i4>
      </vt:variant>
      <vt:variant>
        <vt:lpwstr/>
      </vt:variant>
      <vt:variant>
        <vt:lpwstr>_Toc184273689</vt:lpwstr>
      </vt:variant>
      <vt:variant>
        <vt:i4>1441844</vt:i4>
      </vt:variant>
      <vt:variant>
        <vt:i4>14</vt:i4>
      </vt:variant>
      <vt:variant>
        <vt:i4>0</vt:i4>
      </vt:variant>
      <vt:variant>
        <vt:i4>5</vt:i4>
      </vt:variant>
      <vt:variant>
        <vt:lpwstr/>
      </vt:variant>
      <vt:variant>
        <vt:lpwstr>_Toc184273688</vt:lpwstr>
      </vt:variant>
      <vt:variant>
        <vt:i4>1441844</vt:i4>
      </vt:variant>
      <vt:variant>
        <vt:i4>8</vt:i4>
      </vt:variant>
      <vt:variant>
        <vt:i4>0</vt:i4>
      </vt:variant>
      <vt:variant>
        <vt:i4>5</vt:i4>
      </vt:variant>
      <vt:variant>
        <vt:lpwstr/>
      </vt:variant>
      <vt:variant>
        <vt:lpwstr>_Toc184273687</vt:lpwstr>
      </vt:variant>
      <vt:variant>
        <vt:i4>1441844</vt:i4>
      </vt:variant>
      <vt:variant>
        <vt:i4>2</vt:i4>
      </vt:variant>
      <vt:variant>
        <vt:i4>0</vt:i4>
      </vt:variant>
      <vt:variant>
        <vt:i4>5</vt:i4>
      </vt:variant>
      <vt:variant>
        <vt:lpwstr/>
      </vt:variant>
      <vt:variant>
        <vt:lpwstr>_Toc184273686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Tina</dc:creator>
  <cp:lastModifiedBy>No Name</cp:lastModifiedBy>
  <cp:revision>16</cp:revision>
  <cp:lastPrinted>2017-01-06T18:45:00Z</cp:lastPrinted>
  <dcterms:created xsi:type="dcterms:W3CDTF">2016-12-22T19:27:00Z</dcterms:created>
  <dcterms:modified xsi:type="dcterms:W3CDTF">2017-01-07T00:37:00Z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gFAAvvm1OVlBaXG+YUtW0Vmt0hYIkmqhcfiDPeu9dCTwQKn6LE1FAPmnXvsVB5zasEW4BjCUOVtegNkk_x000d_
XGedJwDX9r5yuhDD5pmpBGrEhRCAnneX8Nh6liSKhE4WFmPT6FFX/hMxekj/EvIkXGedJwDX9r5y_x000d_
uhDD5pmpBGrEhRCAnneX8Nh6liSKhE4WFmPT6FFXN1j5ddL2jkEXHcYqx1SffqhoJ5kEjB/lQ3ZR_x000d_
Ws4bZBi626juDU9iy</vt:lpwstr>
  </property>
  <property fmtid="{D5CDD505-2E9C-101B-9397-08002B2CF9AE}" pid="3" name="MAIL_MSG_ID2">
    <vt:lpwstr>B5vziTxb0M68iK1FGtamB1dEGUuWnIe/FvFdNxsq9uzHfyXPW7C0Jcw148P_x000d_
XHqfLa6kwjYFqz7aq68ib+bALrlGfQIcDKUpFg==</vt:lpwstr>
  </property>
  <property fmtid="{D5CDD505-2E9C-101B-9397-08002B2CF9AE}" pid="4" name="RESPONSE_SENDER_NAME">
    <vt:lpwstr>sAAA2RgG6J6jCJ3kX0gfbfEBMxRykUg2MAoF7sVh9hXRPDM=</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