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r>
        <w:tab/>
      </w:r>
      <w:r w:rsidR="00290F53">
        <w:t>EXHIBIT NO. _____ (</w:t>
      </w:r>
      <w:r w:rsidR="003C3A3F">
        <w:t>NH</w:t>
      </w:r>
      <w:r w:rsidR="00290F53">
        <w:t>-</w:t>
      </w:r>
      <w:r w:rsidR="00D573EF">
        <w:t>2</w:t>
      </w:r>
      <w:r w:rsidR="003662C6">
        <w:t>T)</w:t>
      </w:r>
    </w:p>
    <w:p w:rsidR="003662C6" w:rsidRDefault="007B3F13" w:rsidP="007B3F13">
      <w:pPr>
        <w:pStyle w:val="Address"/>
        <w:tabs>
          <w:tab w:val="right" w:pos="9270"/>
        </w:tabs>
      </w:pPr>
      <w:r>
        <w:tab/>
      </w:r>
      <w:r w:rsidR="003662C6">
        <w:t>DOCKET NO</w:t>
      </w:r>
      <w:r w:rsidR="00050D85">
        <w:t>S</w:t>
      </w:r>
      <w:r w:rsidR="003662C6">
        <w:t>. UE-</w:t>
      </w:r>
      <w:r w:rsidR="003C3A3F">
        <w:t>121697</w:t>
      </w:r>
      <w:r w:rsidR="003662C6">
        <w:t>/UG-</w:t>
      </w:r>
      <w:r w:rsidR="003C3A3F">
        <w:t>121705</w:t>
      </w:r>
    </w:p>
    <w:p w:rsidR="003662C6" w:rsidRDefault="007B3F13" w:rsidP="007B3F13">
      <w:pPr>
        <w:pStyle w:val="Address"/>
        <w:tabs>
          <w:tab w:val="right" w:pos="9270"/>
        </w:tabs>
      </w:pPr>
      <w:r>
        <w:tab/>
      </w:r>
      <w:r w:rsidR="003662C6">
        <w:t xml:space="preserve">WITNESS: </w:t>
      </w:r>
      <w:r w:rsidR="003C3A3F">
        <w:t>NANCY HIRSH</w:t>
      </w:r>
    </w:p>
    <w:p w:rsidR="005B0BEE" w:rsidRDefault="005B0BEE" w:rsidP="005B0BEE"/>
    <w:p w:rsidR="009D4FB5" w:rsidRDefault="009D4FB5" w:rsidP="005B0BEE"/>
    <w:p w:rsidR="005B0BEE" w:rsidRDefault="005B0BEE" w:rsidP="005B0BEE">
      <w:pPr>
        <w:jc w:val="center"/>
      </w:pPr>
      <w:r>
        <w:t>BEFORE THE WASHINGTON</w:t>
      </w:r>
    </w:p>
    <w:p w:rsidR="005B0BEE" w:rsidRDefault="005B0BEE" w:rsidP="005B0BEE">
      <w:pPr>
        <w:jc w:val="center"/>
      </w:pPr>
      <w:r>
        <w:t>UTILITIES AND TRANSPORTATION COMMISSION</w:t>
      </w:r>
    </w:p>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672"/>
        <w:gridCol w:w="270"/>
        <w:gridCol w:w="4421"/>
      </w:tblGrid>
      <w:tr w:rsidR="00F814F4" w:rsidTr="00460FAB">
        <w:tc>
          <w:tcPr>
            <w:tcW w:w="4672" w:type="dxa"/>
            <w:tcBorders>
              <w:bottom w:val="single" w:sz="4" w:space="0" w:color="auto"/>
            </w:tcBorders>
          </w:tcPr>
          <w:p w:rsidR="00F814F4" w:rsidRDefault="00F814F4" w:rsidP="00F814F4">
            <w:pPr>
              <w:pStyle w:val="Header"/>
              <w:ind w:right="115"/>
              <w:rPr>
                <w:szCs w:val="24"/>
              </w:rPr>
            </w:pPr>
            <w:r w:rsidRPr="00952690">
              <w:rPr>
                <w:szCs w:val="24"/>
              </w:rPr>
              <w:t>In the Matter of</w:t>
            </w:r>
            <w:r>
              <w:rPr>
                <w:szCs w:val="24"/>
              </w:rPr>
              <w:t xml:space="preserve"> the Petition of </w:t>
            </w:r>
          </w:p>
          <w:p w:rsidR="00F814F4" w:rsidRDefault="00F814F4" w:rsidP="00F814F4">
            <w:pPr>
              <w:pStyle w:val="Header"/>
              <w:ind w:right="115"/>
              <w:rPr>
                <w:szCs w:val="24"/>
              </w:rPr>
            </w:pPr>
          </w:p>
          <w:p w:rsidR="00F814F4" w:rsidRDefault="00F814F4" w:rsidP="00F814F4">
            <w:pPr>
              <w:pStyle w:val="Header"/>
              <w:ind w:right="115"/>
              <w:rPr>
                <w:szCs w:val="24"/>
              </w:rPr>
            </w:pPr>
            <w:r w:rsidRPr="00952690">
              <w:rPr>
                <w:szCs w:val="24"/>
              </w:rPr>
              <w:t>PUGET SOUND ENERGY, INC.</w:t>
            </w:r>
          </w:p>
          <w:p w:rsidR="00F814F4" w:rsidRPr="00952690" w:rsidRDefault="00F814F4" w:rsidP="00F814F4">
            <w:pPr>
              <w:pStyle w:val="Header"/>
              <w:ind w:right="115"/>
              <w:rPr>
                <w:szCs w:val="24"/>
              </w:rPr>
            </w:pPr>
          </w:p>
          <w:p w:rsidR="00F814F4" w:rsidRDefault="00F814F4" w:rsidP="00F814F4">
            <w:pPr>
              <w:widowControl/>
            </w:pPr>
            <w:r w:rsidRPr="009869AA">
              <w:t>For Approval of a Power Purchase Agreement for Acquisition of Coal Transition Power, as Defined in RCW 80.80.010, and the Recovery of Related Acquisition Costs</w:t>
            </w:r>
          </w:p>
          <w:p w:rsidR="00F814F4" w:rsidRPr="0016639F" w:rsidRDefault="00F814F4" w:rsidP="00F814F4">
            <w:pPr>
              <w:widowControl/>
              <w:rPr>
                <w:rFonts w:eastAsiaTheme="minorHAnsi" w:cstheme="minorBidi"/>
                <w:szCs w:val="24"/>
              </w:rPr>
            </w:pPr>
          </w:p>
        </w:tc>
        <w:tc>
          <w:tcPr>
            <w:tcW w:w="270" w:type="dxa"/>
          </w:tcPr>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p w:rsidR="00F814F4" w:rsidRDefault="00F814F4" w:rsidP="003C3A3F">
            <w:pPr>
              <w:pStyle w:val="SingleSpacing"/>
            </w:pPr>
            <w:r>
              <w:t>)</w:t>
            </w:r>
          </w:p>
        </w:tc>
        <w:tc>
          <w:tcPr>
            <w:tcW w:w="4421" w:type="dxa"/>
          </w:tcPr>
          <w:p w:rsidR="00460FAB" w:rsidRDefault="00460FAB" w:rsidP="003C3A3F">
            <w:pPr>
              <w:ind w:right="183"/>
            </w:pPr>
          </w:p>
          <w:p w:rsidR="00F814F4" w:rsidRDefault="00F814F4" w:rsidP="003C3A3F">
            <w:pPr>
              <w:ind w:right="183"/>
            </w:pPr>
            <w:r>
              <w:t>DOCKET NO. 121373</w:t>
            </w:r>
          </w:p>
        </w:tc>
      </w:tr>
      <w:tr w:rsidR="005B0BEE" w:rsidTr="00460FAB">
        <w:tc>
          <w:tcPr>
            <w:tcW w:w="4672" w:type="dxa"/>
            <w:tcBorders>
              <w:top w:val="single" w:sz="4" w:space="0" w:color="auto"/>
              <w:bottom w:val="single" w:sz="4" w:space="0" w:color="auto"/>
            </w:tcBorders>
          </w:tcPr>
          <w:p w:rsidR="0016639F" w:rsidRPr="0016639F" w:rsidRDefault="0016639F" w:rsidP="0016639F">
            <w:pPr>
              <w:widowControl/>
              <w:rPr>
                <w:rFonts w:eastAsiaTheme="minorHAnsi" w:cstheme="minorBidi"/>
                <w:szCs w:val="24"/>
              </w:rPr>
            </w:pPr>
            <w:r w:rsidRPr="0016639F">
              <w:rPr>
                <w:rFonts w:eastAsiaTheme="minorHAnsi" w:cstheme="minorBidi"/>
                <w:szCs w:val="24"/>
              </w:rPr>
              <w:t>In the Matter of the Petition of</w:t>
            </w:r>
          </w:p>
          <w:p w:rsidR="0016639F" w:rsidRPr="0016639F" w:rsidRDefault="0016639F" w:rsidP="0016639F">
            <w:pPr>
              <w:widowControl/>
              <w:rPr>
                <w:rFonts w:eastAsiaTheme="minorHAnsi" w:cstheme="minorBidi"/>
                <w:szCs w:val="24"/>
              </w:rPr>
            </w:pPr>
          </w:p>
          <w:p w:rsidR="0016639F" w:rsidRPr="0016639F" w:rsidRDefault="0016639F" w:rsidP="0016639F">
            <w:pPr>
              <w:widowControl/>
              <w:rPr>
                <w:rFonts w:eastAsiaTheme="minorHAnsi" w:cstheme="minorBidi"/>
                <w:szCs w:val="24"/>
              </w:rPr>
            </w:pPr>
            <w:r w:rsidRPr="0016639F">
              <w:rPr>
                <w:rFonts w:eastAsiaTheme="minorHAnsi" w:cstheme="minorBidi"/>
                <w:szCs w:val="24"/>
              </w:rPr>
              <w:t>PUGET SOUND ENERGY, INC. and NW ENERGY COALITION</w:t>
            </w:r>
          </w:p>
          <w:p w:rsidR="0016639F" w:rsidRPr="0016639F" w:rsidRDefault="0016639F" w:rsidP="0016639F">
            <w:pPr>
              <w:widowControl/>
              <w:rPr>
                <w:rFonts w:eastAsiaTheme="minorHAnsi" w:cstheme="minorBidi"/>
                <w:szCs w:val="24"/>
              </w:rPr>
            </w:pPr>
          </w:p>
          <w:p w:rsidR="0016639F" w:rsidRPr="0016639F" w:rsidRDefault="0016639F" w:rsidP="0016639F">
            <w:pPr>
              <w:widowControl/>
              <w:rPr>
                <w:rFonts w:eastAsiaTheme="minorHAnsi" w:cstheme="minorBidi"/>
                <w:szCs w:val="24"/>
              </w:rPr>
            </w:pPr>
            <w:r w:rsidRPr="0016639F">
              <w:rPr>
                <w:rFonts w:eastAsiaTheme="minorHAnsi" w:cstheme="minorBidi"/>
                <w:szCs w:val="24"/>
              </w:rPr>
              <w:t xml:space="preserve">For an Order Authorizing PSE to Implement Electric and Natural Gas Decoupling Mechanisms </w:t>
            </w:r>
            <w:r w:rsidRPr="009D4FB5">
              <w:t>and</w:t>
            </w:r>
            <w:r w:rsidRPr="0016639F">
              <w:rPr>
                <w:rFonts w:eastAsiaTheme="minorHAnsi" w:cstheme="minorBidi"/>
                <w:szCs w:val="24"/>
              </w:rPr>
              <w:t xml:space="preserve"> to Record Accounting Entries Associated with the Mechanisms</w:t>
            </w:r>
          </w:p>
          <w:p w:rsidR="005B0BEE" w:rsidRDefault="005B0BEE" w:rsidP="003C3A3F"/>
        </w:tc>
        <w:tc>
          <w:tcPr>
            <w:tcW w:w="270" w:type="dxa"/>
          </w:tcPr>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tc>
        <w:tc>
          <w:tcPr>
            <w:tcW w:w="4421" w:type="dxa"/>
          </w:tcPr>
          <w:p w:rsidR="00460FAB" w:rsidRDefault="00460FAB" w:rsidP="003C3A3F">
            <w:pPr>
              <w:ind w:right="183"/>
            </w:pPr>
          </w:p>
          <w:p w:rsidR="005B0BEE" w:rsidRDefault="005B0BEE" w:rsidP="003C3A3F">
            <w:pPr>
              <w:ind w:right="183"/>
            </w:pPr>
            <w:r>
              <w:t>DOCKET NOS. UE-</w:t>
            </w:r>
            <w:r w:rsidR="00715001">
              <w:t>121697</w:t>
            </w:r>
          </w:p>
          <w:p w:rsidR="005B0BEE" w:rsidRDefault="005B0BEE" w:rsidP="003C3A3F">
            <w:pPr>
              <w:ind w:right="183"/>
            </w:pPr>
            <w:r>
              <w:t>and UG-</w:t>
            </w:r>
            <w:r w:rsidR="00715001">
              <w:t>121705</w:t>
            </w:r>
            <w:r>
              <w:t xml:space="preserve"> (</w:t>
            </w:r>
            <w:r>
              <w:rPr>
                <w:i/>
              </w:rPr>
              <w:t>Consolidated)</w:t>
            </w:r>
          </w:p>
          <w:p w:rsidR="005B0BEE" w:rsidRDefault="005B0BEE" w:rsidP="003C3A3F">
            <w:pPr>
              <w:ind w:right="183"/>
            </w:pPr>
          </w:p>
          <w:p w:rsidR="005B0BEE" w:rsidRDefault="005B0BEE" w:rsidP="003C3A3F"/>
          <w:p w:rsidR="005B0BEE" w:rsidRDefault="005B0BEE" w:rsidP="003C3A3F"/>
        </w:tc>
      </w:tr>
      <w:tr w:rsidR="00F814F4" w:rsidTr="00460FAB">
        <w:tc>
          <w:tcPr>
            <w:tcW w:w="4672" w:type="dxa"/>
            <w:tcBorders>
              <w:top w:val="single" w:sz="4" w:space="0" w:color="auto"/>
              <w:bottom w:val="single" w:sz="4" w:space="0" w:color="auto"/>
            </w:tcBorders>
          </w:tcPr>
          <w:p w:rsidR="00F814F4" w:rsidRDefault="00F814F4" w:rsidP="009D4FB5">
            <w:pPr>
              <w:spacing w:line="240" w:lineRule="atLeast"/>
            </w:pPr>
            <w:r w:rsidRPr="00465779">
              <w:t>WASHINGTON UTILITIES AND TRANSPORTATION COMMISSION,</w:t>
            </w:r>
          </w:p>
          <w:p w:rsidR="009D4FB5" w:rsidRPr="00465779" w:rsidRDefault="009D4FB5" w:rsidP="009D4FB5">
            <w:pPr>
              <w:spacing w:line="240" w:lineRule="atLeast"/>
            </w:pPr>
          </w:p>
          <w:p w:rsidR="00F814F4" w:rsidRDefault="00A62942" w:rsidP="009D4FB5">
            <w:pPr>
              <w:spacing w:line="240" w:lineRule="atLeast"/>
            </w:pPr>
            <w:r>
              <w:tab/>
            </w:r>
            <w:r>
              <w:tab/>
            </w:r>
            <w:r w:rsidR="00F814F4" w:rsidRPr="00465779">
              <w:tab/>
              <w:t>Complainant,</w:t>
            </w:r>
          </w:p>
          <w:p w:rsidR="009D4FB5" w:rsidRPr="00465779" w:rsidRDefault="009D4FB5" w:rsidP="009D4FB5">
            <w:pPr>
              <w:spacing w:line="240" w:lineRule="atLeast"/>
            </w:pPr>
          </w:p>
          <w:p w:rsidR="00F814F4" w:rsidRDefault="00F814F4" w:rsidP="009D4FB5">
            <w:pPr>
              <w:spacing w:line="240" w:lineRule="atLeast"/>
              <w:ind w:left="1440"/>
            </w:pPr>
            <w:r w:rsidRPr="00465779">
              <w:t>v.</w:t>
            </w:r>
          </w:p>
          <w:p w:rsidR="009D4FB5" w:rsidRPr="00465779" w:rsidRDefault="009D4FB5" w:rsidP="009D4FB5"/>
          <w:p w:rsidR="00F814F4" w:rsidRDefault="00A62942" w:rsidP="009D4FB5">
            <w:pPr>
              <w:spacing w:line="240" w:lineRule="atLeast"/>
            </w:pPr>
            <w:r>
              <w:t>PUGET SOUND ENERGY, INC.,</w:t>
            </w:r>
          </w:p>
          <w:p w:rsidR="009D4FB5" w:rsidRDefault="009D4FB5" w:rsidP="009D4FB5">
            <w:pPr>
              <w:spacing w:line="240" w:lineRule="atLeast"/>
            </w:pPr>
          </w:p>
          <w:p w:rsidR="00F814F4" w:rsidRPr="0016639F" w:rsidRDefault="00A62942" w:rsidP="00F814F4">
            <w:pPr>
              <w:widowControl/>
              <w:rPr>
                <w:rFonts w:eastAsiaTheme="minorHAnsi" w:cstheme="minorBidi"/>
                <w:szCs w:val="24"/>
              </w:rPr>
            </w:pPr>
            <w:r>
              <w:tab/>
            </w:r>
            <w:r>
              <w:tab/>
            </w:r>
            <w:r w:rsidR="00F814F4" w:rsidRPr="00465779">
              <w:tab/>
              <w:t>Respondent.</w:t>
            </w:r>
          </w:p>
        </w:tc>
        <w:tc>
          <w:tcPr>
            <w:tcW w:w="270" w:type="dxa"/>
          </w:tcPr>
          <w:p w:rsidR="00F814F4"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p w:rsidR="00A62942" w:rsidRDefault="00A62942" w:rsidP="003C3A3F">
            <w:pPr>
              <w:pStyle w:val="SingleSpacing"/>
            </w:pPr>
            <w:r>
              <w:t>)</w:t>
            </w:r>
          </w:p>
        </w:tc>
        <w:tc>
          <w:tcPr>
            <w:tcW w:w="4421" w:type="dxa"/>
          </w:tcPr>
          <w:p w:rsidR="00460FAB" w:rsidRDefault="00460FAB" w:rsidP="00A62942"/>
          <w:p w:rsidR="009D4FB5" w:rsidRDefault="00A62942" w:rsidP="00A62942">
            <w:r w:rsidRPr="00465779">
              <w:t>DOCKET NOS. UE-130137</w:t>
            </w:r>
          </w:p>
          <w:p w:rsidR="00A62942" w:rsidRPr="00465779" w:rsidRDefault="00A62942" w:rsidP="00A62942">
            <w:r w:rsidRPr="00465779">
              <w:t xml:space="preserve">and UG-130138 </w:t>
            </w:r>
            <w:r w:rsidRPr="009D4FB5">
              <w:rPr>
                <w:i/>
              </w:rPr>
              <w:t>(Consolidated)</w:t>
            </w:r>
          </w:p>
          <w:p w:rsidR="00F814F4" w:rsidRDefault="00F814F4" w:rsidP="003C3A3F">
            <w:pPr>
              <w:ind w:right="183"/>
            </w:pPr>
          </w:p>
        </w:tc>
      </w:tr>
    </w:tbl>
    <w:p w:rsidR="005B0BEE" w:rsidRDefault="005B0BEE" w:rsidP="005B0BEE">
      <w:pPr>
        <w:pStyle w:val="BodyText"/>
      </w:pPr>
    </w:p>
    <w:p w:rsidR="003662C6" w:rsidRDefault="00D573EF" w:rsidP="00A62942">
      <w:pPr>
        <w:pStyle w:val="BodyText"/>
        <w:spacing w:line="240" w:lineRule="auto"/>
        <w:jc w:val="center"/>
      </w:pPr>
      <w:r w:rsidRPr="00E549CE">
        <w:t>REBUTTAL TESTIMONY</w:t>
      </w:r>
      <w:r w:rsidR="003662C6">
        <w:t xml:space="preserve"> </w:t>
      </w:r>
      <w:r w:rsidR="003662C6" w:rsidRPr="00050D85">
        <w:rPr>
          <w:i/>
        </w:rPr>
        <w:t>(NON-CONFIDENTIAL)</w:t>
      </w:r>
      <w:r w:rsidR="003662C6">
        <w:t xml:space="preserve"> OF</w:t>
      </w:r>
      <w:r w:rsidR="00A62942">
        <w:t xml:space="preserve"> </w:t>
      </w:r>
      <w:r w:rsidR="00715001">
        <w:t>NANCY HIRSH</w:t>
      </w:r>
    </w:p>
    <w:p w:rsidR="00A62942" w:rsidRDefault="00A62942" w:rsidP="00A62942">
      <w:pPr>
        <w:pStyle w:val="BodyText"/>
        <w:spacing w:line="240" w:lineRule="auto"/>
        <w:jc w:val="center"/>
      </w:pPr>
    </w:p>
    <w:p w:rsidR="003662C6" w:rsidRDefault="003662C6" w:rsidP="00A62942">
      <w:pPr>
        <w:pStyle w:val="BodyText"/>
        <w:spacing w:line="240" w:lineRule="auto"/>
        <w:jc w:val="center"/>
      </w:pPr>
      <w:r>
        <w:t>ON BEHALF OF NW ENERGY COALITION</w:t>
      </w:r>
    </w:p>
    <w:p w:rsidR="003662C6" w:rsidRDefault="003662C6" w:rsidP="00A62942"/>
    <w:p w:rsidR="00A62942" w:rsidRDefault="00A62942" w:rsidP="00A62942">
      <w:bookmarkStart w:id="0" w:name="_GoBack"/>
      <w:bookmarkEnd w:id="0"/>
    </w:p>
    <w:p w:rsidR="00A62942" w:rsidRDefault="00D573EF" w:rsidP="009D4FB5">
      <w:pPr>
        <w:pStyle w:val="BodyText"/>
        <w:spacing w:line="240" w:lineRule="auto"/>
        <w:jc w:val="center"/>
      </w:pPr>
      <w:r>
        <w:t>M</w:t>
      </w:r>
      <w:r w:rsidR="00A62942">
        <w:t>AY</w:t>
      </w:r>
      <w:r>
        <w:t xml:space="preserve"> 8</w:t>
      </w:r>
      <w:r w:rsidR="00715001">
        <w:t>, 2013</w:t>
      </w:r>
    </w:p>
    <w:p w:rsidR="003662C6" w:rsidRDefault="003662C6" w:rsidP="00A62942">
      <w:pPr>
        <w:sectPr w:rsidR="003662C6" w:rsidSect="00A62942">
          <w:pgSz w:w="12240" w:h="15840" w:code="1"/>
          <w:pgMar w:top="1440" w:right="1440" w:bottom="1440" w:left="1440" w:header="720" w:footer="432" w:gutter="0"/>
          <w:paperSrc w:first="275" w:other="275"/>
          <w:pgNumType w:start="1"/>
          <w:cols w:space="720"/>
        </w:sectPr>
      </w:pPr>
    </w:p>
    <w:p w:rsidR="00271024" w:rsidRDefault="00271024" w:rsidP="00271024">
      <w:pPr>
        <w:spacing w:line="480" w:lineRule="auto"/>
        <w:jc w:val="center"/>
      </w:pPr>
      <w:r>
        <w:lastRenderedPageBreak/>
        <w:t>TABLE OF CONTENTS</w:t>
      </w:r>
    </w:p>
    <w:p w:rsidR="00ED1B59" w:rsidRDefault="00ED1B59" w:rsidP="00ED1B59">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55716954" w:history="1">
        <w:r w:rsidRPr="009F7B2C">
          <w:rPr>
            <w:rStyle w:val="Hyperlink"/>
          </w:rPr>
          <w:t>I.</w:t>
        </w:r>
        <w:r>
          <w:rPr>
            <w:rFonts w:asciiTheme="minorHAnsi" w:eastAsiaTheme="minorEastAsia" w:hAnsiTheme="minorHAnsi" w:cstheme="minorBidi"/>
            <w:sz w:val="22"/>
            <w:szCs w:val="22"/>
          </w:rPr>
          <w:tab/>
        </w:r>
        <w:r w:rsidRPr="009F7B2C">
          <w:rPr>
            <w:rStyle w:val="Hyperlink"/>
          </w:rPr>
          <w:t>Introduction</w:t>
        </w:r>
        <w:r>
          <w:rPr>
            <w:webHidden/>
          </w:rPr>
          <w:tab/>
        </w:r>
        <w:r>
          <w:rPr>
            <w:webHidden/>
          </w:rPr>
          <w:fldChar w:fldCharType="begin"/>
        </w:r>
        <w:r>
          <w:rPr>
            <w:webHidden/>
          </w:rPr>
          <w:instrText xml:space="preserve"> PAGEREF _Toc355716954 \h </w:instrText>
        </w:r>
        <w:r>
          <w:rPr>
            <w:webHidden/>
          </w:rPr>
        </w:r>
        <w:r>
          <w:rPr>
            <w:webHidden/>
          </w:rPr>
          <w:fldChar w:fldCharType="separate"/>
        </w:r>
        <w:r w:rsidR="00253FFF">
          <w:rPr>
            <w:webHidden/>
          </w:rPr>
          <w:t>1</w:t>
        </w:r>
        <w:r>
          <w:rPr>
            <w:webHidden/>
          </w:rPr>
          <w:fldChar w:fldCharType="end"/>
        </w:r>
      </w:hyperlink>
    </w:p>
    <w:p w:rsidR="00ED1B59" w:rsidRDefault="00F814F4" w:rsidP="00ED1B59">
      <w:pPr>
        <w:pStyle w:val="TOC2"/>
        <w:rPr>
          <w:rFonts w:asciiTheme="minorHAnsi" w:eastAsiaTheme="minorEastAsia" w:hAnsiTheme="minorHAnsi" w:cstheme="minorBidi"/>
          <w:sz w:val="22"/>
          <w:szCs w:val="22"/>
        </w:rPr>
      </w:pPr>
      <w:hyperlink w:anchor="_Toc355716955" w:history="1">
        <w:r w:rsidR="00ED1B59" w:rsidRPr="009F7B2C">
          <w:rPr>
            <w:rStyle w:val="Hyperlink"/>
          </w:rPr>
          <w:t>II.</w:t>
        </w:r>
        <w:r w:rsidR="00ED1B59">
          <w:rPr>
            <w:rFonts w:asciiTheme="minorHAnsi" w:eastAsiaTheme="minorEastAsia" w:hAnsiTheme="minorHAnsi" w:cstheme="minorBidi"/>
            <w:sz w:val="22"/>
            <w:szCs w:val="22"/>
          </w:rPr>
          <w:tab/>
        </w:r>
        <w:r w:rsidR="00ED1B59" w:rsidRPr="009F7B2C">
          <w:rPr>
            <w:rStyle w:val="Hyperlink"/>
          </w:rPr>
          <w:t>Coalition Involvement in the Settlement Process</w:t>
        </w:r>
        <w:r w:rsidR="00ED1B59">
          <w:rPr>
            <w:webHidden/>
          </w:rPr>
          <w:tab/>
        </w:r>
        <w:r w:rsidR="00ED1B59">
          <w:rPr>
            <w:webHidden/>
          </w:rPr>
          <w:fldChar w:fldCharType="begin"/>
        </w:r>
        <w:r w:rsidR="00ED1B59">
          <w:rPr>
            <w:webHidden/>
          </w:rPr>
          <w:instrText xml:space="preserve"> PAGEREF _Toc355716955 \h </w:instrText>
        </w:r>
        <w:r w:rsidR="00ED1B59">
          <w:rPr>
            <w:webHidden/>
          </w:rPr>
        </w:r>
        <w:r w:rsidR="00ED1B59">
          <w:rPr>
            <w:webHidden/>
          </w:rPr>
          <w:fldChar w:fldCharType="separate"/>
        </w:r>
        <w:r w:rsidR="00253FFF">
          <w:rPr>
            <w:webHidden/>
          </w:rPr>
          <w:t>1</w:t>
        </w:r>
        <w:r w:rsidR="00ED1B59">
          <w:rPr>
            <w:webHidden/>
          </w:rPr>
          <w:fldChar w:fldCharType="end"/>
        </w:r>
      </w:hyperlink>
    </w:p>
    <w:p w:rsidR="00ED1B59" w:rsidRDefault="00F814F4" w:rsidP="00ED1B59">
      <w:pPr>
        <w:pStyle w:val="TOC2"/>
        <w:rPr>
          <w:rFonts w:asciiTheme="minorHAnsi" w:eastAsiaTheme="minorEastAsia" w:hAnsiTheme="minorHAnsi" w:cstheme="minorBidi"/>
          <w:sz w:val="22"/>
          <w:szCs w:val="22"/>
        </w:rPr>
      </w:pPr>
      <w:hyperlink w:anchor="_Toc355716956" w:history="1">
        <w:r w:rsidR="00ED1B59" w:rsidRPr="009F7B2C">
          <w:rPr>
            <w:rStyle w:val="Hyperlink"/>
          </w:rPr>
          <w:t>III.</w:t>
        </w:r>
        <w:r w:rsidR="00ED1B59">
          <w:rPr>
            <w:rFonts w:asciiTheme="minorHAnsi" w:eastAsiaTheme="minorEastAsia" w:hAnsiTheme="minorHAnsi" w:cstheme="minorBidi"/>
            <w:sz w:val="22"/>
            <w:szCs w:val="22"/>
          </w:rPr>
          <w:tab/>
        </w:r>
        <w:r w:rsidR="00ED1B59" w:rsidRPr="009F7B2C">
          <w:rPr>
            <w:rStyle w:val="Hyperlink"/>
          </w:rPr>
          <w:t>Multi-Party Settlement Warrants Support for PSE’s Low Income Customers</w:t>
        </w:r>
        <w:r w:rsidR="00ED1B59">
          <w:rPr>
            <w:webHidden/>
          </w:rPr>
          <w:tab/>
        </w:r>
        <w:r w:rsidR="00ED1B59">
          <w:rPr>
            <w:webHidden/>
          </w:rPr>
          <w:fldChar w:fldCharType="begin"/>
        </w:r>
        <w:r w:rsidR="00ED1B59">
          <w:rPr>
            <w:webHidden/>
          </w:rPr>
          <w:instrText xml:space="preserve"> PAGEREF _Toc355716956 \h </w:instrText>
        </w:r>
        <w:r w:rsidR="00ED1B59">
          <w:rPr>
            <w:webHidden/>
          </w:rPr>
        </w:r>
        <w:r w:rsidR="00ED1B59">
          <w:rPr>
            <w:webHidden/>
          </w:rPr>
          <w:fldChar w:fldCharType="separate"/>
        </w:r>
        <w:r w:rsidR="00253FFF">
          <w:rPr>
            <w:webHidden/>
          </w:rPr>
          <w:t>2</w:t>
        </w:r>
        <w:r w:rsidR="00ED1B59">
          <w:rPr>
            <w:webHidden/>
          </w:rPr>
          <w:fldChar w:fldCharType="end"/>
        </w:r>
      </w:hyperlink>
    </w:p>
    <w:p w:rsidR="00ED1B59" w:rsidRDefault="00F814F4" w:rsidP="00ED1B59">
      <w:pPr>
        <w:pStyle w:val="TOC2"/>
        <w:rPr>
          <w:rFonts w:asciiTheme="minorHAnsi" w:eastAsiaTheme="minorEastAsia" w:hAnsiTheme="minorHAnsi" w:cstheme="minorBidi"/>
          <w:sz w:val="22"/>
          <w:szCs w:val="22"/>
        </w:rPr>
      </w:pPr>
      <w:hyperlink w:anchor="_Toc355716957" w:history="1">
        <w:r w:rsidR="00ED1B59" w:rsidRPr="009F7B2C">
          <w:rPr>
            <w:rStyle w:val="Hyperlink"/>
            <w:lang w:eastAsia="ja-JP"/>
          </w:rPr>
          <w:t>IV.</w:t>
        </w:r>
        <w:r w:rsidR="00ED1B59">
          <w:rPr>
            <w:rFonts w:asciiTheme="minorHAnsi" w:eastAsiaTheme="minorEastAsia" w:hAnsiTheme="minorHAnsi" w:cstheme="minorBidi"/>
            <w:sz w:val="22"/>
            <w:szCs w:val="22"/>
          </w:rPr>
          <w:tab/>
        </w:r>
        <w:r w:rsidR="00ED1B59" w:rsidRPr="009F7B2C">
          <w:rPr>
            <w:rStyle w:val="Hyperlink"/>
            <w:lang w:eastAsia="ja-JP"/>
          </w:rPr>
          <w:t>Merits of a Consolidated Settlement</w:t>
        </w:r>
        <w:r w:rsidR="00ED1B59">
          <w:rPr>
            <w:webHidden/>
          </w:rPr>
          <w:tab/>
        </w:r>
        <w:r w:rsidR="00ED1B59">
          <w:rPr>
            <w:webHidden/>
          </w:rPr>
          <w:fldChar w:fldCharType="begin"/>
        </w:r>
        <w:r w:rsidR="00ED1B59">
          <w:rPr>
            <w:webHidden/>
          </w:rPr>
          <w:instrText xml:space="preserve"> PAGEREF _Toc355716957 \h </w:instrText>
        </w:r>
        <w:r w:rsidR="00ED1B59">
          <w:rPr>
            <w:webHidden/>
          </w:rPr>
        </w:r>
        <w:r w:rsidR="00ED1B59">
          <w:rPr>
            <w:webHidden/>
          </w:rPr>
          <w:fldChar w:fldCharType="separate"/>
        </w:r>
        <w:r w:rsidR="00253FFF">
          <w:rPr>
            <w:webHidden/>
          </w:rPr>
          <w:t>3</w:t>
        </w:r>
        <w:r w:rsidR="00ED1B59">
          <w:rPr>
            <w:webHidden/>
          </w:rPr>
          <w:fldChar w:fldCharType="end"/>
        </w:r>
      </w:hyperlink>
    </w:p>
    <w:p w:rsidR="00271024" w:rsidRDefault="00ED1B59" w:rsidP="00271024">
      <w:pPr>
        <w:spacing w:line="480" w:lineRule="auto"/>
      </w:pPr>
      <w:r>
        <w:fldChar w:fldCharType="end"/>
      </w:r>
    </w:p>
    <w:p w:rsidR="00271024" w:rsidRDefault="00271024" w:rsidP="00271024">
      <w:pPr>
        <w:spacing w:line="480" w:lineRule="auto"/>
      </w:pPr>
    </w:p>
    <w:p w:rsidR="00271024" w:rsidRDefault="00271024" w:rsidP="00271024">
      <w:pPr>
        <w:spacing w:line="480" w:lineRule="auto"/>
        <w:sectPr w:rsidR="00271024" w:rsidSect="00A62942">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271024" w:rsidRDefault="00271024" w:rsidP="000C53CE">
      <w:pPr>
        <w:pStyle w:val="Heading2"/>
      </w:pPr>
      <w:bookmarkStart w:id="1" w:name="_Toc355716954"/>
      <w:r>
        <w:lastRenderedPageBreak/>
        <w:t>Introduction</w:t>
      </w:r>
      <w:bookmarkEnd w:id="1"/>
    </w:p>
    <w:p w:rsidR="00271024" w:rsidRPr="00271024" w:rsidRDefault="00271024" w:rsidP="00271024">
      <w:pPr>
        <w:pStyle w:val="BodyText"/>
        <w:rPr>
          <w:b/>
        </w:rPr>
      </w:pPr>
      <w:r>
        <w:tab/>
      </w:r>
      <w:r w:rsidRPr="00271024">
        <w:rPr>
          <w:b/>
        </w:rPr>
        <w:t>Q.</w:t>
      </w:r>
      <w:r w:rsidRPr="00271024">
        <w:rPr>
          <w:b/>
        </w:rPr>
        <w:tab/>
        <w:t>Are you the same Nancy Hirsh who provided Direct Testimony, Exhibit No. _</w:t>
      </w:r>
      <w:r>
        <w:rPr>
          <w:b/>
        </w:rPr>
        <w:t>_</w:t>
      </w:r>
      <w:r w:rsidRPr="00271024">
        <w:rPr>
          <w:b/>
        </w:rPr>
        <w:t>__</w:t>
      </w:r>
      <w:r>
        <w:rPr>
          <w:b/>
        </w:rPr>
        <w:t xml:space="preserve"> </w:t>
      </w:r>
      <w:r w:rsidRPr="00271024">
        <w:rPr>
          <w:b/>
        </w:rPr>
        <w:t>(NH-1T), on March 27, 2013, on behalf of the NW Energy Coalition (“Coalition”)?</w:t>
      </w:r>
    </w:p>
    <w:p w:rsidR="00271024" w:rsidRDefault="00271024" w:rsidP="00271024">
      <w:pPr>
        <w:pStyle w:val="BodyText"/>
      </w:pPr>
      <w:r>
        <w:tab/>
        <w:t>A.</w:t>
      </w:r>
      <w:r>
        <w:tab/>
        <w:t>Yes I am.</w:t>
      </w:r>
    </w:p>
    <w:p w:rsidR="00271024" w:rsidRPr="00271024" w:rsidRDefault="00271024" w:rsidP="00271024">
      <w:pPr>
        <w:pStyle w:val="BodyText"/>
        <w:rPr>
          <w:b/>
        </w:rPr>
      </w:pPr>
      <w:r>
        <w:tab/>
      </w:r>
      <w:r w:rsidRPr="00271024">
        <w:rPr>
          <w:b/>
        </w:rPr>
        <w:t>Q.</w:t>
      </w:r>
      <w:r w:rsidRPr="00271024">
        <w:rPr>
          <w:b/>
        </w:rPr>
        <w:tab/>
        <w:t>What is the purpose of this rebuttal testimony?</w:t>
      </w:r>
    </w:p>
    <w:p w:rsidR="00271024" w:rsidRDefault="00271024" w:rsidP="00271024">
      <w:pPr>
        <w:pStyle w:val="BodyText"/>
      </w:pPr>
      <w:r>
        <w:tab/>
        <w:t>A.</w:t>
      </w:r>
      <w:r>
        <w:tab/>
        <w:t>I respond to assertions that the Coalition was involved in early settlement talks, the importance of additional funding for low income customers and the benefits of a consolidated settlement that includes all five dockets: UE-121697 and UG-121705 (</w:t>
      </w:r>
      <w:r>
        <w:rPr>
          <w:i/>
        </w:rPr>
        <w:t>decoupling</w:t>
      </w:r>
      <w:r>
        <w:t>), UE-130137 and UG-130138 (</w:t>
      </w:r>
      <w:r>
        <w:rPr>
          <w:i/>
        </w:rPr>
        <w:t>expedited rate filing or “ERF”</w:t>
      </w:r>
      <w:r>
        <w:t>), and UE-121373 (</w:t>
      </w:r>
      <w:r>
        <w:rPr>
          <w:i/>
        </w:rPr>
        <w:t>coal transition power purchase</w:t>
      </w:r>
      <w:r>
        <w:t>).</w:t>
      </w:r>
    </w:p>
    <w:p w:rsidR="00271024" w:rsidRDefault="00271024" w:rsidP="000C53CE">
      <w:pPr>
        <w:pStyle w:val="Heading2"/>
      </w:pPr>
      <w:bookmarkStart w:id="2" w:name="_Toc355716955"/>
      <w:r>
        <w:t>Coalition Involvement in the Settlement Process</w:t>
      </w:r>
      <w:bookmarkEnd w:id="2"/>
    </w:p>
    <w:p w:rsidR="00271024" w:rsidRPr="003E1357" w:rsidRDefault="003E1357" w:rsidP="003E1357">
      <w:pPr>
        <w:pStyle w:val="BodyText"/>
        <w:rPr>
          <w:b/>
        </w:rPr>
      </w:pPr>
      <w:r>
        <w:tab/>
      </w:r>
      <w:r w:rsidR="00271024" w:rsidRPr="003E1357">
        <w:rPr>
          <w:b/>
        </w:rPr>
        <w:t>Q.</w:t>
      </w:r>
      <w:r w:rsidR="00271024" w:rsidRPr="003E1357">
        <w:rPr>
          <w:b/>
        </w:rPr>
        <w:tab/>
        <w:t>Do you agree with Mr. Deen in his characterization that the Coalition was a part of the global settlement talks that excluded other stakeholders (Exhibit No.__</w:t>
      </w:r>
      <w:r>
        <w:rPr>
          <w:b/>
        </w:rPr>
        <w:t xml:space="preserve">_ </w:t>
      </w:r>
      <w:r w:rsidR="00271024" w:rsidRPr="003E1357">
        <w:rPr>
          <w:b/>
        </w:rPr>
        <w:t>(MCD-1T), page 13)?</w:t>
      </w:r>
    </w:p>
    <w:p w:rsidR="00271024" w:rsidRDefault="003E1357" w:rsidP="003E1357">
      <w:pPr>
        <w:pStyle w:val="BodyText"/>
      </w:pPr>
      <w:r>
        <w:tab/>
      </w:r>
      <w:r w:rsidR="00271024">
        <w:t>A.</w:t>
      </w:r>
      <w:r w:rsidR="00271024">
        <w:tab/>
        <w:t xml:space="preserve">No. </w:t>
      </w:r>
      <w:r>
        <w:t xml:space="preserve"> </w:t>
      </w:r>
      <w:r w:rsidR="00271024">
        <w:t xml:space="preserve">The Coalition was not a part of the initial settlement discussions between Utilities and Transportation Commission Staff (“UTC Staff”) and Puget Sound Energy (“PSE”).  </w:t>
      </w:r>
      <w:r w:rsidR="00271024">
        <w:rPr>
          <w:lang w:eastAsia="ja-JP"/>
        </w:rPr>
        <w:t xml:space="preserve">In </w:t>
      </w:r>
      <w:r>
        <w:rPr>
          <w:lang w:eastAsia="ja-JP"/>
        </w:rPr>
        <w:t>our response to Public Counsel Data R</w:t>
      </w:r>
      <w:r w:rsidR="00271024">
        <w:rPr>
          <w:lang w:eastAsia="ja-JP"/>
        </w:rPr>
        <w:t>equest No. 2 in Docket No. UE-121373, I explained our role in the settlement process.  I will restate it here:</w:t>
      </w:r>
    </w:p>
    <w:p w:rsidR="00271024" w:rsidRDefault="00271024" w:rsidP="003E1357">
      <w:pPr>
        <w:pStyle w:val="BodyTextIndent"/>
        <w:rPr>
          <w:lang w:eastAsia="ja-JP"/>
        </w:rPr>
      </w:pPr>
      <w:r>
        <w:rPr>
          <w:lang w:eastAsia="ja-JP"/>
        </w:rPr>
        <w:t>“NWEC was not involved in any discussions related to any of the settlement of the Centralia PPA case subsequent to the issuance of Order 03 and prior to the March 18</w:t>
      </w:r>
      <w:r w:rsidR="003E1357">
        <w:rPr>
          <w:lang w:eastAsia="ja-JP"/>
        </w:rPr>
        <w:t>th</w:t>
      </w:r>
      <w:r>
        <w:rPr>
          <w:lang w:eastAsia="ja-JP"/>
        </w:rPr>
        <w:t xml:space="preserve"> all party talks. </w:t>
      </w:r>
      <w:r w:rsidR="003E1357">
        <w:rPr>
          <w:lang w:eastAsia="ja-JP"/>
        </w:rPr>
        <w:t xml:space="preserve"> </w:t>
      </w:r>
      <w:r>
        <w:rPr>
          <w:lang w:eastAsia="ja-JP"/>
        </w:rPr>
        <w:t>NWEC did not participate in the “global settlement” discussions on any of the components of the settlement but continued to work with PSE on refining our joint</w:t>
      </w:r>
      <w:r w:rsidR="003E1357">
        <w:rPr>
          <w:lang w:eastAsia="ja-JP"/>
        </w:rPr>
        <w:t xml:space="preserve"> </w:t>
      </w:r>
      <w:r>
        <w:rPr>
          <w:lang w:eastAsia="ja-JP"/>
        </w:rPr>
        <w:t xml:space="preserve">decoupling proposal, the amended decoupling proposal was filed March 1, 2013. </w:t>
      </w:r>
      <w:r w:rsidR="003E1357">
        <w:rPr>
          <w:lang w:eastAsia="ja-JP"/>
        </w:rPr>
        <w:t xml:space="preserve"> </w:t>
      </w:r>
      <w:r>
        <w:rPr>
          <w:lang w:eastAsia="ja-JP"/>
        </w:rPr>
        <w:t xml:space="preserve">NWEC never joined discussions with PSE and UTC Staff until the all party talks beginning on March 18, 2013. </w:t>
      </w:r>
      <w:r w:rsidR="003E1357">
        <w:rPr>
          <w:lang w:eastAsia="ja-JP"/>
        </w:rPr>
        <w:t xml:space="preserve"> </w:t>
      </w:r>
      <w:r>
        <w:rPr>
          <w:lang w:eastAsia="ja-JP"/>
        </w:rPr>
        <w:t xml:space="preserve">We were told of the possible “global settlement” via phone in mid February but had no opportunity </w:t>
      </w:r>
      <w:r>
        <w:rPr>
          <w:lang w:eastAsia="ja-JP"/>
        </w:rPr>
        <w:lastRenderedPageBreak/>
        <w:t xml:space="preserve">to participate in negotiations prior to March 18th. </w:t>
      </w:r>
      <w:r w:rsidR="003E1357">
        <w:rPr>
          <w:lang w:eastAsia="ja-JP"/>
        </w:rPr>
        <w:t xml:space="preserve"> </w:t>
      </w:r>
      <w:r>
        <w:rPr>
          <w:lang w:eastAsia="ja-JP"/>
        </w:rPr>
        <w:t>Following the March 18th all party talks, the Coalition decided to join the settlement.”</w:t>
      </w:r>
    </w:p>
    <w:p w:rsidR="00271024" w:rsidRDefault="00271024" w:rsidP="00567040">
      <w:pPr>
        <w:pStyle w:val="BodyText"/>
      </w:pPr>
      <w:r>
        <w:t>Following the March 18</w:t>
      </w:r>
      <w:r w:rsidR="003E1357">
        <w:t>th</w:t>
      </w:r>
      <w:r>
        <w:t xml:space="preserve"> stakeholder meeting and review of the proposed settlement documents, the Coalition made the determination that we could support the decoupling provisions and the language regarding the TransAlta power purchase agreement (“PPA”) and the affidavit filed by Roger Garratt in Docket No. UE-121373.</w:t>
      </w:r>
    </w:p>
    <w:p w:rsidR="00271024" w:rsidRDefault="00271024" w:rsidP="000C53CE">
      <w:pPr>
        <w:pStyle w:val="Heading2"/>
      </w:pPr>
      <w:bookmarkStart w:id="3" w:name="_Toc355716956"/>
      <w:r>
        <w:t>Multi-Party Settlement Warrants Support for PSE’s Low Income Customers</w:t>
      </w:r>
      <w:bookmarkEnd w:id="3"/>
    </w:p>
    <w:p w:rsidR="00271024" w:rsidRPr="003E1357" w:rsidRDefault="003E1357" w:rsidP="003E1357">
      <w:pPr>
        <w:pStyle w:val="BodyText"/>
        <w:rPr>
          <w:b/>
          <w:lang w:eastAsia="ja-JP"/>
        </w:rPr>
      </w:pPr>
      <w:r>
        <w:rPr>
          <w:lang w:eastAsia="ja-JP"/>
        </w:rPr>
        <w:tab/>
      </w:r>
      <w:r w:rsidR="00271024" w:rsidRPr="003E1357">
        <w:rPr>
          <w:b/>
          <w:lang w:eastAsia="ja-JP"/>
        </w:rPr>
        <w:t>Q.</w:t>
      </w:r>
      <w:r w:rsidR="00271024" w:rsidRPr="003E1357">
        <w:rPr>
          <w:b/>
          <w:lang w:eastAsia="ja-JP"/>
        </w:rPr>
        <w:tab/>
        <w:t>Do you agree with Mr. Eberdt’s statement that PSE’s low income customers could face approximately $30 million increase in rates via the Multi-Party Settlement (Exhibit No.__</w:t>
      </w:r>
      <w:r>
        <w:rPr>
          <w:b/>
          <w:lang w:eastAsia="ja-JP"/>
        </w:rPr>
        <w:t xml:space="preserve">_ </w:t>
      </w:r>
      <w:r w:rsidR="00271024" w:rsidRPr="003E1357">
        <w:rPr>
          <w:b/>
          <w:lang w:eastAsia="ja-JP"/>
        </w:rPr>
        <w:t>(CME-1T), page 2)?</w:t>
      </w:r>
    </w:p>
    <w:p w:rsidR="00271024" w:rsidRDefault="00567040" w:rsidP="00567040">
      <w:pPr>
        <w:pStyle w:val="BodyText"/>
        <w:rPr>
          <w:lang w:eastAsia="ja-JP"/>
        </w:rPr>
      </w:pPr>
      <w:r>
        <w:rPr>
          <w:lang w:eastAsia="ja-JP"/>
        </w:rPr>
        <w:tab/>
      </w:r>
      <w:r w:rsidR="00271024">
        <w:rPr>
          <w:lang w:eastAsia="ja-JP"/>
        </w:rPr>
        <w:t>A.</w:t>
      </w:r>
      <w:r w:rsidR="00271024">
        <w:rPr>
          <w:lang w:eastAsia="ja-JP"/>
        </w:rPr>
        <w:tab/>
        <w:t>Although it is challenging to calculate the exact amount, I agree that there will be an impact on low income customers.  For this reason, the Coalition supports the two provisions in the Multi-Party Settlement to increase funds for PSE’s Home Energy Lifeline Program (“HELP”).  Both the 1.7% increase in HELP related to the ERF and the percentage increase in HELP that matches the decoupling deferral percentage increase contribute additional funds to help low-incom</w:t>
      </w:r>
      <w:r>
        <w:rPr>
          <w:lang w:eastAsia="ja-JP"/>
        </w:rPr>
        <w:t>e customers manage their bills.</w:t>
      </w:r>
    </w:p>
    <w:p w:rsidR="00271024" w:rsidRPr="00567040" w:rsidRDefault="00567040" w:rsidP="00567040">
      <w:pPr>
        <w:pStyle w:val="BodyText"/>
        <w:rPr>
          <w:b/>
          <w:lang w:eastAsia="ja-JP"/>
        </w:rPr>
      </w:pPr>
      <w:r>
        <w:rPr>
          <w:lang w:eastAsia="ja-JP"/>
        </w:rPr>
        <w:tab/>
      </w:r>
      <w:r w:rsidRPr="00567040">
        <w:rPr>
          <w:b/>
          <w:lang w:eastAsia="ja-JP"/>
        </w:rPr>
        <w:t>Q.</w:t>
      </w:r>
      <w:r w:rsidR="00271024" w:rsidRPr="00567040">
        <w:rPr>
          <w:b/>
          <w:lang w:eastAsia="ja-JP"/>
        </w:rPr>
        <w:tab/>
        <w:t>Are those increases sufficient to address Mr. Eberdt’s concerns (Exhibit No.__</w:t>
      </w:r>
      <w:r w:rsidRPr="00567040">
        <w:rPr>
          <w:b/>
          <w:lang w:eastAsia="ja-JP"/>
        </w:rPr>
        <w:t xml:space="preserve">_ </w:t>
      </w:r>
      <w:r w:rsidR="00271024" w:rsidRPr="00567040">
        <w:rPr>
          <w:b/>
          <w:lang w:eastAsia="ja-JP"/>
        </w:rPr>
        <w:t>(CME-1T))?</w:t>
      </w:r>
    </w:p>
    <w:p w:rsidR="00271024" w:rsidRDefault="00567040" w:rsidP="00567040">
      <w:pPr>
        <w:pStyle w:val="BodyText"/>
        <w:rPr>
          <w:lang w:eastAsia="ja-JP"/>
        </w:rPr>
      </w:pPr>
      <w:r>
        <w:rPr>
          <w:lang w:eastAsia="ja-JP"/>
        </w:rPr>
        <w:tab/>
      </w:r>
      <w:r w:rsidR="00271024">
        <w:rPr>
          <w:lang w:eastAsia="ja-JP"/>
        </w:rPr>
        <w:t>A.</w:t>
      </w:r>
      <w:r w:rsidR="00271024">
        <w:rPr>
          <w:lang w:eastAsia="ja-JP"/>
        </w:rPr>
        <w:tab/>
        <w:t>No.  Mr. Eberdt makes a compelling case for additional funding and the Coalition supports the additional annual increase of $1.5 million for the HELP program beyond what is included in the original Multi-Party Settlement as now stated in The Energy Project Joinder.</w:t>
      </w:r>
      <w:r w:rsidR="00271024">
        <w:rPr>
          <w:rStyle w:val="FootnoteReference"/>
          <w:lang w:eastAsia="ja-JP"/>
        </w:rPr>
        <w:footnoteReference w:id="1"/>
      </w:r>
      <w:r w:rsidR="00271024">
        <w:rPr>
          <w:lang w:eastAsia="ja-JP"/>
        </w:rPr>
        <w:t xml:space="preserve">  These additional funds will help enable low-income customers to better handle any rate increases </w:t>
      </w:r>
      <w:r w:rsidR="00271024">
        <w:rPr>
          <w:lang w:eastAsia="ja-JP"/>
        </w:rPr>
        <w:lastRenderedPageBreak/>
        <w:t>th</w:t>
      </w:r>
      <w:r>
        <w:rPr>
          <w:lang w:eastAsia="ja-JP"/>
        </w:rPr>
        <w:t>at result from this Settlement.</w:t>
      </w:r>
    </w:p>
    <w:p w:rsidR="00271024" w:rsidRPr="0084403A" w:rsidRDefault="00FF718F" w:rsidP="00FF718F">
      <w:pPr>
        <w:pStyle w:val="BodyText"/>
        <w:rPr>
          <w:b/>
          <w:lang w:eastAsia="ja-JP"/>
        </w:rPr>
      </w:pPr>
      <w:r>
        <w:rPr>
          <w:lang w:eastAsia="ja-JP"/>
        </w:rPr>
        <w:tab/>
      </w:r>
      <w:r w:rsidR="00271024" w:rsidRPr="0084403A">
        <w:rPr>
          <w:b/>
          <w:lang w:eastAsia="ja-JP"/>
        </w:rPr>
        <w:t>Q.</w:t>
      </w:r>
      <w:r w:rsidR="00271024" w:rsidRPr="0084403A">
        <w:rPr>
          <w:b/>
          <w:lang w:eastAsia="ja-JP"/>
        </w:rPr>
        <w:tab/>
        <w:t>Do you have an opinion of Mr. Eberdt’s request for additional energy efficiency funding (Exhibit No.__</w:t>
      </w:r>
      <w:r w:rsidR="0084403A" w:rsidRPr="0084403A">
        <w:rPr>
          <w:b/>
          <w:lang w:eastAsia="ja-JP"/>
        </w:rPr>
        <w:t>_ (CME-1T), page 6)?</w:t>
      </w:r>
    </w:p>
    <w:p w:rsidR="00271024" w:rsidRDefault="0084403A" w:rsidP="0084403A">
      <w:pPr>
        <w:pStyle w:val="BodyText"/>
        <w:rPr>
          <w:lang w:eastAsia="ja-JP"/>
        </w:rPr>
      </w:pPr>
      <w:r>
        <w:rPr>
          <w:lang w:eastAsia="ja-JP"/>
        </w:rPr>
        <w:tab/>
      </w:r>
      <w:r w:rsidR="00271024">
        <w:rPr>
          <w:lang w:eastAsia="ja-JP"/>
        </w:rPr>
        <w:t>A.</w:t>
      </w:r>
      <w:r w:rsidR="00271024">
        <w:rPr>
          <w:lang w:eastAsia="ja-JP"/>
        </w:rPr>
        <w:tab/>
        <w:t>The Coalition worked hard to secure the additional $500,000 for low income energy efficiency in the Multi-Party Settlement and we understand the need for flexible funds that can be used for home repair.  No sense adding insulation to an attic that has a hole in the roof.  The Coalition supports The Energy Project’s Joinder to the Multi-Party Settlement that includes a commitment from PSE for an additional $100,000 in shareholder funds for low-income energy efficiency.</w:t>
      </w:r>
      <w:r w:rsidR="00271024">
        <w:rPr>
          <w:rStyle w:val="FootnoteReference"/>
          <w:lang w:eastAsia="ja-JP"/>
        </w:rPr>
        <w:footnoteReference w:id="2"/>
      </w:r>
    </w:p>
    <w:p w:rsidR="00271024" w:rsidRDefault="00271024" w:rsidP="000C53CE">
      <w:pPr>
        <w:pStyle w:val="Heading2"/>
        <w:rPr>
          <w:lang w:eastAsia="ja-JP"/>
        </w:rPr>
      </w:pPr>
      <w:bookmarkStart w:id="4" w:name="_Toc355716957"/>
      <w:r>
        <w:rPr>
          <w:lang w:eastAsia="ja-JP"/>
        </w:rPr>
        <w:t>Merits of a Consolidated Settlement</w:t>
      </w:r>
      <w:bookmarkEnd w:id="4"/>
    </w:p>
    <w:p w:rsidR="00271024" w:rsidRPr="0084403A" w:rsidRDefault="0084403A" w:rsidP="0084403A">
      <w:pPr>
        <w:pStyle w:val="BodyText"/>
        <w:rPr>
          <w:b/>
        </w:rPr>
      </w:pPr>
      <w:r>
        <w:tab/>
      </w:r>
      <w:r w:rsidR="00271024" w:rsidRPr="0084403A">
        <w:rPr>
          <w:b/>
        </w:rPr>
        <w:t>Q.</w:t>
      </w:r>
      <w:r w:rsidR="00271024" w:rsidRPr="0084403A">
        <w:rPr>
          <w:b/>
        </w:rPr>
        <w:tab/>
        <w:t>Mr. Deen appears skeptical about the benefits of combining the five dockets into one global settlement (Exhibit No. __</w:t>
      </w:r>
      <w:r w:rsidRPr="0084403A">
        <w:rPr>
          <w:b/>
        </w:rPr>
        <w:t xml:space="preserve">_ </w:t>
      </w:r>
      <w:r w:rsidR="00271024" w:rsidRPr="0084403A">
        <w:rPr>
          <w:b/>
        </w:rPr>
        <w:t xml:space="preserve">(MCD-1T), page 14-16). </w:t>
      </w:r>
      <w:r w:rsidRPr="0084403A">
        <w:rPr>
          <w:b/>
        </w:rPr>
        <w:t xml:space="preserve"> </w:t>
      </w:r>
      <w:r w:rsidR="00271024" w:rsidRPr="0084403A">
        <w:rPr>
          <w:b/>
        </w:rPr>
        <w:t>Do you agree that these dockets are unrelated?</w:t>
      </w:r>
    </w:p>
    <w:p w:rsidR="00271024" w:rsidRDefault="0084403A" w:rsidP="0084403A">
      <w:pPr>
        <w:pStyle w:val="BodyText"/>
      </w:pPr>
      <w:r>
        <w:tab/>
      </w:r>
      <w:r w:rsidR="00271024">
        <w:t>A.</w:t>
      </w:r>
      <w:r w:rsidR="00271024">
        <w:tab/>
        <w:t>No.  On numerous occasions throughout the past year, during workshops regarding the Coalition/PSE decoupling proposal, informal meetings exploring ERF or attrition strategies and during the PSE-TransAlta PPA proceeding (Docket No. 121373), various stakeholders have raised concerns that there are too many issues and dockets in discussion at once that all impact PSE’s revenue and rates for customers.  The need to consider all the impacts in one place was an important rationale for the Coalition to support a settlement th</w:t>
      </w:r>
      <w:r>
        <w:t>at addressed all five dockets.</w:t>
      </w:r>
    </w:p>
    <w:p w:rsidR="00271024" w:rsidRPr="0084403A" w:rsidRDefault="0084403A" w:rsidP="0084403A">
      <w:pPr>
        <w:pStyle w:val="BodyText"/>
        <w:rPr>
          <w:b/>
        </w:rPr>
      </w:pPr>
      <w:r>
        <w:tab/>
      </w:r>
      <w:r w:rsidRPr="0084403A">
        <w:rPr>
          <w:b/>
        </w:rPr>
        <w:t>Q.</w:t>
      </w:r>
      <w:r w:rsidR="00271024" w:rsidRPr="0084403A">
        <w:rPr>
          <w:b/>
        </w:rPr>
        <w:tab/>
        <w:t>Does this conclude your rebuttal testimony?</w:t>
      </w:r>
    </w:p>
    <w:p w:rsidR="003662C6" w:rsidRPr="00566865" w:rsidRDefault="0084403A" w:rsidP="00050D85">
      <w:pPr>
        <w:pStyle w:val="BodyText"/>
      </w:pPr>
      <w:r>
        <w:tab/>
        <w:t>A.</w:t>
      </w:r>
      <w:r>
        <w:tab/>
        <w:t>Yes.  Thank you.</w:t>
      </w:r>
    </w:p>
    <w:sectPr w:rsidR="003662C6" w:rsidRPr="00566865" w:rsidSect="00A62942">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B5" w:rsidRDefault="009D4FB5">
      <w:r>
        <w:separator/>
      </w:r>
    </w:p>
  </w:endnote>
  <w:endnote w:type="continuationSeparator" w:id="0">
    <w:p w:rsidR="009D4FB5" w:rsidRDefault="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B5" w:rsidRPr="003662C6" w:rsidRDefault="009D4FB5" w:rsidP="00050D85">
    <w:pPr>
      <w:pStyle w:val="Footer"/>
      <w:tabs>
        <w:tab w:val="clear" w:pos="8640"/>
        <w:tab w:val="right" w:pos="9360"/>
      </w:tabs>
      <w:rPr>
        <w:sz w:val="22"/>
        <w:szCs w:val="22"/>
      </w:rPr>
    </w:pPr>
    <w:r w:rsidRPr="00E549CE">
      <w:rPr>
        <w:sz w:val="22"/>
        <w:szCs w:val="22"/>
      </w:rPr>
      <w:t>Rebuttal T</w:t>
    </w:r>
    <w:r w:rsidRPr="003662C6">
      <w:rPr>
        <w:sz w:val="22"/>
        <w:szCs w:val="22"/>
      </w:rPr>
      <w:t xml:space="preserve">estimony of </w:t>
    </w:r>
    <w:r>
      <w:rPr>
        <w:sz w:val="22"/>
        <w:szCs w:val="22"/>
      </w:rPr>
      <w:t>Nancy Hirsh</w:t>
    </w:r>
    <w:r w:rsidRPr="003662C6">
      <w:rPr>
        <w:sz w:val="22"/>
        <w:szCs w:val="22"/>
      </w:rPr>
      <w:tab/>
    </w:r>
    <w:r>
      <w:rPr>
        <w:sz w:val="22"/>
        <w:szCs w:val="22"/>
      </w:rPr>
      <w:tab/>
      <w:t>Exhibit No. ______ (NH-2T)</w:t>
    </w:r>
  </w:p>
  <w:p w:rsidR="009D4FB5" w:rsidRPr="003662C6" w:rsidRDefault="009D4FB5" w:rsidP="00050D85">
    <w:pPr>
      <w:pStyle w:val="Footer"/>
      <w:tabs>
        <w:tab w:val="clear" w:pos="8640"/>
        <w:tab w:val="right" w:pos="936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253FFF">
      <w:rPr>
        <w:noProof/>
        <w:sz w:val="22"/>
        <w:szCs w:val="22"/>
      </w:rPr>
      <w:t>1</w:t>
    </w:r>
    <w:r w:rsidRPr="003662C6">
      <w:rPr>
        <w:noProof/>
        <w:sz w:val="22"/>
        <w:szCs w:val="22"/>
      </w:rPr>
      <w:fldChar w:fldCharType="end"/>
    </w:r>
  </w:p>
  <w:p w:rsidR="009D4FB5" w:rsidRPr="003662C6" w:rsidRDefault="009D4FB5">
    <w:pPr>
      <w:pStyle w:val="Footer"/>
      <w:rPr>
        <w:sz w:val="22"/>
        <w:szCs w:val="22"/>
      </w:rPr>
    </w:pPr>
    <w:r w:rsidRPr="003662C6">
      <w:rPr>
        <w:sz w:val="22"/>
        <w:szCs w:val="22"/>
      </w:rPr>
      <w:t>Docket No</w:t>
    </w:r>
    <w:r>
      <w:rPr>
        <w:sz w:val="22"/>
        <w:szCs w:val="22"/>
      </w:rPr>
      <w:t>s</w:t>
    </w:r>
    <w:r w:rsidRPr="003662C6">
      <w:rPr>
        <w:sz w:val="22"/>
        <w:szCs w:val="22"/>
      </w:rPr>
      <w:t>. UE-</w:t>
    </w:r>
    <w:r>
      <w:rPr>
        <w:sz w:val="22"/>
        <w:szCs w:val="22"/>
      </w:rPr>
      <w:t>121697</w:t>
    </w:r>
    <w:r w:rsidRPr="003662C6">
      <w:rPr>
        <w:sz w:val="22"/>
        <w:szCs w:val="22"/>
      </w:rPr>
      <w:t>/UG-</w:t>
    </w:r>
    <w:r>
      <w:rPr>
        <w:sz w:val="22"/>
        <w:szCs w:val="22"/>
      </w:rPr>
      <w:t>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B5" w:rsidRDefault="009D4FB5">
      <w:r>
        <w:separator/>
      </w:r>
    </w:p>
  </w:footnote>
  <w:footnote w:type="continuationSeparator" w:id="0">
    <w:p w:rsidR="009D4FB5" w:rsidRDefault="009D4FB5">
      <w:r>
        <w:continuationSeparator/>
      </w:r>
    </w:p>
  </w:footnote>
  <w:footnote w:id="1">
    <w:p w:rsidR="009D4FB5" w:rsidRDefault="009D4FB5" w:rsidP="000C53CE">
      <w:pPr>
        <w:pStyle w:val="FootnoteText"/>
      </w:pPr>
      <w:r>
        <w:rPr>
          <w:rStyle w:val="FootnoteReference"/>
        </w:rPr>
        <w:footnoteRef/>
      </w:r>
      <w:r>
        <w:t xml:space="preserve"> UE-121697 etc., The Energy Project’s </w:t>
      </w:r>
      <w:r w:rsidRPr="000C53CE">
        <w:t>Joinder</w:t>
      </w:r>
      <w:r>
        <w:t xml:space="preserve"> in </w:t>
      </w:r>
      <w:r w:rsidRPr="00567040">
        <w:t>the</w:t>
      </w:r>
      <w:r>
        <w:t xml:space="preserve"> Multiparty Settlement Re: Coal Transition PPA and Other Pending Dockets.  May 6, 2013.</w:t>
      </w:r>
    </w:p>
  </w:footnote>
  <w:footnote w:id="2">
    <w:p w:rsidR="009D4FB5" w:rsidRDefault="009D4FB5" w:rsidP="00271024">
      <w:pPr>
        <w:pStyle w:val="FootnoteText"/>
      </w:pPr>
      <w:r>
        <w:rPr>
          <w:rStyle w:val="FootnoteReference"/>
        </w:rPr>
        <w:footnoteRef/>
      </w:r>
      <w:r>
        <w:t xml:space="preserve"> </w:t>
      </w:r>
      <w:r w:rsidRPr="0084403A">
        <w:rPr>
          <w:i/>
        </w:rPr>
        <w:t>See</w:t>
      </w:r>
      <w:r>
        <w:t xml:space="preserve"> </w:t>
      </w:r>
      <w:r w:rsidRPr="0084403A">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B5" w:rsidRDefault="009D4FB5">
    <w:r>
      <w:rPr>
        <w:noProof/>
      </w:rPr>
      <mc:AlternateContent>
        <mc:Choice Requires="wps">
          <w:drawing>
            <wp:anchor distT="0" distB="0" distL="114300" distR="114300" simplePos="0" relativeHeight="251659776" behindDoc="0" locked="1" layoutInCell="1" allowOverlap="1" wp14:anchorId="60E90A18" wp14:editId="67353453">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D4FB5" w:rsidRDefault="009D4FB5" w:rsidP="005B0BEE">
                          <w:pPr>
                            <w:pStyle w:val="LineNumbers"/>
                          </w:pPr>
                          <w:r>
                            <w:t>1</w:t>
                          </w:r>
                        </w:p>
                        <w:p w:rsidR="009D4FB5" w:rsidRDefault="009D4FB5" w:rsidP="005B0BEE">
                          <w:pPr>
                            <w:pStyle w:val="LineNumbers"/>
                          </w:pPr>
                          <w:r>
                            <w:t>2</w:t>
                          </w:r>
                        </w:p>
                        <w:p w:rsidR="009D4FB5" w:rsidRDefault="009D4FB5" w:rsidP="005B0BEE">
                          <w:pPr>
                            <w:pStyle w:val="LineNumbers"/>
                          </w:pPr>
                          <w:r>
                            <w:t>3</w:t>
                          </w:r>
                        </w:p>
                        <w:p w:rsidR="009D4FB5" w:rsidRDefault="009D4FB5" w:rsidP="005B0BEE">
                          <w:pPr>
                            <w:pStyle w:val="LineNumbers"/>
                          </w:pPr>
                          <w:r>
                            <w:t>4</w:t>
                          </w:r>
                        </w:p>
                        <w:p w:rsidR="009D4FB5" w:rsidRDefault="009D4FB5" w:rsidP="005B0BEE">
                          <w:pPr>
                            <w:pStyle w:val="LineNumbers"/>
                          </w:pPr>
                          <w:r>
                            <w:t>5</w:t>
                          </w:r>
                        </w:p>
                        <w:p w:rsidR="009D4FB5" w:rsidRDefault="009D4FB5" w:rsidP="005B0BEE">
                          <w:pPr>
                            <w:pStyle w:val="LineNumbers"/>
                          </w:pPr>
                          <w:r>
                            <w:t>6</w:t>
                          </w:r>
                        </w:p>
                        <w:p w:rsidR="009D4FB5" w:rsidRDefault="009D4FB5" w:rsidP="005B0BEE">
                          <w:pPr>
                            <w:pStyle w:val="LineNumbers"/>
                          </w:pPr>
                          <w:r>
                            <w:t>7</w:t>
                          </w:r>
                        </w:p>
                        <w:p w:rsidR="009D4FB5" w:rsidRDefault="009D4FB5" w:rsidP="005B0BEE">
                          <w:pPr>
                            <w:pStyle w:val="LineNumbers"/>
                          </w:pPr>
                          <w:r>
                            <w:t>8</w:t>
                          </w:r>
                        </w:p>
                        <w:p w:rsidR="009D4FB5" w:rsidRDefault="009D4FB5" w:rsidP="005B0BEE">
                          <w:pPr>
                            <w:pStyle w:val="LineNumbers"/>
                          </w:pPr>
                          <w:r>
                            <w:t>9</w:t>
                          </w:r>
                        </w:p>
                        <w:p w:rsidR="009D4FB5" w:rsidRDefault="009D4FB5" w:rsidP="005B0BEE">
                          <w:pPr>
                            <w:pStyle w:val="LineNumbers"/>
                          </w:pPr>
                          <w:r>
                            <w:t>10</w:t>
                          </w:r>
                        </w:p>
                        <w:p w:rsidR="009D4FB5" w:rsidRDefault="009D4FB5" w:rsidP="005B0BEE">
                          <w:pPr>
                            <w:pStyle w:val="LineNumbers"/>
                          </w:pPr>
                          <w:r>
                            <w:t>11</w:t>
                          </w:r>
                        </w:p>
                        <w:p w:rsidR="009D4FB5" w:rsidRDefault="009D4FB5" w:rsidP="005B0BEE">
                          <w:pPr>
                            <w:pStyle w:val="LineNumbers"/>
                          </w:pPr>
                          <w:r>
                            <w:t>12</w:t>
                          </w:r>
                        </w:p>
                        <w:p w:rsidR="009D4FB5" w:rsidRDefault="009D4FB5" w:rsidP="005B0BEE">
                          <w:pPr>
                            <w:pStyle w:val="LineNumbers"/>
                          </w:pPr>
                          <w:r>
                            <w:t>13</w:t>
                          </w:r>
                        </w:p>
                        <w:p w:rsidR="009D4FB5" w:rsidRDefault="009D4FB5" w:rsidP="005B0BEE">
                          <w:pPr>
                            <w:pStyle w:val="LineNumbers"/>
                          </w:pPr>
                          <w:r>
                            <w:t>14</w:t>
                          </w:r>
                        </w:p>
                        <w:p w:rsidR="009D4FB5" w:rsidRDefault="009D4FB5" w:rsidP="005B0BEE">
                          <w:pPr>
                            <w:pStyle w:val="LineNumbers"/>
                          </w:pPr>
                          <w:r>
                            <w:t>15</w:t>
                          </w:r>
                        </w:p>
                        <w:p w:rsidR="009D4FB5" w:rsidRDefault="009D4FB5" w:rsidP="005B0BEE">
                          <w:pPr>
                            <w:pStyle w:val="LineNumbers"/>
                          </w:pPr>
                          <w:r>
                            <w:t>16</w:t>
                          </w:r>
                        </w:p>
                        <w:p w:rsidR="009D4FB5" w:rsidRDefault="009D4FB5" w:rsidP="005B0BEE">
                          <w:pPr>
                            <w:pStyle w:val="LineNumbers"/>
                          </w:pPr>
                          <w:r>
                            <w:t>17</w:t>
                          </w:r>
                        </w:p>
                        <w:p w:rsidR="009D4FB5" w:rsidRDefault="009D4FB5" w:rsidP="005B0BEE">
                          <w:pPr>
                            <w:pStyle w:val="LineNumbers"/>
                          </w:pPr>
                          <w:r>
                            <w:t>18</w:t>
                          </w:r>
                        </w:p>
                        <w:p w:rsidR="009D4FB5" w:rsidRDefault="009D4FB5" w:rsidP="005B0BEE">
                          <w:pPr>
                            <w:pStyle w:val="LineNumbers"/>
                          </w:pPr>
                          <w:r>
                            <w:t>19</w:t>
                          </w:r>
                        </w:p>
                        <w:p w:rsidR="009D4FB5" w:rsidRDefault="009D4FB5" w:rsidP="005B0BEE">
                          <w:pPr>
                            <w:pStyle w:val="LineNumbers"/>
                          </w:pPr>
                          <w:r>
                            <w:t>20</w:t>
                          </w:r>
                        </w:p>
                        <w:p w:rsidR="009D4FB5" w:rsidRDefault="009D4FB5" w:rsidP="005B0BEE">
                          <w:pPr>
                            <w:pStyle w:val="LineNumbers"/>
                          </w:pPr>
                          <w:r>
                            <w:t>21</w:t>
                          </w:r>
                        </w:p>
                        <w:p w:rsidR="009D4FB5" w:rsidRDefault="009D4FB5" w:rsidP="005B0BEE">
                          <w:pPr>
                            <w:pStyle w:val="LineNumbers"/>
                          </w:pPr>
                          <w:r>
                            <w:t>22</w:t>
                          </w:r>
                        </w:p>
                        <w:p w:rsidR="009D4FB5" w:rsidRDefault="009D4FB5" w:rsidP="005B0BEE">
                          <w:pPr>
                            <w:pStyle w:val="LineNumbers"/>
                          </w:pPr>
                          <w:r>
                            <w:t>23</w:t>
                          </w:r>
                        </w:p>
                        <w:p w:rsidR="009D4FB5" w:rsidRDefault="009D4FB5" w:rsidP="005B0BEE">
                          <w:pPr>
                            <w:pStyle w:val="LineNumbers"/>
                          </w:pPr>
                          <w:r>
                            <w:t>24</w:t>
                          </w:r>
                        </w:p>
                        <w:p w:rsidR="009D4FB5" w:rsidRDefault="009D4FB5" w:rsidP="005B0BEE">
                          <w:pPr>
                            <w:pStyle w:val="LineNumbers"/>
                          </w:pPr>
                          <w:r>
                            <w:t>25</w:t>
                          </w:r>
                        </w:p>
                        <w:p w:rsidR="009D4FB5" w:rsidRDefault="009D4FB5" w:rsidP="005B0BEE">
                          <w:pPr>
                            <w:pStyle w:val="LineNumbers"/>
                          </w:pPr>
                          <w:r>
                            <w:t>26</w:t>
                          </w:r>
                        </w:p>
                        <w:p w:rsidR="009D4FB5" w:rsidRDefault="009D4FB5" w:rsidP="005B0BEE">
                          <w:pPr>
                            <w:pStyle w:val="LineNumbers"/>
                          </w:pPr>
                          <w:r>
                            <w:t>27</w:t>
                          </w:r>
                        </w:p>
                        <w:p w:rsidR="009D4FB5" w:rsidRDefault="009D4FB5" w:rsidP="005B0BEE">
                          <w:pPr>
                            <w:pStyle w:val="LineNumbers"/>
                          </w:pPr>
                          <w:r>
                            <w:t>28</w:t>
                          </w:r>
                        </w:p>
                        <w:p w:rsidR="009D4FB5" w:rsidRDefault="009D4FB5">
                          <w:pPr>
                            <w:pStyle w:val="LineNumbers"/>
                          </w:pPr>
                          <w:r>
                            <w:t>29</w:t>
                          </w:r>
                        </w:p>
                        <w:p w:rsidR="009D4FB5" w:rsidRDefault="009D4FB5">
                          <w:pPr>
                            <w:pStyle w:val="LineNumbers"/>
                          </w:pPr>
                          <w:r>
                            <w:t>30</w:t>
                          </w:r>
                        </w:p>
                        <w:p w:rsidR="009D4FB5" w:rsidRDefault="009D4FB5">
                          <w:pPr>
                            <w:pStyle w:val="LineNumbers"/>
                          </w:pPr>
                          <w:r>
                            <w:t>31</w:t>
                          </w:r>
                        </w:p>
                        <w:p w:rsidR="009D4FB5" w:rsidRDefault="009D4FB5">
                          <w:pPr>
                            <w:pStyle w:val="LineNumbers"/>
                          </w:pPr>
                          <w:r>
                            <w:t>32</w:t>
                          </w:r>
                        </w:p>
                        <w:p w:rsidR="009D4FB5" w:rsidRDefault="009D4FB5">
                          <w:pPr>
                            <w:pStyle w:val="LineNumbers"/>
                          </w:pPr>
                          <w:r>
                            <w:t>33</w:t>
                          </w:r>
                        </w:p>
                        <w:p w:rsidR="009D4FB5" w:rsidRDefault="009D4FB5">
                          <w:pPr>
                            <w:pStyle w:val="LineNumbers"/>
                          </w:pPr>
                          <w:r>
                            <w:t>34</w:t>
                          </w:r>
                        </w:p>
                        <w:p w:rsidR="009D4FB5" w:rsidRDefault="009D4FB5">
                          <w:pPr>
                            <w:pStyle w:val="LineNumbers"/>
                          </w:pPr>
                          <w:r>
                            <w:t>35</w:t>
                          </w:r>
                        </w:p>
                        <w:p w:rsidR="009D4FB5" w:rsidRDefault="009D4FB5">
                          <w:pPr>
                            <w:pStyle w:val="LineNumbers"/>
                          </w:pPr>
                          <w:r>
                            <w:t>36</w:t>
                          </w:r>
                        </w:p>
                        <w:p w:rsidR="009D4FB5" w:rsidRDefault="009D4FB5">
                          <w:pPr>
                            <w:pStyle w:val="LineNumbers"/>
                          </w:pPr>
                          <w:r>
                            <w:t>37</w:t>
                          </w:r>
                        </w:p>
                        <w:p w:rsidR="009D4FB5" w:rsidRDefault="009D4FB5">
                          <w:pPr>
                            <w:pStyle w:val="LineNumbers"/>
                          </w:pPr>
                          <w:r>
                            <w:t>38</w:t>
                          </w:r>
                        </w:p>
                        <w:p w:rsidR="009D4FB5" w:rsidRDefault="009D4FB5">
                          <w:pPr>
                            <w:pStyle w:val="LineNumbers"/>
                          </w:pPr>
                          <w:r>
                            <w:t>39</w:t>
                          </w:r>
                        </w:p>
                        <w:p w:rsidR="009D4FB5" w:rsidRDefault="009D4FB5">
                          <w:pPr>
                            <w:pStyle w:val="LineNumbers"/>
                          </w:pPr>
                          <w:r>
                            <w:t>40</w:t>
                          </w:r>
                        </w:p>
                        <w:p w:rsidR="009D4FB5" w:rsidRDefault="009D4FB5">
                          <w:pPr>
                            <w:pStyle w:val="LineNumbers"/>
                          </w:pPr>
                          <w:r>
                            <w:t>41</w:t>
                          </w:r>
                        </w:p>
                        <w:p w:rsidR="009D4FB5" w:rsidRDefault="009D4FB5">
                          <w:pPr>
                            <w:pStyle w:val="LineNumbers"/>
                          </w:pPr>
                          <w:r>
                            <w:t>42</w:t>
                          </w:r>
                        </w:p>
                        <w:p w:rsidR="009D4FB5" w:rsidRDefault="009D4FB5">
                          <w:pPr>
                            <w:pStyle w:val="LineNumbers"/>
                          </w:pPr>
                          <w:r>
                            <w:t>43</w:t>
                          </w:r>
                        </w:p>
                        <w:p w:rsidR="009D4FB5" w:rsidRDefault="009D4FB5">
                          <w:pPr>
                            <w:pStyle w:val="LineNumbers"/>
                          </w:pPr>
                          <w:r>
                            <w:t>44</w:t>
                          </w:r>
                        </w:p>
                        <w:p w:rsidR="009D4FB5" w:rsidRDefault="009D4FB5">
                          <w:pPr>
                            <w:pStyle w:val="LineNumbers"/>
                          </w:pPr>
                          <w:r>
                            <w:t>45</w:t>
                          </w:r>
                        </w:p>
                        <w:p w:rsidR="009D4FB5" w:rsidRDefault="009D4FB5">
                          <w:pPr>
                            <w:pStyle w:val="LineNumbers"/>
                          </w:pPr>
                          <w:r>
                            <w:t>46</w:t>
                          </w:r>
                        </w:p>
                        <w:p w:rsidR="009D4FB5" w:rsidRDefault="009D4FB5">
                          <w:pPr>
                            <w:pStyle w:val="LineNumbers"/>
                          </w:pPr>
                          <w:r>
                            <w:t>47</w:t>
                          </w:r>
                        </w:p>
                        <w:p w:rsidR="009D4FB5" w:rsidRDefault="009D4FB5">
                          <w:pPr>
                            <w:pStyle w:val="LineNumbers"/>
                          </w:pPr>
                          <w:r>
                            <w:t>48</w:t>
                          </w:r>
                        </w:p>
                        <w:p w:rsidR="009D4FB5" w:rsidRDefault="009D4FB5">
                          <w:pPr>
                            <w:pStyle w:val="LineNumbers"/>
                          </w:pPr>
                          <w:r>
                            <w:t>49</w:t>
                          </w:r>
                        </w:p>
                        <w:p w:rsidR="009D4FB5" w:rsidRDefault="009D4FB5">
                          <w:pPr>
                            <w:pStyle w:val="LineNumbers"/>
                          </w:pPr>
                          <w:r>
                            <w:t>50</w:t>
                          </w:r>
                        </w:p>
                        <w:p w:rsidR="009D4FB5" w:rsidRDefault="009D4FB5">
                          <w:pPr>
                            <w:pStyle w:val="LineNumbers"/>
                          </w:pPr>
                          <w:r>
                            <w:t>51</w:t>
                          </w:r>
                        </w:p>
                        <w:p w:rsidR="009D4FB5" w:rsidRDefault="009D4FB5">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9D4FB5" w:rsidRDefault="009D4FB5" w:rsidP="005B0BEE">
                    <w:pPr>
                      <w:pStyle w:val="LineNumbers"/>
                    </w:pPr>
                    <w:r>
                      <w:t>1</w:t>
                    </w:r>
                  </w:p>
                  <w:p w:rsidR="009D4FB5" w:rsidRDefault="009D4FB5" w:rsidP="005B0BEE">
                    <w:pPr>
                      <w:pStyle w:val="LineNumbers"/>
                    </w:pPr>
                    <w:r>
                      <w:t>2</w:t>
                    </w:r>
                  </w:p>
                  <w:p w:rsidR="009D4FB5" w:rsidRDefault="009D4FB5" w:rsidP="005B0BEE">
                    <w:pPr>
                      <w:pStyle w:val="LineNumbers"/>
                    </w:pPr>
                    <w:r>
                      <w:t>3</w:t>
                    </w:r>
                  </w:p>
                  <w:p w:rsidR="009D4FB5" w:rsidRDefault="009D4FB5" w:rsidP="005B0BEE">
                    <w:pPr>
                      <w:pStyle w:val="LineNumbers"/>
                    </w:pPr>
                    <w:r>
                      <w:t>4</w:t>
                    </w:r>
                  </w:p>
                  <w:p w:rsidR="009D4FB5" w:rsidRDefault="009D4FB5" w:rsidP="005B0BEE">
                    <w:pPr>
                      <w:pStyle w:val="LineNumbers"/>
                    </w:pPr>
                    <w:r>
                      <w:t>5</w:t>
                    </w:r>
                  </w:p>
                  <w:p w:rsidR="009D4FB5" w:rsidRDefault="009D4FB5" w:rsidP="005B0BEE">
                    <w:pPr>
                      <w:pStyle w:val="LineNumbers"/>
                    </w:pPr>
                    <w:r>
                      <w:t>6</w:t>
                    </w:r>
                  </w:p>
                  <w:p w:rsidR="009D4FB5" w:rsidRDefault="009D4FB5" w:rsidP="005B0BEE">
                    <w:pPr>
                      <w:pStyle w:val="LineNumbers"/>
                    </w:pPr>
                    <w:r>
                      <w:t>7</w:t>
                    </w:r>
                  </w:p>
                  <w:p w:rsidR="009D4FB5" w:rsidRDefault="009D4FB5" w:rsidP="005B0BEE">
                    <w:pPr>
                      <w:pStyle w:val="LineNumbers"/>
                    </w:pPr>
                    <w:r>
                      <w:t>8</w:t>
                    </w:r>
                  </w:p>
                  <w:p w:rsidR="009D4FB5" w:rsidRDefault="009D4FB5" w:rsidP="005B0BEE">
                    <w:pPr>
                      <w:pStyle w:val="LineNumbers"/>
                    </w:pPr>
                    <w:r>
                      <w:t>9</w:t>
                    </w:r>
                  </w:p>
                  <w:p w:rsidR="009D4FB5" w:rsidRDefault="009D4FB5" w:rsidP="005B0BEE">
                    <w:pPr>
                      <w:pStyle w:val="LineNumbers"/>
                    </w:pPr>
                    <w:r>
                      <w:t>10</w:t>
                    </w:r>
                  </w:p>
                  <w:p w:rsidR="009D4FB5" w:rsidRDefault="009D4FB5" w:rsidP="005B0BEE">
                    <w:pPr>
                      <w:pStyle w:val="LineNumbers"/>
                    </w:pPr>
                    <w:r>
                      <w:t>11</w:t>
                    </w:r>
                  </w:p>
                  <w:p w:rsidR="009D4FB5" w:rsidRDefault="009D4FB5" w:rsidP="005B0BEE">
                    <w:pPr>
                      <w:pStyle w:val="LineNumbers"/>
                    </w:pPr>
                    <w:r>
                      <w:t>12</w:t>
                    </w:r>
                  </w:p>
                  <w:p w:rsidR="009D4FB5" w:rsidRDefault="009D4FB5" w:rsidP="005B0BEE">
                    <w:pPr>
                      <w:pStyle w:val="LineNumbers"/>
                    </w:pPr>
                    <w:r>
                      <w:t>13</w:t>
                    </w:r>
                  </w:p>
                  <w:p w:rsidR="009D4FB5" w:rsidRDefault="009D4FB5" w:rsidP="005B0BEE">
                    <w:pPr>
                      <w:pStyle w:val="LineNumbers"/>
                    </w:pPr>
                    <w:r>
                      <w:t>14</w:t>
                    </w:r>
                  </w:p>
                  <w:p w:rsidR="009D4FB5" w:rsidRDefault="009D4FB5" w:rsidP="005B0BEE">
                    <w:pPr>
                      <w:pStyle w:val="LineNumbers"/>
                    </w:pPr>
                    <w:r>
                      <w:t>15</w:t>
                    </w:r>
                  </w:p>
                  <w:p w:rsidR="009D4FB5" w:rsidRDefault="009D4FB5" w:rsidP="005B0BEE">
                    <w:pPr>
                      <w:pStyle w:val="LineNumbers"/>
                    </w:pPr>
                    <w:r>
                      <w:t>16</w:t>
                    </w:r>
                  </w:p>
                  <w:p w:rsidR="009D4FB5" w:rsidRDefault="009D4FB5" w:rsidP="005B0BEE">
                    <w:pPr>
                      <w:pStyle w:val="LineNumbers"/>
                    </w:pPr>
                    <w:r>
                      <w:t>17</w:t>
                    </w:r>
                  </w:p>
                  <w:p w:rsidR="009D4FB5" w:rsidRDefault="009D4FB5" w:rsidP="005B0BEE">
                    <w:pPr>
                      <w:pStyle w:val="LineNumbers"/>
                    </w:pPr>
                    <w:r>
                      <w:t>18</w:t>
                    </w:r>
                  </w:p>
                  <w:p w:rsidR="009D4FB5" w:rsidRDefault="009D4FB5" w:rsidP="005B0BEE">
                    <w:pPr>
                      <w:pStyle w:val="LineNumbers"/>
                    </w:pPr>
                    <w:r>
                      <w:t>19</w:t>
                    </w:r>
                  </w:p>
                  <w:p w:rsidR="009D4FB5" w:rsidRDefault="009D4FB5" w:rsidP="005B0BEE">
                    <w:pPr>
                      <w:pStyle w:val="LineNumbers"/>
                    </w:pPr>
                    <w:r>
                      <w:t>20</w:t>
                    </w:r>
                  </w:p>
                  <w:p w:rsidR="009D4FB5" w:rsidRDefault="009D4FB5" w:rsidP="005B0BEE">
                    <w:pPr>
                      <w:pStyle w:val="LineNumbers"/>
                    </w:pPr>
                    <w:r>
                      <w:t>21</w:t>
                    </w:r>
                  </w:p>
                  <w:p w:rsidR="009D4FB5" w:rsidRDefault="009D4FB5" w:rsidP="005B0BEE">
                    <w:pPr>
                      <w:pStyle w:val="LineNumbers"/>
                    </w:pPr>
                    <w:r>
                      <w:t>22</w:t>
                    </w:r>
                  </w:p>
                  <w:p w:rsidR="009D4FB5" w:rsidRDefault="009D4FB5" w:rsidP="005B0BEE">
                    <w:pPr>
                      <w:pStyle w:val="LineNumbers"/>
                    </w:pPr>
                    <w:r>
                      <w:t>23</w:t>
                    </w:r>
                  </w:p>
                  <w:p w:rsidR="009D4FB5" w:rsidRDefault="009D4FB5" w:rsidP="005B0BEE">
                    <w:pPr>
                      <w:pStyle w:val="LineNumbers"/>
                    </w:pPr>
                    <w:r>
                      <w:t>24</w:t>
                    </w:r>
                  </w:p>
                  <w:p w:rsidR="009D4FB5" w:rsidRDefault="009D4FB5" w:rsidP="005B0BEE">
                    <w:pPr>
                      <w:pStyle w:val="LineNumbers"/>
                    </w:pPr>
                    <w:r>
                      <w:t>25</w:t>
                    </w:r>
                  </w:p>
                  <w:p w:rsidR="009D4FB5" w:rsidRDefault="009D4FB5" w:rsidP="005B0BEE">
                    <w:pPr>
                      <w:pStyle w:val="LineNumbers"/>
                    </w:pPr>
                    <w:r>
                      <w:t>26</w:t>
                    </w:r>
                  </w:p>
                  <w:p w:rsidR="009D4FB5" w:rsidRDefault="009D4FB5" w:rsidP="005B0BEE">
                    <w:pPr>
                      <w:pStyle w:val="LineNumbers"/>
                    </w:pPr>
                    <w:r>
                      <w:t>27</w:t>
                    </w:r>
                  </w:p>
                  <w:p w:rsidR="009D4FB5" w:rsidRDefault="009D4FB5" w:rsidP="005B0BEE">
                    <w:pPr>
                      <w:pStyle w:val="LineNumbers"/>
                    </w:pPr>
                    <w:r>
                      <w:t>28</w:t>
                    </w:r>
                  </w:p>
                  <w:p w:rsidR="009D4FB5" w:rsidRDefault="009D4FB5">
                    <w:pPr>
                      <w:pStyle w:val="LineNumbers"/>
                    </w:pPr>
                    <w:r>
                      <w:t>29</w:t>
                    </w:r>
                  </w:p>
                  <w:p w:rsidR="009D4FB5" w:rsidRDefault="009D4FB5">
                    <w:pPr>
                      <w:pStyle w:val="LineNumbers"/>
                    </w:pPr>
                    <w:r>
                      <w:t>30</w:t>
                    </w:r>
                  </w:p>
                  <w:p w:rsidR="009D4FB5" w:rsidRDefault="009D4FB5">
                    <w:pPr>
                      <w:pStyle w:val="LineNumbers"/>
                    </w:pPr>
                    <w:r>
                      <w:t>31</w:t>
                    </w:r>
                  </w:p>
                  <w:p w:rsidR="009D4FB5" w:rsidRDefault="009D4FB5">
                    <w:pPr>
                      <w:pStyle w:val="LineNumbers"/>
                    </w:pPr>
                    <w:r>
                      <w:t>32</w:t>
                    </w:r>
                  </w:p>
                  <w:p w:rsidR="009D4FB5" w:rsidRDefault="009D4FB5">
                    <w:pPr>
                      <w:pStyle w:val="LineNumbers"/>
                    </w:pPr>
                    <w:r>
                      <w:t>33</w:t>
                    </w:r>
                  </w:p>
                  <w:p w:rsidR="009D4FB5" w:rsidRDefault="009D4FB5">
                    <w:pPr>
                      <w:pStyle w:val="LineNumbers"/>
                    </w:pPr>
                    <w:r>
                      <w:t>34</w:t>
                    </w:r>
                  </w:p>
                  <w:p w:rsidR="009D4FB5" w:rsidRDefault="009D4FB5">
                    <w:pPr>
                      <w:pStyle w:val="LineNumbers"/>
                    </w:pPr>
                    <w:r>
                      <w:t>35</w:t>
                    </w:r>
                  </w:p>
                  <w:p w:rsidR="009D4FB5" w:rsidRDefault="009D4FB5">
                    <w:pPr>
                      <w:pStyle w:val="LineNumbers"/>
                    </w:pPr>
                    <w:r>
                      <w:t>36</w:t>
                    </w:r>
                  </w:p>
                  <w:p w:rsidR="009D4FB5" w:rsidRDefault="009D4FB5">
                    <w:pPr>
                      <w:pStyle w:val="LineNumbers"/>
                    </w:pPr>
                    <w:r>
                      <w:t>37</w:t>
                    </w:r>
                  </w:p>
                  <w:p w:rsidR="009D4FB5" w:rsidRDefault="009D4FB5">
                    <w:pPr>
                      <w:pStyle w:val="LineNumbers"/>
                    </w:pPr>
                    <w:r>
                      <w:t>38</w:t>
                    </w:r>
                  </w:p>
                  <w:p w:rsidR="009D4FB5" w:rsidRDefault="009D4FB5">
                    <w:pPr>
                      <w:pStyle w:val="LineNumbers"/>
                    </w:pPr>
                    <w:r>
                      <w:t>39</w:t>
                    </w:r>
                  </w:p>
                  <w:p w:rsidR="009D4FB5" w:rsidRDefault="009D4FB5">
                    <w:pPr>
                      <w:pStyle w:val="LineNumbers"/>
                    </w:pPr>
                    <w:r>
                      <w:t>40</w:t>
                    </w:r>
                  </w:p>
                  <w:p w:rsidR="009D4FB5" w:rsidRDefault="009D4FB5">
                    <w:pPr>
                      <w:pStyle w:val="LineNumbers"/>
                    </w:pPr>
                    <w:r>
                      <w:t>41</w:t>
                    </w:r>
                  </w:p>
                  <w:p w:rsidR="009D4FB5" w:rsidRDefault="009D4FB5">
                    <w:pPr>
                      <w:pStyle w:val="LineNumbers"/>
                    </w:pPr>
                    <w:r>
                      <w:t>42</w:t>
                    </w:r>
                  </w:p>
                  <w:p w:rsidR="009D4FB5" w:rsidRDefault="009D4FB5">
                    <w:pPr>
                      <w:pStyle w:val="LineNumbers"/>
                    </w:pPr>
                    <w:r>
                      <w:t>43</w:t>
                    </w:r>
                  </w:p>
                  <w:p w:rsidR="009D4FB5" w:rsidRDefault="009D4FB5">
                    <w:pPr>
                      <w:pStyle w:val="LineNumbers"/>
                    </w:pPr>
                    <w:r>
                      <w:t>44</w:t>
                    </w:r>
                  </w:p>
                  <w:p w:rsidR="009D4FB5" w:rsidRDefault="009D4FB5">
                    <w:pPr>
                      <w:pStyle w:val="LineNumbers"/>
                    </w:pPr>
                    <w:r>
                      <w:t>45</w:t>
                    </w:r>
                  </w:p>
                  <w:p w:rsidR="009D4FB5" w:rsidRDefault="009D4FB5">
                    <w:pPr>
                      <w:pStyle w:val="LineNumbers"/>
                    </w:pPr>
                    <w:r>
                      <w:t>46</w:t>
                    </w:r>
                  </w:p>
                  <w:p w:rsidR="009D4FB5" w:rsidRDefault="009D4FB5">
                    <w:pPr>
                      <w:pStyle w:val="LineNumbers"/>
                    </w:pPr>
                    <w:r>
                      <w:t>47</w:t>
                    </w:r>
                  </w:p>
                  <w:p w:rsidR="009D4FB5" w:rsidRDefault="009D4FB5">
                    <w:pPr>
                      <w:pStyle w:val="LineNumbers"/>
                    </w:pPr>
                    <w:r>
                      <w:t>48</w:t>
                    </w:r>
                  </w:p>
                  <w:p w:rsidR="009D4FB5" w:rsidRDefault="009D4FB5">
                    <w:pPr>
                      <w:pStyle w:val="LineNumbers"/>
                    </w:pPr>
                    <w:r>
                      <w:t>49</w:t>
                    </w:r>
                  </w:p>
                  <w:p w:rsidR="009D4FB5" w:rsidRDefault="009D4FB5">
                    <w:pPr>
                      <w:pStyle w:val="LineNumbers"/>
                    </w:pPr>
                    <w:r>
                      <w:t>50</w:t>
                    </w:r>
                  </w:p>
                  <w:p w:rsidR="009D4FB5" w:rsidRDefault="009D4FB5">
                    <w:pPr>
                      <w:pStyle w:val="LineNumbers"/>
                    </w:pPr>
                    <w:r>
                      <w:t>51</w:t>
                    </w:r>
                  </w:p>
                  <w:p w:rsidR="009D4FB5" w:rsidRDefault="009D4FB5">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7F254CC9" wp14:editId="54FFA5CB">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6E883070" wp14:editId="79B734C4">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50D85"/>
    <w:rsid w:val="00094D73"/>
    <w:rsid w:val="000B75EF"/>
    <w:rsid w:val="000C53CE"/>
    <w:rsid w:val="000C7AD4"/>
    <w:rsid w:val="000F2831"/>
    <w:rsid w:val="000F2E19"/>
    <w:rsid w:val="00104AAD"/>
    <w:rsid w:val="0016639F"/>
    <w:rsid w:val="001F5673"/>
    <w:rsid w:val="002201F2"/>
    <w:rsid w:val="00253FFF"/>
    <w:rsid w:val="00271024"/>
    <w:rsid w:val="00290F53"/>
    <w:rsid w:val="002B27ED"/>
    <w:rsid w:val="003662C6"/>
    <w:rsid w:val="003B2B10"/>
    <w:rsid w:val="003C3A3F"/>
    <w:rsid w:val="003E1357"/>
    <w:rsid w:val="00405E84"/>
    <w:rsid w:val="00423DBA"/>
    <w:rsid w:val="00445AC0"/>
    <w:rsid w:val="00460FAB"/>
    <w:rsid w:val="00472AFC"/>
    <w:rsid w:val="004D1603"/>
    <w:rsid w:val="005235A5"/>
    <w:rsid w:val="00566865"/>
    <w:rsid w:val="00566FD4"/>
    <w:rsid w:val="00567040"/>
    <w:rsid w:val="005B0BEE"/>
    <w:rsid w:val="005F016F"/>
    <w:rsid w:val="006C0098"/>
    <w:rsid w:val="00715001"/>
    <w:rsid w:val="007A28B0"/>
    <w:rsid w:val="007B3F13"/>
    <w:rsid w:val="00832829"/>
    <w:rsid w:val="0084403A"/>
    <w:rsid w:val="008729E2"/>
    <w:rsid w:val="008D5558"/>
    <w:rsid w:val="008F4206"/>
    <w:rsid w:val="0092182F"/>
    <w:rsid w:val="00955155"/>
    <w:rsid w:val="009C1225"/>
    <w:rsid w:val="009D4FB5"/>
    <w:rsid w:val="00A162E4"/>
    <w:rsid w:val="00A41ABF"/>
    <w:rsid w:val="00A62942"/>
    <w:rsid w:val="00AB0E7C"/>
    <w:rsid w:val="00B548F1"/>
    <w:rsid w:val="00BD3596"/>
    <w:rsid w:val="00C11E06"/>
    <w:rsid w:val="00CB77FC"/>
    <w:rsid w:val="00D049CC"/>
    <w:rsid w:val="00D46CAD"/>
    <w:rsid w:val="00D573EF"/>
    <w:rsid w:val="00D61F3D"/>
    <w:rsid w:val="00DF0FE0"/>
    <w:rsid w:val="00DF45A5"/>
    <w:rsid w:val="00E549CE"/>
    <w:rsid w:val="00EA25A0"/>
    <w:rsid w:val="00ED1B59"/>
    <w:rsid w:val="00F814F4"/>
    <w:rsid w:val="00FA1AB7"/>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ED1B59"/>
    <w:pPr>
      <w:keepLines/>
      <w:tabs>
        <w:tab w:val="left" w:pos="72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erChar">
    <w:name w:val="Header Char"/>
    <w:basedOn w:val="DefaultParagraphFont"/>
    <w:link w:val="Header"/>
    <w:uiPriority w:val="99"/>
    <w:locked/>
    <w:rsid w:val="00F814F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99"/>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ED1B59"/>
    <w:pPr>
      <w:keepLines/>
      <w:tabs>
        <w:tab w:val="left" w:pos="72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99"/>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erChar">
    <w:name w:val="Header Char"/>
    <w:basedOn w:val="DefaultParagraphFont"/>
    <w:link w:val="Header"/>
    <w:uiPriority w:val="99"/>
    <w:locked/>
    <w:rsid w:val="00F814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7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84041F-24F3-47C5-8690-630F908BEF3E}"/>
</file>

<file path=customXml/itemProps2.xml><?xml version="1.0" encoding="utf-8"?>
<ds:datastoreItem xmlns:ds="http://schemas.openxmlformats.org/officeDocument/2006/customXml" ds:itemID="{B3E56605-7FBB-45E6-9772-249556E2178B}"/>
</file>

<file path=customXml/itemProps3.xml><?xml version="1.0" encoding="utf-8"?>
<ds:datastoreItem xmlns:ds="http://schemas.openxmlformats.org/officeDocument/2006/customXml" ds:itemID="{D8DF3451-B501-46CF-94B0-CA42CFCD7C2C}"/>
</file>

<file path=customXml/itemProps4.xml><?xml version="1.0" encoding="utf-8"?>
<ds:datastoreItem xmlns:ds="http://schemas.openxmlformats.org/officeDocument/2006/customXml" ds:itemID="{04DCED22-4ED2-44DE-B434-9844F6FC5E31}"/>
</file>

<file path=customXml/itemProps5.xml><?xml version="1.0" encoding="utf-8"?>
<ds:datastoreItem xmlns:ds="http://schemas.openxmlformats.org/officeDocument/2006/customXml" ds:itemID="{326D22C3-6AE2-463B-A902-1E1DFBBA1870}"/>
</file>

<file path=docProps/app.xml><?xml version="1.0" encoding="utf-8"?>
<Properties xmlns="http://schemas.openxmlformats.org/officeDocument/2006/extended-properties" xmlns:vt="http://schemas.openxmlformats.org/officeDocument/2006/docPropsVTypes">
  <Template>2268 caption.dotx</Template>
  <TotalTime>0</TotalTime>
  <Pages>5</Pages>
  <Words>976</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2013-05-08T17:20:00Z</cp:lastPrinted>
  <dcterms:created xsi:type="dcterms:W3CDTF">2013-05-08T17:20:00Z</dcterms:created>
  <dcterms:modified xsi:type="dcterms:W3CDTF">2013-05-08T17:20:00Z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