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0D" w:rsidRDefault="00195C0D" w:rsidP="00195C0D">
      <w:pPr>
        <w:jc w:val="center"/>
      </w:pPr>
      <w:bookmarkStart w:id="0" w:name="_GoBack"/>
      <w:bookmarkEnd w:id="0"/>
      <w:r>
        <w:t>BEFORE THE WASHINGTON UTILITIES AND TRANSPORTATION COMMISSION</w:t>
      </w:r>
    </w:p>
    <w:p w:rsidR="00195C0D" w:rsidRDefault="00195C0D" w:rsidP="00195C0D">
      <w:pPr>
        <w:jc w:val="center"/>
      </w:pPr>
    </w:p>
    <w:tbl>
      <w:tblPr>
        <w:tblW w:w="9188" w:type="dxa"/>
        <w:tblLayout w:type="fixed"/>
        <w:tblCellMar>
          <w:left w:w="0" w:type="dxa"/>
          <w:right w:w="0" w:type="dxa"/>
        </w:tblCellMar>
        <w:tblLook w:val="0000" w:firstRow="0" w:lastRow="0" w:firstColumn="0" w:lastColumn="0" w:noHBand="0" w:noVBand="0"/>
      </w:tblPr>
      <w:tblGrid>
        <w:gridCol w:w="4896"/>
        <w:gridCol w:w="25"/>
        <w:gridCol w:w="4267"/>
      </w:tblGrid>
      <w:tr w:rsidR="00195C0D" w:rsidTr="00BF706B">
        <w:tc>
          <w:tcPr>
            <w:tcW w:w="4896" w:type="dxa"/>
            <w:tcBorders>
              <w:bottom w:val="single" w:sz="4" w:space="0" w:color="auto"/>
              <w:right w:val="single" w:sz="4" w:space="0" w:color="auto"/>
            </w:tcBorders>
          </w:tcPr>
          <w:p w:rsidR="00195C0D" w:rsidRDefault="00195C0D" w:rsidP="00BF706B">
            <w:r>
              <w:t xml:space="preserve">In the Matter of the Application of </w:t>
            </w:r>
          </w:p>
          <w:p w:rsidR="00195C0D" w:rsidRDefault="00195C0D" w:rsidP="00BF706B"/>
          <w:p w:rsidR="00195C0D" w:rsidRDefault="00195C0D" w:rsidP="00BF706B">
            <w:r>
              <w:t>WASTE MANAGEMENT OF WASHINGTON, INC. D/B/A WM HEALTHCARE SOLUTIONS OF WASHINGTON</w:t>
            </w:r>
          </w:p>
          <w:p w:rsidR="00195C0D" w:rsidRDefault="00195C0D" w:rsidP="00BF706B"/>
          <w:p w:rsidR="00195C0D" w:rsidRDefault="00195C0D" w:rsidP="00BF706B">
            <w:r>
              <w:t>For an Extension of Certificate G-237 for a Certificate of Public Convenience and Necessity to Operate Motor Vehicles in Furnishing Solid Waste Collection Service</w:t>
            </w:r>
          </w:p>
          <w:p w:rsidR="00195C0D" w:rsidRDefault="00195C0D" w:rsidP="00BF706B"/>
        </w:tc>
        <w:tc>
          <w:tcPr>
            <w:tcW w:w="25" w:type="dxa"/>
            <w:tcBorders>
              <w:left w:val="single" w:sz="4" w:space="0" w:color="auto"/>
            </w:tcBorders>
          </w:tcPr>
          <w:p w:rsidR="00195C0D" w:rsidRDefault="00195C0D" w:rsidP="00BF706B"/>
          <w:p w:rsidR="00195C0D" w:rsidRDefault="00195C0D" w:rsidP="00BF706B"/>
          <w:p w:rsidR="00195C0D" w:rsidRDefault="00195C0D" w:rsidP="00BF706B"/>
          <w:p w:rsidR="00195C0D" w:rsidRDefault="00195C0D" w:rsidP="00BF706B"/>
          <w:p w:rsidR="00195C0D" w:rsidRDefault="00195C0D" w:rsidP="00BF706B"/>
          <w:p w:rsidR="00195C0D" w:rsidRDefault="00195C0D" w:rsidP="00BF706B"/>
        </w:tc>
        <w:tc>
          <w:tcPr>
            <w:tcW w:w="4267" w:type="dxa"/>
            <w:tcBorders>
              <w:left w:val="nil"/>
            </w:tcBorders>
          </w:tcPr>
          <w:p w:rsidR="00195C0D" w:rsidRDefault="00195C0D" w:rsidP="00BF706B">
            <w:pPr>
              <w:ind w:left="359"/>
            </w:pPr>
            <w:r>
              <w:t>DOCKET TG-120033</w:t>
            </w:r>
          </w:p>
          <w:p w:rsidR="00195C0D" w:rsidRDefault="00195C0D" w:rsidP="00BF706B">
            <w:pPr>
              <w:ind w:left="359" w:hanging="359"/>
            </w:pPr>
          </w:p>
          <w:p w:rsidR="00195C0D" w:rsidRDefault="00D53CF4" w:rsidP="004A70C7">
            <w:pPr>
              <w:pStyle w:val="PldTitle"/>
              <w:ind w:left="359"/>
            </w:pPr>
            <w:r>
              <w:t xml:space="preserve">PETITION FOR ADMINISTRATIVE REVIEW OF INITIAL ORDER NO. 7 </w:t>
            </w:r>
            <w:r w:rsidR="004A70C7">
              <w:t xml:space="preserve">ON </w:t>
            </w:r>
            <w:r>
              <w:t>BEHALF OF “THE WRRA COMPANIES” AND THE WRRA</w:t>
            </w:r>
          </w:p>
        </w:tc>
      </w:tr>
    </w:tbl>
    <w:p w:rsidR="00195C0D" w:rsidRDefault="00195C0D" w:rsidP="00195C0D"/>
    <w:p w:rsidR="006450E9" w:rsidRDefault="006450E9" w:rsidP="00195C0D"/>
    <w:p w:rsidR="00D46738" w:rsidRPr="00D46738" w:rsidRDefault="00B10B0C" w:rsidP="006450E9">
      <w:pPr>
        <w:numPr>
          <w:ilvl w:val="0"/>
          <w:numId w:val="14"/>
        </w:numPr>
        <w:tabs>
          <w:tab w:val="num" w:pos="720"/>
        </w:tabs>
        <w:spacing w:line="480" w:lineRule="auto"/>
        <w:ind w:left="720" w:hanging="720"/>
        <w:rPr>
          <w:rFonts w:ascii="Palatino Linotype" w:hAnsi="Palatino Linotype" w:cs="Arial"/>
          <w:sz w:val="22"/>
          <w:szCs w:val="22"/>
        </w:rPr>
      </w:pPr>
      <w:r>
        <w:t xml:space="preserve">COME NOW, </w:t>
      </w:r>
      <w:r w:rsidR="006450E9">
        <w:t>pursuant to WAC 480-07-835(2), Protestants RUBATINO REFUSE REMOVAL, INC.; CONSOLIDATED DISPOSAL SERVICE, INC.; MURREY’S DISPOSAL, INC.; PULLMAN DISPOSAL SERVICE, INC. and WASHINGTON REFUSE</w:t>
      </w:r>
      <w:r w:rsidR="006450E9">
        <w:rPr>
          <w:rFonts w:ascii="Palatino Linotype" w:hAnsi="Palatino Linotype" w:cs="Arial"/>
          <w:sz w:val="22"/>
          <w:szCs w:val="22"/>
        </w:rPr>
        <w:t xml:space="preserve"> </w:t>
      </w:r>
      <w:r w:rsidR="006450E9">
        <w:t>AND RECYCLING ASSOCIATION (WRRA) (“WRRA Companies,” “WRRA”</w:t>
      </w:r>
      <w:r w:rsidRPr="00B10B0C">
        <w:rPr>
          <w:rStyle w:val="FootnoteReference"/>
        </w:rPr>
        <w:t xml:space="preserve"> </w:t>
      </w:r>
      <w:r>
        <w:rPr>
          <w:rStyle w:val="FootnoteReference"/>
        </w:rPr>
        <w:footnoteReference w:id="1"/>
      </w:r>
      <w:r w:rsidR="006450E9">
        <w:t xml:space="preserve"> and/or “Protestants”) and respectfully petition the Washington Utilities and Transportation Commission for administrative review of Administrative Law Judge Greg Kopta’s Initial Order </w:t>
      </w:r>
      <w:r>
        <w:t xml:space="preserve">No. 7 </w:t>
      </w:r>
      <w:r w:rsidR="006450E9">
        <w:t>Granting Application, is</w:t>
      </w:r>
      <w:r w:rsidR="00D46738">
        <w:t>sued February 14, 2013.</w:t>
      </w:r>
    </w:p>
    <w:p w:rsidR="00D46738" w:rsidRPr="00D46738" w:rsidRDefault="00D46738" w:rsidP="00D46738">
      <w:pPr>
        <w:spacing w:line="480" w:lineRule="auto"/>
        <w:ind w:left="720"/>
        <w:jc w:val="center"/>
        <w:rPr>
          <w:rFonts w:ascii="Palatino Linotype" w:hAnsi="Palatino Linotype" w:cs="Arial"/>
          <w:sz w:val="22"/>
          <w:szCs w:val="22"/>
        </w:rPr>
      </w:pPr>
      <w:r>
        <w:t xml:space="preserve">I.  </w:t>
      </w:r>
      <w:r w:rsidR="002A62AB" w:rsidRPr="002A62AB">
        <w:rPr>
          <w:u w:val="single"/>
        </w:rPr>
        <w:t>OVERVIEW OF OBJECTIONS TO INITIAL ORDER</w:t>
      </w:r>
    </w:p>
    <w:p w:rsidR="00D46738" w:rsidRDefault="006450E9" w:rsidP="00D46738">
      <w:pPr>
        <w:numPr>
          <w:ilvl w:val="0"/>
          <w:numId w:val="14"/>
        </w:numPr>
        <w:tabs>
          <w:tab w:val="num" w:pos="720"/>
        </w:tabs>
        <w:spacing w:line="480" w:lineRule="auto"/>
        <w:ind w:left="720" w:hanging="720"/>
      </w:pPr>
      <w:r>
        <w:t xml:space="preserve">This Petition challenges not only the final grant of the Application, but is </w:t>
      </w:r>
      <w:r w:rsidR="00B10B0C">
        <w:t xml:space="preserve">genuinely </w:t>
      </w:r>
      <w:r>
        <w:t xml:space="preserve">concerned with </w:t>
      </w:r>
      <w:r w:rsidR="002A62AB">
        <w:t xml:space="preserve">some of </w:t>
      </w:r>
      <w:r>
        <w:t xml:space="preserve">the reasoning used by Judge Kopta </w:t>
      </w:r>
      <w:r w:rsidR="004A70C7">
        <w:t xml:space="preserve">in reaching </w:t>
      </w:r>
      <w:r>
        <w:t xml:space="preserve">his decision.  </w:t>
      </w:r>
      <w:r w:rsidR="00B10B0C">
        <w:t>In that regard, t</w:t>
      </w:r>
      <w:r>
        <w:t xml:space="preserve">he WRRA Companies/WRRA specifically take exception to the following </w:t>
      </w:r>
      <w:r w:rsidR="004C4EA8">
        <w:t xml:space="preserve">Discussion and Decision </w:t>
      </w:r>
      <w:r>
        <w:t>portions of Initial Order No. 7:</w:t>
      </w:r>
    </w:p>
    <w:p w:rsidR="004C4EA8" w:rsidRDefault="006450E9" w:rsidP="00D46738">
      <w:pPr>
        <w:ind w:left="2160" w:hanging="864"/>
      </w:pPr>
      <w:r>
        <w:t>(</w:t>
      </w:r>
      <w:r w:rsidR="0071018D">
        <w:t>a</w:t>
      </w:r>
      <w:r>
        <w:t>)</w:t>
      </w:r>
      <w:r>
        <w:tab/>
      </w:r>
      <w:r w:rsidR="002A62AB">
        <w:t>I</w:t>
      </w:r>
      <w:r>
        <w:t xml:space="preserve">n </w:t>
      </w:r>
      <w:r w:rsidR="001C623D">
        <w:t>Section</w:t>
      </w:r>
      <w:r>
        <w:t xml:space="preserve"> 5, p. 2 </w:t>
      </w:r>
      <w:r w:rsidR="00B10B0C">
        <w:t xml:space="preserve">which </w:t>
      </w:r>
      <w:r w:rsidR="004C4EA8">
        <w:t>concludes that:</w:t>
      </w:r>
    </w:p>
    <w:p w:rsidR="004C4EA8" w:rsidRDefault="004C4EA8" w:rsidP="00D46738">
      <w:pPr>
        <w:ind w:left="2160" w:hanging="864"/>
      </w:pPr>
    </w:p>
    <w:p w:rsidR="004C4EA8" w:rsidRDefault="006450E9" w:rsidP="004C4EA8">
      <w:pPr>
        <w:ind w:left="2160"/>
      </w:pPr>
      <w:r>
        <w:t>“</w:t>
      </w:r>
      <w:r w:rsidR="002A62AB">
        <w:t xml:space="preserve">… </w:t>
      </w:r>
      <w:r>
        <w:t>the existing certificated company or companies ‘will not provide service to the satisfaction of the Commission’”</w:t>
      </w:r>
      <w:r w:rsidR="004C4EA8">
        <w:t xml:space="preserve"> </w:t>
      </w:r>
    </w:p>
    <w:p w:rsidR="00D46738" w:rsidRDefault="004C4EA8" w:rsidP="004C4EA8">
      <w:pPr>
        <w:ind w:left="2160"/>
      </w:pPr>
      <w:r>
        <w:lastRenderedPageBreak/>
        <w:t xml:space="preserve">and </w:t>
      </w:r>
      <w:r w:rsidR="006450E9">
        <w:t xml:space="preserve">therefore </w:t>
      </w:r>
      <w:r>
        <w:t xml:space="preserve">that the </w:t>
      </w:r>
      <w:r w:rsidR="006450E9">
        <w:t>applicant ha</w:t>
      </w:r>
      <w:r>
        <w:t>d</w:t>
      </w:r>
      <w:r w:rsidR="006450E9">
        <w:t xml:space="preserve"> satisfied the requirements of RCW 81.77.040.  Protestants will argue </w:t>
      </w:r>
      <w:r>
        <w:t xml:space="preserve">here, </w:t>
      </w:r>
      <w:r w:rsidR="006450E9">
        <w:t xml:space="preserve">that at least as </w:t>
      </w:r>
      <w:r>
        <w:t xml:space="preserve">concerns the </w:t>
      </w:r>
      <w:r w:rsidR="006450E9">
        <w:t>four “WRRA Companies</w:t>
      </w:r>
      <w:r w:rsidR="004A70C7">
        <w:t>,</w:t>
      </w:r>
      <w:r w:rsidR="006450E9">
        <w:t xml:space="preserve">” there was no such </w:t>
      </w:r>
      <w:r>
        <w:t xml:space="preserve">threshold </w:t>
      </w:r>
      <w:r w:rsidR="006450E9">
        <w:t>showing.</w:t>
      </w:r>
    </w:p>
    <w:p w:rsidR="004C4EA8" w:rsidRDefault="004C4EA8" w:rsidP="004C4EA8"/>
    <w:p w:rsidR="00D46738" w:rsidRDefault="006450E9" w:rsidP="00D46738">
      <w:pPr>
        <w:ind w:left="2160" w:hanging="864"/>
      </w:pPr>
      <w:r>
        <w:t>(</w:t>
      </w:r>
      <w:r w:rsidR="0071018D">
        <w:t>b</w:t>
      </w:r>
      <w:r>
        <w:t>)</w:t>
      </w:r>
      <w:r>
        <w:tab/>
        <w:t xml:space="preserve">In Section 7, p. 3, the ALJ </w:t>
      </w:r>
      <w:r w:rsidR="00B10B0C">
        <w:t xml:space="preserve">overgeneralizes </w:t>
      </w:r>
      <w:r>
        <w:t xml:space="preserve">the testimony of </w:t>
      </w:r>
      <w:r w:rsidR="002A62AB">
        <w:t xml:space="preserve">some of </w:t>
      </w:r>
      <w:r>
        <w:t>the generator witnesses, as no generator witness testified as to any service problem with a WRRA Company.</w:t>
      </w:r>
    </w:p>
    <w:p w:rsidR="00D46738" w:rsidRDefault="00D46738" w:rsidP="00D46738">
      <w:pPr>
        <w:ind w:left="2160" w:hanging="864"/>
      </w:pPr>
    </w:p>
    <w:p w:rsidR="001C623D" w:rsidRDefault="006450E9" w:rsidP="001C623D">
      <w:pPr>
        <w:ind w:left="2160" w:hanging="864"/>
      </w:pPr>
      <w:r>
        <w:t>(</w:t>
      </w:r>
      <w:r w:rsidR="0071018D">
        <w:t>c</w:t>
      </w:r>
      <w:r>
        <w:t>)</w:t>
      </w:r>
      <w:r>
        <w:tab/>
        <w:t>Section 10, pp. 3, 4 abruptly, and without legal or factual basis, discards over 20 years of Commission precedent that “. . . preference for competition does not demonstrate a need for an additional carrier.”</w:t>
      </w:r>
    </w:p>
    <w:p w:rsidR="001C623D" w:rsidRDefault="001C623D" w:rsidP="001C623D">
      <w:pPr>
        <w:ind w:left="2160" w:hanging="864"/>
      </w:pPr>
    </w:p>
    <w:p w:rsidR="001C623D" w:rsidRDefault="006450E9" w:rsidP="001C623D">
      <w:pPr>
        <w:ind w:left="2160" w:hanging="864"/>
      </w:pPr>
      <w:r>
        <w:t>(</w:t>
      </w:r>
      <w:r w:rsidR="0071018D">
        <w:t>d</w:t>
      </w:r>
      <w:r>
        <w:t>)</w:t>
      </w:r>
      <w:r>
        <w:tab/>
      </w:r>
      <w:r w:rsidR="001C623D">
        <w:t>Section</w:t>
      </w:r>
      <w:r>
        <w:t xml:space="preserve"> 11, p. 3 </w:t>
      </w:r>
      <w:r w:rsidR="00F9054C">
        <w:t xml:space="preserve">broadly </w:t>
      </w:r>
      <w:r>
        <w:t xml:space="preserve">and incorrectly </w:t>
      </w:r>
      <w:r w:rsidR="00F9054C">
        <w:t xml:space="preserve">analogizes </w:t>
      </w:r>
      <w:r>
        <w:t xml:space="preserve">solid waste service with other regulated industries such as telecommunications and commercial ferries.  In doing so, it cites an </w:t>
      </w:r>
      <w:r w:rsidR="00551B2F">
        <w:t>I</w:t>
      </w:r>
      <w:r>
        <w:t xml:space="preserve">nitial </w:t>
      </w:r>
      <w:r w:rsidR="00551B2F">
        <w:t>O</w:t>
      </w:r>
      <w:r>
        <w:t>rder in a commercial ferry case that was not challenged and was never reviewed by the Commission itself, and does not constitute applicable precedent.</w:t>
      </w:r>
      <w:r>
        <w:rPr>
          <w:rStyle w:val="FootnoteReference"/>
        </w:rPr>
        <w:footnoteReference w:id="2"/>
      </w:r>
      <w:r>
        <w:t xml:space="preserve">  As will be discussed in </w:t>
      </w:r>
      <w:r w:rsidR="00551B2F">
        <w:t xml:space="preserve">more </w:t>
      </w:r>
      <w:r>
        <w:t>detail below, that matter is neither relevan</w:t>
      </w:r>
      <w:r w:rsidR="00F9054C">
        <w:t>t</w:t>
      </w:r>
      <w:r>
        <w:t xml:space="preserve"> nor applicable here.</w:t>
      </w:r>
    </w:p>
    <w:p w:rsidR="001C623D" w:rsidRDefault="001C623D" w:rsidP="001C623D">
      <w:pPr>
        <w:ind w:left="2160" w:hanging="864"/>
      </w:pPr>
    </w:p>
    <w:p w:rsidR="001C623D" w:rsidRDefault="006450E9" w:rsidP="001C623D">
      <w:pPr>
        <w:ind w:left="2160" w:hanging="864"/>
      </w:pPr>
      <w:r>
        <w:t>(</w:t>
      </w:r>
      <w:r w:rsidR="0071018D">
        <w:t>e</w:t>
      </w:r>
      <w:r>
        <w:t>)</w:t>
      </w:r>
      <w:r>
        <w:tab/>
      </w:r>
      <w:r w:rsidR="001C623D">
        <w:t>Section</w:t>
      </w:r>
      <w:r>
        <w:t xml:space="preserve"> 15, p. 5 again modifies over 20 years of Commission policy and precedent by apparently discarding the long-standing </w:t>
      </w:r>
      <w:r w:rsidR="00551B2F">
        <w:t xml:space="preserve">doctrine </w:t>
      </w:r>
      <w:r>
        <w:t>that a “desire for competition is insufficient to satisfy RCW 81.77.040,” substituting in its stead, a fluid, “moving target” subjective standard relating to “the benefits of competition.”</w:t>
      </w:r>
    </w:p>
    <w:p w:rsidR="001C623D" w:rsidRDefault="001C623D" w:rsidP="001C623D">
      <w:pPr>
        <w:ind w:left="2160" w:hanging="864"/>
      </w:pPr>
    </w:p>
    <w:p w:rsidR="001C623D" w:rsidRDefault="006450E9" w:rsidP="001C623D">
      <w:pPr>
        <w:ind w:left="2160" w:hanging="864"/>
      </w:pPr>
      <w:r>
        <w:t>(</w:t>
      </w:r>
      <w:r w:rsidR="0071018D">
        <w:t>f</w:t>
      </w:r>
      <w:r>
        <w:t>)</w:t>
      </w:r>
      <w:r>
        <w:tab/>
      </w:r>
      <w:r w:rsidR="001C623D">
        <w:t>Section</w:t>
      </w:r>
      <w:r>
        <w:t xml:space="preserve"> 16, p. 6 incorrectly </w:t>
      </w:r>
      <w:r w:rsidR="00B10B0C">
        <w:t xml:space="preserve">equates </w:t>
      </w:r>
      <w:r>
        <w:t xml:space="preserve">“competition” with “statewide service,” as related to the WRRA Companies who, of course, are not authorized to provide statewide service but do provide service within their </w:t>
      </w:r>
      <w:r w:rsidR="00F9054C">
        <w:t xml:space="preserve">respective </w:t>
      </w:r>
      <w:r>
        <w:t xml:space="preserve">certificated areas.  Thus, if the Commission </w:t>
      </w:r>
      <w:r w:rsidR="002165F2">
        <w:t xml:space="preserve">true </w:t>
      </w:r>
      <w:r>
        <w:t xml:space="preserve">“policy” </w:t>
      </w:r>
      <w:r w:rsidR="00F9054C">
        <w:t xml:space="preserve">for biomedical waste service </w:t>
      </w:r>
      <w:r w:rsidR="004A70C7">
        <w:t xml:space="preserve">is </w:t>
      </w:r>
      <w:r>
        <w:t>to favor competition, it already exists in these areas.</w:t>
      </w:r>
    </w:p>
    <w:p w:rsidR="001C623D" w:rsidRDefault="001C623D" w:rsidP="001C623D">
      <w:pPr>
        <w:ind w:left="2160" w:hanging="864"/>
      </w:pPr>
    </w:p>
    <w:p w:rsidR="001C623D" w:rsidRDefault="006450E9" w:rsidP="001C623D">
      <w:pPr>
        <w:ind w:left="2160" w:hanging="864"/>
      </w:pPr>
      <w:r>
        <w:t>(</w:t>
      </w:r>
      <w:r w:rsidR="0071018D">
        <w:t>g</w:t>
      </w:r>
      <w:r>
        <w:t>)</w:t>
      </w:r>
      <w:r>
        <w:tab/>
      </w:r>
      <w:r w:rsidR="001C623D">
        <w:t>Section</w:t>
      </w:r>
      <w:r>
        <w:t xml:space="preserve"> 21, p. 7 places </w:t>
      </w:r>
      <w:r w:rsidR="002165F2">
        <w:t xml:space="preserve">reliance </w:t>
      </w:r>
      <w:r>
        <w:t>on a doctrine that to the WRRA Compa</w:t>
      </w:r>
      <w:r w:rsidR="00F9054C">
        <w:t xml:space="preserve">nies’ knowledge does not exist, </w:t>
      </w:r>
      <w:r>
        <w:t xml:space="preserve">that Protestants somehow are required to prove that they would suffer substantial, </w:t>
      </w:r>
      <w:r w:rsidR="00F9054C">
        <w:t xml:space="preserve">irreparable and </w:t>
      </w:r>
      <w:r>
        <w:t xml:space="preserve">even “ruinous” financial harm if </w:t>
      </w:r>
      <w:r w:rsidR="00B10B0C">
        <w:t xml:space="preserve">an </w:t>
      </w:r>
      <w:r>
        <w:t>Application were to be granted.  Again, this equation circumvents the statutory test of RCW 81.77.040, which is the “satisfactory service” standard.</w:t>
      </w:r>
    </w:p>
    <w:p w:rsidR="001C623D" w:rsidRDefault="001C623D" w:rsidP="001C623D">
      <w:pPr>
        <w:ind w:left="2160" w:hanging="864"/>
      </w:pPr>
    </w:p>
    <w:p w:rsidR="006450E9" w:rsidRDefault="006450E9" w:rsidP="001C623D">
      <w:pPr>
        <w:ind w:left="2160" w:hanging="864"/>
      </w:pPr>
      <w:r>
        <w:t>(</w:t>
      </w:r>
      <w:r w:rsidR="0071018D">
        <w:t>h</w:t>
      </w:r>
      <w:r>
        <w:t>)</w:t>
      </w:r>
      <w:r>
        <w:tab/>
      </w:r>
      <w:r w:rsidR="001C623D">
        <w:t>Section</w:t>
      </w:r>
      <w:r>
        <w:t xml:space="preserve"> 22, p. 7 jettisons </w:t>
      </w:r>
      <w:r w:rsidR="002165F2">
        <w:t xml:space="preserve">an evaluation </w:t>
      </w:r>
      <w:r w:rsidR="004A70C7">
        <w:t xml:space="preserve">of “cream skimming” </w:t>
      </w:r>
      <w:r>
        <w:t xml:space="preserve">(or “cherry picking”) as “irrelevant” to analysis of applications under RCW 81.77.040.  Its </w:t>
      </w:r>
      <w:r w:rsidR="00B10B0C">
        <w:t xml:space="preserve">premise </w:t>
      </w:r>
      <w:r>
        <w:t xml:space="preserve">that the local haulers do not serve any large hospitals (and </w:t>
      </w:r>
      <w:r w:rsidR="00F9054C">
        <w:t xml:space="preserve">that </w:t>
      </w:r>
      <w:r>
        <w:t xml:space="preserve">one, Rubatino, lost a large hospital to Stericycle) is actually an analogy in reverse.  The loss of that large commercial account </w:t>
      </w:r>
      <w:r>
        <w:lastRenderedPageBreak/>
        <w:t xml:space="preserve">to the existing statewide provider, Stericycle, portends additional large account migration </w:t>
      </w:r>
      <w:r w:rsidR="001C623D">
        <w:t>(</w:t>
      </w:r>
      <w:r>
        <w:t>“c</w:t>
      </w:r>
      <w:r w:rsidR="001C623D">
        <w:t xml:space="preserve">herry picking”) </w:t>
      </w:r>
      <w:r>
        <w:t>in the future</w:t>
      </w:r>
      <w:r w:rsidR="00B10B0C">
        <w:t xml:space="preserve">, </w:t>
      </w:r>
      <w:r w:rsidR="00F9054C">
        <w:t>should a second statewide license be granted</w:t>
      </w:r>
      <w:r>
        <w:t xml:space="preserve">.  </w:t>
      </w:r>
      <w:r w:rsidR="001C623D">
        <w:t xml:space="preserve">The Order </w:t>
      </w:r>
      <w:r>
        <w:t xml:space="preserve">then </w:t>
      </w:r>
      <w:r w:rsidR="00F9054C">
        <w:t xml:space="preserve">also </w:t>
      </w:r>
      <w:r>
        <w:t xml:space="preserve">suggests </w:t>
      </w:r>
      <w:r w:rsidR="001C623D">
        <w:t xml:space="preserve">that </w:t>
      </w:r>
      <w:r>
        <w:t xml:space="preserve">the “cream skimming” impact of this application is </w:t>
      </w:r>
      <w:r w:rsidR="002165F2">
        <w:t>unproven and, therefore, hypothetical</w:t>
      </w:r>
      <w:r w:rsidR="00060342">
        <w:t xml:space="preserve">.  However, that issue has been an important factor in previous Commission </w:t>
      </w:r>
      <w:r w:rsidR="002165F2">
        <w:t>solid waste applications</w:t>
      </w:r>
      <w:r w:rsidR="00060342">
        <w:t xml:space="preserve">.  This is not an irrelevant issue; it is </w:t>
      </w:r>
      <w:r w:rsidR="00B10B0C">
        <w:t xml:space="preserve">very pertinent </w:t>
      </w:r>
      <w:r w:rsidR="00060342">
        <w:t xml:space="preserve">and is one of the </w:t>
      </w:r>
      <w:r>
        <w:t xml:space="preserve">primary reasons we have a regulated solid waste industry </w:t>
      </w:r>
      <w:r w:rsidR="00060342">
        <w:t xml:space="preserve">which is </w:t>
      </w:r>
      <w:r>
        <w:t xml:space="preserve">to prevent just that type of preferential, </w:t>
      </w:r>
      <w:r w:rsidR="00060342">
        <w:t xml:space="preserve">selective </w:t>
      </w:r>
      <w:r w:rsidR="00B10B0C">
        <w:t xml:space="preserve">(as opposed to universal) </w:t>
      </w:r>
      <w:r>
        <w:t xml:space="preserve">solid waste </w:t>
      </w:r>
      <w:r w:rsidR="00060342">
        <w:t>service</w:t>
      </w:r>
      <w:r>
        <w:t>.</w:t>
      </w:r>
    </w:p>
    <w:p w:rsidR="0071018D" w:rsidRDefault="0071018D" w:rsidP="0071018D"/>
    <w:p w:rsidR="0071018D" w:rsidRPr="0071018D" w:rsidRDefault="0071018D" w:rsidP="0071018D">
      <w:pPr>
        <w:jc w:val="center"/>
        <w:rPr>
          <w:u w:val="single"/>
        </w:rPr>
      </w:pPr>
      <w:r w:rsidRPr="0071018D">
        <w:t>II.</w:t>
      </w:r>
      <w:r>
        <w:t xml:space="preserve">  </w:t>
      </w:r>
      <w:r>
        <w:rPr>
          <w:u w:val="single"/>
        </w:rPr>
        <w:t>OBJECTIONS TO FINDINGS OF FACT AND CONCLUSIONS OF LAW</w:t>
      </w:r>
    </w:p>
    <w:p w:rsidR="0071018D" w:rsidRDefault="0071018D" w:rsidP="0071018D"/>
    <w:p w:rsidR="00A77A4B" w:rsidRDefault="00CE7C3E" w:rsidP="00A77A4B">
      <w:pPr>
        <w:numPr>
          <w:ilvl w:val="0"/>
          <w:numId w:val="14"/>
        </w:numPr>
        <w:tabs>
          <w:tab w:val="num" w:pos="720"/>
        </w:tabs>
        <w:spacing w:line="480" w:lineRule="auto"/>
        <w:ind w:left="720" w:hanging="720"/>
      </w:pPr>
      <w:r>
        <w:t xml:space="preserve">Pursuant </w:t>
      </w:r>
      <w:r w:rsidR="002165F2">
        <w:t xml:space="preserve">again </w:t>
      </w:r>
      <w:r>
        <w:t>to WAC 480-07-8</w:t>
      </w:r>
      <w:r w:rsidR="00B10B0C">
        <w:t>2</w:t>
      </w:r>
      <w:r>
        <w:t>5, Protestants take specific exception in their Petition for Administrative Review to the following Findings of Fact and Conclusions of Law and propose alternative language as set forth thereafter:</w:t>
      </w:r>
    </w:p>
    <w:p w:rsidR="00A77A4B" w:rsidRPr="00E87D6B" w:rsidRDefault="00A77A4B" w:rsidP="00A77A4B">
      <w:pPr>
        <w:numPr>
          <w:ilvl w:val="0"/>
          <w:numId w:val="14"/>
        </w:numPr>
        <w:tabs>
          <w:tab w:val="num" w:pos="720"/>
        </w:tabs>
        <w:spacing w:line="480" w:lineRule="auto"/>
        <w:ind w:left="720" w:hanging="720"/>
      </w:pPr>
      <w:r w:rsidRPr="00E87D6B">
        <w:t>Objection to Finding of Fact No. 4, Section 31, page 10 of Initial Order No. 7</w:t>
      </w:r>
      <w:r>
        <w:t>, which provides</w:t>
      </w:r>
      <w:r w:rsidRPr="00E87D6B">
        <w:t>:</w:t>
      </w:r>
    </w:p>
    <w:p w:rsidR="00A77A4B" w:rsidRPr="00E87D6B" w:rsidRDefault="00A77A4B" w:rsidP="00A77A4B">
      <w:pPr>
        <w:ind w:left="720" w:right="720" w:hanging="720"/>
      </w:pPr>
      <w:r w:rsidRPr="00E87D6B">
        <w:tab/>
        <w:t>Waste Management of Washington, Inc. has demonstrated that the public’s need for a competitive alternative to the existing service provider</w:t>
      </w:r>
      <w:r w:rsidR="002165F2">
        <w:t>s</w:t>
      </w:r>
      <w:r w:rsidRPr="00E87D6B">
        <w:t xml:space="preserve"> outweighs those providers’ unsubstantiated claims of an adverse economic impact on their operations. </w:t>
      </w:r>
    </w:p>
    <w:p w:rsidR="00A77A4B" w:rsidRPr="00E87D6B" w:rsidRDefault="00A77A4B" w:rsidP="00B37E10">
      <w:pPr>
        <w:ind w:left="720" w:hanging="720"/>
      </w:pPr>
    </w:p>
    <w:p w:rsidR="00A77A4B" w:rsidRPr="00E87D6B" w:rsidRDefault="00A77A4B" w:rsidP="00A77A4B">
      <w:pPr>
        <w:numPr>
          <w:ilvl w:val="0"/>
          <w:numId w:val="14"/>
        </w:numPr>
        <w:tabs>
          <w:tab w:val="num" w:pos="720"/>
        </w:tabs>
        <w:spacing w:line="480" w:lineRule="auto"/>
        <w:ind w:left="720" w:hanging="720"/>
      </w:pPr>
      <w:r w:rsidRPr="00E87D6B">
        <w:t xml:space="preserve">The parties also object to Conclusion of Law No. 2, Section 35, page 10 of Initial Order </w:t>
      </w:r>
      <w:r>
        <w:t xml:space="preserve">No. </w:t>
      </w:r>
      <w:r w:rsidRPr="00E87D6B">
        <w:t>7 in the following aspects:</w:t>
      </w:r>
    </w:p>
    <w:p w:rsidR="00A77A4B" w:rsidRPr="00E87D6B" w:rsidRDefault="00A77A4B" w:rsidP="00A77A4B">
      <w:pPr>
        <w:spacing w:after="240"/>
        <w:ind w:left="1440" w:right="720" w:hanging="720"/>
        <w:rPr>
          <w:bCs/>
          <w:szCs w:val="25"/>
        </w:rPr>
      </w:pPr>
      <w:r w:rsidRPr="00E87D6B">
        <w:rPr>
          <w:bCs/>
          <w:szCs w:val="25"/>
        </w:rPr>
        <w:t>(2)</w:t>
      </w:r>
      <w:r w:rsidRPr="00E87D6B">
        <w:rPr>
          <w:bCs/>
          <w:szCs w:val="25"/>
        </w:rPr>
        <w:tab/>
        <w:t>Waste Management of Washington, Inc., has satisfied the requirements in RCW 81.77.040 for obtaining a certificate of public convenience and necessity to provide bio-hazardous waste collection service on a statewide basis:</w:t>
      </w:r>
    </w:p>
    <w:p w:rsidR="00A77A4B" w:rsidRPr="00E87D6B" w:rsidRDefault="00A77A4B" w:rsidP="00A77A4B">
      <w:pPr>
        <w:numPr>
          <w:ilvl w:val="0"/>
          <w:numId w:val="15"/>
        </w:numPr>
        <w:spacing w:after="240"/>
        <w:ind w:right="720"/>
        <w:rPr>
          <w:bCs/>
          <w:szCs w:val="25"/>
        </w:rPr>
      </w:pPr>
      <w:r w:rsidRPr="00E87D6B">
        <w:rPr>
          <w:bCs/>
          <w:szCs w:val="25"/>
        </w:rPr>
        <w:t>Based on the record evidence and the circumstances presented in the application, the existing companies will not provide service to the satisfaction of the Commission without the statewide competitive alternative Waste Management of Washington, Inc., would provide;</w:t>
      </w:r>
    </w:p>
    <w:p w:rsidR="00A77A4B" w:rsidRPr="00973267" w:rsidRDefault="00A77A4B" w:rsidP="00A77A4B">
      <w:pPr>
        <w:numPr>
          <w:ilvl w:val="0"/>
          <w:numId w:val="15"/>
        </w:numPr>
        <w:spacing w:after="240"/>
        <w:ind w:right="720"/>
        <w:rPr>
          <w:bCs/>
          <w:szCs w:val="25"/>
        </w:rPr>
      </w:pPr>
      <w:r w:rsidRPr="00E87D6B">
        <w:rPr>
          <w:szCs w:val="25"/>
        </w:rPr>
        <w:t>Granting the application will not significantly impact the needs of existing carriers for a customer base that is large enough for economic viability, considering their obligation to provide satisfactory service, and will enhance the public’s ability to obtain responsive service, and as a result, the public convenience and necessity requires the proposed service;</w:t>
      </w:r>
    </w:p>
    <w:p w:rsidR="0071018D" w:rsidRPr="008E002E" w:rsidRDefault="0071018D" w:rsidP="0071018D">
      <w:pPr>
        <w:spacing w:after="240"/>
        <w:ind w:right="720"/>
        <w:jc w:val="center"/>
        <w:rPr>
          <w:bCs/>
          <w:szCs w:val="25"/>
        </w:rPr>
      </w:pPr>
      <w:r>
        <w:rPr>
          <w:bCs/>
          <w:szCs w:val="25"/>
        </w:rPr>
        <w:t xml:space="preserve">III.  </w:t>
      </w:r>
      <w:r w:rsidRPr="0071018D">
        <w:rPr>
          <w:bCs/>
          <w:szCs w:val="25"/>
          <w:u w:val="single"/>
        </w:rPr>
        <w:t>PROPOSED FINDINGS OF FACT AND CONCLUSIONS OF LAW</w:t>
      </w:r>
    </w:p>
    <w:p w:rsidR="00A77A4B" w:rsidRDefault="00A77A4B" w:rsidP="00A77A4B">
      <w:pPr>
        <w:numPr>
          <w:ilvl w:val="0"/>
          <w:numId w:val="14"/>
        </w:numPr>
        <w:tabs>
          <w:tab w:val="num" w:pos="720"/>
        </w:tabs>
        <w:spacing w:line="480" w:lineRule="auto"/>
        <w:ind w:left="720" w:hanging="720"/>
      </w:pPr>
      <w:r>
        <w:t>The WRRA Companies and the WRRA, in objecting to Finding of Fact No. 4, propose the following be substituted in its stead:</w:t>
      </w:r>
    </w:p>
    <w:p w:rsidR="00A77A4B" w:rsidRDefault="00A77A4B" w:rsidP="002165F2">
      <w:pPr>
        <w:tabs>
          <w:tab w:val="left" w:pos="1440"/>
        </w:tabs>
        <w:ind w:left="1440" w:right="720" w:hanging="720"/>
        <w:rPr>
          <w:b/>
        </w:rPr>
      </w:pPr>
      <w:r w:rsidRPr="0071018D">
        <w:rPr>
          <w:b/>
        </w:rPr>
        <w:t>(4)</w:t>
      </w:r>
      <w:r w:rsidR="002165F2">
        <w:rPr>
          <w:b/>
        </w:rPr>
        <w:tab/>
      </w:r>
      <w:r w:rsidRPr="0071018D">
        <w:rPr>
          <w:b/>
        </w:rPr>
        <w:t xml:space="preserve">Waste Management of Washington, Inc. has not demonstrated that the public convenience and necessity requires a third provider of biomedical waste service in the certificated territories of Rubatino Refuse Removal, Inc., Consolidated Disposal Services, Inc., Murrey’s Disposal, Inc. and Pullman Disposal Services, Inc.  On this record, the Commission finds there has been no demonstration that current service in these territories is unsatisfactory or that the requirements of generator customers for alternative service at present in these four territories should </w:t>
      </w:r>
      <w:r w:rsidR="005C7366">
        <w:rPr>
          <w:b/>
        </w:rPr>
        <w:t xml:space="preserve">result in overlap </w:t>
      </w:r>
      <w:r w:rsidRPr="0071018D">
        <w:rPr>
          <w:b/>
        </w:rPr>
        <w:t>by a third provider or is otherwise required by the public convenience and necessity</w:t>
      </w:r>
      <w:r w:rsidR="0071018D">
        <w:rPr>
          <w:b/>
        </w:rPr>
        <w:t xml:space="preserve"> and consistent with the public interest</w:t>
      </w:r>
      <w:r w:rsidRPr="0071018D">
        <w:rPr>
          <w:b/>
        </w:rPr>
        <w:t>.</w:t>
      </w:r>
    </w:p>
    <w:p w:rsidR="0071018D" w:rsidRPr="0071018D" w:rsidRDefault="0071018D" w:rsidP="0071018D">
      <w:pPr>
        <w:ind w:left="2160" w:right="720" w:hanging="1440"/>
        <w:rPr>
          <w:b/>
        </w:rPr>
      </w:pPr>
    </w:p>
    <w:p w:rsidR="00A77A4B" w:rsidRDefault="00A77A4B" w:rsidP="00A77A4B">
      <w:pPr>
        <w:numPr>
          <w:ilvl w:val="0"/>
          <w:numId w:val="14"/>
        </w:numPr>
        <w:tabs>
          <w:tab w:val="num" w:pos="720"/>
        </w:tabs>
        <w:spacing w:line="480" w:lineRule="auto"/>
        <w:ind w:left="720" w:hanging="720"/>
      </w:pPr>
      <w:r>
        <w:t>The WRRA Companies and WRRA, in objecting to portions of C</w:t>
      </w:r>
      <w:r w:rsidRPr="00E87D6B">
        <w:t xml:space="preserve">onclusions of </w:t>
      </w:r>
      <w:r>
        <w:t>L</w:t>
      </w:r>
      <w:r w:rsidRPr="00E87D6B">
        <w:t xml:space="preserve">aw </w:t>
      </w:r>
      <w:r>
        <w:t>No.</w:t>
      </w:r>
      <w:r w:rsidR="002B7ADF">
        <w:t> </w:t>
      </w:r>
      <w:r>
        <w:t>2, recommend the following proposed Conclusion of Law be substituted:</w:t>
      </w:r>
    </w:p>
    <w:p w:rsidR="00A77A4B" w:rsidRPr="0071018D" w:rsidRDefault="00A77A4B" w:rsidP="002B7ADF">
      <w:pPr>
        <w:ind w:left="2160" w:hanging="1440"/>
        <w:rPr>
          <w:b/>
        </w:rPr>
      </w:pPr>
      <w:r w:rsidRPr="0071018D">
        <w:rPr>
          <w:b/>
        </w:rPr>
        <w:t>(2)</w:t>
      </w:r>
      <w:r w:rsidR="0071018D" w:rsidRPr="0071018D">
        <w:rPr>
          <w:b/>
        </w:rPr>
        <w:t>(a-</w:t>
      </w:r>
      <w:r w:rsidR="000E675E">
        <w:rPr>
          <w:b/>
        </w:rPr>
        <w:t>b</w:t>
      </w:r>
      <w:r w:rsidR="002B7ADF" w:rsidRPr="0071018D">
        <w:rPr>
          <w:b/>
        </w:rPr>
        <w:t>)</w:t>
      </w:r>
      <w:r w:rsidRPr="0071018D">
        <w:rPr>
          <w:b/>
        </w:rPr>
        <w:tab/>
        <w:t>As to the four limited geographic territories represented in the certificates of Rubatino Refuse Removal, Inc., Consolidated Disposal Services, Inc., Murrey’s Disposal, Inc. and Pullman Disposal Services, Inc., Waste Management of Washington, Inc. has not satisfied the requirements of RCW 81.77.040 necessary to obtain a certificate of public convenience and necessity in the aforem</w:t>
      </w:r>
      <w:r w:rsidR="005C7366">
        <w:rPr>
          <w:b/>
        </w:rPr>
        <w:t xml:space="preserve">entioned certificated territories, </w:t>
      </w:r>
      <w:r w:rsidRPr="0071018D">
        <w:rPr>
          <w:b/>
        </w:rPr>
        <w:t xml:space="preserve">and the Commission expressly finds the record evidence and facts presented in the </w:t>
      </w:r>
      <w:r w:rsidR="005C7366">
        <w:rPr>
          <w:b/>
        </w:rPr>
        <w:t xml:space="preserve">current docket demonstrate that, </w:t>
      </w:r>
      <w:r w:rsidRPr="0071018D">
        <w:rPr>
          <w:b/>
        </w:rPr>
        <w:t>at least as to these four existing companies, they are and will continue to provide biomedical waste collection service to the</w:t>
      </w:r>
      <w:r w:rsidR="005C7366">
        <w:rPr>
          <w:b/>
        </w:rPr>
        <w:t xml:space="preserve"> satisfaction of the Commission.</w:t>
      </w:r>
    </w:p>
    <w:p w:rsidR="00A77A4B" w:rsidRDefault="00A77A4B" w:rsidP="002B7ADF">
      <w:pPr>
        <w:rPr>
          <w:u w:val="single"/>
        </w:rPr>
      </w:pPr>
    </w:p>
    <w:p w:rsidR="00B37E10" w:rsidRDefault="000E675E" w:rsidP="000E675E">
      <w:pPr>
        <w:jc w:val="center"/>
      </w:pPr>
      <w:r w:rsidRPr="000E675E">
        <w:t xml:space="preserve">IV.  </w:t>
      </w:r>
      <w:r w:rsidR="00B37E10" w:rsidRPr="00B37E10">
        <w:rPr>
          <w:u w:val="single"/>
        </w:rPr>
        <w:t>ARGUMENT IN SUPPORT OF PETITION FOR ADMINISTRATIVE REVIEW</w:t>
      </w:r>
    </w:p>
    <w:p w:rsidR="00B37E10" w:rsidRDefault="00B37E10" w:rsidP="000E675E">
      <w:pPr>
        <w:jc w:val="center"/>
      </w:pPr>
    </w:p>
    <w:p w:rsidR="005C7366" w:rsidRPr="005C7366" w:rsidRDefault="005C7366" w:rsidP="000E675E">
      <w:pPr>
        <w:jc w:val="center"/>
        <w:rPr>
          <w:u w:val="single"/>
        </w:rPr>
      </w:pPr>
      <w:r>
        <w:rPr>
          <w:u w:val="single"/>
        </w:rPr>
        <w:t>Part I</w:t>
      </w:r>
    </w:p>
    <w:p w:rsidR="005C7366" w:rsidRDefault="005C7366" w:rsidP="000E675E">
      <w:pPr>
        <w:jc w:val="center"/>
      </w:pPr>
    </w:p>
    <w:p w:rsidR="00B37E10" w:rsidRDefault="00B37E10" w:rsidP="00B37E10">
      <w:pPr>
        <w:ind w:left="720" w:hanging="720"/>
      </w:pPr>
      <w:r>
        <w:t>A.</w:t>
      </w:r>
      <w:r>
        <w:tab/>
      </w:r>
      <w:r w:rsidRPr="00B37E10">
        <w:rPr>
          <w:u w:val="single"/>
        </w:rPr>
        <w:t xml:space="preserve">The </w:t>
      </w:r>
      <w:r w:rsidR="00512AFD">
        <w:rPr>
          <w:u w:val="single"/>
        </w:rPr>
        <w:t>T</w:t>
      </w:r>
      <w:r w:rsidRPr="00B37E10">
        <w:rPr>
          <w:u w:val="single"/>
        </w:rPr>
        <w:t xml:space="preserve">hreshold </w:t>
      </w:r>
      <w:r w:rsidR="00512AFD">
        <w:rPr>
          <w:u w:val="single"/>
        </w:rPr>
        <w:t>S</w:t>
      </w:r>
      <w:r w:rsidRPr="00B37E10">
        <w:rPr>
          <w:u w:val="single"/>
        </w:rPr>
        <w:t xml:space="preserve">atisfactory </w:t>
      </w:r>
      <w:r w:rsidR="00512AFD">
        <w:rPr>
          <w:u w:val="single"/>
        </w:rPr>
        <w:t>S</w:t>
      </w:r>
      <w:r w:rsidRPr="00B37E10">
        <w:rPr>
          <w:u w:val="single"/>
        </w:rPr>
        <w:t xml:space="preserve">ervice </w:t>
      </w:r>
      <w:r w:rsidR="00512AFD">
        <w:rPr>
          <w:u w:val="single"/>
        </w:rPr>
        <w:t>T</w:t>
      </w:r>
      <w:r w:rsidRPr="00B37E10">
        <w:rPr>
          <w:u w:val="single"/>
        </w:rPr>
        <w:t xml:space="preserve">est for </w:t>
      </w:r>
      <w:r w:rsidR="00512AFD">
        <w:rPr>
          <w:u w:val="single"/>
        </w:rPr>
        <w:t>O</w:t>
      </w:r>
      <w:r w:rsidRPr="00B37E10">
        <w:rPr>
          <w:u w:val="single"/>
        </w:rPr>
        <w:t xml:space="preserve">verlapping </w:t>
      </w:r>
      <w:r w:rsidR="00512AFD">
        <w:rPr>
          <w:u w:val="single"/>
        </w:rPr>
        <w:t>S</w:t>
      </w:r>
      <w:r w:rsidRPr="00B37E10">
        <w:rPr>
          <w:u w:val="single"/>
        </w:rPr>
        <w:t xml:space="preserve">ervice is </w:t>
      </w:r>
      <w:r w:rsidR="00512AFD">
        <w:rPr>
          <w:u w:val="single"/>
        </w:rPr>
        <w:t>L</w:t>
      </w:r>
      <w:r w:rsidRPr="00B37E10">
        <w:rPr>
          <w:u w:val="single"/>
        </w:rPr>
        <w:t xml:space="preserve">ost in </w:t>
      </w:r>
      <w:r w:rsidR="00512AFD">
        <w:rPr>
          <w:u w:val="single"/>
        </w:rPr>
        <w:t>T</w:t>
      </w:r>
      <w:r w:rsidRPr="00B37E10">
        <w:rPr>
          <w:u w:val="single"/>
        </w:rPr>
        <w:t xml:space="preserve">ranslation in the </w:t>
      </w:r>
      <w:r w:rsidR="002165F2">
        <w:rPr>
          <w:u w:val="single"/>
        </w:rPr>
        <w:t>I</w:t>
      </w:r>
      <w:r w:rsidRPr="00B37E10">
        <w:rPr>
          <w:u w:val="single"/>
        </w:rPr>
        <w:t>n</w:t>
      </w:r>
      <w:r w:rsidR="002165F2">
        <w:rPr>
          <w:u w:val="single"/>
        </w:rPr>
        <w:t>i</w:t>
      </w:r>
      <w:r w:rsidRPr="00B37E10">
        <w:rPr>
          <w:u w:val="single"/>
        </w:rPr>
        <w:t xml:space="preserve">tial </w:t>
      </w:r>
      <w:r w:rsidR="002165F2">
        <w:rPr>
          <w:u w:val="single"/>
        </w:rPr>
        <w:t>O</w:t>
      </w:r>
      <w:r w:rsidRPr="00B37E10">
        <w:rPr>
          <w:u w:val="single"/>
        </w:rPr>
        <w:t>rder</w:t>
      </w:r>
      <w:r>
        <w:t>.</w:t>
      </w:r>
    </w:p>
    <w:p w:rsidR="00B37E10" w:rsidRDefault="00B37E10" w:rsidP="00B37E10"/>
    <w:p w:rsidR="00D272D1" w:rsidRDefault="00D272D1" w:rsidP="00CE7C3E">
      <w:pPr>
        <w:numPr>
          <w:ilvl w:val="0"/>
          <w:numId w:val="14"/>
        </w:numPr>
        <w:tabs>
          <w:tab w:val="num" w:pos="720"/>
        </w:tabs>
        <w:spacing w:line="480" w:lineRule="auto"/>
        <w:ind w:left="720" w:hanging="720"/>
      </w:pPr>
      <w:r>
        <w:t xml:space="preserve">The reader of the Initial Order is left wondering if there </w:t>
      </w:r>
      <w:r w:rsidR="00B37E10">
        <w:t xml:space="preserve">now </w:t>
      </w:r>
      <w:r>
        <w:t>remains a</w:t>
      </w:r>
      <w:r w:rsidR="00B10B0C">
        <w:t>ny</w:t>
      </w:r>
      <w:r>
        <w:t xml:space="preserve"> “threshold test” for </w:t>
      </w:r>
      <w:r w:rsidR="00B10B0C">
        <w:t xml:space="preserve">solid waste </w:t>
      </w:r>
      <w:r>
        <w:t>entry and, if so, what it is.  The Order seems to ignore not only long-standing Commission precedent, but a very clear and simply-stated statute, RCW</w:t>
      </w:r>
      <w:r w:rsidR="00B10B0C">
        <w:t> </w:t>
      </w:r>
      <w:r>
        <w:t>81.77.040</w:t>
      </w:r>
      <w:r w:rsidR="00B37E10">
        <w:t>,</w:t>
      </w:r>
      <w:r>
        <w:t xml:space="preserve"> which, of course, provides that overlapping authority </w:t>
      </w:r>
      <w:r w:rsidR="00B37E10">
        <w:t xml:space="preserve">be issued </w:t>
      </w:r>
      <w:r>
        <w:t xml:space="preserve">only if the current provider “will not provide service to the satisfaction of the Commission.”  In the last of the </w:t>
      </w:r>
      <w:r w:rsidRPr="00B37E10">
        <w:rPr>
          <w:i/>
        </w:rPr>
        <w:t>Superior Refuse</w:t>
      </w:r>
      <w:r>
        <w:t xml:space="preserve"> cases, </w:t>
      </w:r>
      <w:r>
        <w:rPr>
          <w:i/>
        </w:rPr>
        <w:t>In re Application of Superior Refuse Removal Corp.</w:t>
      </w:r>
      <w:r>
        <w:t>, Order M.V.G. 1639 (June 1993), the Commission specifically found:</w:t>
      </w:r>
    </w:p>
    <w:p w:rsidR="00A829E8" w:rsidRDefault="00A829E8" w:rsidP="00A829E8">
      <w:pPr>
        <w:ind w:left="720" w:right="720"/>
      </w:pPr>
      <w:r w:rsidRPr="00A829E8">
        <w:t>The</w:t>
      </w:r>
      <w:r>
        <w:t xml:space="preserve"> “satisfaction of the Commission requirement” is the </w:t>
      </w:r>
      <w:r>
        <w:rPr>
          <w:u w:val="single"/>
        </w:rPr>
        <w:t>threshold test</w:t>
      </w:r>
      <w:r>
        <w:t xml:space="preserve"> for determining an application for overlapping solid waste authority.  If the Commission resolves that issue in the existing certificate holder’s favor,</w:t>
      </w:r>
      <w:r w:rsidR="00B37E10">
        <w:t xml:space="preserve"> it must deny the application.</w:t>
      </w:r>
    </w:p>
    <w:p w:rsidR="00A829E8" w:rsidRDefault="00A829E8" w:rsidP="00A829E8">
      <w:pPr>
        <w:ind w:left="720" w:right="720"/>
      </w:pPr>
    </w:p>
    <w:p w:rsidR="00A829E8" w:rsidRDefault="00A829E8" w:rsidP="00A829E8">
      <w:pPr>
        <w:ind w:left="720" w:right="720"/>
      </w:pPr>
      <w:r>
        <w:t>… The Commission must apply the test in a manner consistent with the Legislature’s reluctance to permit overlapping solid waste authorities.</w:t>
      </w:r>
      <w:r w:rsidR="00B37E10">
        <w:rPr>
          <w:rStyle w:val="FootnoteReference"/>
        </w:rPr>
        <w:footnoteReference w:id="3"/>
      </w:r>
      <w:r w:rsidR="005C7366">
        <w:t xml:space="preserve"> </w:t>
      </w:r>
    </w:p>
    <w:p w:rsidR="00A829E8" w:rsidRPr="00A829E8" w:rsidRDefault="00A829E8" w:rsidP="00A829E8"/>
    <w:p w:rsidR="0071018D" w:rsidRDefault="00D272D1" w:rsidP="0071018D">
      <w:pPr>
        <w:numPr>
          <w:ilvl w:val="0"/>
          <w:numId w:val="14"/>
        </w:numPr>
        <w:tabs>
          <w:tab w:val="num" w:pos="720"/>
        </w:tabs>
        <w:spacing w:line="480" w:lineRule="auto"/>
        <w:ind w:left="720" w:hanging="720"/>
      </w:pPr>
      <w:r w:rsidRPr="00D272D1">
        <w:t>Simply</w:t>
      </w:r>
      <w:r>
        <w:t xml:space="preserve"> put, an applicant </w:t>
      </w:r>
      <w:r w:rsidR="00B10B0C">
        <w:t xml:space="preserve">in either a biomedical waste case or any solid waste case </w:t>
      </w:r>
      <w:r w:rsidR="002165F2">
        <w:t xml:space="preserve">still </w:t>
      </w:r>
      <w:r>
        <w:t xml:space="preserve">must </w:t>
      </w:r>
      <w:r w:rsidR="00B10B0C">
        <w:t xml:space="preserve">first </w:t>
      </w:r>
      <w:r w:rsidR="00B37E10">
        <w:t xml:space="preserve">demonstrate </w:t>
      </w:r>
      <w:r>
        <w:t>that the incumbent is not providing satisfactory service.  If that showing is not made, the application fails.  Here, as to the WRRA Companies, not only was there no showing of unsatisfactory service, there was not even a</w:t>
      </w:r>
      <w:r w:rsidR="00B37E10">
        <w:t xml:space="preserve"> concerted </w:t>
      </w:r>
      <w:r>
        <w:t xml:space="preserve">attempt to do so.  Not a single witness on behalf of Applicant </w:t>
      </w:r>
      <w:r w:rsidR="00973267">
        <w:t xml:space="preserve">essentially </w:t>
      </w:r>
      <w:r>
        <w:t xml:space="preserve">more than </w:t>
      </w:r>
      <w:r w:rsidR="00B10B0C">
        <w:t xml:space="preserve">in passing </w:t>
      </w:r>
      <w:r>
        <w:t xml:space="preserve">mentioned any of these providers and not a single piece of evidence was offered by Applicant </w:t>
      </w:r>
      <w:r w:rsidR="00B37E10">
        <w:t xml:space="preserve">specifically </w:t>
      </w:r>
      <w:r>
        <w:t>critiquing their levels of service.  Similarly, there was no cross-examination that even hinted at the sorts of circumstances</w:t>
      </w:r>
      <w:r w:rsidR="00A829E8">
        <w:t xml:space="preserve"> that would constitute unsatisfactory ser</w:t>
      </w:r>
      <w:r w:rsidR="0071018D">
        <w:t>vice within their territories.</w:t>
      </w:r>
      <w:r w:rsidR="00157D9D">
        <w:rPr>
          <w:rStyle w:val="FootnoteReference"/>
        </w:rPr>
        <w:footnoteReference w:id="4"/>
      </w:r>
      <w:r w:rsidR="0071018D">
        <w:t xml:space="preserve">  Instead, </w:t>
      </w:r>
      <w:r w:rsidR="00B37E10">
        <w:t xml:space="preserve">on evaluation, </w:t>
      </w:r>
      <w:r w:rsidR="0071018D">
        <w:t xml:space="preserve">the administrative law judge seems to have been distracted by a </w:t>
      </w:r>
      <w:r w:rsidR="00973267">
        <w:t xml:space="preserve">novel </w:t>
      </w:r>
      <w:r w:rsidR="0071018D">
        <w:t xml:space="preserve">threshold test which effectively preempts the necessary preliminary finding on satisfactory service </w:t>
      </w:r>
      <w:r w:rsidR="00B37E10">
        <w:t xml:space="preserve">through </w:t>
      </w:r>
      <w:r w:rsidR="0071018D">
        <w:t xml:space="preserve">an evaluation the Commission has never </w:t>
      </w:r>
      <w:r w:rsidR="00B37E10">
        <w:t>recognized</w:t>
      </w:r>
      <w:r w:rsidR="0071018D">
        <w:t>, i.e., that the test for grant of overlapping certificate authority involves whether a dilution of profit potential will occur.</w:t>
      </w:r>
      <w:r w:rsidR="0071018D">
        <w:rPr>
          <w:rStyle w:val="FootnoteReference"/>
        </w:rPr>
        <w:footnoteReference w:id="5"/>
      </w:r>
      <w:r w:rsidR="0071018D">
        <w:t xml:space="preserve">  Indeed, </w:t>
      </w:r>
      <w:r w:rsidR="00973267">
        <w:t xml:space="preserve">after the satisfactory service evaluation, </w:t>
      </w:r>
      <w:r w:rsidR="0071018D">
        <w:t xml:space="preserve">as Protestants previously argued in their Reply Brief, the appropriate test for whether an application </w:t>
      </w:r>
      <w:r w:rsidR="0071018D">
        <w:rPr>
          <w:u w:val="single"/>
        </w:rPr>
        <w:t>where public need has been demonstrated</w:t>
      </w:r>
      <w:r w:rsidR="0071018D">
        <w:t xml:space="preserve"> is consistent with the public interest, is whether a grant of overlapping authority will result in deterioration of available and reasonably-priced services to customers.</w:t>
      </w:r>
      <w:r w:rsidR="0071018D">
        <w:rPr>
          <w:rStyle w:val="FootnoteReference"/>
        </w:rPr>
        <w:footnoteReference w:id="6"/>
      </w:r>
    </w:p>
    <w:p w:rsidR="00A829E8" w:rsidRDefault="00A829E8" w:rsidP="005C7366">
      <w:pPr>
        <w:numPr>
          <w:ilvl w:val="0"/>
          <w:numId w:val="14"/>
        </w:numPr>
        <w:tabs>
          <w:tab w:val="num" w:pos="720"/>
        </w:tabs>
        <w:spacing w:line="480" w:lineRule="auto"/>
        <w:ind w:left="720" w:hanging="720"/>
      </w:pPr>
      <w:r>
        <w:t xml:space="preserve">There is </w:t>
      </w:r>
      <w:r w:rsidR="00B10B0C">
        <w:t xml:space="preserve">also </w:t>
      </w:r>
      <w:r>
        <w:t xml:space="preserve">no solid waste precedent of which the Protestants are aware which would somehow require a permit holder to </w:t>
      </w:r>
      <w:r w:rsidR="005C7366">
        <w:t xml:space="preserve">propose </w:t>
      </w:r>
      <w:r w:rsidR="00973267">
        <w:t xml:space="preserve">to expand </w:t>
      </w:r>
      <w:r>
        <w:t xml:space="preserve">service outside its territory in order to meet the </w:t>
      </w:r>
      <w:r w:rsidR="00973267">
        <w:t xml:space="preserve">initial </w:t>
      </w:r>
      <w:r>
        <w:t>satisfactory service requirement.</w:t>
      </w:r>
      <w:r w:rsidR="005C7366">
        <w:t xml:space="preserve">  </w:t>
      </w:r>
      <w:r>
        <w:t xml:space="preserve">Seemingly, the only possible way the Initial Order’s </w:t>
      </w:r>
      <w:r w:rsidR="00B10B0C">
        <w:t xml:space="preserve">test </w:t>
      </w:r>
      <w:r>
        <w:t xml:space="preserve">regarding satisfactory service could be met would be for all the WRRA Companies to </w:t>
      </w:r>
      <w:r w:rsidR="00973267">
        <w:t xml:space="preserve">have sought </w:t>
      </w:r>
      <w:r>
        <w:t>to provide statewide service individually or in the aggregate.  That simply is no</w:t>
      </w:r>
      <w:r w:rsidR="003C6EE9">
        <w:t xml:space="preserve">t the law nor has it ever been; but it </w:t>
      </w:r>
      <w:r w:rsidR="005C7366">
        <w:t>c</w:t>
      </w:r>
      <w:r w:rsidR="003C6EE9">
        <w:t xml:space="preserve">ould, at least by default, </w:t>
      </w:r>
      <w:r w:rsidR="005C7366">
        <w:t xml:space="preserve">potentially </w:t>
      </w:r>
      <w:r w:rsidR="003C6EE9">
        <w:t>become the law if this Initial Order is adopted</w:t>
      </w:r>
      <w:r w:rsidR="00470EB4">
        <w:t xml:space="preserve">, an </w:t>
      </w:r>
      <w:r w:rsidR="00973267">
        <w:t xml:space="preserve">inaccurate rendition </w:t>
      </w:r>
      <w:r w:rsidR="00B10B0C">
        <w:t xml:space="preserve">highlighted by the Initial Order to </w:t>
      </w:r>
      <w:r w:rsidR="00470EB4">
        <w:t>be described in more detai</w:t>
      </w:r>
      <w:r w:rsidR="00B10B0C">
        <w:t xml:space="preserve">l in a previous Commission case, </w:t>
      </w:r>
      <w:r w:rsidR="00470EB4">
        <w:t>below</w:t>
      </w:r>
      <w:r w:rsidR="003C6EE9">
        <w:t>.</w:t>
      </w:r>
    </w:p>
    <w:p w:rsidR="00B37E10" w:rsidRDefault="006375E6" w:rsidP="00CE7C3E">
      <w:pPr>
        <w:numPr>
          <w:ilvl w:val="0"/>
          <w:numId w:val="14"/>
        </w:numPr>
        <w:tabs>
          <w:tab w:val="num" w:pos="720"/>
        </w:tabs>
        <w:spacing w:line="480" w:lineRule="auto"/>
        <w:ind w:left="720" w:hanging="720"/>
      </w:pPr>
      <w:r>
        <w:t>Absent a</w:t>
      </w:r>
      <w:r w:rsidR="00750794">
        <w:t xml:space="preserve">ny specific findings and/or </w:t>
      </w:r>
      <w:r>
        <w:t>reference to record evidence outlining service failures, inadequa</w:t>
      </w:r>
      <w:r w:rsidR="005C7366">
        <w:t xml:space="preserve">te </w:t>
      </w:r>
      <w:r>
        <w:t>adherence to law and rule</w:t>
      </w:r>
      <w:r w:rsidR="00B10B0C">
        <w:t xml:space="preserve"> (fitness)</w:t>
      </w:r>
      <w:r w:rsidR="005C7366">
        <w:t>,</w:t>
      </w:r>
      <w:r>
        <w:t xml:space="preserve"> or even </w:t>
      </w:r>
      <w:r w:rsidR="00B10B0C">
        <w:t xml:space="preserve">isolated </w:t>
      </w:r>
      <w:r>
        <w:t xml:space="preserve">communicated critiques of service by existing </w:t>
      </w:r>
      <w:r w:rsidR="005C7366">
        <w:t xml:space="preserve">customers, the WRRA Companies contend </w:t>
      </w:r>
      <w:r>
        <w:t xml:space="preserve">there has been a total lack of showing in this proceeding that </w:t>
      </w:r>
      <w:r w:rsidR="00973267">
        <w:t xml:space="preserve">now </w:t>
      </w:r>
      <w:r>
        <w:t>three providers are required by the public convenience and necessity in the te</w:t>
      </w:r>
      <w:r w:rsidR="005C7366">
        <w:t>rritories of the WRRA providers</w:t>
      </w:r>
      <w:r w:rsidR="00B10B0C">
        <w:t xml:space="preserve">.  Thus, </w:t>
      </w:r>
      <w:r>
        <w:t xml:space="preserve">as a matter of law, Initial Order No. 7 fails to support its recommended grant of biomedical waste authority </w:t>
      </w:r>
      <w:r w:rsidR="00973267">
        <w:t xml:space="preserve">to overlap </w:t>
      </w:r>
      <w:r>
        <w:t xml:space="preserve">the four finite geographic territories in Western and Eastern Washington encompassed by their </w:t>
      </w:r>
      <w:r w:rsidR="005C7366">
        <w:t xml:space="preserve">current </w:t>
      </w:r>
      <w:r>
        <w:t xml:space="preserve">certificates. </w:t>
      </w:r>
    </w:p>
    <w:p w:rsidR="00A657C5" w:rsidRDefault="00A657C5" w:rsidP="00A657C5">
      <w:pPr>
        <w:jc w:val="center"/>
        <w:rPr>
          <w:u w:val="single"/>
        </w:rPr>
      </w:pPr>
      <w:r>
        <w:rPr>
          <w:u w:val="single"/>
        </w:rPr>
        <w:t>Part II</w:t>
      </w:r>
    </w:p>
    <w:p w:rsidR="00A657C5" w:rsidRDefault="00A657C5" w:rsidP="00A657C5">
      <w:pPr>
        <w:jc w:val="center"/>
        <w:rPr>
          <w:u w:val="single"/>
        </w:rPr>
      </w:pPr>
    </w:p>
    <w:p w:rsidR="00A657C5" w:rsidRDefault="00B37E10" w:rsidP="004F156C">
      <w:pPr>
        <w:ind w:left="720" w:hanging="720"/>
        <w:rPr>
          <w:u w:val="single"/>
        </w:rPr>
      </w:pPr>
      <w:r>
        <w:t>B</w:t>
      </w:r>
      <w:r w:rsidR="004F156C" w:rsidRPr="004F156C">
        <w:t>.</w:t>
      </w:r>
      <w:r w:rsidR="004F156C" w:rsidRPr="004F156C">
        <w:tab/>
      </w:r>
      <w:r w:rsidR="00A657C5">
        <w:rPr>
          <w:u w:val="single"/>
        </w:rPr>
        <w:t xml:space="preserve">The Initial Order’s </w:t>
      </w:r>
      <w:r w:rsidR="00D72754">
        <w:rPr>
          <w:u w:val="single"/>
        </w:rPr>
        <w:t>A</w:t>
      </w:r>
      <w:r w:rsidR="00A657C5">
        <w:rPr>
          <w:u w:val="single"/>
        </w:rPr>
        <w:t xml:space="preserve">lternating </w:t>
      </w:r>
      <w:r w:rsidR="00D72754">
        <w:rPr>
          <w:u w:val="single"/>
        </w:rPr>
        <w:t>R</w:t>
      </w:r>
      <w:r w:rsidR="00A657C5">
        <w:rPr>
          <w:u w:val="single"/>
        </w:rPr>
        <w:t>eferences to RCW 81.77.040</w:t>
      </w:r>
      <w:r w:rsidR="004F156C">
        <w:rPr>
          <w:u w:val="single"/>
        </w:rPr>
        <w:t xml:space="preserve"> </w:t>
      </w:r>
      <w:r w:rsidR="00D72754">
        <w:rPr>
          <w:u w:val="single"/>
        </w:rPr>
        <w:t>E</w:t>
      </w:r>
      <w:r w:rsidR="00A657C5">
        <w:rPr>
          <w:u w:val="single"/>
        </w:rPr>
        <w:t xml:space="preserve">ntry </w:t>
      </w:r>
      <w:r w:rsidR="00D72754">
        <w:rPr>
          <w:u w:val="single"/>
        </w:rPr>
        <w:t>S</w:t>
      </w:r>
      <w:r w:rsidR="00A657C5">
        <w:rPr>
          <w:u w:val="single"/>
        </w:rPr>
        <w:t xml:space="preserve">tandards </w:t>
      </w:r>
      <w:r w:rsidR="00D72754">
        <w:rPr>
          <w:u w:val="single"/>
        </w:rPr>
        <w:t>M</w:t>
      </w:r>
      <w:r w:rsidR="00C609A1">
        <w:rPr>
          <w:u w:val="single"/>
        </w:rPr>
        <w:t xml:space="preserve">erit </w:t>
      </w:r>
      <w:r w:rsidR="00D72754">
        <w:rPr>
          <w:u w:val="single"/>
        </w:rPr>
        <w:t>C</w:t>
      </w:r>
      <w:r w:rsidR="00A657C5">
        <w:rPr>
          <w:u w:val="single"/>
        </w:rPr>
        <w:t xml:space="preserve">larification </w:t>
      </w:r>
      <w:r w:rsidR="00D72754">
        <w:rPr>
          <w:u w:val="single"/>
        </w:rPr>
        <w:t>H</w:t>
      </w:r>
      <w:r w:rsidR="00A657C5">
        <w:rPr>
          <w:u w:val="single"/>
        </w:rPr>
        <w:t>ere</w:t>
      </w:r>
      <w:r w:rsidR="00D12CA0" w:rsidRPr="00D12CA0">
        <w:t>.</w:t>
      </w:r>
    </w:p>
    <w:p w:rsidR="004F156C" w:rsidRDefault="004F156C" w:rsidP="004F156C">
      <w:pPr>
        <w:jc w:val="center"/>
      </w:pPr>
    </w:p>
    <w:p w:rsidR="003F1D53" w:rsidRPr="003F1D53" w:rsidRDefault="00A657C5" w:rsidP="0019692D">
      <w:pPr>
        <w:numPr>
          <w:ilvl w:val="0"/>
          <w:numId w:val="14"/>
        </w:numPr>
        <w:tabs>
          <w:tab w:val="num" w:pos="720"/>
        </w:tabs>
        <w:spacing w:line="480" w:lineRule="auto"/>
        <w:ind w:left="720" w:hanging="720"/>
        <w:rPr>
          <w:rFonts w:ascii="Palatino Linotype" w:hAnsi="Palatino Linotype" w:cs="Arial"/>
          <w:sz w:val="22"/>
          <w:szCs w:val="22"/>
        </w:rPr>
      </w:pPr>
      <w:r>
        <w:t xml:space="preserve">Of equal importance in filing this Petition for Administrative Review by the WRRA Companies is an effort to clarify, </w:t>
      </w:r>
      <w:r w:rsidR="00C609A1">
        <w:t>(</w:t>
      </w:r>
      <w:r>
        <w:t xml:space="preserve">analogous to </w:t>
      </w:r>
      <w:r w:rsidR="00C609A1">
        <w:t xml:space="preserve">a motion under </w:t>
      </w:r>
      <w:r>
        <w:t>WAC 480-07-835 for Final Orders</w:t>
      </w:r>
      <w:r w:rsidR="00C609A1">
        <w:t>)</w:t>
      </w:r>
      <w:r>
        <w:t>, the Initial Order’s discussion and decision on the criteria for overlapping service under RCW</w:t>
      </w:r>
      <w:r w:rsidR="004E532C">
        <w:t> </w:t>
      </w:r>
      <w:r>
        <w:t xml:space="preserve">81.77.040 and “service to the satisfaction of the Commission” under </w:t>
      </w:r>
      <w:r w:rsidR="00C609A1">
        <w:t xml:space="preserve">applicable </w:t>
      </w:r>
      <w:r>
        <w:t xml:space="preserve">law.  As will be addressed below, the WRRA Companies believe that some of the </w:t>
      </w:r>
      <w:r w:rsidR="004F156C">
        <w:t xml:space="preserve">passages from </w:t>
      </w:r>
      <w:r>
        <w:t xml:space="preserve">Initial Order No. 7 can be read to revise the statute for </w:t>
      </w:r>
      <w:r w:rsidRPr="003F1D53">
        <w:rPr>
          <w:i/>
        </w:rPr>
        <w:t>all</w:t>
      </w:r>
      <w:r>
        <w:t xml:space="preserve"> entrants, not just biomedical waste transporters, in an all-encompassing and inappropriate “revisiting” of Commission case law.  The </w:t>
      </w:r>
      <w:r w:rsidR="004F156C">
        <w:t xml:space="preserve">very </w:t>
      </w:r>
      <w:r>
        <w:t xml:space="preserve">real risk of taking such discussion out of context by future fact finders is amplified by the Initial Order’s own rendition of </w:t>
      </w:r>
      <w:r w:rsidR="004F156C">
        <w:t xml:space="preserve">an </w:t>
      </w:r>
      <w:r>
        <w:t xml:space="preserve">Order issued </w:t>
      </w:r>
      <w:r w:rsidR="00C609A1">
        <w:t xml:space="preserve">in a 2001 commercial ferry case, </w:t>
      </w:r>
      <w:r>
        <w:t>f</w:t>
      </w:r>
      <w:r w:rsidR="004F156C">
        <w:t xml:space="preserve">eatured and cited in Section 11, </w:t>
      </w:r>
      <w:r>
        <w:t xml:space="preserve">footnote 9 of </w:t>
      </w:r>
      <w:r w:rsidR="004F156C">
        <w:t xml:space="preserve">the Initial Order.  That </w:t>
      </w:r>
      <w:r>
        <w:t xml:space="preserve">analysis serves as </w:t>
      </w:r>
      <w:r w:rsidR="00B10B0C">
        <w:t xml:space="preserve">a stark </w:t>
      </w:r>
      <w:r>
        <w:t xml:space="preserve">warning to the WRRA Companies that clarification and context are vital if subsequent pronouncements purportedly </w:t>
      </w:r>
      <w:r w:rsidR="00B10B0C">
        <w:t xml:space="preserve">discarding </w:t>
      </w:r>
      <w:r>
        <w:t>established Commission case la</w:t>
      </w:r>
      <w:r w:rsidR="004F156C">
        <w:t xml:space="preserve">w and doctrines go unchallenged, </w:t>
      </w:r>
      <w:r>
        <w:t xml:space="preserve">particularly when occurring in </w:t>
      </w:r>
      <w:r w:rsidR="004F156C">
        <w:t xml:space="preserve">an </w:t>
      </w:r>
      <w:r w:rsidR="00973267">
        <w:t xml:space="preserve">Initial Order </w:t>
      </w:r>
      <w:r>
        <w:t xml:space="preserve">whose reasoning </w:t>
      </w:r>
      <w:r w:rsidR="004F156C">
        <w:t xml:space="preserve">is </w:t>
      </w:r>
      <w:r>
        <w:t xml:space="preserve">subsequently relied upon in </w:t>
      </w:r>
      <w:r w:rsidR="00973267">
        <w:t xml:space="preserve">later </w:t>
      </w:r>
      <w:r>
        <w:t>Initial Orders.  The WRRA Companies find su</w:t>
      </w:r>
      <w:r w:rsidR="00973267">
        <w:t xml:space="preserve">bstantial flaws in that practice </w:t>
      </w:r>
      <w:r>
        <w:t>not only because Initial Ord</w:t>
      </w:r>
      <w:r w:rsidR="00C609A1">
        <w:t xml:space="preserve">ers are expressly not precedent, </w:t>
      </w:r>
      <w:r>
        <w:t xml:space="preserve">but because of the risk such unchallenged findings may become </w:t>
      </w:r>
      <w:r w:rsidR="00C609A1">
        <w:t xml:space="preserve">“self-fulfilling prophesies” </w:t>
      </w:r>
      <w:r>
        <w:t xml:space="preserve">if not </w:t>
      </w:r>
      <w:r w:rsidR="00B10B0C">
        <w:t xml:space="preserve">questioned </w:t>
      </w:r>
      <w:r>
        <w:t>when they occur.</w:t>
      </w:r>
    </w:p>
    <w:p w:rsidR="003F1D53" w:rsidRPr="00D72754" w:rsidRDefault="004F156C" w:rsidP="004F156C">
      <w:pPr>
        <w:ind w:left="720" w:hanging="720"/>
      </w:pPr>
      <w:r w:rsidRPr="004F156C">
        <w:t>1.</w:t>
      </w:r>
      <w:r w:rsidRPr="004F156C">
        <w:tab/>
      </w:r>
      <w:r w:rsidR="003F1D53" w:rsidRPr="003F1D53">
        <w:rPr>
          <w:u w:val="single"/>
        </w:rPr>
        <w:t>Commission Standards on Biomedical Waste Transportation Entry Are Not Being Challenged</w:t>
      </w:r>
      <w:r w:rsidR="00D72754">
        <w:t>.</w:t>
      </w:r>
    </w:p>
    <w:p w:rsidR="004F156C" w:rsidRPr="003F1D53" w:rsidRDefault="004F156C" w:rsidP="004F156C">
      <w:pPr>
        <w:ind w:left="720" w:hanging="720"/>
        <w:rPr>
          <w:rFonts w:ascii="Palatino Linotype" w:hAnsi="Palatino Linotype" w:cs="Arial"/>
          <w:sz w:val="22"/>
          <w:szCs w:val="22"/>
          <w:u w:val="single"/>
        </w:rPr>
      </w:pPr>
    </w:p>
    <w:p w:rsidR="003F1D53" w:rsidRDefault="00B10B0C" w:rsidP="0019692D">
      <w:pPr>
        <w:numPr>
          <w:ilvl w:val="0"/>
          <w:numId w:val="14"/>
        </w:numPr>
        <w:tabs>
          <w:tab w:val="num" w:pos="720"/>
        </w:tabs>
        <w:spacing w:line="480" w:lineRule="auto"/>
        <w:ind w:left="720" w:hanging="720"/>
        <w:rPr>
          <w:rFonts w:ascii="Palatino Linotype" w:hAnsi="Palatino Linotype" w:cs="Arial"/>
          <w:sz w:val="22"/>
          <w:szCs w:val="22"/>
        </w:rPr>
      </w:pPr>
      <w:r>
        <w:t>To be clear, n</w:t>
      </w:r>
      <w:r w:rsidR="00B61650">
        <w:t xml:space="preserve">one of the WRRA Companies </w:t>
      </w:r>
      <w:r w:rsidR="00A752D6">
        <w:t xml:space="preserve">here </w:t>
      </w:r>
      <w:r w:rsidR="00B61650">
        <w:t xml:space="preserve">contest the Commission’s historic differentiation between biomedical waste collection entry standards and conventional solid waste service.  Indeed, from the earliest case law </w:t>
      </w:r>
      <w:r w:rsidR="00FC515D">
        <w:t xml:space="preserve">pronouncements oft-cited in this </w:t>
      </w:r>
      <w:r w:rsidR="00B61650">
        <w:t>rec</w:t>
      </w:r>
      <w:r w:rsidR="00E167BD">
        <w:t>ord</w:t>
      </w:r>
      <w:r w:rsidR="00B61650">
        <w:t xml:space="preserve">, including that of Order M.V.G. No. 1451, </w:t>
      </w:r>
      <w:r w:rsidR="00B61650" w:rsidRPr="003F1D53">
        <w:rPr>
          <w:i/>
        </w:rPr>
        <w:t>In re Sure-Way Incineration, Inc.</w:t>
      </w:r>
      <w:r w:rsidR="00E167BD">
        <w:t xml:space="preserve"> (Nov. 1989), (</w:t>
      </w:r>
      <w:r w:rsidR="00B61650">
        <w:t xml:space="preserve">whose policy distinctions were quoted at length at page 15 of the earlier Order dismissing the </w:t>
      </w:r>
      <w:r w:rsidR="003F1D53">
        <w:t>C</w:t>
      </w:r>
      <w:r w:rsidR="00B61650">
        <w:t xml:space="preserve">omplaint in </w:t>
      </w:r>
      <w:r w:rsidR="00FC515D">
        <w:t xml:space="preserve">Docket No. </w:t>
      </w:r>
      <w:r w:rsidR="00B61650">
        <w:t>TG-110553</w:t>
      </w:r>
      <w:r w:rsidR="00FC515D">
        <w:t xml:space="preserve">, </w:t>
      </w:r>
      <w:r w:rsidR="00FC515D" w:rsidRPr="003F1D53">
        <w:rPr>
          <w:i/>
        </w:rPr>
        <w:t>In re Stericycle of Washington, Inc. v. Waste Management of Washington, Inc.</w:t>
      </w:r>
      <w:r w:rsidR="00FC515D">
        <w:t xml:space="preserve">, </w:t>
      </w:r>
      <w:r w:rsidR="00B61650">
        <w:t>(</w:t>
      </w:r>
      <w:r w:rsidR="009F7FEE">
        <w:t>July, 2011)</w:t>
      </w:r>
      <w:r w:rsidR="00C609A1">
        <w:t>)</w:t>
      </w:r>
      <w:r w:rsidR="009F7FEE">
        <w:t>, t</w:t>
      </w:r>
      <w:r w:rsidR="00B61650">
        <w:t>he</w:t>
      </w:r>
      <w:r w:rsidR="00FC515D">
        <w:t xml:space="preserve"> Commission has </w:t>
      </w:r>
      <w:r w:rsidR="003F1D53">
        <w:t xml:space="preserve">consistently </w:t>
      </w:r>
      <w:r w:rsidR="00B61650">
        <w:t xml:space="preserve">analogized collection of medical waste as more akin to motor freight </w:t>
      </w:r>
      <w:r w:rsidR="00FB61E9">
        <w:t xml:space="preserve">carrier </w:t>
      </w:r>
      <w:r w:rsidR="00B61650">
        <w:t>service in serving large portions of the entire state and in which customers are only a small portion of the total business.</w:t>
      </w:r>
      <w:r w:rsidR="00A752D6">
        <w:rPr>
          <w:rStyle w:val="FootnoteReference"/>
        </w:rPr>
        <w:footnoteReference w:id="7"/>
      </w:r>
      <w:r w:rsidR="003F1D53">
        <w:t xml:space="preserve">  These standards’ </w:t>
      </w:r>
      <w:r w:rsidR="00E167BD">
        <w:t>entry and operational differentiation</w:t>
      </w:r>
      <w:r w:rsidR="00FC515D">
        <w:t>s</w:t>
      </w:r>
      <w:r w:rsidR="00E167BD">
        <w:t xml:space="preserve"> we</w:t>
      </w:r>
      <w:r w:rsidR="003F1D53">
        <w:t xml:space="preserve">re echoed throughout the 1990’s, </w:t>
      </w:r>
      <w:r w:rsidR="00E167BD">
        <w:t>the most recent decade in which the Commission had a biomedical waste application before it until 2011.</w:t>
      </w:r>
      <w:r w:rsidR="00E167BD">
        <w:rPr>
          <w:rStyle w:val="FootnoteReference"/>
        </w:rPr>
        <w:footnoteReference w:id="8"/>
      </w:r>
    </w:p>
    <w:p w:rsidR="00B61650" w:rsidRPr="003F1D53" w:rsidRDefault="00B61650" w:rsidP="0019692D">
      <w:pPr>
        <w:numPr>
          <w:ilvl w:val="0"/>
          <w:numId w:val="14"/>
        </w:numPr>
        <w:tabs>
          <w:tab w:val="num" w:pos="720"/>
        </w:tabs>
        <w:spacing w:line="480" w:lineRule="auto"/>
        <w:ind w:left="720" w:hanging="720"/>
        <w:rPr>
          <w:rFonts w:ascii="Palatino Linotype" w:hAnsi="Palatino Linotype" w:cs="Arial"/>
          <w:sz w:val="22"/>
          <w:szCs w:val="22"/>
        </w:rPr>
      </w:pPr>
      <w:r>
        <w:t>Yet while Initial Order No. 7 at times appears to attempt to limit its finding of need for an additional biomedical waste statewide provider (“</w:t>
      </w:r>
      <w:r w:rsidR="00E167BD">
        <w:t xml:space="preserve">… </w:t>
      </w:r>
      <w:r>
        <w:t>at least on this record and under the circumstances presented in this docket, the existing companies will not provide service to the satisfaction of</w:t>
      </w:r>
      <w:r w:rsidR="00E167BD">
        <w:t xml:space="preserve"> the Commission”)</w:t>
      </w:r>
      <w:r w:rsidR="00E167BD">
        <w:rPr>
          <w:rStyle w:val="FootnoteReference"/>
        </w:rPr>
        <w:footnoteReference w:id="9"/>
      </w:r>
      <w:r>
        <w:t xml:space="preserve">, it alternates that putative limitation with </w:t>
      </w:r>
      <w:r w:rsidR="00C609A1">
        <w:t xml:space="preserve">more </w:t>
      </w:r>
      <w:r>
        <w:t>sweeping language like</w:t>
      </w:r>
      <w:r w:rsidR="00E167BD">
        <w:t>,</w:t>
      </w:r>
      <w:r w:rsidR="00B04F89">
        <w:t xml:space="preserve"> </w:t>
      </w:r>
      <w:r w:rsidR="00B10B0C">
        <w:t xml:space="preserve">Section </w:t>
      </w:r>
      <w:r w:rsidR="00B04F89">
        <w:t>15:</w:t>
      </w:r>
    </w:p>
    <w:p w:rsidR="00B61650" w:rsidRDefault="00B61650" w:rsidP="0019692D">
      <w:pPr>
        <w:ind w:left="720" w:right="720" w:hanging="720"/>
      </w:pPr>
      <w:r>
        <w:tab/>
        <w:t>The record evidence and Commission policy favoring effective competition demonstrate that the Commission’s prior decisions that a desire for competition is insufficient to satisfy RCW 81.77.040 do not reflect the realities of the current marketplace.  Accordingly, the Commission will not rely on those prior decisions to make the requisite demonstration in this case.</w:t>
      </w:r>
    </w:p>
    <w:p w:rsidR="00B61650" w:rsidRDefault="00B61650" w:rsidP="00840BE0"/>
    <w:p w:rsidR="00840BE0" w:rsidRPr="00D72754" w:rsidRDefault="005C7366" w:rsidP="004F156C">
      <w:r>
        <w:t>C</w:t>
      </w:r>
      <w:r w:rsidR="004F156C" w:rsidRPr="004F156C">
        <w:t>.</w:t>
      </w:r>
      <w:r w:rsidR="004F156C" w:rsidRPr="004F156C">
        <w:tab/>
      </w:r>
      <w:r w:rsidR="00840BE0" w:rsidRPr="00840BE0">
        <w:rPr>
          <w:u w:val="single"/>
        </w:rPr>
        <w:t xml:space="preserve">The </w:t>
      </w:r>
      <w:r w:rsidR="00D72754">
        <w:rPr>
          <w:u w:val="single"/>
        </w:rPr>
        <w:t>S</w:t>
      </w:r>
      <w:r w:rsidR="00840BE0" w:rsidRPr="00840BE0">
        <w:rPr>
          <w:u w:val="single"/>
        </w:rPr>
        <w:t>weep of Initial Order No. 7 is Concerning</w:t>
      </w:r>
      <w:r w:rsidR="00D72754">
        <w:t>.</w:t>
      </w:r>
    </w:p>
    <w:p w:rsidR="00840BE0" w:rsidRDefault="00840BE0" w:rsidP="00840BE0"/>
    <w:p w:rsidR="00840BE0" w:rsidRDefault="004615D8" w:rsidP="0019692D">
      <w:pPr>
        <w:numPr>
          <w:ilvl w:val="0"/>
          <w:numId w:val="14"/>
        </w:numPr>
        <w:tabs>
          <w:tab w:val="num" w:pos="720"/>
        </w:tabs>
        <w:spacing w:line="480" w:lineRule="auto"/>
        <w:ind w:left="720" w:hanging="720"/>
        <w:rPr>
          <w:rFonts w:ascii="Palatino Linotype" w:hAnsi="Palatino Linotype" w:cs="Arial"/>
          <w:sz w:val="22"/>
          <w:szCs w:val="22"/>
        </w:rPr>
      </w:pPr>
      <w:r>
        <w:t>To w</w:t>
      </w:r>
      <w:r w:rsidR="0042214E">
        <w:t xml:space="preserve">hich </w:t>
      </w:r>
      <w:r w:rsidR="00750794">
        <w:t xml:space="preserve">“prior decisions” </w:t>
      </w:r>
      <w:r w:rsidR="00B61650">
        <w:t xml:space="preserve">is the administrative law judge specifically </w:t>
      </w:r>
      <w:r w:rsidR="008E5E7C">
        <w:t xml:space="preserve">here </w:t>
      </w:r>
      <w:r w:rsidR="00B61650">
        <w:t>referring?  Commission motor freight cases prior to preemption in August, 1994</w:t>
      </w:r>
      <w:r w:rsidR="00E167BD">
        <w:t>, auto tr</w:t>
      </w:r>
      <w:r w:rsidR="00840BE0">
        <w:t xml:space="preserve">ansportation, commercial ferry </w:t>
      </w:r>
      <w:r w:rsidR="00B61650">
        <w:t xml:space="preserve">or solid waste collection cases under RCW 81.77.040?  If the latter, is he talking about traditional neighborhood solid waste </w:t>
      </w:r>
      <w:r w:rsidR="0042214E">
        <w:t xml:space="preserve">or commercial solid waste </w:t>
      </w:r>
      <w:r w:rsidR="00B61650">
        <w:t xml:space="preserve">collection cases that really start with Order M.V.G. </w:t>
      </w:r>
      <w:r w:rsidR="00B04F89">
        <w:t>No. 7</w:t>
      </w:r>
      <w:r w:rsidR="00B61650">
        <w:t xml:space="preserve">26, </w:t>
      </w:r>
      <w:r w:rsidR="00B61650" w:rsidRPr="00840BE0">
        <w:rPr>
          <w:i/>
        </w:rPr>
        <w:t>In re Anthony J.D. Tommaso d/b/a Di Tommaso Bros. Garbage Service</w:t>
      </w:r>
      <w:r w:rsidR="004E25F5">
        <w:t xml:space="preserve">, App. GA-449, </w:t>
      </w:r>
      <w:r w:rsidR="00B04F89">
        <w:t>(Feb</w:t>
      </w:r>
      <w:r w:rsidR="00B61650">
        <w:t xml:space="preserve">. 1975) through Order M.V.G. </w:t>
      </w:r>
      <w:r w:rsidR="0019692D">
        <w:t xml:space="preserve">No. 1719, </w:t>
      </w:r>
      <w:r w:rsidR="0019692D" w:rsidRPr="00840BE0">
        <w:rPr>
          <w:i/>
        </w:rPr>
        <w:t>In re Brent Gagnon d/b/a West Waste and Recycling</w:t>
      </w:r>
      <w:r w:rsidR="0019692D">
        <w:t xml:space="preserve">, App. GA-76316 (Aug. 1994) and </w:t>
      </w:r>
      <w:r w:rsidR="009F7FEE">
        <w:t xml:space="preserve">are </w:t>
      </w:r>
      <w:r w:rsidR="0019692D">
        <w:t xml:space="preserve">typified in Order M.V.G. No. 1526 </w:t>
      </w:r>
      <w:r w:rsidR="0019692D" w:rsidRPr="00840BE0">
        <w:rPr>
          <w:i/>
        </w:rPr>
        <w:t xml:space="preserve">In re Superior Refuse Removal Corporation </w:t>
      </w:r>
      <w:r w:rsidR="009F7FEE">
        <w:t xml:space="preserve">(Nov. 1991)?  Or, </w:t>
      </w:r>
      <w:r w:rsidR="0019692D">
        <w:t>is he again referring to biomedical waste entry cases from the 1990’s which continued to evolve the analysis of how generator requirements impacted traditional concepts of the publ</w:t>
      </w:r>
      <w:r w:rsidR="00E167BD">
        <w:t xml:space="preserve">ic convenience and necessity, </w:t>
      </w:r>
      <w:r w:rsidR="0019692D">
        <w:t>particularly whe</w:t>
      </w:r>
      <w:r>
        <w:t>n</w:t>
      </w:r>
      <w:r w:rsidR="0019692D">
        <w:t xml:space="preserve"> views about relative risks in the analysis of disposal options were essential to </w:t>
      </w:r>
      <w:r w:rsidR="00840BE0">
        <w:t>authorizing overlapping service</w:t>
      </w:r>
      <w:r>
        <w:t xml:space="preserve">.  This </w:t>
      </w:r>
      <w:r w:rsidR="0019692D">
        <w:t>includ</w:t>
      </w:r>
      <w:r>
        <w:t xml:space="preserve">es </w:t>
      </w:r>
      <w:r w:rsidR="0019692D">
        <w:t xml:space="preserve">the </w:t>
      </w:r>
      <w:r w:rsidR="0019692D" w:rsidRPr="00840BE0">
        <w:rPr>
          <w:i/>
        </w:rPr>
        <w:t>Ryder Distribution</w:t>
      </w:r>
      <w:r w:rsidR="00840BE0">
        <w:t xml:space="preserve"> decisions, </w:t>
      </w:r>
      <w:r w:rsidR="0019692D">
        <w:t>that culminated</w:t>
      </w:r>
      <w:r w:rsidR="00C609A1">
        <w:t>,</w:t>
      </w:r>
      <w:r w:rsidR="0019692D">
        <w:t xml:space="preserve"> </w:t>
      </w:r>
      <w:r w:rsidR="00C609A1">
        <w:t xml:space="preserve">(somewhat ironically here), </w:t>
      </w:r>
      <w:r w:rsidR="0019692D">
        <w:t>in the grant of the original certificate to Stericycle o</w:t>
      </w:r>
      <w:r w:rsidR="00E167BD">
        <w:t>f Washington, Inc.</w:t>
      </w:r>
    </w:p>
    <w:p w:rsidR="00840BE0" w:rsidRPr="00840BE0" w:rsidRDefault="0019692D" w:rsidP="0019692D">
      <w:pPr>
        <w:numPr>
          <w:ilvl w:val="0"/>
          <w:numId w:val="14"/>
        </w:numPr>
        <w:tabs>
          <w:tab w:val="num" w:pos="720"/>
        </w:tabs>
        <w:spacing w:line="480" w:lineRule="auto"/>
        <w:ind w:left="720" w:hanging="720"/>
        <w:rPr>
          <w:rFonts w:ascii="Palatino Linotype" w:hAnsi="Palatino Linotype" w:cs="Arial"/>
          <w:sz w:val="22"/>
          <w:szCs w:val="22"/>
        </w:rPr>
      </w:pPr>
      <w:r>
        <w:t xml:space="preserve">Indeed, it is the failure to limit some of the </w:t>
      </w:r>
      <w:r w:rsidR="004F156C">
        <w:t xml:space="preserve">panoramic, </w:t>
      </w:r>
      <w:r>
        <w:t xml:space="preserve">overbroad </w:t>
      </w:r>
      <w:r w:rsidR="00E167BD">
        <w:t xml:space="preserve">language </w:t>
      </w:r>
      <w:r w:rsidR="00840BE0">
        <w:t xml:space="preserve">in </w:t>
      </w:r>
      <w:r>
        <w:t>characterizations of the interpretation of entry in RCW 81.77.040 that is mo</w:t>
      </w:r>
      <w:r w:rsidR="00E167BD">
        <w:t>s</w:t>
      </w:r>
      <w:r>
        <w:t xml:space="preserve">t </w:t>
      </w:r>
      <w:r w:rsidR="00750794">
        <w:t xml:space="preserve">troubling </w:t>
      </w:r>
      <w:r>
        <w:t xml:space="preserve">to the WRRA Companies here.  There are two </w:t>
      </w:r>
      <w:r w:rsidR="00840BE0">
        <w:t xml:space="preserve">distinct </w:t>
      </w:r>
      <w:r>
        <w:t xml:space="preserve">interpretive paths one can </w:t>
      </w:r>
      <w:r w:rsidR="004F156C">
        <w:t xml:space="preserve">adopt </w:t>
      </w:r>
      <w:r>
        <w:t xml:space="preserve">in viewing some of the </w:t>
      </w:r>
      <w:r w:rsidR="004F156C">
        <w:t xml:space="preserve">discussion in the Initial Order, </w:t>
      </w:r>
      <w:r>
        <w:t xml:space="preserve">and without </w:t>
      </w:r>
      <w:r w:rsidR="00E167BD">
        <w:t xml:space="preserve">any </w:t>
      </w:r>
      <w:r w:rsidR="009F7FEE">
        <w:t xml:space="preserve">assurance </w:t>
      </w:r>
      <w:r>
        <w:t xml:space="preserve">of the Commission’s clarification </w:t>
      </w:r>
      <w:r w:rsidR="00C609A1">
        <w:t xml:space="preserve">that </w:t>
      </w:r>
      <w:r w:rsidR="00840BE0">
        <w:t xml:space="preserve">the scope </w:t>
      </w:r>
      <w:r>
        <w:t xml:space="preserve">of Initial Order No. 7, </w:t>
      </w:r>
      <w:r w:rsidR="00C609A1">
        <w:t>(</w:t>
      </w:r>
      <w:r>
        <w:t>i.e. Section 15</w:t>
      </w:r>
      <w:r w:rsidR="00C609A1">
        <w:t>)</w:t>
      </w:r>
      <w:r>
        <w:t>, is implicitly and expressly applicable to biom</w:t>
      </w:r>
      <w:r w:rsidR="00E167BD">
        <w:t xml:space="preserve">edical waste collection, </w:t>
      </w:r>
      <w:r w:rsidR="009F7FEE">
        <w:t>these particular protestant</w:t>
      </w:r>
      <w:r>
        <w:t xml:space="preserve">s strongly believe the Initial Order is contrary to </w:t>
      </w:r>
      <w:r w:rsidR="004615D8">
        <w:t xml:space="preserve">existing </w:t>
      </w:r>
      <w:r>
        <w:t>law.</w:t>
      </w:r>
    </w:p>
    <w:p w:rsidR="00840BE0" w:rsidRPr="00840BE0" w:rsidRDefault="004F156C" w:rsidP="004F156C">
      <w:pPr>
        <w:spacing w:line="480" w:lineRule="auto"/>
        <w:rPr>
          <w:rFonts w:ascii="Palatino Linotype" w:hAnsi="Palatino Linotype" w:cs="Arial"/>
          <w:sz w:val="22"/>
          <w:szCs w:val="22"/>
        </w:rPr>
      </w:pPr>
      <w:r>
        <w:t>1.</w:t>
      </w:r>
      <w:r>
        <w:tab/>
      </w:r>
      <w:r w:rsidR="00840BE0">
        <w:t>“</w:t>
      </w:r>
      <w:r w:rsidR="00840BE0">
        <w:rPr>
          <w:u w:val="single"/>
        </w:rPr>
        <w:t>Service to the Satisfaction of the Commission</w:t>
      </w:r>
      <w:r w:rsidR="00840BE0">
        <w:t>”</w:t>
      </w:r>
    </w:p>
    <w:p w:rsidR="00840BE0" w:rsidRDefault="00E167BD" w:rsidP="0019692D">
      <w:pPr>
        <w:numPr>
          <w:ilvl w:val="0"/>
          <w:numId w:val="14"/>
        </w:numPr>
        <w:tabs>
          <w:tab w:val="num" w:pos="720"/>
        </w:tabs>
        <w:spacing w:line="480" w:lineRule="auto"/>
        <w:ind w:left="720" w:hanging="720"/>
        <w:rPr>
          <w:rFonts w:ascii="Palatino Linotype" w:hAnsi="Palatino Linotype" w:cs="Arial"/>
          <w:sz w:val="22"/>
          <w:szCs w:val="22"/>
        </w:rPr>
      </w:pPr>
      <w:r>
        <w:t xml:space="preserve">Order M.V.G. No. 1526, </w:t>
      </w:r>
      <w:r w:rsidRPr="00840BE0">
        <w:rPr>
          <w:i/>
        </w:rPr>
        <w:t>In re Superior Refuse Removal Corporation</w:t>
      </w:r>
      <w:r>
        <w:t>, App. GA-849 (Nov., 1991) remains (unless otherwise reversed by the Commission) as likely the most comprehensively articulated evaluation of “satisfactory service” under RCW 81.77.040 in soli</w:t>
      </w:r>
      <w:r w:rsidR="009F7FEE">
        <w:t xml:space="preserve">d waste collection </w:t>
      </w:r>
      <w:r w:rsidR="00840BE0">
        <w:t xml:space="preserve">certificate </w:t>
      </w:r>
      <w:r w:rsidR="009F7FEE">
        <w:t xml:space="preserve">applications, </w:t>
      </w:r>
      <w:r>
        <w:t xml:space="preserve">specifically for traditional neighborhood </w:t>
      </w:r>
      <w:r w:rsidR="00AB3D36">
        <w:t>and commercial solid waste collection.</w:t>
      </w:r>
      <w:r w:rsidR="00C609A1">
        <w:t xml:space="preserve">  Indeed, </w:t>
      </w:r>
      <w:r w:rsidR="00AB3D36" w:rsidRPr="00840BE0">
        <w:rPr>
          <w:i/>
        </w:rPr>
        <w:t>Superior Refuse</w:t>
      </w:r>
      <w:r w:rsidR="00AB3D36">
        <w:t xml:space="preserve"> is particularly useful for its survey of case law under which existing service has been found unsatisfactory, (</w:t>
      </w:r>
      <w:r w:rsidR="00AB3D36" w:rsidRPr="00840BE0">
        <w:rPr>
          <w:i/>
        </w:rPr>
        <w:t>see</w:t>
      </w:r>
      <w:r w:rsidR="00AB3D36">
        <w:t xml:space="preserve"> Order M.V.G. No. 1526 at pp. 6, 7).  </w:t>
      </w:r>
      <w:r w:rsidR="00840BE0">
        <w:t>Admittedly, n</w:t>
      </w:r>
      <w:r w:rsidR="00AB3D36">
        <w:t>othing in Initial Order No. 7 expressly challenges the continuing viability of these long held standards nor the reference to the Legislature’s reluctance in enacting RCW 81.77 “to permit overlapping authorities in the collection and disposal of solid waste.”</w:t>
      </w:r>
      <w:r w:rsidR="00FC515D">
        <w:rPr>
          <w:rStyle w:val="FootnoteReference"/>
        </w:rPr>
        <w:footnoteReference w:id="10"/>
      </w:r>
    </w:p>
    <w:p w:rsidR="00840BE0" w:rsidRPr="00750794" w:rsidRDefault="00AB3D36" w:rsidP="0019692D">
      <w:pPr>
        <w:numPr>
          <w:ilvl w:val="0"/>
          <w:numId w:val="14"/>
        </w:numPr>
        <w:tabs>
          <w:tab w:val="num" w:pos="720"/>
        </w:tabs>
        <w:spacing w:line="480" w:lineRule="auto"/>
        <w:ind w:left="720" w:hanging="720"/>
        <w:rPr>
          <w:rFonts w:ascii="Palatino Linotype" w:hAnsi="Palatino Linotype" w:cs="Arial"/>
          <w:sz w:val="22"/>
          <w:szCs w:val="22"/>
        </w:rPr>
      </w:pPr>
      <w:r>
        <w:t xml:space="preserve">However, </w:t>
      </w:r>
      <w:r w:rsidR="008E5E7C">
        <w:t xml:space="preserve">again, </w:t>
      </w:r>
      <w:r>
        <w:t>the scope of some select</w:t>
      </w:r>
      <w:r w:rsidR="00FC515D">
        <w:t>ed</w:t>
      </w:r>
      <w:r>
        <w:t xml:space="preserve"> passa</w:t>
      </w:r>
      <w:r w:rsidR="009F7FEE">
        <w:t xml:space="preserve">ges from the Initial Order here, at least in isolation, </w:t>
      </w:r>
      <w:r>
        <w:t xml:space="preserve">do not suggest </w:t>
      </w:r>
      <w:r w:rsidR="00840BE0">
        <w:t xml:space="preserve">a </w:t>
      </w:r>
      <w:r>
        <w:t xml:space="preserve">continuing </w:t>
      </w:r>
      <w:r w:rsidR="00C609A1">
        <w:t xml:space="preserve">ratification </w:t>
      </w:r>
      <w:r>
        <w:t xml:space="preserve">of the </w:t>
      </w:r>
      <w:r w:rsidRPr="00840BE0">
        <w:rPr>
          <w:i/>
        </w:rPr>
        <w:t>Superior Refuse</w:t>
      </w:r>
      <w:r>
        <w:t xml:space="preserve"> standard</w:t>
      </w:r>
      <w:r w:rsidR="008E5E7C">
        <w:t>s</w:t>
      </w:r>
      <w:r>
        <w:t xml:space="preserve"> in solid waste cases</w:t>
      </w:r>
      <w:r w:rsidR="00943054">
        <w:t>,</w:t>
      </w:r>
      <w:r>
        <w:t xml:space="preserve"> including </w:t>
      </w:r>
      <w:r w:rsidR="00FC515D">
        <w:t xml:space="preserve">particularly </w:t>
      </w:r>
      <w:r>
        <w:t xml:space="preserve">the language </w:t>
      </w:r>
      <w:r w:rsidR="00FC515D">
        <w:t xml:space="preserve">in </w:t>
      </w:r>
      <w:r w:rsidR="00750794">
        <w:t xml:space="preserve">selected portions of </w:t>
      </w:r>
      <w:r w:rsidR="00FC515D">
        <w:t xml:space="preserve">Initial Order </w:t>
      </w:r>
      <w:r w:rsidR="00C609A1">
        <w:t>No. 7</w:t>
      </w:r>
      <w:r w:rsidR="004615D8">
        <w:t xml:space="preserve">.  </w:t>
      </w:r>
      <w:r w:rsidR="008E5E7C">
        <w:t>For example, t</w:t>
      </w:r>
      <w:r w:rsidR="004615D8">
        <w:t xml:space="preserve">he Order discusses </w:t>
      </w:r>
      <w:r>
        <w:t>“the benefits of competition” and evolving standards of service to the satisfaction of the Commission</w:t>
      </w:r>
      <w:r w:rsidR="004F156C">
        <w:t xml:space="preserve"> and “revisiting”</w:t>
      </w:r>
      <w:r w:rsidR="008E5E7C">
        <w:rPr>
          <w:rStyle w:val="FootnoteReference"/>
        </w:rPr>
        <w:footnoteReference w:id="11"/>
      </w:r>
      <w:r w:rsidR="004F156C">
        <w:t xml:space="preserve"> of those standards regarding competitive desires</w:t>
      </w:r>
      <w:r w:rsidR="00973267">
        <w:t xml:space="preserve"> in a manner that expressly calls into question their continuing viability</w:t>
      </w:r>
      <w:r>
        <w:t>.</w:t>
      </w:r>
    </w:p>
    <w:p w:rsidR="00665BD5" w:rsidRPr="00665BD5" w:rsidRDefault="00665BD5" w:rsidP="00665BD5">
      <w:pPr>
        <w:spacing w:line="480" w:lineRule="auto"/>
        <w:rPr>
          <w:rFonts w:ascii="Palatino Linotype" w:hAnsi="Palatino Linotype" w:cs="Arial"/>
          <w:sz w:val="22"/>
          <w:szCs w:val="22"/>
          <w:u w:val="single"/>
        </w:rPr>
      </w:pPr>
      <w:r>
        <w:t>2.</w:t>
      </w:r>
      <w:r>
        <w:tab/>
      </w:r>
      <w:r w:rsidR="00943054">
        <w:t>“</w:t>
      </w:r>
      <w:r>
        <w:rPr>
          <w:u w:val="single"/>
        </w:rPr>
        <w:t>The Benefits of Competition</w:t>
      </w:r>
      <w:r w:rsidR="00943054" w:rsidRPr="00943054">
        <w:t>”</w:t>
      </w:r>
    </w:p>
    <w:p w:rsidR="00840BE0" w:rsidRPr="00840BE0" w:rsidRDefault="00AB3D36" w:rsidP="0019692D">
      <w:pPr>
        <w:numPr>
          <w:ilvl w:val="0"/>
          <w:numId w:val="14"/>
        </w:numPr>
        <w:tabs>
          <w:tab w:val="num" w:pos="720"/>
        </w:tabs>
        <w:spacing w:line="480" w:lineRule="auto"/>
        <w:ind w:left="720" w:hanging="720"/>
        <w:rPr>
          <w:rFonts w:ascii="Palatino Linotype" w:hAnsi="Palatino Linotype" w:cs="Arial"/>
          <w:sz w:val="22"/>
          <w:szCs w:val="22"/>
        </w:rPr>
      </w:pPr>
      <w:r>
        <w:t xml:space="preserve">As to the “benefits of competition” standard that the Initial Order alludes to, there is </w:t>
      </w:r>
      <w:r w:rsidR="009F7FEE">
        <w:t xml:space="preserve">also </w:t>
      </w:r>
      <w:r>
        <w:t>no</w:t>
      </w:r>
      <w:r w:rsidR="00840BE0">
        <w:t xml:space="preserve"> reference in th</w:t>
      </w:r>
      <w:r w:rsidR="00C609A1">
        <w:t xml:space="preserve">e </w:t>
      </w:r>
      <w:r>
        <w:t xml:space="preserve">Order as to whether that </w:t>
      </w:r>
      <w:r w:rsidR="004F156C">
        <w:t xml:space="preserve">evolved </w:t>
      </w:r>
      <w:r>
        <w:t>standard is proposed to be broadly applied t</w:t>
      </w:r>
      <w:r w:rsidR="009F7FEE">
        <w:t xml:space="preserve">o Chapter 81.77 applications or, as could be inferred, </w:t>
      </w:r>
      <w:r w:rsidR="00943054">
        <w:t xml:space="preserve">only </w:t>
      </w:r>
      <w:r>
        <w:t>to the specialized biomedical waste collection arena which</w:t>
      </w:r>
      <w:r w:rsidR="00FC515D">
        <w:t xml:space="preserve">, as noted, </w:t>
      </w:r>
      <w:r>
        <w:t>is more comparable to RCW 81.80 circumstances.</w:t>
      </w:r>
      <w:r w:rsidR="00F84C13">
        <w:rPr>
          <w:rStyle w:val="FootnoteReference"/>
        </w:rPr>
        <w:footnoteReference w:id="12"/>
      </w:r>
      <w:r w:rsidR="004615D8">
        <w:t xml:space="preserve">  This </w:t>
      </w:r>
      <w:r w:rsidR="008E5E7C">
        <w:t xml:space="preserve">lack of clarity </w:t>
      </w:r>
      <w:r w:rsidR="004615D8">
        <w:t>is of significant concern to the WRRA Companies</w:t>
      </w:r>
      <w:r w:rsidR="00665BD5">
        <w:t>,</w:t>
      </w:r>
      <w:r w:rsidR="004615D8">
        <w:t xml:space="preserve"> as it very well could have a major impact on the industry as a whole, as well as upon </w:t>
      </w:r>
      <w:r w:rsidR="008E5E7C">
        <w:t>regulatory policy making</w:t>
      </w:r>
      <w:r w:rsidR="004615D8">
        <w:t>.</w:t>
      </w:r>
    </w:p>
    <w:p w:rsidR="00840BE0" w:rsidRPr="00D72754" w:rsidRDefault="00750794" w:rsidP="004F156C">
      <w:pPr>
        <w:ind w:left="720" w:hanging="720"/>
      </w:pPr>
      <w:r>
        <w:t>D.</w:t>
      </w:r>
      <w:r w:rsidR="004F156C" w:rsidRPr="004F156C">
        <w:tab/>
      </w:r>
      <w:r w:rsidR="00840BE0" w:rsidRPr="00840BE0">
        <w:rPr>
          <w:u w:val="single"/>
        </w:rPr>
        <w:t xml:space="preserve">The Initial Order’s Reliance on </w:t>
      </w:r>
      <w:r w:rsidR="00840BE0" w:rsidRPr="00840BE0">
        <w:rPr>
          <w:i/>
          <w:u w:val="single"/>
        </w:rPr>
        <w:t>Dutchman Marine</w:t>
      </w:r>
      <w:r w:rsidR="004F156C">
        <w:rPr>
          <w:u w:val="single"/>
        </w:rPr>
        <w:t xml:space="preserve"> for Either Overlapping Service </w:t>
      </w:r>
      <w:r w:rsidR="00840BE0" w:rsidRPr="00840BE0">
        <w:rPr>
          <w:u w:val="single"/>
        </w:rPr>
        <w:t xml:space="preserve">Standards or in Establishing a ‘Ruinous Competition’ Standard </w:t>
      </w:r>
      <w:r w:rsidR="004F156C">
        <w:rPr>
          <w:u w:val="single"/>
        </w:rPr>
        <w:t>is Misplaced</w:t>
      </w:r>
      <w:r w:rsidR="00D72754">
        <w:t>.</w:t>
      </w:r>
    </w:p>
    <w:p w:rsidR="00840BE0" w:rsidRPr="00840BE0" w:rsidRDefault="00840BE0" w:rsidP="00840BE0">
      <w:pPr>
        <w:jc w:val="center"/>
      </w:pPr>
    </w:p>
    <w:p w:rsidR="00AB3D36" w:rsidRPr="00840BE0" w:rsidRDefault="00840BE0" w:rsidP="0019692D">
      <w:pPr>
        <w:numPr>
          <w:ilvl w:val="0"/>
          <w:numId w:val="14"/>
        </w:numPr>
        <w:tabs>
          <w:tab w:val="num" w:pos="720"/>
        </w:tabs>
        <w:spacing w:line="480" w:lineRule="auto"/>
        <w:ind w:left="720" w:hanging="720"/>
        <w:rPr>
          <w:rFonts w:ascii="Palatino Linotype" w:hAnsi="Palatino Linotype" w:cs="Arial"/>
          <w:sz w:val="22"/>
          <w:szCs w:val="22"/>
        </w:rPr>
      </w:pPr>
      <w:r>
        <w:t>I</w:t>
      </w:r>
      <w:r w:rsidR="00FC515D">
        <w:t>n</w:t>
      </w:r>
      <w:r>
        <w:t xml:space="preserve"> </w:t>
      </w:r>
      <w:r w:rsidR="00FC515D">
        <w:t xml:space="preserve">its Discussion </w:t>
      </w:r>
      <w:r w:rsidR="00C609A1">
        <w:t xml:space="preserve">Section, </w:t>
      </w:r>
      <w:r>
        <w:t xml:space="preserve">the Initial Order </w:t>
      </w:r>
      <w:r w:rsidR="00AB3D36">
        <w:t xml:space="preserve">then </w:t>
      </w:r>
      <w:r w:rsidR="00750794">
        <w:t xml:space="preserve">wanders, </w:t>
      </w:r>
      <w:r w:rsidR="00AB3D36">
        <w:t xml:space="preserve">at </w:t>
      </w:r>
      <w:r w:rsidR="00665BD5">
        <w:t xml:space="preserve">Section </w:t>
      </w:r>
      <w:r w:rsidR="00750794">
        <w:t xml:space="preserve">11, </w:t>
      </w:r>
      <w:r w:rsidR="00AB3D36">
        <w:t>into a passage highlighting the injection of competition into other exclusive markets and includes a reference to commercial ferry entry under RCW 81.84 and states …</w:t>
      </w:r>
    </w:p>
    <w:p w:rsidR="009F7FEE" w:rsidRDefault="00AB3D36" w:rsidP="009F7FEE">
      <w:pPr>
        <w:tabs>
          <w:tab w:val="left" w:pos="8640"/>
        </w:tabs>
        <w:ind w:left="720" w:right="720" w:hanging="720"/>
      </w:pPr>
      <w:r>
        <w:tab/>
        <w:t xml:space="preserve">In the transportation sector, the Commission expressed in a commercial ferry case that it is not in the business of granting exclusive service territories and may grant authority absent a showing that any </w:t>
      </w:r>
      <w:r w:rsidR="008E5E7C">
        <w:t>com</w:t>
      </w:r>
      <w:r>
        <w:t>petition would be ‘ruinous.</w:t>
      </w:r>
      <w:r w:rsidR="00FC515D">
        <w:t>’</w:t>
      </w:r>
      <w:r w:rsidR="00C609A1">
        <w:rPr>
          <w:rStyle w:val="FootnoteReference"/>
        </w:rPr>
        <w:footnoteReference w:id="13"/>
      </w:r>
    </w:p>
    <w:p w:rsidR="009F7FEE" w:rsidRDefault="009F7FEE" w:rsidP="00A61025">
      <w:pPr>
        <w:ind w:left="720" w:hanging="720"/>
      </w:pPr>
    </w:p>
    <w:p w:rsidR="00840BE0" w:rsidRPr="00840BE0" w:rsidRDefault="00A61025" w:rsidP="00A61025">
      <w:pPr>
        <w:numPr>
          <w:ilvl w:val="0"/>
          <w:numId w:val="14"/>
        </w:numPr>
        <w:tabs>
          <w:tab w:val="num" w:pos="720"/>
        </w:tabs>
        <w:spacing w:line="480" w:lineRule="auto"/>
        <w:ind w:left="720" w:hanging="720"/>
        <w:rPr>
          <w:rFonts w:ascii="Palatino Linotype" w:hAnsi="Palatino Linotype" w:cs="Arial"/>
          <w:sz w:val="22"/>
          <w:szCs w:val="22"/>
        </w:rPr>
      </w:pPr>
      <w:r>
        <w:t xml:space="preserve">There is probably no better example of the exception in Initial Order No. 7 swallowing the rule and </w:t>
      </w:r>
      <w:r w:rsidR="009F7FEE">
        <w:t xml:space="preserve">potentially </w:t>
      </w:r>
      <w:r>
        <w:t xml:space="preserve">misconstruing </w:t>
      </w:r>
      <w:r w:rsidR="00C609A1">
        <w:t xml:space="preserve">Commission </w:t>
      </w:r>
      <w:r>
        <w:t xml:space="preserve">precedent </w:t>
      </w:r>
      <w:r w:rsidR="00314A81">
        <w:t>in reaching its ultimate decision granting th</w:t>
      </w:r>
      <w:r w:rsidR="00750794">
        <w:t xml:space="preserve">is </w:t>
      </w:r>
      <w:r w:rsidR="00314A81">
        <w:t xml:space="preserve">application </w:t>
      </w:r>
      <w:r>
        <w:t xml:space="preserve">than the </w:t>
      </w:r>
      <w:r w:rsidRPr="00840BE0">
        <w:rPr>
          <w:i/>
        </w:rPr>
        <w:t>Dutchman Marine</w:t>
      </w:r>
      <w:r>
        <w:t xml:space="preserve"> case</w:t>
      </w:r>
      <w:r w:rsidR="008E5E7C">
        <w:t xml:space="preserve">, </w:t>
      </w:r>
      <w:r w:rsidR="004615D8">
        <w:t xml:space="preserve">the </w:t>
      </w:r>
      <w:r w:rsidR="008E5E7C">
        <w:t xml:space="preserve">reliance upon </w:t>
      </w:r>
      <w:r w:rsidR="00314A81">
        <w:t xml:space="preserve">which </w:t>
      </w:r>
      <w:r w:rsidR="00943054">
        <w:t xml:space="preserve">is </w:t>
      </w:r>
      <w:r w:rsidR="004615D8">
        <w:t>a mystery to the WRRA Companies</w:t>
      </w:r>
      <w:r>
        <w:t>.</w:t>
      </w:r>
    </w:p>
    <w:p w:rsidR="004023BA" w:rsidRDefault="00A61025" w:rsidP="00C02B31">
      <w:pPr>
        <w:numPr>
          <w:ilvl w:val="0"/>
          <w:numId w:val="14"/>
        </w:numPr>
        <w:tabs>
          <w:tab w:val="num" w:pos="720"/>
        </w:tabs>
        <w:spacing w:line="480" w:lineRule="auto"/>
        <w:ind w:left="720" w:hanging="720"/>
        <w:rPr>
          <w:rFonts w:ascii="Palatino Linotype" w:hAnsi="Palatino Linotype" w:cs="Arial"/>
          <w:sz w:val="22"/>
          <w:szCs w:val="22"/>
        </w:rPr>
      </w:pPr>
      <w:r w:rsidRPr="00840BE0">
        <w:rPr>
          <w:i/>
        </w:rPr>
        <w:t>Dutchman Marine</w:t>
      </w:r>
      <w:r>
        <w:t xml:space="preserve"> involved a consolidated application case for </w:t>
      </w:r>
      <w:r w:rsidR="00973267">
        <w:t xml:space="preserve">new, </w:t>
      </w:r>
      <w:r>
        <w:t xml:space="preserve">partially overlapping </w:t>
      </w:r>
      <w:r w:rsidR="00FC515D">
        <w:t xml:space="preserve">commercial ferry </w:t>
      </w:r>
      <w:r>
        <w:t xml:space="preserve">service on Lake Washington which was ultimately granted to both remaining applicants.  That </w:t>
      </w:r>
      <w:r w:rsidR="00FC515D">
        <w:t xml:space="preserve">rather </w:t>
      </w:r>
      <w:r>
        <w:t>unusual decision where, for instance, one applicant essentially predicated its</w:t>
      </w:r>
      <w:r w:rsidR="00AF1003">
        <w:t xml:space="preserve"> showing of need on the </w:t>
      </w:r>
      <w:r w:rsidR="004F156C">
        <w:t xml:space="preserve">record through </w:t>
      </w:r>
      <w:r w:rsidR="00AF1003">
        <w:t xml:space="preserve">witnesses presented by the other applicant, also did </w:t>
      </w:r>
      <w:r w:rsidR="00AF1003" w:rsidRPr="00840BE0">
        <w:rPr>
          <w:b/>
        </w:rPr>
        <w:t>not</w:t>
      </w:r>
      <w:r w:rsidR="00AF1003">
        <w:t xml:space="preserve"> </w:t>
      </w:r>
      <w:r w:rsidR="00FC515D">
        <w:t xml:space="preserve">provide for </w:t>
      </w:r>
      <w:r w:rsidR="00AF1003">
        <w:t>overlap in a conventional se</w:t>
      </w:r>
      <w:r w:rsidR="009F7FEE">
        <w:t>nse</w:t>
      </w:r>
      <w:r w:rsidR="00AF1003">
        <w:t>:  “</w:t>
      </w:r>
      <w:r w:rsidR="00840BE0">
        <w:t xml:space="preserve">… </w:t>
      </w:r>
      <w:r w:rsidR="00794406">
        <w:t>[</w:t>
      </w:r>
      <w:r w:rsidR="00AF1003">
        <w:t>o</w:t>
      </w:r>
      <w:r w:rsidR="00794406">
        <w:t>]</w:t>
      </w:r>
      <w:r w:rsidR="00AF1003">
        <w:t xml:space="preserve">ur grants of authority </w:t>
      </w:r>
      <w:r w:rsidR="00794406">
        <w:t xml:space="preserve">as </w:t>
      </w:r>
      <w:r w:rsidR="00AF1003">
        <w:t xml:space="preserve">to these overlapping routes are conditioned by requiring that to the extent one operator or the other obtains such additional authority as is required to initiate service… and actually initiates service, that route is thereafter not available to the other operator unless additional authority is sought from the Commission and is supported by </w:t>
      </w:r>
      <w:r w:rsidR="00794406">
        <w:t xml:space="preserve">a </w:t>
      </w:r>
      <w:r w:rsidR="00AF1003">
        <w:t>showing that the existing operator has failed or refused to furnish reasonable and adequate service.”</w:t>
      </w:r>
      <w:r w:rsidR="00737EA5">
        <w:rPr>
          <w:rStyle w:val="FootnoteReference"/>
        </w:rPr>
        <w:footnoteReference w:id="14"/>
      </w:r>
    </w:p>
    <w:p w:rsidR="004023BA" w:rsidRDefault="00C02B31" w:rsidP="00C02B31">
      <w:pPr>
        <w:numPr>
          <w:ilvl w:val="0"/>
          <w:numId w:val="14"/>
        </w:numPr>
        <w:tabs>
          <w:tab w:val="num" w:pos="720"/>
        </w:tabs>
        <w:spacing w:line="480" w:lineRule="auto"/>
        <w:ind w:left="720" w:hanging="720"/>
        <w:rPr>
          <w:rFonts w:ascii="Palatino Linotype" w:hAnsi="Palatino Linotype" w:cs="Arial"/>
          <w:sz w:val="22"/>
          <w:szCs w:val="22"/>
        </w:rPr>
      </w:pPr>
      <w:r>
        <w:t xml:space="preserve">More importantly, all the above </w:t>
      </w:r>
      <w:r w:rsidR="009F7FEE" w:rsidRPr="004023BA">
        <w:rPr>
          <w:i/>
        </w:rPr>
        <w:t xml:space="preserve">Dutchman Marine </w:t>
      </w:r>
      <w:r>
        <w:t xml:space="preserve">references and those in the quoted portion of Section 11 of the Order here on review were actually from </w:t>
      </w:r>
      <w:r w:rsidRPr="004023BA">
        <w:rPr>
          <w:i/>
        </w:rPr>
        <w:t>an Initial Order</w:t>
      </w:r>
      <w:r w:rsidR="00943054">
        <w:t xml:space="preserve">, </w:t>
      </w:r>
      <w:r>
        <w:t>a month prior to the cited decision and cannot be presumed to be the rationa</w:t>
      </w:r>
      <w:r w:rsidR="009F7FEE">
        <w:t xml:space="preserve">le of the full Commission which, </w:t>
      </w:r>
      <w:r>
        <w:t xml:space="preserve">under RCW </w:t>
      </w:r>
      <w:r w:rsidR="009F7FEE">
        <w:t xml:space="preserve">34.05.464 and WAC 480-07-825(7), </w:t>
      </w:r>
      <w:r w:rsidR="004023BA">
        <w:t xml:space="preserve">is </w:t>
      </w:r>
      <w:r w:rsidR="00FC515D">
        <w:t xml:space="preserve">simply </w:t>
      </w:r>
      <w:r>
        <w:t xml:space="preserve">rendered </w:t>
      </w:r>
      <w:r w:rsidR="004F156C">
        <w:t xml:space="preserve">a </w:t>
      </w:r>
      <w:r>
        <w:t xml:space="preserve">final </w:t>
      </w:r>
      <w:r w:rsidR="004F156C">
        <w:t xml:space="preserve">order </w:t>
      </w:r>
      <w:r>
        <w:t xml:space="preserve">if not reviewed.  Neither applicant in </w:t>
      </w:r>
      <w:r w:rsidRPr="004023BA">
        <w:rPr>
          <w:i/>
        </w:rPr>
        <w:t>Dutchman Marine</w:t>
      </w:r>
      <w:r>
        <w:t xml:space="preserve"> filed a Petition for Administra</w:t>
      </w:r>
      <w:r w:rsidR="004023BA">
        <w:t xml:space="preserve">tive Review nor </w:t>
      </w:r>
      <w:r w:rsidR="004615D8">
        <w:t xml:space="preserve">did </w:t>
      </w:r>
      <w:r w:rsidR="004023BA">
        <w:t xml:space="preserve">any other party, </w:t>
      </w:r>
      <w:r>
        <w:t xml:space="preserve">including the </w:t>
      </w:r>
      <w:r w:rsidR="00490438">
        <w:t>Commission staff</w:t>
      </w:r>
      <w:r w:rsidR="004E25F5">
        <w:t>.  T</w:t>
      </w:r>
      <w:r w:rsidR="00490438">
        <w:t xml:space="preserve">he Commission </w:t>
      </w:r>
      <w:r w:rsidR="004E25F5">
        <w:t xml:space="preserve">also did not </w:t>
      </w:r>
      <w:r w:rsidR="00490438">
        <w:t xml:space="preserve">review </w:t>
      </w:r>
      <w:r w:rsidR="004E25F5">
        <w:t xml:space="preserve">the Order </w:t>
      </w:r>
      <w:r w:rsidR="00490438">
        <w:t xml:space="preserve">on its own motion.  As such, WAC 480-07-825(7)(c) would </w:t>
      </w:r>
      <w:r w:rsidR="004023BA">
        <w:t xml:space="preserve">presumably </w:t>
      </w:r>
      <w:r w:rsidR="00490438">
        <w:t xml:space="preserve">apply here where a short form </w:t>
      </w:r>
      <w:r w:rsidR="00FC515D">
        <w:t>F</w:t>
      </w:r>
      <w:r w:rsidR="00490438">
        <w:t>i</w:t>
      </w:r>
      <w:r w:rsidR="00FC515D">
        <w:t>n</w:t>
      </w:r>
      <w:r w:rsidR="00490438">
        <w:t xml:space="preserve">al </w:t>
      </w:r>
      <w:r w:rsidR="00FC515D">
        <w:t>O</w:t>
      </w:r>
      <w:r w:rsidR="00490438">
        <w:t>rder is issued</w:t>
      </w:r>
      <w:r w:rsidR="0021021B">
        <w:t>,</w:t>
      </w:r>
      <w:r w:rsidR="00490438">
        <w:t xml:space="preserve"> </w:t>
      </w:r>
      <w:r w:rsidR="004F156C">
        <w:t xml:space="preserve">meaning </w:t>
      </w:r>
      <w:r w:rsidR="00490438">
        <w:t>the reasoning in the Initial Order would lack any precedential value.</w:t>
      </w:r>
      <w:r w:rsidR="00835366">
        <w:rPr>
          <w:rStyle w:val="FootnoteReference"/>
        </w:rPr>
        <w:footnoteReference w:id="15"/>
      </w:r>
    </w:p>
    <w:p w:rsidR="00125A44" w:rsidRPr="00125A44" w:rsidRDefault="00490438" w:rsidP="00C02B31">
      <w:pPr>
        <w:numPr>
          <w:ilvl w:val="0"/>
          <w:numId w:val="14"/>
        </w:numPr>
        <w:tabs>
          <w:tab w:val="num" w:pos="720"/>
        </w:tabs>
        <w:spacing w:line="480" w:lineRule="auto"/>
        <w:ind w:left="720" w:hanging="720"/>
        <w:rPr>
          <w:rFonts w:ascii="Palatino Linotype" w:hAnsi="Palatino Linotype" w:cs="Arial"/>
          <w:sz w:val="22"/>
          <w:szCs w:val="22"/>
        </w:rPr>
      </w:pPr>
      <w:r>
        <w:t xml:space="preserve">Yet despite that </w:t>
      </w:r>
      <w:r w:rsidR="004E25F5">
        <w:t xml:space="preserve">seemingly </w:t>
      </w:r>
      <w:r>
        <w:t xml:space="preserve">obvious </w:t>
      </w:r>
      <w:r w:rsidR="004E25F5">
        <w:t>limitation</w:t>
      </w:r>
      <w:r>
        <w:t xml:space="preserve">, Initial Order No. 7 </w:t>
      </w:r>
      <w:r w:rsidR="004E25F5">
        <w:t xml:space="preserve">also </w:t>
      </w:r>
      <w:r>
        <w:t xml:space="preserve">seems to suggest the administrative law judge in </w:t>
      </w:r>
      <w:r w:rsidRPr="004023BA">
        <w:rPr>
          <w:i/>
        </w:rPr>
        <w:t>Dutchman Marine</w:t>
      </w:r>
      <w:r>
        <w:t xml:space="preserve"> and the Commission </w:t>
      </w:r>
      <w:r w:rsidR="00973267">
        <w:t xml:space="preserve">here </w:t>
      </w:r>
      <w:r>
        <w:t xml:space="preserve">could </w:t>
      </w:r>
      <w:r w:rsidR="00FC515D">
        <w:t xml:space="preserve">now </w:t>
      </w:r>
      <w:r>
        <w:t>effectively disregard the statutory mandate against overlapping authority in RCW</w:t>
      </w:r>
      <w:r w:rsidR="004F156C">
        <w:t> </w:t>
      </w:r>
      <w:r>
        <w:t>81.</w:t>
      </w:r>
      <w:r w:rsidR="009F7FEE">
        <w:t xml:space="preserve">84.020 </w:t>
      </w:r>
      <w:r w:rsidR="004615D8">
        <w:t xml:space="preserve">and </w:t>
      </w:r>
      <w:r w:rsidR="00FC515D">
        <w:t xml:space="preserve">RCW 81.77.040, </w:t>
      </w:r>
      <w:r>
        <w:t xml:space="preserve">absent </w:t>
      </w:r>
      <w:r w:rsidR="00943054">
        <w:t xml:space="preserve">only </w:t>
      </w:r>
      <w:r>
        <w:t xml:space="preserve">a showing that the </w:t>
      </w:r>
      <w:r w:rsidR="004E25F5">
        <w:t xml:space="preserve">announced </w:t>
      </w:r>
      <w:r>
        <w:t>beneficial competition overlap would promote “ruinous com</w:t>
      </w:r>
      <w:r w:rsidR="00125A44">
        <w:t>petition.”</w:t>
      </w:r>
    </w:p>
    <w:p w:rsidR="00490438" w:rsidRPr="004023BA" w:rsidRDefault="00490438" w:rsidP="00C02B31">
      <w:pPr>
        <w:numPr>
          <w:ilvl w:val="0"/>
          <w:numId w:val="14"/>
        </w:numPr>
        <w:tabs>
          <w:tab w:val="num" w:pos="720"/>
        </w:tabs>
        <w:spacing w:line="480" w:lineRule="auto"/>
        <w:ind w:left="720" w:hanging="720"/>
        <w:rPr>
          <w:rFonts w:ascii="Palatino Linotype" w:hAnsi="Palatino Linotype" w:cs="Arial"/>
          <w:sz w:val="22"/>
          <w:szCs w:val="22"/>
        </w:rPr>
      </w:pPr>
      <w:r>
        <w:t xml:space="preserve">What Judge Moss </w:t>
      </w:r>
      <w:r w:rsidR="009F7FEE">
        <w:t xml:space="preserve">in </w:t>
      </w:r>
      <w:r w:rsidR="009F7FEE" w:rsidRPr="004023BA">
        <w:rPr>
          <w:i/>
        </w:rPr>
        <w:t xml:space="preserve">Dutchman Marine </w:t>
      </w:r>
      <w:r>
        <w:t>actually observed in that regard, however, is as follows:</w:t>
      </w:r>
    </w:p>
    <w:p w:rsidR="00490438" w:rsidRDefault="00490438" w:rsidP="0094341A">
      <w:pPr>
        <w:ind w:left="720" w:right="720" w:hanging="720"/>
      </w:pPr>
      <w:r>
        <w:tab/>
        <w:t xml:space="preserve">The record in the proceeding supports granting the authorities requested in a fashion that will promote healthy competition in the development of commercial ferry service on Lake Washington </w:t>
      </w:r>
      <w:r>
        <w:rPr>
          <w:u w:val="single"/>
        </w:rPr>
        <w:t>while protecting against ruinous competition.  To best ensure that both goals are met</w:t>
      </w:r>
      <w:r>
        <w:t xml:space="preserve">, it is necessary to condition the grant of such authorities.  The Commission must simultaneously provide both applicants the flexibility they need to develop specific routes… </w:t>
      </w:r>
      <w:r>
        <w:rPr>
          <w:u w:val="single"/>
        </w:rPr>
        <w:t>yet guard against allowing more than one operator to serve any particular route</w:t>
      </w:r>
      <w:r>
        <w:t>.  [Emphasis added].</w:t>
      </w:r>
      <w:r w:rsidR="00D05854" w:rsidRPr="00D05854">
        <w:rPr>
          <w:rStyle w:val="FootnoteReference"/>
        </w:rPr>
        <w:t xml:space="preserve"> </w:t>
      </w:r>
      <w:r w:rsidR="00D05854">
        <w:rPr>
          <w:rStyle w:val="FootnoteReference"/>
        </w:rPr>
        <w:footnoteReference w:id="16"/>
      </w:r>
    </w:p>
    <w:p w:rsidR="00490438" w:rsidRDefault="00490438" w:rsidP="004023BA"/>
    <w:p w:rsidR="00D05854" w:rsidRPr="00D05854" w:rsidRDefault="00156B10" w:rsidP="00C02B31">
      <w:pPr>
        <w:numPr>
          <w:ilvl w:val="0"/>
          <w:numId w:val="14"/>
        </w:numPr>
        <w:tabs>
          <w:tab w:val="num" w:pos="720"/>
        </w:tabs>
        <w:spacing w:line="480" w:lineRule="auto"/>
        <w:ind w:left="720" w:hanging="720"/>
        <w:rPr>
          <w:rFonts w:ascii="Palatino Linotype" w:hAnsi="Palatino Linotype" w:cs="Arial"/>
          <w:sz w:val="22"/>
          <w:szCs w:val="22"/>
        </w:rPr>
      </w:pPr>
      <w:r>
        <w:t xml:space="preserve">The WRRA Companies </w:t>
      </w:r>
      <w:r w:rsidR="00FC515D">
        <w:t xml:space="preserve">simply </w:t>
      </w:r>
      <w:r>
        <w:t>do not find any expression by the administrative law judge</w:t>
      </w:r>
      <w:r w:rsidR="004E25F5">
        <w:t xml:space="preserve"> there</w:t>
      </w:r>
      <w:r>
        <w:t xml:space="preserve">, let alone the </w:t>
      </w:r>
      <w:r w:rsidR="003E1E1D">
        <w:t xml:space="preserve">full </w:t>
      </w:r>
      <w:r>
        <w:t>Commission</w:t>
      </w:r>
      <w:r w:rsidR="00D05854">
        <w:t xml:space="preserve"> </w:t>
      </w:r>
      <w:r>
        <w:t xml:space="preserve">in the </w:t>
      </w:r>
      <w:r w:rsidRPr="004023BA">
        <w:rPr>
          <w:i/>
        </w:rPr>
        <w:t>Dutchman Marine</w:t>
      </w:r>
      <w:r>
        <w:t xml:space="preserve"> case </w:t>
      </w:r>
      <w:r w:rsidR="00ED1B08">
        <w:t xml:space="preserve">whatsoever </w:t>
      </w:r>
      <w:r>
        <w:t xml:space="preserve">that “it was not in the business of granting exclusive service territories and may grant overlapping </w:t>
      </w:r>
      <w:r w:rsidR="00037BC1">
        <w:t>authority absent a showing tha</w:t>
      </w:r>
      <w:r w:rsidR="00FC515D">
        <w:t xml:space="preserve">t competition would be </w:t>
      </w:r>
      <w:r w:rsidR="007726AD">
        <w:t>‘</w:t>
      </w:r>
      <w:r w:rsidR="00387B65">
        <w:t>ruinous</w:t>
      </w:r>
      <w:r w:rsidR="00274A5B">
        <w:t>,</w:t>
      </w:r>
      <w:r w:rsidR="007726AD">
        <w:t>’</w:t>
      </w:r>
      <w:r w:rsidR="00037BC1">
        <w:t>”</w:t>
      </w:r>
      <w:r w:rsidR="00387B65">
        <w:t xml:space="preserve"> as Initial Order No. 7 </w:t>
      </w:r>
      <w:r w:rsidR="008E5E7C">
        <w:t xml:space="preserve">summarily </w:t>
      </w:r>
      <w:r w:rsidR="00387B65">
        <w:t>concludes.</w:t>
      </w:r>
    </w:p>
    <w:p w:rsidR="00156B10" w:rsidRPr="00665BD5" w:rsidRDefault="00037BC1" w:rsidP="00C02B31">
      <w:pPr>
        <w:numPr>
          <w:ilvl w:val="0"/>
          <w:numId w:val="14"/>
        </w:numPr>
        <w:tabs>
          <w:tab w:val="num" w:pos="720"/>
        </w:tabs>
        <w:spacing w:line="480" w:lineRule="auto"/>
        <w:ind w:left="720" w:hanging="720"/>
        <w:rPr>
          <w:rFonts w:ascii="Palatino Linotype" w:hAnsi="Palatino Linotype" w:cs="Arial"/>
          <w:sz w:val="22"/>
          <w:szCs w:val="22"/>
        </w:rPr>
      </w:pPr>
      <w:r>
        <w:t xml:space="preserve">While no one can dispute that the Commission’s policy in the context of specialized medical waste collection has identified exceptions to RCW 81.77.040’s </w:t>
      </w:r>
      <w:r w:rsidR="00387B65">
        <w:t>explicit limitation</w:t>
      </w:r>
      <w:r w:rsidR="003E1E1D">
        <w:t xml:space="preserve">s on overlap, to our knowledge, </w:t>
      </w:r>
      <w:r w:rsidR="00FC515D">
        <w:t xml:space="preserve">that again </w:t>
      </w:r>
      <w:r>
        <w:t>has never been extended to RCW</w:t>
      </w:r>
      <w:r w:rsidR="004023BA">
        <w:t> </w:t>
      </w:r>
      <w:r>
        <w:t>81.77.040 as a whole</w:t>
      </w:r>
      <w:r w:rsidR="004E25F5">
        <w:t>.  T</w:t>
      </w:r>
      <w:r>
        <w:t>he</w:t>
      </w:r>
      <w:r w:rsidR="004E25F5">
        <w:t xml:space="preserve"> </w:t>
      </w:r>
      <w:r>
        <w:t xml:space="preserve">implication in the Initial Order relying on the </w:t>
      </w:r>
      <w:r w:rsidR="00274A5B">
        <w:t xml:space="preserve">obviously </w:t>
      </w:r>
      <w:r>
        <w:t>un</w:t>
      </w:r>
      <w:r w:rsidR="004E25F5">
        <w:t xml:space="preserve">ique </w:t>
      </w:r>
      <w:r w:rsidRPr="004023BA">
        <w:rPr>
          <w:i/>
        </w:rPr>
        <w:t>Dutchman Marine</w:t>
      </w:r>
      <w:r>
        <w:t xml:space="preserve"> </w:t>
      </w:r>
      <w:r w:rsidR="00274A5B">
        <w:t>I</w:t>
      </w:r>
      <w:r>
        <w:t xml:space="preserve">nitial </w:t>
      </w:r>
      <w:r w:rsidR="00274A5B">
        <w:t>O</w:t>
      </w:r>
      <w:r>
        <w:t xml:space="preserve">rder linkage should not be recognized as any support for the broad language in the Initial Order here that purports to “revisit” </w:t>
      </w:r>
      <w:r w:rsidR="00387B65">
        <w:t xml:space="preserve">and </w:t>
      </w:r>
      <w:r>
        <w:t xml:space="preserve">sweep </w:t>
      </w:r>
      <w:r w:rsidR="00ED1B08">
        <w:t xml:space="preserve">aside </w:t>
      </w:r>
      <w:r w:rsidR="00274A5B">
        <w:t xml:space="preserve">long-standing </w:t>
      </w:r>
      <w:r>
        <w:t xml:space="preserve">case law </w:t>
      </w:r>
      <w:r w:rsidR="00FC515D">
        <w:t xml:space="preserve">underpinning </w:t>
      </w:r>
      <w:r>
        <w:t xml:space="preserve">decades of Commission </w:t>
      </w:r>
      <w:r w:rsidR="003E1E1D">
        <w:t xml:space="preserve">RCW 81.77.040 </w:t>
      </w:r>
      <w:r>
        <w:t>precedent in its wake.</w:t>
      </w:r>
    </w:p>
    <w:p w:rsidR="00665BD5" w:rsidRPr="00665BD5" w:rsidRDefault="00665BD5" w:rsidP="00665BD5">
      <w:pPr>
        <w:spacing w:line="480" w:lineRule="auto"/>
        <w:jc w:val="center"/>
        <w:rPr>
          <w:rFonts w:ascii="Palatino Linotype" w:hAnsi="Palatino Linotype" w:cs="Arial"/>
          <w:sz w:val="22"/>
          <w:szCs w:val="22"/>
          <w:u w:val="single"/>
        </w:rPr>
      </w:pPr>
      <w:r w:rsidRPr="00665BD5">
        <w:t>V.</w:t>
      </w:r>
      <w:r>
        <w:t xml:space="preserve">  </w:t>
      </w:r>
      <w:r w:rsidR="00E539A5">
        <w:rPr>
          <w:u w:val="single"/>
        </w:rPr>
        <w:t>SUMMARY</w:t>
      </w:r>
      <w:r w:rsidR="00794406">
        <w:rPr>
          <w:u w:val="single"/>
        </w:rPr>
        <w:t xml:space="preserve"> ARGUMENT</w:t>
      </w:r>
      <w:r w:rsidR="003B334C">
        <w:rPr>
          <w:u w:val="single"/>
        </w:rPr>
        <w:t>/PRAYER FOR RELIEF</w:t>
      </w:r>
    </w:p>
    <w:p w:rsidR="004C2127" w:rsidRPr="00847BC6" w:rsidRDefault="00E539A5" w:rsidP="00C02B31">
      <w:pPr>
        <w:numPr>
          <w:ilvl w:val="0"/>
          <w:numId w:val="14"/>
        </w:numPr>
        <w:tabs>
          <w:tab w:val="num" w:pos="720"/>
        </w:tabs>
        <w:spacing w:line="480" w:lineRule="auto"/>
        <w:ind w:left="720" w:hanging="720"/>
        <w:rPr>
          <w:rFonts w:cs="Arial"/>
          <w:szCs w:val="22"/>
        </w:rPr>
      </w:pPr>
      <w:r w:rsidRPr="00847BC6">
        <w:rPr>
          <w:rFonts w:cs="Arial"/>
          <w:szCs w:val="22"/>
        </w:rPr>
        <w:t xml:space="preserve">Admittedly, </w:t>
      </w:r>
      <w:r w:rsidR="004C2127" w:rsidRPr="00847BC6">
        <w:rPr>
          <w:rFonts w:cs="Arial"/>
          <w:szCs w:val="22"/>
        </w:rPr>
        <w:t xml:space="preserve">this case has been an unusually protracted time and resource-consuming proceeding, with an extraordinary number of prehearing motions, arguments, related complaint proceedings, discovery disputes and other issues requiring the attention of both the </w:t>
      </w:r>
      <w:r w:rsidRPr="00847BC6">
        <w:rPr>
          <w:rFonts w:cs="Arial"/>
          <w:szCs w:val="22"/>
        </w:rPr>
        <w:t>A</w:t>
      </w:r>
      <w:r w:rsidR="004C2127" w:rsidRPr="00847BC6">
        <w:rPr>
          <w:rFonts w:cs="Arial"/>
          <w:szCs w:val="22"/>
        </w:rPr>
        <w:t xml:space="preserve">dministrative </w:t>
      </w:r>
      <w:r w:rsidRPr="00847BC6">
        <w:rPr>
          <w:rFonts w:cs="Arial"/>
          <w:szCs w:val="22"/>
        </w:rPr>
        <w:t>L</w:t>
      </w:r>
      <w:r w:rsidR="004C2127" w:rsidRPr="00847BC6">
        <w:rPr>
          <w:rFonts w:cs="Arial"/>
          <w:szCs w:val="22"/>
        </w:rPr>
        <w:t xml:space="preserve">aw </w:t>
      </w:r>
      <w:r w:rsidRPr="00847BC6">
        <w:rPr>
          <w:rFonts w:cs="Arial"/>
          <w:szCs w:val="22"/>
        </w:rPr>
        <w:t>D</w:t>
      </w:r>
      <w:r w:rsidR="004C2127" w:rsidRPr="00847BC6">
        <w:rPr>
          <w:rFonts w:cs="Arial"/>
          <w:szCs w:val="22"/>
        </w:rPr>
        <w:t>i</w:t>
      </w:r>
      <w:r w:rsidRPr="00847BC6">
        <w:rPr>
          <w:rFonts w:cs="Arial"/>
          <w:szCs w:val="22"/>
        </w:rPr>
        <w:t>vision and the Commission staff</w:t>
      </w:r>
      <w:r w:rsidR="009948C5" w:rsidRPr="00847BC6">
        <w:rPr>
          <w:rFonts w:cs="Arial"/>
          <w:szCs w:val="22"/>
        </w:rPr>
        <w:t xml:space="preserve"> culminating in a four-day hearing almost a year after the application was filed</w:t>
      </w:r>
      <w:r w:rsidRPr="00847BC6">
        <w:rPr>
          <w:rFonts w:cs="Arial"/>
          <w:szCs w:val="22"/>
        </w:rPr>
        <w:t xml:space="preserve">.  </w:t>
      </w:r>
      <w:r w:rsidR="004C2127" w:rsidRPr="00847BC6">
        <w:rPr>
          <w:rFonts w:cs="Arial"/>
          <w:szCs w:val="22"/>
        </w:rPr>
        <w:t xml:space="preserve">However, the proposed outcome of the proceeding embodied in Initial Order No. 7 is </w:t>
      </w:r>
      <w:r w:rsidRPr="00847BC6">
        <w:rPr>
          <w:rFonts w:cs="Arial"/>
          <w:szCs w:val="22"/>
        </w:rPr>
        <w:t xml:space="preserve">significantly </w:t>
      </w:r>
      <w:r w:rsidR="004C2127" w:rsidRPr="00847BC6">
        <w:rPr>
          <w:rFonts w:cs="Arial"/>
          <w:szCs w:val="22"/>
        </w:rPr>
        <w:t xml:space="preserve">concerning </w:t>
      </w:r>
      <w:r w:rsidR="009948C5" w:rsidRPr="00847BC6">
        <w:rPr>
          <w:rFonts w:cs="Arial"/>
          <w:szCs w:val="22"/>
        </w:rPr>
        <w:t xml:space="preserve">and surprising </w:t>
      </w:r>
      <w:r w:rsidR="004C2127" w:rsidRPr="00847BC6">
        <w:rPr>
          <w:rFonts w:cs="Arial"/>
          <w:szCs w:val="22"/>
        </w:rPr>
        <w:t xml:space="preserve">to the WRRA Companies for a </w:t>
      </w:r>
      <w:r w:rsidR="00794406" w:rsidRPr="00847BC6">
        <w:rPr>
          <w:rFonts w:cs="Arial"/>
          <w:szCs w:val="22"/>
        </w:rPr>
        <w:t xml:space="preserve">variety </w:t>
      </w:r>
      <w:r w:rsidR="004C2127" w:rsidRPr="00847BC6">
        <w:rPr>
          <w:rFonts w:cs="Arial"/>
          <w:szCs w:val="22"/>
        </w:rPr>
        <w:t xml:space="preserve">of reasons noted in this Petition.  First, it appears to overlook or otherwise misinterpret and misapply the traditional </w:t>
      </w:r>
      <w:r w:rsidRPr="00847BC6">
        <w:rPr>
          <w:rFonts w:cs="Arial"/>
          <w:szCs w:val="22"/>
        </w:rPr>
        <w:t>“</w:t>
      </w:r>
      <w:r w:rsidR="004C2127" w:rsidRPr="00847BC6">
        <w:rPr>
          <w:rFonts w:cs="Arial"/>
          <w:szCs w:val="22"/>
        </w:rPr>
        <w:t>service to the</w:t>
      </w:r>
      <w:r w:rsidRPr="00847BC6">
        <w:rPr>
          <w:rFonts w:cs="Arial"/>
          <w:szCs w:val="22"/>
        </w:rPr>
        <w:t xml:space="preserve"> satisfaction of the Commission” </w:t>
      </w:r>
      <w:r w:rsidR="004C2127" w:rsidRPr="00847BC6">
        <w:rPr>
          <w:rFonts w:cs="Arial"/>
          <w:szCs w:val="22"/>
        </w:rPr>
        <w:t xml:space="preserve">test that is a consistent hallmark of application entry </w:t>
      </w:r>
      <w:r w:rsidR="009948C5" w:rsidRPr="00847BC6">
        <w:rPr>
          <w:rFonts w:cs="Arial"/>
          <w:szCs w:val="22"/>
        </w:rPr>
        <w:t xml:space="preserve">for </w:t>
      </w:r>
      <w:r w:rsidRPr="00847BC6">
        <w:rPr>
          <w:rFonts w:cs="Arial"/>
          <w:szCs w:val="22"/>
        </w:rPr>
        <w:t>evaluation under RCW 81.77.040</w:t>
      </w:r>
      <w:r w:rsidR="009948C5" w:rsidRPr="00847BC6">
        <w:rPr>
          <w:rFonts w:cs="Arial"/>
          <w:szCs w:val="22"/>
        </w:rPr>
        <w:t>.  I</w:t>
      </w:r>
      <w:r w:rsidR="004C2127" w:rsidRPr="00847BC6">
        <w:rPr>
          <w:rFonts w:cs="Arial"/>
          <w:szCs w:val="22"/>
        </w:rPr>
        <w:t>nstead</w:t>
      </w:r>
      <w:r w:rsidR="000B43A8" w:rsidRPr="00847BC6">
        <w:rPr>
          <w:rFonts w:cs="Arial"/>
          <w:szCs w:val="22"/>
        </w:rPr>
        <w:t>,</w:t>
      </w:r>
      <w:r w:rsidR="009948C5" w:rsidRPr="00847BC6">
        <w:rPr>
          <w:rFonts w:cs="Arial"/>
          <w:szCs w:val="22"/>
        </w:rPr>
        <w:t xml:space="preserve"> it relies </w:t>
      </w:r>
      <w:r w:rsidR="004C2127" w:rsidRPr="00847BC6">
        <w:rPr>
          <w:rFonts w:cs="Arial"/>
          <w:szCs w:val="22"/>
        </w:rPr>
        <w:t xml:space="preserve">on a revenue “dilution/ruinous competition/market benefit standard” in judging overlapping biomedical waste applications which Protestants believe </w:t>
      </w:r>
      <w:r w:rsidR="003779B1" w:rsidRPr="00847BC6">
        <w:rPr>
          <w:rFonts w:cs="Arial"/>
          <w:szCs w:val="22"/>
        </w:rPr>
        <w:t>improperly</w:t>
      </w:r>
      <w:r w:rsidR="000B43A8" w:rsidRPr="00847BC6">
        <w:rPr>
          <w:rFonts w:cs="Arial"/>
          <w:szCs w:val="22"/>
        </w:rPr>
        <w:t xml:space="preserve"> </w:t>
      </w:r>
      <w:r w:rsidR="004C2127" w:rsidRPr="00847BC6">
        <w:rPr>
          <w:rFonts w:cs="Arial"/>
          <w:szCs w:val="22"/>
        </w:rPr>
        <w:t>shift</w:t>
      </w:r>
      <w:r w:rsidRPr="00847BC6">
        <w:rPr>
          <w:rFonts w:cs="Arial"/>
          <w:szCs w:val="22"/>
        </w:rPr>
        <w:t>s</w:t>
      </w:r>
      <w:r w:rsidR="004C2127" w:rsidRPr="00847BC6">
        <w:rPr>
          <w:rFonts w:cs="Arial"/>
          <w:szCs w:val="22"/>
        </w:rPr>
        <w:t xml:space="preserve"> the burden of proof and </w:t>
      </w:r>
      <w:r w:rsidR="000B43A8" w:rsidRPr="00847BC6">
        <w:rPr>
          <w:rFonts w:cs="Arial"/>
          <w:szCs w:val="22"/>
        </w:rPr>
        <w:t xml:space="preserve">avoids </w:t>
      </w:r>
      <w:r w:rsidRPr="00847BC6">
        <w:rPr>
          <w:rFonts w:cs="Arial"/>
          <w:szCs w:val="22"/>
        </w:rPr>
        <w:t xml:space="preserve">the </w:t>
      </w:r>
      <w:r w:rsidR="00794406" w:rsidRPr="00847BC6">
        <w:rPr>
          <w:rFonts w:cs="Arial"/>
          <w:szCs w:val="22"/>
        </w:rPr>
        <w:t xml:space="preserve">requisite analysis </w:t>
      </w:r>
      <w:r w:rsidR="004C2127" w:rsidRPr="00847BC6">
        <w:rPr>
          <w:rFonts w:cs="Arial"/>
          <w:szCs w:val="22"/>
        </w:rPr>
        <w:t xml:space="preserve">of proposed overlapping service </w:t>
      </w:r>
      <w:r w:rsidR="00794406" w:rsidRPr="00847BC6">
        <w:rPr>
          <w:rFonts w:cs="Arial"/>
          <w:szCs w:val="22"/>
        </w:rPr>
        <w:t xml:space="preserve">until </w:t>
      </w:r>
      <w:r w:rsidR="004C2127" w:rsidRPr="00847BC6">
        <w:rPr>
          <w:rFonts w:cs="Arial"/>
          <w:b/>
          <w:szCs w:val="22"/>
        </w:rPr>
        <w:t>after</w:t>
      </w:r>
      <w:r w:rsidR="004C2127" w:rsidRPr="00847BC6">
        <w:rPr>
          <w:rFonts w:cs="Arial"/>
          <w:szCs w:val="22"/>
        </w:rPr>
        <w:t xml:space="preserve"> a threshold determination of unsatisfactory service is established.  Second, the ove</w:t>
      </w:r>
      <w:r w:rsidRPr="00847BC6">
        <w:rPr>
          <w:rFonts w:cs="Arial"/>
          <w:szCs w:val="22"/>
        </w:rPr>
        <w:t xml:space="preserve">rbroad </w:t>
      </w:r>
      <w:r w:rsidR="00794406" w:rsidRPr="00847BC6">
        <w:rPr>
          <w:rFonts w:cs="Arial"/>
          <w:szCs w:val="22"/>
        </w:rPr>
        <w:t xml:space="preserve">editorial </w:t>
      </w:r>
      <w:r w:rsidRPr="00847BC6">
        <w:rPr>
          <w:rFonts w:cs="Arial"/>
          <w:szCs w:val="22"/>
        </w:rPr>
        <w:t xml:space="preserve">references to </w:t>
      </w:r>
      <w:r w:rsidR="000B43A8" w:rsidRPr="00847BC6">
        <w:rPr>
          <w:rFonts w:cs="Arial"/>
          <w:szCs w:val="22"/>
        </w:rPr>
        <w:t>“</w:t>
      </w:r>
      <w:r w:rsidRPr="00847BC6">
        <w:rPr>
          <w:rFonts w:cs="Arial"/>
          <w:szCs w:val="22"/>
        </w:rPr>
        <w:t xml:space="preserve">rethinking, revisiting </w:t>
      </w:r>
      <w:r w:rsidR="004C2127" w:rsidRPr="00847BC6">
        <w:rPr>
          <w:rFonts w:cs="Arial"/>
          <w:szCs w:val="22"/>
        </w:rPr>
        <w:t>and reconsidering</w:t>
      </w:r>
      <w:r w:rsidR="000B43A8" w:rsidRPr="00847BC6">
        <w:rPr>
          <w:rFonts w:cs="Arial"/>
          <w:szCs w:val="22"/>
        </w:rPr>
        <w:t>”</w:t>
      </w:r>
      <w:r w:rsidR="004C2127" w:rsidRPr="00847BC6">
        <w:rPr>
          <w:rFonts w:cs="Arial"/>
          <w:szCs w:val="22"/>
        </w:rPr>
        <w:t xml:space="preserve"> decades-long case law evaluating the statutory criteria </w:t>
      </w:r>
      <w:r w:rsidRPr="00847BC6">
        <w:rPr>
          <w:rFonts w:cs="Arial"/>
          <w:szCs w:val="22"/>
        </w:rPr>
        <w:t xml:space="preserve">as </w:t>
      </w:r>
      <w:r w:rsidR="004C2127" w:rsidRPr="00847BC6">
        <w:rPr>
          <w:rFonts w:cs="Arial"/>
          <w:szCs w:val="22"/>
        </w:rPr>
        <w:t xml:space="preserve">against the evidence entered in the record of </w:t>
      </w:r>
      <w:r w:rsidR="009948C5" w:rsidRPr="00847BC6">
        <w:rPr>
          <w:rFonts w:cs="Arial"/>
          <w:szCs w:val="22"/>
        </w:rPr>
        <w:t xml:space="preserve">a </w:t>
      </w:r>
      <w:r w:rsidR="004C2127" w:rsidRPr="00847BC6">
        <w:rPr>
          <w:rFonts w:cs="Arial"/>
          <w:szCs w:val="22"/>
        </w:rPr>
        <w:t>solid waste c</w:t>
      </w:r>
      <w:r w:rsidRPr="00847BC6">
        <w:rPr>
          <w:rFonts w:cs="Arial"/>
          <w:szCs w:val="22"/>
        </w:rPr>
        <w:t xml:space="preserve">ollection case </w:t>
      </w:r>
      <w:r w:rsidR="004C2127" w:rsidRPr="00847BC6">
        <w:rPr>
          <w:rFonts w:cs="Arial"/>
          <w:szCs w:val="22"/>
        </w:rPr>
        <w:t xml:space="preserve">fails to </w:t>
      </w:r>
      <w:r w:rsidR="000B43A8" w:rsidRPr="00847BC6">
        <w:rPr>
          <w:rFonts w:cs="Arial"/>
          <w:szCs w:val="22"/>
        </w:rPr>
        <w:t xml:space="preserve">contain </w:t>
      </w:r>
      <w:r w:rsidR="009948C5" w:rsidRPr="00847BC6">
        <w:rPr>
          <w:rFonts w:cs="Arial"/>
          <w:szCs w:val="22"/>
        </w:rPr>
        <w:t>th</w:t>
      </w:r>
      <w:r w:rsidR="007B5EA6" w:rsidRPr="00847BC6">
        <w:rPr>
          <w:rFonts w:cs="Arial"/>
          <w:szCs w:val="22"/>
        </w:rPr>
        <w:t xml:space="preserve">at </w:t>
      </w:r>
      <w:r w:rsidRPr="00847BC6">
        <w:rPr>
          <w:rFonts w:cs="Arial"/>
          <w:szCs w:val="22"/>
        </w:rPr>
        <w:t>re</w:t>
      </w:r>
      <w:r w:rsidR="004C2127" w:rsidRPr="00847BC6">
        <w:rPr>
          <w:rFonts w:cs="Arial"/>
          <w:szCs w:val="22"/>
        </w:rPr>
        <w:t>interpret</w:t>
      </w:r>
      <w:r w:rsidRPr="00847BC6">
        <w:rPr>
          <w:rFonts w:cs="Arial"/>
          <w:szCs w:val="22"/>
        </w:rPr>
        <w:t xml:space="preserve">ive </w:t>
      </w:r>
      <w:r w:rsidR="004C2127" w:rsidRPr="00847BC6">
        <w:rPr>
          <w:rFonts w:cs="Arial"/>
          <w:szCs w:val="22"/>
        </w:rPr>
        <w:t xml:space="preserve">zeal solely to </w:t>
      </w:r>
      <w:r w:rsidRPr="00847BC6">
        <w:rPr>
          <w:rFonts w:cs="Arial"/>
          <w:szCs w:val="22"/>
        </w:rPr>
        <w:t xml:space="preserve">the </w:t>
      </w:r>
      <w:r w:rsidR="004C2127" w:rsidRPr="00847BC6">
        <w:rPr>
          <w:rFonts w:cs="Arial"/>
          <w:szCs w:val="22"/>
        </w:rPr>
        <w:t>biomedical and specialized waste field</w:t>
      </w:r>
      <w:r w:rsidRPr="00847BC6">
        <w:rPr>
          <w:rFonts w:cs="Arial"/>
          <w:szCs w:val="22"/>
        </w:rPr>
        <w:t>s</w:t>
      </w:r>
      <w:r w:rsidR="000B43A8" w:rsidRPr="00847BC6">
        <w:rPr>
          <w:rFonts w:cs="Arial"/>
          <w:szCs w:val="22"/>
        </w:rPr>
        <w:t xml:space="preserve">.  The Initial Order should, </w:t>
      </w:r>
      <w:r w:rsidR="00F6275F" w:rsidRPr="00847BC6">
        <w:rPr>
          <w:rFonts w:cs="Arial"/>
          <w:szCs w:val="22"/>
        </w:rPr>
        <w:t>but does not reaffirm</w:t>
      </w:r>
      <w:r w:rsidR="004C2127" w:rsidRPr="00847BC6">
        <w:rPr>
          <w:rFonts w:cs="Arial"/>
          <w:szCs w:val="22"/>
        </w:rPr>
        <w:t xml:space="preserve"> or even acknowledg</w:t>
      </w:r>
      <w:r w:rsidR="00F6275F" w:rsidRPr="00847BC6">
        <w:rPr>
          <w:rFonts w:cs="Arial"/>
          <w:szCs w:val="22"/>
        </w:rPr>
        <w:t xml:space="preserve">e </w:t>
      </w:r>
      <w:r w:rsidR="004C2127" w:rsidRPr="00847BC6">
        <w:rPr>
          <w:rFonts w:cs="Arial"/>
          <w:szCs w:val="22"/>
        </w:rPr>
        <w:t xml:space="preserve">the continued efficacy of case law standards in the traditional </w:t>
      </w:r>
      <w:r w:rsidRPr="00847BC6">
        <w:rPr>
          <w:rFonts w:cs="Arial"/>
          <w:szCs w:val="22"/>
        </w:rPr>
        <w:t xml:space="preserve">regulated </w:t>
      </w:r>
      <w:r w:rsidR="004C2127" w:rsidRPr="00847BC6">
        <w:rPr>
          <w:rFonts w:cs="Arial"/>
          <w:szCs w:val="22"/>
        </w:rPr>
        <w:t xml:space="preserve">solid waste collection </w:t>
      </w:r>
      <w:r w:rsidRPr="00847BC6">
        <w:rPr>
          <w:rFonts w:cs="Arial"/>
          <w:szCs w:val="22"/>
        </w:rPr>
        <w:t>market</w:t>
      </w:r>
      <w:r w:rsidR="004C2127" w:rsidRPr="00847BC6">
        <w:rPr>
          <w:rFonts w:cs="Arial"/>
          <w:szCs w:val="22"/>
        </w:rPr>
        <w:t xml:space="preserve">.  Finally, Initial Order No. 7 predicates its activist </w:t>
      </w:r>
      <w:r w:rsidR="00F6275F" w:rsidRPr="00847BC6">
        <w:rPr>
          <w:rFonts w:cs="Arial"/>
          <w:szCs w:val="22"/>
        </w:rPr>
        <w:t>“</w:t>
      </w:r>
      <w:r w:rsidR="004C2127" w:rsidRPr="00847BC6">
        <w:rPr>
          <w:rFonts w:cs="Arial"/>
          <w:szCs w:val="22"/>
        </w:rPr>
        <w:t>market forces</w:t>
      </w:r>
      <w:r w:rsidR="00F6275F" w:rsidRPr="00847BC6">
        <w:rPr>
          <w:rFonts w:cs="Arial"/>
          <w:szCs w:val="22"/>
        </w:rPr>
        <w:t>”</w:t>
      </w:r>
      <w:r w:rsidR="004C2127" w:rsidRPr="00847BC6">
        <w:rPr>
          <w:rFonts w:cs="Arial"/>
          <w:szCs w:val="22"/>
        </w:rPr>
        <w:t xml:space="preserve"> reinterpretation of RCW 81.77 largely </w:t>
      </w:r>
      <w:r w:rsidR="00F6275F" w:rsidRPr="00847BC6">
        <w:rPr>
          <w:rFonts w:cs="Arial"/>
          <w:szCs w:val="22"/>
        </w:rPr>
        <w:t xml:space="preserve">in </w:t>
      </w:r>
      <w:r w:rsidR="004C2127" w:rsidRPr="00847BC6">
        <w:rPr>
          <w:rFonts w:cs="Arial"/>
          <w:szCs w:val="22"/>
        </w:rPr>
        <w:t>reference to a case from the “transportation sector”</w:t>
      </w:r>
      <w:r w:rsidR="007B5EA6" w:rsidRPr="00847BC6">
        <w:rPr>
          <w:rStyle w:val="FootnoteReference"/>
          <w:rFonts w:cs="Arial"/>
          <w:szCs w:val="22"/>
        </w:rPr>
        <w:footnoteReference w:id="17"/>
      </w:r>
      <w:r w:rsidR="004C2127" w:rsidRPr="00847BC6">
        <w:rPr>
          <w:rFonts w:cs="Arial"/>
          <w:szCs w:val="22"/>
        </w:rPr>
        <w:t xml:space="preserve"> in </w:t>
      </w:r>
      <w:r w:rsidR="009948C5" w:rsidRPr="00847BC6">
        <w:rPr>
          <w:rFonts w:cs="Arial"/>
          <w:szCs w:val="22"/>
        </w:rPr>
        <w:t xml:space="preserve">behalf </w:t>
      </w:r>
      <w:r w:rsidR="004C2127" w:rsidRPr="00847BC6">
        <w:rPr>
          <w:rFonts w:cs="Arial"/>
          <w:szCs w:val="22"/>
        </w:rPr>
        <w:t xml:space="preserve">of overlapping service which, on closer examination, simply does not in any way </w:t>
      </w:r>
      <w:r w:rsidRPr="00847BC6">
        <w:rPr>
          <w:rFonts w:cs="Arial"/>
          <w:szCs w:val="22"/>
        </w:rPr>
        <w:t xml:space="preserve">yield </w:t>
      </w:r>
      <w:r w:rsidR="004C2127" w:rsidRPr="00847BC6">
        <w:rPr>
          <w:rFonts w:cs="Arial"/>
          <w:szCs w:val="22"/>
        </w:rPr>
        <w:t>the factual, legal or</w:t>
      </w:r>
      <w:r w:rsidR="003B334C" w:rsidRPr="00847BC6">
        <w:rPr>
          <w:rFonts w:cs="Arial"/>
          <w:szCs w:val="22"/>
        </w:rPr>
        <w:t xml:space="preserve"> precedential support </w:t>
      </w:r>
      <w:r w:rsidR="00F6275F" w:rsidRPr="00847BC6">
        <w:rPr>
          <w:rFonts w:cs="Arial"/>
          <w:szCs w:val="22"/>
        </w:rPr>
        <w:t xml:space="preserve">the Initial Order </w:t>
      </w:r>
      <w:r w:rsidR="003B334C" w:rsidRPr="00847BC6">
        <w:rPr>
          <w:rFonts w:cs="Arial"/>
          <w:szCs w:val="22"/>
        </w:rPr>
        <w:t>advocates.</w:t>
      </w:r>
    </w:p>
    <w:p w:rsidR="00AD1767" w:rsidRPr="00847BC6" w:rsidRDefault="00F6275F" w:rsidP="00C02B31">
      <w:pPr>
        <w:numPr>
          <w:ilvl w:val="0"/>
          <w:numId w:val="14"/>
        </w:numPr>
        <w:tabs>
          <w:tab w:val="num" w:pos="720"/>
        </w:tabs>
        <w:spacing w:line="480" w:lineRule="auto"/>
        <w:ind w:left="720" w:hanging="720"/>
        <w:rPr>
          <w:rFonts w:cs="Arial"/>
          <w:szCs w:val="22"/>
        </w:rPr>
      </w:pPr>
      <w:r w:rsidRPr="00847BC6">
        <w:rPr>
          <w:rFonts w:cs="Arial"/>
          <w:szCs w:val="22"/>
        </w:rPr>
        <w:t xml:space="preserve">In closing, </w:t>
      </w:r>
      <w:r w:rsidR="00AD1767" w:rsidRPr="00847BC6">
        <w:rPr>
          <w:rFonts w:cs="Arial"/>
          <w:szCs w:val="22"/>
        </w:rPr>
        <w:t xml:space="preserve">the WRRA </w:t>
      </w:r>
      <w:r w:rsidR="003B334C" w:rsidRPr="00847BC6">
        <w:rPr>
          <w:rFonts w:cs="Arial"/>
          <w:szCs w:val="22"/>
        </w:rPr>
        <w:t xml:space="preserve">Companies and the WRRA urge this </w:t>
      </w:r>
      <w:r w:rsidR="00AD1767" w:rsidRPr="00847BC6">
        <w:rPr>
          <w:rFonts w:cs="Arial"/>
          <w:szCs w:val="22"/>
        </w:rPr>
        <w:t>Commission to reject “triple overlap” of biomedical waste certificate authority in the</w:t>
      </w:r>
      <w:r w:rsidR="003B334C" w:rsidRPr="00847BC6">
        <w:rPr>
          <w:rFonts w:cs="Arial"/>
          <w:szCs w:val="22"/>
        </w:rPr>
        <w:t xml:space="preserve"> four WRRA Companies’ territories </w:t>
      </w:r>
      <w:r w:rsidR="00AD1767" w:rsidRPr="00847BC6">
        <w:rPr>
          <w:rFonts w:cs="Arial"/>
          <w:szCs w:val="22"/>
        </w:rPr>
        <w:t xml:space="preserve">and </w:t>
      </w:r>
      <w:r w:rsidR="009948C5" w:rsidRPr="00847BC6">
        <w:rPr>
          <w:rFonts w:cs="Arial"/>
          <w:szCs w:val="22"/>
        </w:rPr>
        <w:t xml:space="preserve">to </w:t>
      </w:r>
      <w:r w:rsidRPr="00847BC6">
        <w:rPr>
          <w:rFonts w:cs="Arial"/>
          <w:szCs w:val="22"/>
        </w:rPr>
        <w:t xml:space="preserve">also </w:t>
      </w:r>
      <w:r w:rsidR="00AD1767" w:rsidRPr="00847BC6">
        <w:rPr>
          <w:rFonts w:cs="Arial"/>
          <w:szCs w:val="22"/>
        </w:rPr>
        <w:t xml:space="preserve">reaffirm the continuing viability of the satisfactory service test in </w:t>
      </w:r>
      <w:r w:rsidRPr="00847BC6">
        <w:rPr>
          <w:rFonts w:cs="Arial"/>
          <w:szCs w:val="22"/>
        </w:rPr>
        <w:t xml:space="preserve">all </w:t>
      </w:r>
      <w:r w:rsidR="00AD1767" w:rsidRPr="00847BC6">
        <w:rPr>
          <w:rFonts w:cs="Arial"/>
          <w:szCs w:val="22"/>
        </w:rPr>
        <w:t xml:space="preserve">solid waste certificate applications </w:t>
      </w:r>
      <w:r w:rsidRPr="00847BC6">
        <w:rPr>
          <w:rFonts w:cs="Arial"/>
          <w:szCs w:val="22"/>
        </w:rPr>
        <w:t xml:space="preserve">and the </w:t>
      </w:r>
      <w:r w:rsidR="003B334C" w:rsidRPr="00847BC6">
        <w:rPr>
          <w:rFonts w:cs="Arial"/>
          <w:szCs w:val="22"/>
        </w:rPr>
        <w:t xml:space="preserve">continuing </w:t>
      </w:r>
      <w:r w:rsidR="00AD1767" w:rsidRPr="00847BC6">
        <w:rPr>
          <w:rFonts w:cs="Arial"/>
          <w:szCs w:val="22"/>
        </w:rPr>
        <w:t xml:space="preserve">limitation </w:t>
      </w:r>
      <w:r w:rsidR="009948C5" w:rsidRPr="00847BC6">
        <w:rPr>
          <w:rFonts w:cs="Arial"/>
          <w:szCs w:val="22"/>
        </w:rPr>
        <w:t xml:space="preserve">of </w:t>
      </w:r>
      <w:r w:rsidR="00AD1767" w:rsidRPr="00847BC6">
        <w:rPr>
          <w:rFonts w:cs="Arial"/>
          <w:szCs w:val="22"/>
        </w:rPr>
        <w:t xml:space="preserve">and differentiation </w:t>
      </w:r>
      <w:r w:rsidRPr="00847BC6">
        <w:rPr>
          <w:rFonts w:cs="Arial"/>
          <w:szCs w:val="22"/>
        </w:rPr>
        <w:t xml:space="preserve">from </w:t>
      </w:r>
      <w:r w:rsidR="00AD1767" w:rsidRPr="00847BC6">
        <w:rPr>
          <w:rFonts w:cs="Arial"/>
          <w:szCs w:val="22"/>
        </w:rPr>
        <w:t xml:space="preserve">biomedical waste entry standards </w:t>
      </w:r>
      <w:r w:rsidRPr="00847BC6">
        <w:rPr>
          <w:rFonts w:cs="Arial"/>
          <w:szCs w:val="22"/>
        </w:rPr>
        <w:t xml:space="preserve">that have </w:t>
      </w:r>
      <w:r w:rsidR="003B334C" w:rsidRPr="00847BC6">
        <w:rPr>
          <w:rFonts w:cs="Arial"/>
          <w:szCs w:val="22"/>
        </w:rPr>
        <w:t>evolv</w:t>
      </w:r>
      <w:r w:rsidRPr="00847BC6">
        <w:rPr>
          <w:rFonts w:cs="Arial"/>
          <w:szCs w:val="22"/>
        </w:rPr>
        <w:t>ed</w:t>
      </w:r>
      <w:r w:rsidR="003B334C" w:rsidRPr="00847BC6">
        <w:rPr>
          <w:rFonts w:cs="Arial"/>
          <w:szCs w:val="22"/>
        </w:rPr>
        <w:t xml:space="preserve"> since November, </w:t>
      </w:r>
      <w:r w:rsidR="00AD1767" w:rsidRPr="00847BC6">
        <w:rPr>
          <w:rFonts w:cs="Arial"/>
          <w:szCs w:val="22"/>
        </w:rPr>
        <w:t>199</w:t>
      </w:r>
      <w:r w:rsidR="00603B9B" w:rsidRPr="00847BC6">
        <w:rPr>
          <w:rFonts w:cs="Arial"/>
          <w:szCs w:val="22"/>
        </w:rPr>
        <w:t>0</w:t>
      </w:r>
      <w:r w:rsidR="00AD1767" w:rsidRPr="00847BC6">
        <w:rPr>
          <w:rFonts w:cs="Arial"/>
          <w:szCs w:val="22"/>
        </w:rPr>
        <w:t>.</w:t>
      </w:r>
    </w:p>
    <w:p w:rsidR="00313354" w:rsidRPr="00847BC6" w:rsidRDefault="00313354" w:rsidP="00313354">
      <w:pPr>
        <w:spacing w:line="480" w:lineRule="exact"/>
      </w:pPr>
      <w:r w:rsidRPr="00847BC6">
        <w:tab/>
        <w:t xml:space="preserve">DATED this </w:t>
      </w:r>
      <w:r w:rsidR="00CE30D6" w:rsidRPr="00847BC6">
        <w:t>28</w:t>
      </w:r>
      <w:r w:rsidR="00CE30D6" w:rsidRPr="00847BC6">
        <w:rPr>
          <w:vertAlign w:val="superscript"/>
        </w:rPr>
        <w:t>th</w:t>
      </w:r>
      <w:r w:rsidR="00CE30D6" w:rsidRPr="00847BC6">
        <w:t xml:space="preserve"> </w:t>
      </w:r>
      <w:r w:rsidRPr="00847BC6">
        <w:t>day of March, 2013.</w:t>
      </w:r>
    </w:p>
    <w:p w:rsidR="00313354" w:rsidRDefault="00313354" w:rsidP="00313354"/>
    <w:tbl>
      <w:tblPr>
        <w:tblW w:w="9558" w:type="dxa"/>
        <w:tblLayout w:type="fixed"/>
        <w:tblLook w:val="0000" w:firstRow="0" w:lastRow="0" w:firstColumn="0" w:lastColumn="0" w:noHBand="0" w:noVBand="0"/>
      </w:tblPr>
      <w:tblGrid>
        <w:gridCol w:w="4698"/>
        <w:gridCol w:w="4860"/>
      </w:tblGrid>
      <w:tr w:rsidR="00313354" w:rsidTr="00BF04F1">
        <w:trPr>
          <w:cantSplit/>
        </w:trPr>
        <w:tc>
          <w:tcPr>
            <w:tcW w:w="4698" w:type="dxa"/>
          </w:tcPr>
          <w:p w:rsidR="00313354" w:rsidRDefault="00313354" w:rsidP="00BF04F1">
            <w:pPr>
              <w:keepNext/>
              <w:tabs>
                <w:tab w:val="left" w:pos="432"/>
              </w:tabs>
              <w:spacing w:line="240" w:lineRule="exact"/>
            </w:pPr>
          </w:p>
        </w:tc>
        <w:tc>
          <w:tcPr>
            <w:tcW w:w="4860" w:type="dxa"/>
          </w:tcPr>
          <w:p w:rsidR="00313354" w:rsidRDefault="00313354" w:rsidP="00BF04F1">
            <w:pPr>
              <w:keepNext/>
              <w:spacing w:line="240" w:lineRule="exact"/>
              <w:rPr>
                <w:caps/>
              </w:rPr>
            </w:pPr>
            <w:r>
              <w:rPr>
                <w:caps/>
              </w:rPr>
              <w:t>Williams, Kastner &amp; Gibbs PLLC</w:t>
            </w:r>
          </w:p>
          <w:p w:rsidR="00313354" w:rsidRDefault="00313354" w:rsidP="00BF04F1">
            <w:pPr>
              <w:keepNext/>
              <w:spacing w:line="240" w:lineRule="exact"/>
            </w:pPr>
          </w:p>
          <w:p w:rsidR="00313354" w:rsidRDefault="00313354" w:rsidP="00BF04F1">
            <w:pPr>
              <w:keepNext/>
              <w:spacing w:line="240" w:lineRule="exact"/>
            </w:pPr>
          </w:p>
          <w:p w:rsidR="00313354" w:rsidRDefault="00313354" w:rsidP="00BF04F1">
            <w:pPr>
              <w:keepNext/>
              <w:spacing w:line="240" w:lineRule="exact"/>
            </w:pPr>
          </w:p>
          <w:p w:rsidR="00313354" w:rsidRDefault="00313354" w:rsidP="00BF04F1">
            <w:pPr>
              <w:keepNext/>
              <w:tabs>
                <w:tab w:val="right" w:pos="4572"/>
              </w:tabs>
              <w:spacing w:line="240" w:lineRule="exact"/>
              <w:rPr>
                <w:u w:val="single"/>
              </w:rPr>
            </w:pPr>
            <w:r>
              <w:t xml:space="preserve">By </w:t>
            </w:r>
            <w:r>
              <w:rPr>
                <w:u w:val="single"/>
              </w:rPr>
              <w:tab/>
            </w:r>
          </w:p>
          <w:p w:rsidR="007B1148" w:rsidRDefault="00313354" w:rsidP="00BF04F1">
            <w:pPr>
              <w:keepNext/>
              <w:tabs>
                <w:tab w:val="left" w:pos="432"/>
                <w:tab w:val="right" w:pos="4932"/>
              </w:tabs>
              <w:spacing w:line="240" w:lineRule="exact"/>
            </w:pPr>
            <w:r>
              <w:tab/>
            </w:r>
            <w:r w:rsidR="007B1148">
              <w:t>James K. Sells, WSBA #6040</w:t>
            </w:r>
          </w:p>
          <w:p w:rsidR="007B1148" w:rsidRDefault="007B1148" w:rsidP="00BF04F1">
            <w:pPr>
              <w:keepNext/>
              <w:tabs>
                <w:tab w:val="left" w:pos="432"/>
                <w:tab w:val="right" w:pos="4932"/>
              </w:tabs>
              <w:spacing w:line="240" w:lineRule="exact"/>
            </w:pPr>
            <w:r>
              <w:tab/>
            </w:r>
            <w:r w:rsidRPr="000E33A6">
              <w:t>jamessells@comcast.net</w:t>
            </w:r>
            <w:r>
              <w:t xml:space="preserve"> </w:t>
            </w:r>
          </w:p>
          <w:p w:rsidR="00313354" w:rsidRDefault="007B1148" w:rsidP="00BF04F1">
            <w:pPr>
              <w:keepNext/>
              <w:tabs>
                <w:tab w:val="left" w:pos="432"/>
                <w:tab w:val="right" w:pos="4932"/>
              </w:tabs>
              <w:spacing w:line="240" w:lineRule="exact"/>
            </w:pPr>
            <w:r>
              <w:tab/>
            </w:r>
            <w:r w:rsidR="00313354">
              <w:t>David W. Wiley, WSBA #08614</w:t>
            </w:r>
          </w:p>
          <w:p w:rsidR="00313354" w:rsidRDefault="00313354" w:rsidP="00BF04F1">
            <w:pPr>
              <w:keepNext/>
              <w:tabs>
                <w:tab w:val="left" w:pos="432"/>
                <w:tab w:val="right" w:pos="4932"/>
              </w:tabs>
              <w:spacing w:line="240" w:lineRule="exact"/>
            </w:pPr>
            <w:r>
              <w:t xml:space="preserve">       </w:t>
            </w:r>
            <w:r w:rsidRPr="000E33A6">
              <w:t>dwiley@williamskastner.com</w:t>
            </w:r>
            <w:r>
              <w:t xml:space="preserve"> </w:t>
            </w:r>
          </w:p>
          <w:p w:rsidR="00313354" w:rsidRDefault="00313354" w:rsidP="00BF04F1">
            <w:pPr>
              <w:keepNext/>
              <w:spacing w:line="240" w:lineRule="exact"/>
            </w:pPr>
            <w:r>
              <w:t xml:space="preserve">Attorneys for </w:t>
            </w:r>
            <w:r>
              <w:rPr>
                <w:rFonts w:ascii="Palatino Linotype" w:hAnsi="Palatino Linotype" w:cs="Arial"/>
                <w:sz w:val="22"/>
                <w:szCs w:val="22"/>
              </w:rPr>
              <w:t>Rubatino Refuse Removal, Inc., Consolidated Disposal Services, Inc., Murrey’s Disposal, Inc. and Pullman Disposal Service, Inc.</w:t>
            </w:r>
            <w:r w:rsidR="007B1148">
              <w:rPr>
                <w:rFonts w:ascii="Palatino Linotype" w:hAnsi="Palatino Linotype" w:cs="Arial"/>
                <w:sz w:val="22"/>
                <w:szCs w:val="22"/>
              </w:rPr>
              <w:t xml:space="preserve"> and the Washington Refuse and Recycling Association</w:t>
            </w:r>
          </w:p>
        </w:tc>
      </w:tr>
    </w:tbl>
    <w:p w:rsidR="00313354" w:rsidRDefault="00313354" w:rsidP="00313354">
      <w:pPr>
        <w:keepNext/>
        <w:keepLines/>
        <w:jc w:val="center"/>
        <w:rPr>
          <w:b/>
        </w:rPr>
      </w:pPr>
      <w:r>
        <w:br w:type="page"/>
      </w:r>
      <w:r>
        <w:rPr>
          <w:b/>
        </w:rPr>
        <w:t>CERTIFICATE OF SERVICE</w:t>
      </w:r>
    </w:p>
    <w:p w:rsidR="00313354" w:rsidRDefault="00313354" w:rsidP="00313354">
      <w:pPr>
        <w:keepNext/>
        <w:keepLines/>
        <w:rPr>
          <w:b/>
        </w:rPr>
      </w:pPr>
    </w:p>
    <w:p w:rsidR="00313354" w:rsidRDefault="00313354" w:rsidP="00313354">
      <w:r>
        <w:tab/>
        <w:t xml:space="preserve">I hereby certify that on March </w:t>
      </w:r>
      <w:r w:rsidR="00CE30D6">
        <w:t>28</w:t>
      </w:r>
      <w:r>
        <w:t>, 2013, I caused to be served the original and four (4) copies of the foregoing document to the following address via first class mail, postage prepaid to:</w:t>
      </w:r>
    </w:p>
    <w:p w:rsidR="00313354" w:rsidRDefault="00313354" w:rsidP="00313354"/>
    <w:p w:rsidR="00313354" w:rsidRDefault="00313354" w:rsidP="00313354">
      <w:r>
        <w:tab/>
        <w:t>Steven V. King, Acting Executive Director and Secretary</w:t>
      </w:r>
    </w:p>
    <w:p w:rsidR="00313354" w:rsidRDefault="00313354" w:rsidP="00313354">
      <w:pPr>
        <w:ind w:firstLine="720"/>
      </w:pPr>
      <w:r>
        <w:t>Washington Utilities and Transportation Commission</w:t>
      </w:r>
    </w:p>
    <w:p w:rsidR="00313354" w:rsidRDefault="00313354" w:rsidP="00313354">
      <w:pPr>
        <w:ind w:firstLine="720"/>
      </w:pPr>
      <w:r>
        <w:t>Attn.:  Records Center</w:t>
      </w:r>
    </w:p>
    <w:p w:rsidR="00313354" w:rsidRDefault="00313354" w:rsidP="00313354">
      <w:pPr>
        <w:ind w:firstLine="720"/>
      </w:pPr>
      <w:r>
        <w:t>P.O. Box 47250</w:t>
      </w:r>
    </w:p>
    <w:p w:rsidR="00313354" w:rsidRDefault="00313354" w:rsidP="00313354">
      <w:pPr>
        <w:ind w:firstLine="720"/>
      </w:pPr>
      <w:r>
        <w:t>1300 S. Evergreen Park Dr. SW</w:t>
      </w:r>
    </w:p>
    <w:p w:rsidR="00313354" w:rsidRDefault="00313354" w:rsidP="00313354">
      <w:pPr>
        <w:ind w:firstLine="720"/>
      </w:pPr>
      <w:r>
        <w:t>Olympia, WA 98504-7250</w:t>
      </w:r>
    </w:p>
    <w:p w:rsidR="00313354" w:rsidRDefault="00313354" w:rsidP="00313354">
      <w:pPr>
        <w:keepNext/>
        <w:keepLines/>
      </w:pPr>
    </w:p>
    <w:p w:rsidR="00313354" w:rsidRDefault="00313354" w:rsidP="00CE30D6">
      <w:pPr>
        <w:keepNext/>
        <w:keepLines/>
        <w:ind w:firstLine="720"/>
      </w:pPr>
      <w:r>
        <w:t xml:space="preserve">I certify I have also provided to the Washington Utilities and Transportation Commission’s Secretary an official electronic file containing the foregoing document via email to: </w:t>
      </w:r>
      <w:r w:rsidRPr="000E33A6">
        <w:t>records@utc.wa.gov</w:t>
      </w:r>
      <w:r>
        <w:t xml:space="preserve"> and an electronic copy via email and first class mail, postage prepaid, to:</w:t>
      </w:r>
    </w:p>
    <w:p w:rsidR="00313354" w:rsidRDefault="00313354" w:rsidP="00313354">
      <w:pPr>
        <w:keepNext/>
        <w:keepLines/>
      </w:pPr>
    </w:p>
    <w:tbl>
      <w:tblPr>
        <w:tblW w:w="0" w:type="auto"/>
        <w:tblLook w:val="04A0" w:firstRow="1" w:lastRow="0" w:firstColumn="1" w:lastColumn="0" w:noHBand="0" w:noVBand="1"/>
      </w:tblPr>
      <w:tblGrid>
        <w:gridCol w:w="4701"/>
        <w:gridCol w:w="4702"/>
      </w:tblGrid>
      <w:tr w:rsidR="00313354" w:rsidRPr="00BE6BBD" w:rsidTr="00BF04F1">
        <w:trPr>
          <w:trHeight w:val="3663"/>
        </w:trPr>
        <w:tc>
          <w:tcPr>
            <w:tcW w:w="4701" w:type="dxa"/>
            <w:shd w:val="clear" w:color="auto" w:fill="auto"/>
          </w:tcPr>
          <w:p w:rsidR="00313354" w:rsidRDefault="00313354" w:rsidP="00BF04F1">
            <w:pPr>
              <w:keepNext/>
              <w:keepLines/>
              <w:rPr>
                <w:b/>
                <w:i/>
              </w:rPr>
            </w:pPr>
            <w:r>
              <w:rPr>
                <w:b/>
                <w:i/>
              </w:rPr>
              <w:t xml:space="preserve">For </w:t>
            </w:r>
            <w:r w:rsidRPr="00D859D8">
              <w:rPr>
                <w:b/>
                <w:i/>
              </w:rPr>
              <w:t xml:space="preserve">Waste Management of Washington, Inc. d/b/a WM Healthcare Solutions of </w:t>
            </w:r>
            <w:r>
              <w:rPr>
                <w:b/>
                <w:i/>
              </w:rPr>
              <w:t>Washington:</w:t>
            </w:r>
          </w:p>
          <w:p w:rsidR="00313354" w:rsidRPr="00D859D8" w:rsidRDefault="00313354" w:rsidP="00BF04F1">
            <w:pPr>
              <w:keepNext/>
              <w:keepLines/>
              <w:rPr>
                <w:b/>
                <w:i/>
              </w:rPr>
            </w:pPr>
          </w:p>
          <w:p w:rsidR="00313354" w:rsidRDefault="00313354" w:rsidP="00BF04F1">
            <w:pPr>
              <w:keepNext/>
              <w:keepLines/>
            </w:pPr>
            <w:r>
              <w:t>Polly L. McNeill</w:t>
            </w:r>
          </w:p>
          <w:p w:rsidR="00313354" w:rsidRDefault="00313354" w:rsidP="00BF04F1">
            <w:pPr>
              <w:keepNext/>
              <w:keepLines/>
            </w:pPr>
            <w:r>
              <w:t xml:space="preserve">Jessica Goldman </w:t>
            </w:r>
          </w:p>
          <w:p w:rsidR="00313354" w:rsidRDefault="00313354" w:rsidP="00BF04F1">
            <w:pPr>
              <w:keepNext/>
              <w:keepLines/>
            </w:pPr>
            <w:r>
              <w:t>Summit Law Group</w:t>
            </w:r>
          </w:p>
          <w:p w:rsidR="00313354" w:rsidRDefault="00313354" w:rsidP="00BF04F1">
            <w:pPr>
              <w:keepNext/>
              <w:keepLines/>
            </w:pPr>
            <w:r>
              <w:t>315 Fifth Avenue S., Ste. 1000</w:t>
            </w:r>
          </w:p>
          <w:p w:rsidR="00313354" w:rsidRDefault="00313354" w:rsidP="00BF04F1">
            <w:pPr>
              <w:keepNext/>
              <w:keepLines/>
            </w:pPr>
            <w:r>
              <w:t>Seattle, WA 98101-2939</w:t>
            </w:r>
          </w:p>
          <w:p w:rsidR="00313354" w:rsidRPr="00BE6BBD" w:rsidRDefault="00313354" w:rsidP="00BF04F1">
            <w:pPr>
              <w:keepNext/>
              <w:keepLines/>
            </w:pPr>
            <w:r>
              <w:t>Phone: 206.676.7040</w:t>
            </w:r>
          </w:p>
          <w:p w:rsidR="00313354" w:rsidRDefault="00313354" w:rsidP="00BF04F1">
            <w:pPr>
              <w:keepNext/>
              <w:keepLines/>
            </w:pPr>
            <w:r w:rsidRPr="00BE6BBD">
              <w:t xml:space="preserve">Email: </w:t>
            </w:r>
            <w:r w:rsidRPr="000E33A6">
              <w:t>pollym@summitlaw.com</w:t>
            </w:r>
          </w:p>
          <w:p w:rsidR="00313354" w:rsidRPr="00BE6BBD" w:rsidRDefault="00313354" w:rsidP="00BF04F1">
            <w:pPr>
              <w:keepNext/>
              <w:keepLines/>
            </w:pPr>
            <w:r>
              <w:t xml:space="preserve">Email: </w:t>
            </w:r>
            <w:r w:rsidRPr="000E33A6">
              <w:t>jessicag@summitlaw.com</w:t>
            </w:r>
            <w:r>
              <w:t xml:space="preserve"> </w:t>
            </w:r>
          </w:p>
          <w:p w:rsidR="00313354" w:rsidRPr="00BE6BBD" w:rsidRDefault="00313354" w:rsidP="00BF04F1">
            <w:pPr>
              <w:keepNext/>
              <w:keepLines/>
            </w:pPr>
          </w:p>
        </w:tc>
        <w:tc>
          <w:tcPr>
            <w:tcW w:w="4702" w:type="dxa"/>
            <w:shd w:val="clear" w:color="auto" w:fill="auto"/>
          </w:tcPr>
          <w:p w:rsidR="00313354" w:rsidRPr="00D859D8" w:rsidRDefault="00313354" w:rsidP="00BF04F1">
            <w:pPr>
              <w:keepNext/>
              <w:keepLines/>
              <w:rPr>
                <w:b/>
                <w:i/>
              </w:rPr>
            </w:pPr>
            <w:r w:rsidRPr="00D859D8">
              <w:rPr>
                <w:b/>
                <w:i/>
              </w:rPr>
              <w:t>For Stericycle of Washington, Inc.</w:t>
            </w:r>
            <w:r>
              <w:rPr>
                <w:b/>
                <w:i/>
              </w:rPr>
              <w:t>:</w:t>
            </w:r>
          </w:p>
          <w:p w:rsidR="00313354" w:rsidRDefault="00313354" w:rsidP="00BF04F1">
            <w:pPr>
              <w:keepNext/>
              <w:keepLines/>
            </w:pPr>
          </w:p>
          <w:p w:rsidR="00313354" w:rsidRDefault="00313354" w:rsidP="00BF04F1">
            <w:pPr>
              <w:keepNext/>
              <w:keepLines/>
            </w:pPr>
            <w:r>
              <w:t>Stephen B. Johnson</w:t>
            </w:r>
          </w:p>
          <w:p w:rsidR="00313354" w:rsidRDefault="00313354" w:rsidP="00BF04F1">
            <w:pPr>
              <w:keepNext/>
              <w:keepLines/>
            </w:pPr>
            <w:r>
              <w:t>Jared Van Kirk</w:t>
            </w:r>
          </w:p>
          <w:p w:rsidR="00313354" w:rsidRDefault="00313354" w:rsidP="00BF04F1">
            <w:pPr>
              <w:keepNext/>
              <w:keepLines/>
            </w:pPr>
            <w:r>
              <w:t>Garvey Schubert Barer</w:t>
            </w:r>
          </w:p>
          <w:p w:rsidR="00313354" w:rsidRDefault="00313354" w:rsidP="00BF04F1">
            <w:pPr>
              <w:keepNext/>
              <w:keepLines/>
            </w:pPr>
            <w:r>
              <w:t>1191 Second Avenue, Ste. 1800</w:t>
            </w:r>
          </w:p>
          <w:p w:rsidR="00313354" w:rsidRDefault="00313354" w:rsidP="00BF04F1">
            <w:pPr>
              <w:keepNext/>
              <w:keepLines/>
            </w:pPr>
            <w:r>
              <w:t>Seattle, WA 98101</w:t>
            </w:r>
          </w:p>
          <w:p w:rsidR="00313354" w:rsidRDefault="00313354" w:rsidP="00BF04F1">
            <w:pPr>
              <w:keepNext/>
              <w:keepLines/>
            </w:pPr>
            <w:r>
              <w:t>Phone: 206.464.3939</w:t>
            </w:r>
          </w:p>
          <w:p w:rsidR="00313354" w:rsidRDefault="00313354" w:rsidP="00BF04F1">
            <w:pPr>
              <w:keepNext/>
              <w:keepLines/>
            </w:pPr>
            <w:r>
              <w:t xml:space="preserve">Email: </w:t>
            </w:r>
            <w:r w:rsidRPr="000E33A6">
              <w:t>sjohnson@gsblaw.com</w:t>
            </w:r>
            <w:r>
              <w:t xml:space="preserve"> </w:t>
            </w:r>
          </w:p>
          <w:p w:rsidR="00313354" w:rsidRDefault="00313354" w:rsidP="00BF04F1">
            <w:pPr>
              <w:keepNext/>
              <w:keepLines/>
            </w:pPr>
            <w:r>
              <w:t xml:space="preserve">Email: </w:t>
            </w:r>
            <w:r w:rsidRPr="000E33A6">
              <w:t>jvankirk@gsblaw.com</w:t>
            </w:r>
            <w:r>
              <w:t xml:space="preserve">  </w:t>
            </w:r>
          </w:p>
        </w:tc>
      </w:tr>
      <w:tr w:rsidR="00313354" w:rsidRPr="00BE6BBD" w:rsidTr="00BF04F1">
        <w:tc>
          <w:tcPr>
            <w:tcW w:w="4701" w:type="dxa"/>
            <w:shd w:val="clear" w:color="auto" w:fill="auto"/>
          </w:tcPr>
          <w:p w:rsidR="004A70C7" w:rsidRPr="00D859D8" w:rsidRDefault="004A70C7" w:rsidP="004A70C7">
            <w:pPr>
              <w:rPr>
                <w:b/>
                <w:i/>
              </w:rPr>
            </w:pPr>
            <w:r w:rsidRPr="00D859D8">
              <w:rPr>
                <w:b/>
                <w:i/>
              </w:rPr>
              <w:t>For WUTC:</w:t>
            </w:r>
          </w:p>
          <w:p w:rsidR="004A70C7" w:rsidRDefault="004A70C7" w:rsidP="004A70C7"/>
          <w:p w:rsidR="004A70C7" w:rsidRDefault="004A70C7" w:rsidP="004A70C7">
            <w:r>
              <w:t xml:space="preserve">Steven W. Smith </w:t>
            </w:r>
          </w:p>
          <w:p w:rsidR="004A70C7" w:rsidRDefault="004A70C7" w:rsidP="004A70C7">
            <w:r>
              <w:t>Assistant Attorney General</w:t>
            </w:r>
          </w:p>
          <w:p w:rsidR="004A70C7" w:rsidRDefault="004A70C7" w:rsidP="004A70C7">
            <w:r>
              <w:t>PO Box 40128</w:t>
            </w:r>
          </w:p>
          <w:p w:rsidR="004A70C7" w:rsidRDefault="004A70C7" w:rsidP="004A70C7">
            <w:r>
              <w:t>Olympia, WA 98504-0128</w:t>
            </w:r>
          </w:p>
          <w:p w:rsidR="004A70C7" w:rsidRDefault="004A70C7" w:rsidP="004A70C7">
            <w:r>
              <w:t>Phone: 360.664.1225</w:t>
            </w:r>
          </w:p>
          <w:p w:rsidR="00313354" w:rsidRPr="00A4403E" w:rsidRDefault="004A70C7" w:rsidP="004A70C7">
            <w:r>
              <w:t xml:space="preserve">Email: </w:t>
            </w:r>
            <w:r w:rsidRPr="000E33A6">
              <w:t>ssmith@utc.wa.gov</w:t>
            </w:r>
          </w:p>
        </w:tc>
        <w:tc>
          <w:tcPr>
            <w:tcW w:w="4702" w:type="dxa"/>
            <w:shd w:val="clear" w:color="auto" w:fill="auto"/>
          </w:tcPr>
          <w:p w:rsidR="00313354" w:rsidRPr="00BE6BBD" w:rsidRDefault="00313354" w:rsidP="00BF04F1">
            <w:r>
              <w:t xml:space="preserve"> </w:t>
            </w:r>
          </w:p>
        </w:tc>
      </w:tr>
    </w:tbl>
    <w:p w:rsidR="00313354" w:rsidRDefault="00313354" w:rsidP="00313354">
      <w:pPr>
        <w:keepNext/>
        <w:keepLines/>
      </w:pPr>
    </w:p>
    <w:p w:rsidR="004A70C7" w:rsidRDefault="004A70C7" w:rsidP="00313354">
      <w:pPr>
        <w:keepNext/>
        <w:keepLines/>
      </w:pPr>
    </w:p>
    <w:p w:rsidR="00313354" w:rsidRDefault="00313354" w:rsidP="00313354">
      <w:pPr>
        <w:keepNext/>
        <w:keepLines/>
        <w:jc w:val="center"/>
      </w:pPr>
      <w:r>
        <w:tab/>
      </w:r>
      <w:r>
        <w:tab/>
      </w:r>
      <w:r>
        <w:tab/>
      </w:r>
      <w:r>
        <w:tab/>
      </w:r>
      <w:r>
        <w:tab/>
      </w:r>
      <w:r>
        <w:tab/>
      </w:r>
      <w:r>
        <w:tab/>
        <w:t>___________________________</w:t>
      </w:r>
    </w:p>
    <w:p w:rsidR="00313354" w:rsidRPr="00313354" w:rsidRDefault="00313354" w:rsidP="00313354">
      <w:pPr>
        <w:keepNext/>
        <w:keepLines/>
      </w:pPr>
      <w:r>
        <w:tab/>
      </w:r>
      <w:r>
        <w:tab/>
      </w:r>
      <w:r>
        <w:tab/>
      </w:r>
      <w:r>
        <w:tab/>
      </w:r>
      <w:r>
        <w:tab/>
      </w:r>
      <w:r>
        <w:tab/>
      </w:r>
      <w:r>
        <w:tab/>
      </w:r>
      <w:r>
        <w:tab/>
        <w:t>Lyndsay Taylor</w:t>
      </w:r>
    </w:p>
    <w:sectPr w:rsidR="00313354" w:rsidRPr="00313354" w:rsidSect="00AE5B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50" w:rsidRDefault="00B61650">
      <w:r>
        <w:separator/>
      </w:r>
    </w:p>
  </w:endnote>
  <w:endnote w:type="continuationSeparator" w:id="0">
    <w:p w:rsidR="00B61650" w:rsidRDefault="00B6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071941"/>
      <w:docPartObj>
        <w:docPartGallery w:val="Page Numbers (Bottom of Page)"/>
        <w:docPartUnique/>
      </w:docPartObj>
    </w:sdtPr>
    <w:sdtEndPr>
      <w:rPr>
        <w:noProof/>
      </w:rPr>
    </w:sdtEndPr>
    <w:sdtContent>
      <w:p w:rsidR="00803229" w:rsidRDefault="00803229" w:rsidP="00525A65">
        <w:pPr>
          <w:pStyle w:val="Footer"/>
          <w:jc w:val="center"/>
        </w:pPr>
        <w:r>
          <w:t>-</w:t>
        </w:r>
        <w:r>
          <w:fldChar w:fldCharType="begin"/>
        </w:r>
        <w:r>
          <w:instrText xml:space="preserve"> PAGE   \* MERGEFORMAT </w:instrText>
        </w:r>
        <w:r>
          <w:fldChar w:fldCharType="separate"/>
        </w:r>
        <w:r w:rsidR="00A37DD5">
          <w:rPr>
            <w:noProof/>
          </w:rPr>
          <w:t>1</w:t>
        </w:r>
        <w:r>
          <w:rPr>
            <w:noProof/>
          </w:rPr>
          <w:fldChar w:fldCharType="end"/>
        </w:r>
        <w:r>
          <w:rPr>
            <w:noProof/>
          </w:rPr>
          <w:t>-</w:t>
        </w:r>
      </w:p>
    </w:sdtContent>
  </w:sdt>
  <w:p w:rsidR="00E122C4" w:rsidRDefault="00E122C4" w:rsidP="00415ABA">
    <w:pPr>
      <w:pStyle w:val="Footer"/>
    </w:pPr>
  </w:p>
  <w:p w:rsidR="00415ABA" w:rsidRDefault="00E122C4" w:rsidP="00E122C4">
    <w:pPr>
      <w:pStyle w:val="Footer"/>
    </w:pPr>
    <w:r>
      <w:rPr>
        <w:sz w:val="16"/>
      </w:rPr>
      <w:fldChar w:fldCharType="begin"/>
    </w:r>
    <w:r>
      <w:rPr>
        <w:sz w:val="16"/>
      </w:rPr>
      <w:instrText xml:space="preserve"> </w:instrText>
    </w:r>
    <w:r w:rsidRPr="00E122C4">
      <w:rPr>
        <w:sz w:val="16"/>
      </w:rPr>
      <w:instrText>IF "</w:instrText>
    </w:r>
    <w:r w:rsidR="000E33A6">
      <w:rPr>
        <w:sz w:val="16"/>
      </w:rPr>
      <w:instrText>1</w:instrText>
    </w:r>
    <w:r w:rsidRPr="00E122C4">
      <w:rPr>
        <w:sz w:val="16"/>
      </w:rPr>
      <w:instrText>" = "1" "</w:instrText>
    </w:r>
    <w:r w:rsidRPr="00E122C4">
      <w:rPr>
        <w:sz w:val="16"/>
      </w:rPr>
      <w:fldChar w:fldCharType="begin"/>
    </w:r>
    <w:r w:rsidRPr="00E122C4">
      <w:rPr>
        <w:sz w:val="16"/>
      </w:rPr>
      <w:instrText xml:space="preserve"> DOCPROPERTY "SWDocID" </w:instrText>
    </w:r>
    <w:r w:rsidRPr="00E122C4">
      <w:rPr>
        <w:sz w:val="16"/>
      </w:rPr>
      <w:fldChar w:fldCharType="separate"/>
    </w:r>
    <w:r w:rsidR="000E33A6">
      <w:rPr>
        <w:sz w:val="16"/>
      </w:rPr>
      <w:instrText xml:space="preserve"> 3602073.4</w:instrText>
    </w:r>
    <w:r w:rsidRPr="00E122C4">
      <w:rPr>
        <w:sz w:val="16"/>
      </w:rPr>
      <w:fldChar w:fldCharType="end"/>
    </w:r>
    <w:r w:rsidRPr="00E122C4">
      <w:rPr>
        <w:sz w:val="16"/>
      </w:rPr>
      <w:instrText>" ""</w:instrText>
    </w:r>
    <w:r>
      <w:rPr>
        <w:sz w:val="16"/>
      </w:rPr>
      <w:instrText xml:space="preserve"> </w:instrText>
    </w:r>
    <w:r>
      <w:rPr>
        <w:sz w:val="16"/>
      </w:rPr>
      <w:fldChar w:fldCharType="separate"/>
    </w:r>
    <w:r w:rsidR="000E33A6">
      <w:rPr>
        <w:noProof/>
        <w:sz w:val="16"/>
      </w:rPr>
      <w:t xml:space="preserve"> 3602073.4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50" w:rsidRDefault="00B61650">
      <w:r>
        <w:separator/>
      </w:r>
    </w:p>
  </w:footnote>
  <w:footnote w:type="continuationSeparator" w:id="0">
    <w:p w:rsidR="00B61650" w:rsidRDefault="00B61650">
      <w:r>
        <w:continuationSeparator/>
      </w:r>
    </w:p>
  </w:footnote>
  <w:footnote w:id="1">
    <w:p w:rsidR="00B10B0C" w:rsidRDefault="00B10B0C" w:rsidP="00B10B0C">
      <w:pPr>
        <w:pStyle w:val="FootnoteText"/>
      </w:pPr>
      <w:r>
        <w:rPr>
          <w:rStyle w:val="FootnoteReference"/>
        </w:rPr>
        <w:footnoteRef/>
      </w:r>
      <w:r>
        <w:t xml:space="preserve"> To clarify, the WRRA is a party here in its own right, but any arguments/comments herein are on behalf of both the WRRA Companies and the WRRA as party Protestants.</w:t>
      </w:r>
    </w:p>
  </w:footnote>
  <w:footnote w:id="2">
    <w:p w:rsidR="006450E9" w:rsidRDefault="006450E9" w:rsidP="006450E9">
      <w:pPr>
        <w:pStyle w:val="FootnoteText"/>
      </w:pPr>
      <w:r>
        <w:rPr>
          <w:rStyle w:val="FootnoteReference"/>
        </w:rPr>
        <w:footnoteRef/>
      </w:r>
      <w:r>
        <w:t xml:space="preserve"> </w:t>
      </w:r>
      <w:r w:rsidRPr="00F9054C">
        <w:rPr>
          <w:i/>
        </w:rPr>
        <w:t>In re Application of Dutchman Marine, LLC, et al</w:t>
      </w:r>
      <w:r w:rsidR="00F9054C">
        <w:rPr>
          <w:i/>
        </w:rPr>
        <w:t>.</w:t>
      </w:r>
      <w:r>
        <w:t>, Dockets TS 001774 and 002055 (Oct. 2001)</w:t>
      </w:r>
    </w:p>
  </w:footnote>
  <w:footnote w:id="3">
    <w:p w:rsidR="00B37E10" w:rsidRDefault="00B37E10">
      <w:pPr>
        <w:pStyle w:val="FootnoteText"/>
      </w:pPr>
      <w:r>
        <w:rPr>
          <w:rStyle w:val="FootnoteReference"/>
        </w:rPr>
        <w:footnoteRef/>
      </w:r>
      <w:r>
        <w:t xml:space="preserve"> </w:t>
      </w:r>
      <w:r>
        <w:rPr>
          <w:i/>
        </w:rPr>
        <w:t>Superior</w:t>
      </w:r>
      <w:r>
        <w:t xml:space="preserve"> at 4</w:t>
      </w:r>
      <w:r w:rsidR="005C7366">
        <w:t xml:space="preserve">, 5 </w:t>
      </w:r>
      <w:r>
        <w:t>(Emphasis added).</w:t>
      </w:r>
    </w:p>
  </w:footnote>
  <w:footnote w:id="4">
    <w:p w:rsidR="00157D9D" w:rsidRPr="00157D9D" w:rsidRDefault="00157D9D">
      <w:pPr>
        <w:pStyle w:val="FootnoteText"/>
      </w:pPr>
      <w:r>
        <w:rPr>
          <w:rStyle w:val="FootnoteReference"/>
        </w:rPr>
        <w:footnoteRef/>
      </w:r>
      <w:r>
        <w:t xml:space="preserve"> A decided contrast to the original biomedical waste cases where the Commission found of the then existing biomedical waste service levels:  “</w:t>
      </w:r>
      <w:r w:rsidR="00CE30D6">
        <w:t xml:space="preserve">… </w:t>
      </w:r>
      <w:r>
        <w:t xml:space="preserve">the service as proposed by the applicant was not available, in any way, shape, or form, from any of these protestants during the relevant time.”  Order M.V.G. No. 1452, </w:t>
      </w:r>
      <w:r>
        <w:rPr>
          <w:i/>
        </w:rPr>
        <w:t>In re American Environmental Management Corp.</w:t>
      </w:r>
      <w:r>
        <w:t>, App-GA-874 (Nov. 1990) at 8.</w:t>
      </w:r>
    </w:p>
  </w:footnote>
  <w:footnote w:id="5">
    <w:p w:rsidR="0071018D" w:rsidRPr="00A96A7E" w:rsidRDefault="0071018D" w:rsidP="0071018D">
      <w:pPr>
        <w:pStyle w:val="FootnoteText"/>
      </w:pPr>
      <w:r>
        <w:rPr>
          <w:rStyle w:val="FootnoteReference"/>
        </w:rPr>
        <w:footnoteRef/>
      </w:r>
      <w:r>
        <w:t xml:space="preserve"> </w:t>
      </w:r>
      <w:r>
        <w:rPr>
          <w:i/>
        </w:rPr>
        <w:t>See</w:t>
      </w:r>
      <w:r w:rsidR="00750794">
        <w:t xml:space="preserve">, § </w:t>
      </w:r>
      <w:r>
        <w:t>18 of Initial Order, fn. 19 at 6.</w:t>
      </w:r>
    </w:p>
  </w:footnote>
  <w:footnote w:id="6">
    <w:p w:rsidR="0071018D" w:rsidRPr="00D272D1" w:rsidRDefault="0071018D" w:rsidP="0071018D">
      <w:pPr>
        <w:pStyle w:val="FootnoteText"/>
      </w:pPr>
      <w:r>
        <w:rPr>
          <w:rStyle w:val="FootnoteReference"/>
        </w:rPr>
        <w:footnoteRef/>
      </w:r>
      <w:r>
        <w:t xml:space="preserve"> WRRA Protestants Reply Brief at 2, citing Order M.V.G. No. 1761, </w:t>
      </w:r>
      <w:r>
        <w:rPr>
          <w:i/>
        </w:rPr>
        <w:t>In re Ryder Distribution Service, Inc.</w:t>
      </w:r>
      <w:r>
        <w:t xml:space="preserve"> (Aug. 199</w:t>
      </w:r>
      <w:r w:rsidR="00B37E10">
        <w:t>5</w:t>
      </w:r>
      <w:r>
        <w:t>) at 14.</w:t>
      </w:r>
    </w:p>
  </w:footnote>
  <w:footnote w:id="7">
    <w:p w:rsidR="00A752D6" w:rsidRPr="00A752D6" w:rsidRDefault="00A752D6">
      <w:pPr>
        <w:pStyle w:val="FootnoteText"/>
      </w:pPr>
      <w:r>
        <w:rPr>
          <w:rStyle w:val="FootnoteReference"/>
        </w:rPr>
        <w:footnoteRef/>
      </w:r>
      <w:r>
        <w:t xml:space="preserve"> Order M.V.G. No. 1663, </w:t>
      </w:r>
      <w:r>
        <w:rPr>
          <w:i/>
        </w:rPr>
        <w:t>In re Sureway Medical Services, Inc.</w:t>
      </w:r>
      <w:r>
        <w:t xml:space="preserve"> (Nov. 1993), includes a particularly </w:t>
      </w:r>
      <w:r w:rsidR="00B10B0C">
        <w:t xml:space="preserve">succinct </w:t>
      </w:r>
      <w:r>
        <w:t>description of the traditional differentiation where it states “…[i]n subsequent adjudicative decisions, the Commission recognized that the objectives of Chapter 81.</w:t>
      </w:r>
      <w:r w:rsidR="008E5E7C">
        <w:t>7</w:t>
      </w:r>
      <w:r>
        <w:t>7 RCW are not necessarily best achieved by strict adherence to the same tests applie</w:t>
      </w:r>
      <w:r w:rsidR="008E5E7C">
        <w:t xml:space="preserve">d to grants of typical residential </w:t>
      </w:r>
      <w:r>
        <w:t>or commercial collection service.  It has applied standards for grants of overlapping specialized biohazardous waste collection and disposal that are consistent with the nature of the service.”  Order M.V.G. No. 1663 at 9.</w:t>
      </w:r>
    </w:p>
  </w:footnote>
  <w:footnote w:id="8">
    <w:p w:rsidR="00E167BD" w:rsidRPr="00E167BD" w:rsidRDefault="00E167BD">
      <w:pPr>
        <w:pStyle w:val="FootnoteText"/>
      </w:pPr>
      <w:r>
        <w:rPr>
          <w:rStyle w:val="FootnoteReference"/>
        </w:rPr>
        <w:footnoteRef/>
      </w:r>
      <w:r>
        <w:t xml:space="preserve"> </w:t>
      </w:r>
      <w:r>
        <w:rPr>
          <w:i/>
        </w:rPr>
        <w:t>See</w:t>
      </w:r>
      <w:r>
        <w:t xml:space="preserve">, i.e., </w:t>
      </w:r>
      <w:r>
        <w:rPr>
          <w:i/>
        </w:rPr>
        <w:t>In re Spartan Environmental, LLC</w:t>
      </w:r>
      <w:r>
        <w:t>, Docket TG-112025, (withdrawn), (May, 2012) and the present application case.</w:t>
      </w:r>
    </w:p>
  </w:footnote>
  <w:footnote w:id="9">
    <w:p w:rsidR="00E167BD" w:rsidRDefault="00E167BD">
      <w:pPr>
        <w:pStyle w:val="FootnoteText"/>
      </w:pPr>
      <w:r>
        <w:rPr>
          <w:rStyle w:val="FootnoteReference"/>
        </w:rPr>
        <w:footnoteRef/>
      </w:r>
      <w:r>
        <w:t xml:space="preserve"> </w:t>
      </w:r>
      <w:r w:rsidR="00C81B9A">
        <w:t xml:space="preserve">§ 16, </w:t>
      </w:r>
      <w:r>
        <w:t xml:space="preserve">Initial Order No. 7 at 6. </w:t>
      </w:r>
    </w:p>
  </w:footnote>
  <w:footnote w:id="10">
    <w:p w:rsidR="00FC515D" w:rsidRDefault="00FC515D">
      <w:pPr>
        <w:pStyle w:val="FootnoteText"/>
      </w:pPr>
      <w:r>
        <w:rPr>
          <w:rStyle w:val="FootnoteReference"/>
        </w:rPr>
        <w:footnoteRef/>
      </w:r>
      <w:r>
        <w:t xml:space="preserve"> § 19, Order M.V.G. No. 1526, </w:t>
      </w:r>
      <w:r>
        <w:rPr>
          <w:i/>
        </w:rPr>
        <w:t>In re Superior Removal Corporation</w:t>
      </w:r>
      <w:r>
        <w:t xml:space="preserve">, App. GA-849 (Nov. 1991) at 5. </w:t>
      </w:r>
    </w:p>
  </w:footnote>
  <w:footnote w:id="11">
    <w:p w:rsidR="008E5E7C" w:rsidRDefault="008E5E7C">
      <w:pPr>
        <w:pStyle w:val="FootnoteText"/>
      </w:pPr>
      <w:r>
        <w:rPr>
          <w:rStyle w:val="FootnoteReference"/>
        </w:rPr>
        <w:footnoteRef/>
      </w:r>
      <w:r>
        <w:t xml:space="preserve"> </w:t>
      </w:r>
      <w:r w:rsidR="00750794">
        <w:t xml:space="preserve">§ 10, </w:t>
      </w:r>
      <w:r>
        <w:t xml:space="preserve">Initial Order No. 7 at 4. </w:t>
      </w:r>
    </w:p>
  </w:footnote>
  <w:footnote w:id="12">
    <w:p w:rsidR="00F84C13" w:rsidRPr="00F84C13" w:rsidRDefault="00F84C13">
      <w:pPr>
        <w:pStyle w:val="FootnoteText"/>
      </w:pPr>
      <w:r>
        <w:rPr>
          <w:rStyle w:val="FootnoteReference"/>
        </w:rPr>
        <w:footnoteRef/>
      </w:r>
      <w:r>
        <w:t xml:space="preserve"> Indeed, that </w:t>
      </w:r>
      <w:r w:rsidR="008E5E7C">
        <w:t xml:space="preserve">particular </w:t>
      </w:r>
      <w:r>
        <w:t xml:space="preserve">evaluative criterion is more </w:t>
      </w:r>
      <w:r w:rsidR="008E5E7C">
        <w:t xml:space="preserve">synonymous with </w:t>
      </w:r>
      <w:r>
        <w:t>former motor freight carrier entry standards under previous RCW 81.80.070, where, in reviewing whether a proposed application was “required by the public convenience and necessity</w:t>
      </w:r>
      <w:r w:rsidR="009F7FEE">
        <w:t xml:space="preserve">,” the </w:t>
      </w:r>
      <w:r>
        <w:t xml:space="preserve">Commission occasionally </w:t>
      </w:r>
      <w:r w:rsidR="00C609A1">
        <w:t xml:space="preserve">considered </w:t>
      </w:r>
      <w:r>
        <w:t>whether a proposed service would result in increased competition that, for instance, resulted in enhanced service levels to the public</w:t>
      </w:r>
      <w:r w:rsidR="00C609A1">
        <w:t xml:space="preserve">.  </w:t>
      </w:r>
      <w:r>
        <w:t>(</w:t>
      </w:r>
      <w:r w:rsidR="009F7FEE">
        <w:rPr>
          <w:i/>
        </w:rPr>
        <w:t xml:space="preserve">See, </w:t>
      </w:r>
      <w:r>
        <w:rPr>
          <w:i/>
        </w:rPr>
        <w:t>In re United Truck Lines, Inc.</w:t>
      </w:r>
      <w:r>
        <w:t xml:space="preserve"> App. E-18895 (March, 1985)</w:t>
      </w:r>
      <w:r w:rsidR="009F7FEE">
        <w:t>)</w:t>
      </w:r>
      <w:r>
        <w:t xml:space="preserve">.  While a similar analysis was even extended by the Commission into the auto transportation field under RCW 81.68, in Order M.V.C. No. 1809, </w:t>
      </w:r>
      <w:r>
        <w:rPr>
          <w:i/>
        </w:rPr>
        <w:t>In re San Juan Airlines, Inc. d/b/a Shuttle Express</w:t>
      </w:r>
      <w:r>
        <w:t xml:space="preserve">, Application D-2566 (Apr., 1989), based in part on a showing there that the existing providers had not responded to the operations of the applicant to serve the type and kind of customer successfully serviced by the applicant, there is no such service vacuum demonstrated on this record </w:t>
      </w:r>
      <w:r w:rsidR="00C609A1">
        <w:t xml:space="preserve">here </w:t>
      </w:r>
      <w:r>
        <w:t xml:space="preserve">and the Initial Order </w:t>
      </w:r>
      <w:r w:rsidR="00943054">
        <w:t xml:space="preserve">even </w:t>
      </w:r>
      <w:r>
        <w:t xml:space="preserve">appears to so </w:t>
      </w:r>
      <w:r w:rsidR="00840BE0">
        <w:t xml:space="preserve">find </w:t>
      </w:r>
      <w:r>
        <w:t xml:space="preserve">at § 9, p. 3 of </w:t>
      </w:r>
      <w:r w:rsidR="009F7FEE">
        <w:t xml:space="preserve">the </w:t>
      </w:r>
      <w:r>
        <w:t>Initial Order No.</w:t>
      </w:r>
      <w:r w:rsidR="00264E18">
        <w:t> </w:t>
      </w:r>
      <w:r>
        <w:t xml:space="preserve">7. </w:t>
      </w:r>
    </w:p>
  </w:footnote>
  <w:footnote w:id="13">
    <w:p w:rsidR="00C609A1" w:rsidRDefault="00C609A1">
      <w:pPr>
        <w:pStyle w:val="FootnoteText"/>
      </w:pPr>
      <w:r>
        <w:rPr>
          <w:rStyle w:val="FootnoteReference"/>
        </w:rPr>
        <w:footnoteRef/>
      </w:r>
      <w:r>
        <w:t xml:space="preserve"> </w:t>
      </w:r>
      <w:r w:rsidRPr="00C609A1">
        <w:rPr>
          <w:i/>
        </w:rPr>
        <w:t>In re the Applications of Dutchman Marine, LLC d/b/a Lake Washington Ferry Service</w:t>
      </w:r>
      <w:r w:rsidRPr="00C609A1">
        <w:t xml:space="preserve">; </w:t>
      </w:r>
      <w:r w:rsidRPr="00C609A1">
        <w:rPr>
          <w:i/>
        </w:rPr>
        <w:t>Seattle Harbor Tours Limited Partnership</w:t>
      </w:r>
      <w:r w:rsidRPr="00C609A1">
        <w:t xml:space="preserve">, Dockets TS-001774 and TS-002055, Commission Decision and Order Affirming Initial Order </w:t>
      </w:r>
      <w:r w:rsidR="00750794">
        <w:t>G</w:t>
      </w:r>
      <w:r w:rsidRPr="00C609A1">
        <w:t xml:space="preserve">ranting </w:t>
      </w:r>
      <w:r w:rsidR="00750794">
        <w:t>A</w:t>
      </w:r>
      <w:r w:rsidRPr="00C609A1">
        <w:t xml:space="preserve">pplications with </w:t>
      </w:r>
      <w:r w:rsidR="00750794">
        <w:t>C</w:t>
      </w:r>
      <w:r w:rsidRPr="00C609A1">
        <w:t>onditions (October, 2001).</w:t>
      </w:r>
    </w:p>
  </w:footnote>
  <w:footnote w:id="14">
    <w:p w:rsidR="00737EA5" w:rsidRPr="00C02B31" w:rsidRDefault="00737EA5">
      <w:pPr>
        <w:pStyle w:val="FootnoteText"/>
      </w:pPr>
      <w:r>
        <w:rPr>
          <w:rStyle w:val="FootnoteReference"/>
        </w:rPr>
        <w:footnoteRef/>
      </w:r>
      <w:r>
        <w:t xml:space="preserve"> </w:t>
      </w:r>
      <w:r w:rsidR="00C02B31">
        <w:t>§ 70, Dockets TS-001774 and TS-002055</w:t>
      </w:r>
      <w:r w:rsidR="009F7FEE">
        <w:t>,</w:t>
      </w:r>
      <w:r w:rsidR="00C02B31">
        <w:t xml:space="preserve"> </w:t>
      </w:r>
      <w:r w:rsidR="00C02B31">
        <w:rPr>
          <w:i/>
        </w:rPr>
        <w:t>In re Dutchman Marine et al.</w:t>
      </w:r>
      <w:r w:rsidR="00C02B31">
        <w:t xml:space="preserve">, </w:t>
      </w:r>
      <w:r w:rsidR="00C02B31" w:rsidRPr="009F7FEE">
        <w:rPr>
          <w:b/>
        </w:rPr>
        <w:t>Initial</w:t>
      </w:r>
      <w:r w:rsidR="00C02B31">
        <w:t xml:space="preserve"> Order Granting Application With Conditions (Sep., 2001) at 21.</w:t>
      </w:r>
    </w:p>
  </w:footnote>
  <w:footnote w:id="15">
    <w:p w:rsidR="00835366" w:rsidRPr="00835366" w:rsidRDefault="00835366" w:rsidP="00835366">
      <w:pPr>
        <w:pStyle w:val="FootnoteText"/>
      </w:pPr>
      <w:r>
        <w:rPr>
          <w:rStyle w:val="FootnoteReference"/>
        </w:rPr>
        <w:footnoteRef/>
      </w:r>
      <w:r>
        <w:t xml:space="preserve"> </w:t>
      </w:r>
      <w:r w:rsidRPr="00835366">
        <w:t xml:space="preserve">Ironically, in the 2011 </w:t>
      </w:r>
      <w:r w:rsidR="00794406">
        <w:t>F</w:t>
      </w:r>
      <w:r w:rsidRPr="00835366">
        <w:t xml:space="preserve">inal </w:t>
      </w:r>
      <w:r w:rsidR="00794406">
        <w:t>O</w:t>
      </w:r>
      <w:r w:rsidRPr="00835366">
        <w:t xml:space="preserve">rder on Cross Motions for Dismissal and Summary Determination in Docket TG-110553, </w:t>
      </w:r>
      <w:r w:rsidRPr="00835366">
        <w:rPr>
          <w:i/>
        </w:rPr>
        <w:t>Stericycle of Washington, Inc. v. Waste Management of Washington, Inc.</w:t>
      </w:r>
      <w:r w:rsidRPr="00835366">
        <w:t xml:space="preserve">, (July, 2011), the Commission had </w:t>
      </w:r>
      <w:r w:rsidR="00FC515D">
        <w:t xml:space="preserve">similarly </w:t>
      </w:r>
      <w:r w:rsidRPr="00835366">
        <w:t>observed in footnote 26 at 14</w:t>
      </w:r>
      <w:r w:rsidR="004E25F5">
        <w:t xml:space="preserve">:  </w:t>
      </w:r>
      <w:r w:rsidRPr="00835366">
        <w:t xml:space="preserve">“… we note that the ALJ’s statement was made in a different docket, for a different reason </w:t>
      </w:r>
      <w:r w:rsidR="004E25F5">
        <w:t xml:space="preserve">and </w:t>
      </w:r>
      <w:r w:rsidRPr="00835366">
        <w:t xml:space="preserve">on a less developed record than that before us here.  In any event, </w:t>
      </w:r>
      <w:r w:rsidR="004E25F5">
        <w:t>i</w:t>
      </w:r>
      <w:r w:rsidRPr="00835366">
        <w:t xml:space="preserve">nitial </w:t>
      </w:r>
      <w:r w:rsidR="004E25F5">
        <w:t>o</w:t>
      </w:r>
      <w:r w:rsidRPr="00835366">
        <w:t xml:space="preserve">rders are not in any sense precedential and, even when they become final by operation of law, the Commission </w:t>
      </w:r>
      <w:r w:rsidR="004E25F5">
        <w:t>S</w:t>
      </w:r>
      <w:r w:rsidRPr="00835366">
        <w:t>tandard Notice of Finality states that the ‘Commission does not endorse the order’s reasoning and conclusions.’”</w:t>
      </w:r>
    </w:p>
    <w:p w:rsidR="00835366" w:rsidRDefault="00835366">
      <w:pPr>
        <w:pStyle w:val="FootnoteText"/>
      </w:pPr>
      <w:r w:rsidRPr="00835366">
        <w:t xml:space="preserve">Even though a one and a half page </w:t>
      </w:r>
      <w:r w:rsidR="00FC515D">
        <w:t>F</w:t>
      </w:r>
      <w:r w:rsidRPr="00835366">
        <w:t xml:space="preserve">inal </w:t>
      </w:r>
      <w:r w:rsidR="00FC515D">
        <w:t>O</w:t>
      </w:r>
      <w:r w:rsidRPr="00835366">
        <w:t>rder adopting the September 19, 2001 Initial Order was issued</w:t>
      </w:r>
      <w:r w:rsidR="00C609A1">
        <w:t xml:space="preserve"> in </w:t>
      </w:r>
      <w:r w:rsidR="00C609A1">
        <w:rPr>
          <w:i/>
        </w:rPr>
        <w:t>Dutchman Marine</w:t>
      </w:r>
      <w:r w:rsidRPr="00835366">
        <w:t>, there can be no doubt that the Commission did not review, on its own motion or more significantly on a</w:t>
      </w:r>
      <w:r w:rsidR="008E5E7C">
        <w:t>ny</w:t>
      </w:r>
      <w:r w:rsidRPr="00835366">
        <w:t xml:space="preserve"> Petition for Administrative Review, the reasoning and holdings in </w:t>
      </w:r>
      <w:r w:rsidRPr="00835366">
        <w:rPr>
          <w:i/>
        </w:rPr>
        <w:t>Dutchman Marine</w:t>
      </w:r>
      <w:r w:rsidRPr="00835366">
        <w:t xml:space="preserve">, and again, </w:t>
      </w:r>
      <w:r w:rsidRPr="00835366">
        <w:rPr>
          <w:i/>
        </w:rPr>
        <w:t>Dutchman Marine</w:t>
      </w:r>
      <w:r w:rsidRPr="00835366">
        <w:t xml:space="preserve"> </w:t>
      </w:r>
      <w:r w:rsidR="00FC515D">
        <w:t xml:space="preserve">also </w:t>
      </w:r>
      <w:r w:rsidRPr="00835366">
        <w:t>did not authorize overlap on identical routes.  It thus does not stand for the implicit proposition set forth in Section 11 of Initial Order No. 7.</w:t>
      </w:r>
    </w:p>
  </w:footnote>
  <w:footnote w:id="16">
    <w:p w:rsidR="00D05854" w:rsidRDefault="00D05854" w:rsidP="00D05854">
      <w:pPr>
        <w:pStyle w:val="FootnoteText"/>
      </w:pPr>
      <w:r>
        <w:rPr>
          <w:rStyle w:val="FootnoteReference"/>
        </w:rPr>
        <w:footnoteRef/>
      </w:r>
      <w:r>
        <w:t xml:space="preserve"> § 67, Initial Order 1, </w:t>
      </w:r>
      <w:r>
        <w:rPr>
          <w:i/>
        </w:rPr>
        <w:t>Dutchman Marine</w:t>
      </w:r>
      <w:r>
        <w:t>, Docket No. TS-001774 and TS-002055 (Sept., 2001) at 20.</w:t>
      </w:r>
    </w:p>
  </w:footnote>
  <w:footnote w:id="17">
    <w:p w:rsidR="007B5EA6" w:rsidRDefault="007B5EA6">
      <w:pPr>
        <w:pStyle w:val="FootnoteText"/>
      </w:pPr>
      <w:r>
        <w:rPr>
          <w:rStyle w:val="FootnoteReference"/>
        </w:rPr>
        <w:footnoteRef/>
      </w:r>
      <w:r>
        <w:t xml:space="preserve"> </w:t>
      </w:r>
      <w:r w:rsidR="00794406">
        <w:t xml:space="preserve">§ 11, </w:t>
      </w:r>
      <w:r>
        <w:t xml:space="preserve">Initial Order </w:t>
      </w:r>
      <w:r w:rsidR="00F6275F">
        <w:t xml:space="preserve">No. 7 </w:t>
      </w:r>
      <w:r>
        <w:t xml:space="preserve">at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3A6" w:rsidRDefault="000E3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CC3074E"/>
    <w:multiLevelType w:val="hybridMultilevel"/>
    <w:tmpl w:val="7B780E46"/>
    <w:lvl w:ilvl="0" w:tplc="829E8D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50"/>
    <w:rsid w:val="00037BC1"/>
    <w:rsid w:val="00060342"/>
    <w:rsid w:val="00064DF3"/>
    <w:rsid w:val="000772AF"/>
    <w:rsid w:val="000B43A8"/>
    <w:rsid w:val="000C195F"/>
    <w:rsid w:val="000C5A30"/>
    <w:rsid w:val="000E33A6"/>
    <w:rsid w:val="000E675E"/>
    <w:rsid w:val="00125A44"/>
    <w:rsid w:val="0014333A"/>
    <w:rsid w:val="00156B10"/>
    <w:rsid w:val="00157D9D"/>
    <w:rsid w:val="00164F35"/>
    <w:rsid w:val="00172DD3"/>
    <w:rsid w:val="00195C0D"/>
    <w:rsid w:val="0019692D"/>
    <w:rsid w:val="001A5958"/>
    <w:rsid w:val="001C623D"/>
    <w:rsid w:val="0021021B"/>
    <w:rsid w:val="002165F2"/>
    <w:rsid w:val="0021783A"/>
    <w:rsid w:val="00220141"/>
    <w:rsid w:val="002243CA"/>
    <w:rsid w:val="00230872"/>
    <w:rsid w:val="00246035"/>
    <w:rsid w:val="002565FB"/>
    <w:rsid w:val="00264E18"/>
    <w:rsid w:val="00274A5B"/>
    <w:rsid w:val="00280A01"/>
    <w:rsid w:val="00280FDA"/>
    <w:rsid w:val="002A62AB"/>
    <w:rsid w:val="002A785C"/>
    <w:rsid w:val="002B2462"/>
    <w:rsid w:val="002B7ADF"/>
    <w:rsid w:val="002C6FA1"/>
    <w:rsid w:val="002D526F"/>
    <w:rsid w:val="002E213D"/>
    <w:rsid w:val="00313354"/>
    <w:rsid w:val="00313F45"/>
    <w:rsid w:val="00314A81"/>
    <w:rsid w:val="003243DB"/>
    <w:rsid w:val="00327008"/>
    <w:rsid w:val="00360E38"/>
    <w:rsid w:val="003779B1"/>
    <w:rsid w:val="00387B65"/>
    <w:rsid w:val="00392353"/>
    <w:rsid w:val="0039554D"/>
    <w:rsid w:val="003B334C"/>
    <w:rsid w:val="003B4C3D"/>
    <w:rsid w:val="003C6EE9"/>
    <w:rsid w:val="003C7928"/>
    <w:rsid w:val="003E1E1D"/>
    <w:rsid w:val="003F1D53"/>
    <w:rsid w:val="003F77CF"/>
    <w:rsid w:val="004023BA"/>
    <w:rsid w:val="004148A3"/>
    <w:rsid w:val="00415ABA"/>
    <w:rsid w:val="0042214E"/>
    <w:rsid w:val="00422DAA"/>
    <w:rsid w:val="004377A2"/>
    <w:rsid w:val="00460948"/>
    <w:rsid w:val="004615D8"/>
    <w:rsid w:val="00470C13"/>
    <w:rsid w:val="00470EB4"/>
    <w:rsid w:val="00490438"/>
    <w:rsid w:val="004933D5"/>
    <w:rsid w:val="004A4E34"/>
    <w:rsid w:val="004A70C7"/>
    <w:rsid w:val="004C2127"/>
    <w:rsid w:val="004C4A9D"/>
    <w:rsid w:val="004C4EA8"/>
    <w:rsid w:val="004D023B"/>
    <w:rsid w:val="004D7DD3"/>
    <w:rsid w:val="004E25F5"/>
    <w:rsid w:val="004E532C"/>
    <w:rsid w:val="004F156C"/>
    <w:rsid w:val="005004FE"/>
    <w:rsid w:val="00503D9A"/>
    <w:rsid w:val="00512AFD"/>
    <w:rsid w:val="00515935"/>
    <w:rsid w:val="00551B2F"/>
    <w:rsid w:val="00560AF2"/>
    <w:rsid w:val="00575109"/>
    <w:rsid w:val="00576C9D"/>
    <w:rsid w:val="00592E3D"/>
    <w:rsid w:val="005A37EA"/>
    <w:rsid w:val="005B1C11"/>
    <w:rsid w:val="005C7366"/>
    <w:rsid w:val="005E541D"/>
    <w:rsid w:val="00601A93"/>
    <w:rsid w:val="00603B9B"/>
    <w:rsid w:val="006220EF"/>
    <w:rsid w:val="00622394"/>
    <w:rsid w:val="00624A76"/>
    <w:rsid w:val="006307D2"/>
    <w:rsid w:val="00633245"/>
    <w:rsid w:val="006343B6"/>
    <w:rsid w:val="006375E6"/>
    <w:rsid w:val="006450E9"/>
    <w:rsid w:val="00665BD5"/>
    <w:rsid w:val="0067580E"/>
    <w:rsid w:val="006B12F7"/>
    <w:rsid w:val="006D14AC"/>
    <w:rsid w:val="006D7BA5"/>
    <w:rsid w:val="006F250A"/>
    <w:rsid w:val="00706634"/>
    <w:rsid w:val="0071018D"/>
    <w:rsid w:val="00724ACE"/>
    <w:rsid w:val="0072651D"/>
    <w:rsid w:val="007377FC"/>
    <w:rsid w:val="00737EA5"/>
    <w:rsid w:val="00742930"/>
    <w:rsid w:val="007453C3"/>
    <w:rsid w:val="00750794"/>
    <w:rsid w:val="00763FD0"/>
    <w:rsid w:val="007726AD"/>
    <w:rsid w:val="00794406"/>
    <w:rsid w:val="007A115F"/>
    <w:rsid w:val="007A1EC2"/>
    <w:rsid w:val="007B1148"/>
    <w:rsid w:val="007B5EA6"/>
    <w:rsid w:val="00803229"/>
    <w:rsid w:val="00835366"/>
    <w:rsid w:val="00840BE0"/>
    <w:rsid w:val="00840D0D"/>
    <w:rsid w:val="00847643"/>
    <w:rsid w:val="00847BC6"/>
    <w:rsid w:val="008713F1"/>
    <w:rsid w:val="00872524"/>
    <w:rsid w:val="00885BEF"/>
    <w:rsid w:val="00891E89"/>
    <w:rsid w:val="008A28D6"/>
    <w:rsid w:val="008A4A2E"/>
    <w:rsid w:val="008E5E7C"/>
    <w:rsid w:val="008F01EC"/>
    <w:rsid w:val="00943054"/>
    <w:rsid w:val="0094341A"/>
    <w:rsid w:val="00951B62"/>
    <w:rsid w:val="00963C7A"/>
    <w:rsid w:val="00973267"/>
    <w:rsid w:val="00973935"/>
    <w:rsid w:val="00977E6A"/>
    <w:rsid w:val="009948C5"/>
    <w:rsid w:val="009B51C1"/>
    <w:rsid w:val="009B5E34"/>
    <w:rsid w:val="009C3DED"/>
    <w:rsid w:val="009D4474"/>
    <w:rsid w:val="009F7FEE"/>
    <w:rsid w:val="00A142D5"/>
    <w:rsid w:val="00A210E2"/>
    <w:rsid w:val="00A21FC0"/>
    <w:rsid w:val="00A37DD5"/>
    <w:rsid w:val="00A61025"/>
    <w:rsid w:val="00A657C5"/>
    <w:rsid w:val="00A6719A"/>
    <w:rsid w:val="00A750A9"/>
    <w:rsid w:val="00A752D6"/>
    <w:rsid w:val="00A77A4B"/>
    <w:rsid w:val="00A829E8"/>
    <w:rsid w:val="00A91214"/>
    <w:rsid w:val="00A96A7E"/>
    <w:rsid w:val="00AA3624"/>
    <w:rsid w:val="00AB3D36"/>
    <w:rsid w:val="00AC0E52"/>
    <w:rsid w:val="00AC2F5D"/>
    <w:rsid w:val="00AD1767"/>
    <w:rsid w:val="00AE5B60"/>
    <w:rsid w:val="00AF1003"/>
    <w:rsid w:val="00B04F89"/>
    <w:rsid w:val="00B07580"/>
    <w:rsid w:val="00B10B0C"/>
    <w:rsid w:val="00B214CD"/>
    <w:rsid w:val="00B25B13"/>
    <w:rsid w:val="00B369B5"/>
    <w:rsid w:val="00B37E10"/>
    <w:rsid w:val="00B503D8"/>
    <w:rsid w:val="00B61650"/>
    <w:rsid w:val="00B94F9B"/>
    <w:rsid w:val="00BA0E94"/>
    <w:rsid w:val="00BB2D4E"/>
    <w:rsid w:val="00BD6E77"/>
    <w:rsid w:val="00C00950"/>
    <w:rsid w:val="00C02B31"/>
    <w:rsid w:val="00C0569A"/>
    <w:rsid w:val="00C064FA"/>
    <w:rsid w:val="00C609A1"/>
    <w:rsid w:val="00C81B9A"/>
    <w:rsid w:val="00C959B1"/>
    <w:rsid w:val="00C95AC4"/>
    <w:rsid w:val="00CA5899"/>
    <w:rsid w:val="00CA7F41"/>
    <w:rsid w:val="00CC19CA"/>
    <w:rsid w:val="00CE30D6"/>
    <w:rsid w:val="00CE38CB"/>
    <w:rsid w:val="00CE7C3E"/>
    <w:rsid w:val="00CF6054"/>
    <w:rsid w:val="00CF746B"/>
    <w:rsid w:val="00D05854"/>
    <w:rsid w:val="00D12CA0"/>
    <w:rsid w:val="00D272D1"/>
    <w:rsid w:val="00D27CA3"/>
    <w:rsid w:val="00D46738"/>
    <w:rsid w:val="00D53CF4"/>
    <w:rsid w:val="00D65026"/>
    <w:rsid w:val="00D72754"/>
    <w:rsid w:val="00DA1F90"/>
    <w:rsid w:val="00DB7E1F"/>
    <w:rsid w:val="00DF7E62"/>
    <w:rsid w:val="00E122C4"/>
    <w:rsid w:val="00E167BD"/>
    <w:rsid w:val="00E539A5"/>
    <w:rsid w:val="00ED1B08"/>
    <w:rsid w:val="00EF0D07"/>
    <w:rsid w:val="00F01E85"/>
    <w:rsid w:val="00F03FCA"/>
    <w:rsid w:val="00F05957"/>
    <w:rsid w:val="00F27157"/>
    <w:rsid w:val="00F40DF9"/>
    <w:rsid w:val="00F6275F"/>
    <w:rsid w:val="00F674C1"/>
    <w:rsid w:val="00F84C13"/>
    <w:rsid w:val="00F9054C"/>
    <w:rsid w:val="00F90AFB"/>
    <w:rsid w:val="00FA2D4D"/>
    <w:rsid w:val="00FB61E9"/>
    <w:rsid w:val="00FC515D"/>
    <w:rsid w:val="00FD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footer" w:uiPriority="99"/>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uiPriority w:val="99"/>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FooterChar">
    <w:name w:val="Footer Char"/>
    <w:basedOn w:val="DefaultParagraphFont"/>
    <w:link w:val="Footer"/>
    <w:uiPriority w:val="99"/>
    <w:rsid w:val="00803229"/>
    <w:rPr>
      <w:sz w:val="24"/>
      <w:szCs w:val="24"/>
    </w:rPr>
  </w:style>
  <w:style w:type="paragraph" w:customStyle="1" w:styleId="PldTitle">
    <w:name w:val="PldTitle"/>
    <w:basedOn w:val="Normal"/>
    <w:next w:val="Normal"/>
    <w:rsid w:val="00195C0D"/>
    <w:pPr>
      <w:spacing w:line="240" w:lineRule="atLeast"/>
      <w:ind w:left="144"/>
    </w:pPr>
    <w:rPr>
      <w:szCs w:val="20"/>
    </w:rPr>
  </w:style>
  <w:style w:type="paragraph" w:styleId="BalloonText">
    <w:name w:val="Balloon Text"/>
    <w:basedOn w:val="Normal"/>
    <w:link w:val="BalloonTextChar"/>
    <w:semiHidden/>
    <w:unhideWhenUsed/>
    <w:rsid w:val="004615D8"/>
    <w:rPr>
      <w:rFonts w:ascii="Tahoma" w:hAnsi="Tahoma" w:cs="Tahoma"/>
      <w:sz w:val="16"/>
      <w:szCs w:val="16"/>
    </w:rPr>
  </w:style>
  <w:style w:type="character" w:customStyle="1" w:styleId="BalloonTextChar">
    <w:name w:val="Balloon Text Char"/>
    <w:basedOn w:val="DefaultParagraphFont"/>
    <w:link w:val="BalloonText"/>
    <w:semiHidden/>
    <w:rsid w:val="004615D8"/>
    <w:rPr>
      <w:rFonts w:ascii="Tahoma" w:hAnsi="Tahoma" w:cs="Tahoma"/>
      <w:sz w:val="16"/>
      <w:szCs w:val="16"/>
    </w:rPr>
  </w:style>
  <w:style w:type="character" w:styleId="CommentReference">
    <w:name w:val="annotation reference"/>
    <w:rsid w:val="006450E9"/>
    <w:rPr>
      <w:sz w:val="16"/>
      <w:szCs w:val="16"/>
    </w:rPr>
  </w:style>
  <w:style w:type="paragraph" w:styleId="CommentText">
    <w:name w:val="annotation text"/>
    <w:basedOn w:val="Normal"/>
    <w:link w:val="CommentTextChar"/>
    <w:rsid w:val="006450E9"/>
    <w:rPr>
      <w:rFonts w:ascii="Bookman Old Style" w:hAnsi="Bookman Old Style"/>
      <w:sz w:val="20"/>
      <w:szCs w:val="20"/>
    </w:rPr>
  </w:style>
  <w:style w:type="character" w:customStyle="1" w:styleId="CommentTextChar">
    <w:name w:val="Comment Text Char"/>
    <w:basedOn w:val="DefaultParagraphFont"/>
    <w:link w:val="CommentText"/>
    <w:rsid w:val="006450E9"/>
    <w:rPr>
      <w:rFonts w:ascii="Bookman Old Style" w:hAnsi="Bookman Old Style"/>
    </w:rPr>
  </w:style>
  <w:style w:type="paragraph" w:styleId="ListParagraph">
    <w:name w:val="List Paragraph"/>
    <w:basedOn w:val="Normal"/>
    <w:uiPriority w:val="34"/>
    <w:semiHidden/>
    <w:qFormat/>
    <w:rsid w:val="00645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footer" w:uiPriority="99"/>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uiPriority w:val="99"/>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FooterChar">
    <w:name w:val="Footer Char"/>
    <w:basedOn w:val="DefaultParagraphFont"/>
    <w:link w:val="Footer"/>
    <w:uiPriority w:val="99"/>
    <w:rsid w:val="00803229"/>
    <w:rPr>
      <w:sz w:val="24"/>
      <w:szCs w:val="24"/>
    </w:rPr>
  </w:style>
  <w:style w:type="paragraph" w:customStyle="1" w:styleId="PldTitle">
    <w:name w:val="PldTitle"/>
    <w:basedOn w:val="Normal"/>
    <w:next w:val="Normal"/>
    <w:rsid w:val="00195C0D"/>
    <w:pPr>
      <w:spacing w:line="240" w:lineRule="atLeast"/>
      <w:ind w:left="144"/>
    </w:pPr>
    <w:rPr>
      <w:szCs w:val="20"/>
    </w:rPr>
  </w:style>
  <w:style w:type="paragraph" w:styleId="BalloonText">
    <w:name w:val="Balloon Text"/>
    <w:basedOn w:val="Normal"/>
    <w:link w:val="BalloonTextChar"/>
    <w:semiHidden/>
    <w:unhideWhenUsed/>
    <w:rsid w:val="004615D8"/>
    <w:rPr>
      <w:rFonts w:ascii="Tahoma" w:hAnsi="Tahoma" w:cs="Tahoma"/>
      <w:sz w:val="16"/>
      <w:szCs w:val="16"/>
    </w:rPr>
  </w:style>
  <w:style w:type="character" w:customStyle="1" w:styleId="BalloonTextChar">
    <w:name w:val="Balloon Text Char"/>
    <w:basedOn w:val="DefaultParagraphFont"/>
    <w:link w:val="BalloonText"/>
    <w:semiHidden/>
    <w:rsid w:val="004615D8"/>
    <w:rPr>
      <w:rFonts w:ascii="Tahoma" w:hAnsi="Tahoma" w:cs="Tahoma"/>
      <w:sz w:val="16"/>
      <w:szCs w:val="16"/>
    </w:rPr>
  </w:style>
  <w:style w:type="character" w:styleId="CommentReference">
    <w:name w:val="annotation reference"/>
    <w:rsid w:val="006450E9"/>
    <w:rPr>
      <w:sz w:val="16"/>
      <w:szCs w:val="16"/>
    </w:rPr>
  </w:style>
  <w:style w:type="paragraph" w:styleId="CommentText">
    <w:name w:val="annotation text"/>
    <w:basedOn w:val="Normal"/>
    <w:link w:val="CommentTextChar"/>
    <w:rsid w:val="006450E9"/>
    <w:rPr>
      <w:rFonts w:ascii="Bookman Old Style" w:hAnsi="Bookman Old Style"/>
      <w:sz w:val="20"/>
      <w:szCs w:val="20"/>
    </w:rPr>
  </w:style>
  <w:style w:type="character" w:customStyle="1" w:styleId="CommentTextChar">
    <w:name w:val="Comment Text Char"/>
    <w:basedOn w:val="DefaultParagraphFont"/>
    <w:link w:val="CommentText"/>
    <w:rsid w:val="006450E9"/>
    <w:rPr>
      <w:rFonts w:ascii="Bookman Old Style" w:hAnsi="Bookman Old Style"/>
    </w:rPr>
  </w:style>
  <w:style w:type="paragraph" w:styleId="ListParagraph">
    <w:name w:val="List Paragraph"/>
    <w:basedOn w:val="Normal"/>
    <w:uiPriority w:val="34"/>
    <w:semiHidden/>
    <w:qFormat/>
    <w:rsid w:val="0064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FF3DF80-0359-4941-96A6-AA2D77E35F28}"/>
</file>

<file path=customXml/itemProps2.xml><?xml version="1.0" encoding="utf-8"?>
<ds:datastoreItem xmlns:ds="http://schemas.openxmlformats.org/officeDocument/2006/customXml" ds:itemID="{4F0E1D07-BFB4-4E41-81C8-E5730F9485F7}"/>
</file>

<file path=customXml/itemProps3.xml><?xml version="1.0" encoding="utf-8"?>
<ds:datastoreItem xmlns:ds="http://schemas.openxmlformats.org/officeDocument/2006/customXml" ds:itemID="{6DA3C010-2A1C-4CF6-A9E7-9C114D68ED3C}"/>
</file>

<file path=customXml/itemProps4.xml><?xml version="1.0" encoding="utf-8"?>
<ds:datastoreItem xmlns:ds="http://schemas.openxmlformats.org/officeDocument/2006/customXml" ds:itemID="{519C0D0E-3FC7-4153-8895-87DF12C70E56}"/>
</file>

<file path=docProps/app.xml><?xml version="1.0" encoding="utf-8"?>
<Properties xmlns="http://schemas.openxmlformats.org/officeDocument/2006/extended-properties" xmlns:vt="http://schemas.openxmlformats.org/officeDocument/2006/docPropsVTypes">
  <Template>Normal.dotm</Template>
  <TotalTime>0</TotalTime>
  <Pages>3</Pages>
  <Words>4252</Words>
  <Characters>23880</Characters>
  <Application>Microsoft Office Word</Application>
  <DocSecurity>0</DocSecurity>
  <Lines>471</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2013-03-28T18:34:22Z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3602073.4</vt:lpwstr>
  </property>
  <property fmtid="{D5CDD505-2E9C-101B-9397-08002B2CF9AE}" pid="3" name="ContentTypeId">
    <vt:lpwstr>0x0101006E56B4D1795A2E4DB2F0B01679ED314A000F8702C4AF602440A75427A84B605696</vt:lpwstr>
  </property>
  <property fmtid="{D5CDD505-2E9C-101B-9397-08002B2CF9AE}" pid="4" name="_docset_NoMedatataSyncRequired">
    <vt:lpwstr>False</vt:lpwstr>
  </property>
</Properties>
</file>