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uppressLineNumbers/>
        <w:jc w:val="center"/>
        <w:rPr>
          <w:rFonts w:ascii="Times New Roman" w:eastAsia="Calibri" w:hAnsi="Times New Roman" w:cs="Times New Roman"/>
          <w:b/>
          <w:sz w:val="24"/>
          <w:szCs w:val="24"/>
        </w:rPr>
      </w:pPr>
    </w:p>
    <w:p>
      <w:pPr>
        <w:suppressLineNumbers/>
        <w:jc w:val="center"/>
        <w:rPr>
          <w:rFonts w:ascii="Times New Roman" w:eastAsia="Calibri" w:hAnsi="Times New Roman" w:cs="Times New Roman"/>
          <w:b/>
          <w:sz w:val="24"/>
          <w:szCs w:val="24"/>
        </w:rPr>
      </w:pP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BEFORE THE </w:t>
      </w: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WASHINGTON UTLITIES AND TRANSPORTATION COMMISSION</w:t>
      </w:r>
    </w:p>
    <w:p>
      <w:pPr>
        <w:suppressLineNumbers/>
        <w:jc w:val="center"/>
        <w:rPr>
          <w:rFonts w:ascii="Times New Roman" w:eastAsia="Calibri" w:hAnsi="Times New Roman" w:cs="Times New Roman"/>
          <w:b/>
          <w:sz w:val="24"/>
          <w:szCs w:val="24"/>
        </w:rPr>
      </w:pPr>
    </w:p>
    <w:p>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 Matter of Frontier Communications</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Northwest Inc.’s Petition to be Regulated</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 xml:space="preserve">as a Competitive Telecommunications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Docket No. UT-121994</w:t>
      </w:r>
      <w:r>
        <w:rPr>
          <w:rFonts w:ascii="Times New Roman" w:eastAsia="Calibri" w:hAnsi="Times New Roman" w:cs="Times New Roman"/>
          <w:sz w:val="24"/>
          <w:szCs w:val="24"/>
        </w:rPr>
        <w:br/>
        <w:t>Company Pursuant to RCW 80.26.320</w:t>
      </w:r>
      <w:r>
        <w:rPr>
          <w:rFonts w:ascii="Times New Roman" w:eastAsia="Calibri" w:hAnsi="Times New Roman" w:cs="Times New Roman"/>
          <w:sz w:val="24"/>
          <w:szCs w:val="24"/>
        </w:rPr>
        <w:tab/>
        <w:t>)</w:t>
      </w:r>
    </w:p>
    <w:p>
      <w:pPr>
        <w:suppressLineNumbers/>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br/>
      </w:r>
    </w:p>
    <w:p>
      <w:pPr>
        <w:suppressLineNumbers/>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TESTIMONY OF JACK D. PHILLIPS</w:t>
      </w:r>
    </w:p>
    <w:p>
      <w:pPr>
        <w:suppressLineNumbers/>
        <w:jc w:val="center"/>
        <w:rPr>
          <w:rFonts w:ascii="Times New Roman" w:hAnsi="Times New Roman" w:cs="Times New Roman"/>
          <w:b/>
          <w:sz w:val="24"/>
          <w:szCs w:val="24"/>
        </w:rPr>
      </w:pPr>
      <w:r>
        <w:rPr>
          <w:rFonts w:ascii="Times New Roman" w:hAnsi="Times New Roman" w:cs="Times New Roman"/>
          <w:b/>
          <w:sz w:val="24"/>
          <w:szCs w:val="24"/>
        </w:rPr>
        <w:t>IN SUPPORT OF SETTLEMENT AGREEMENT BETWEEN</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FRONTIER COMMUNICATIONS NORTHWEST INC.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AND</w:t>
      </w:r>
    </w:p>
    <w:p>
      <w:pPr>
        <w:suppressLineNumbers/>
        <w:jc w:val="center"/>
        <w:rPr>
          <w:rFonts w:ascii="Times New Roman" w:hAnsi="Times New Roman" w:cs="Times New Roman"/>
          <w:b/>
          <w:sz w:val="24"/>
          <w:szCs w:val="24"/>
        </w:rPr>
      </w:pPr>
      <w:r>
        <w:rPr>
          <w:rFonts w:ascii="Times New Roman" w:hAnsi="Times New Roman" w:cs="Times New Roman"/>
          <w:b/>
          <w:sz w:val="24"/>
          <w:szCs w:val="24"/>
        </w:rPr>
        <w:t xml:space="preserve">STAFF OF WASHINGTON UTILITIES AND TRANSPORTATION COMMISSION AND PUBLIC COUNSEL </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MAY 23, 2013</w:t>
      </w:r>
    </w:p>
    <w:p>
      <w:pPr>
        <w:suppressLineNumbers/>
        <w:jc w:val="center"/>
        <w:rPr>
          <w:rFonts w:ascii="Times New Roman" w:hAnsi="Times New Roman" w:cs="Times New Roman"/>
          <w:b/>
          <w:sz w:val="24"/>
          <w:szCs w:val="24"/>
        </w:rPr>
      </w:pPr>
    </w:p>
    <w:p>
      <w:pPr>
        <w:pStyle w:val="Subtitle"/>
        <w:suppressLineNumbers/>
        <w:spacing w:after="240" w:line="480" w:lineRule="auto"/>
        <w:jc w:val="left"/>
        <w:rPr>
          <w:b/>
        </w:rPr>
      </w:pPr>
    </w:p>
    <w:p>
      <w:pPr>
        <w:pStyle w:val="Subtitle"/>
        <w:suppressLineNumbers/>
        <w:spacing w:after="240" w:line="480" w:lineRule="auto"/>
        <w:jc w:val="left"/>
        <w:rPr>
          <w:b/>
        </w:rPr>
      </w:pPr>
    </w:p>
    <w:p>
      <w:pPr>
        <w:pStyle w:val="Title"/>
        <w:spacing w:line="480" w:lineRule="auto"/>
        <w:jc w:val="left"/>
        <w:rPr>
          <w:b/>
        </w:rPr>
      </w:pPr>
      <w:r>
        <w:rPr>
          <w:b/>
        </w:rPr>
        <w:t>Q.</w:t>
      </w:r>
      <w:r>
        <w:rPr>
          <w:b/>
        </w:rPr>
        <w:tab/>
        <w:t>PLEASE STATE YOUR NAME AND BUSINESS ADDRESS.</w:t>
      </w:r>
    </w:p>
    <w:p>
      <w:pPr>
        <w:pStyle w:val="Title"/>
        <w:spacing w:line="480" w:lineRule="auto"/>
        <w:ind w:left="720" w:hanging="720"/>
        <w:jc w:val="left"/>
      </w:pPr>
      <w:r>
        <w:t>A.</w:t>
      </w:r>
      <w:r>
        <w:tab/>
        <w:t>My name is Jack D. Phillips.  My business address is 14450 Burnhaven Drive, Burnsville, Minnesota 55306.</w:t>
      </w:r>
    </w:p>
    <w:p>
      <w:pPr>
        <w:pStyle w:val="Title"/>
        <w:spacing w:line="480" w:lineRule="auto"/>
        <w:ind w:left="720" w:hanging="720"/>
        <w:jc w:val="left"/>
        <w:rPr>
          <w:b/>
        </w:rPr>
      </w:pPr>
    </w:p>
    <w:p>
      <w:pPr>
        <w:pStyle w:val="Title"/>
        <w:spacing w:line="480" w:lineRule="auto"/>
        <w:jc w:val="left"/>
        <w:rPr>
          <w:b/>
        </w:rPr>
      </w:pPr>
      <w:r>
        <w:rPr>
          <w:b/>
        </w:rPr>
        <w:t>Q.</w:t>
      </w:r>
      <w:r>
        <w:rPr>
          <w:b/>
        </w:rPr>
        <w:tab/>
        <w:t>ON WHAT COMPANY’S BEHALF IS THIS TESTIMONY SUBMITTED?</w:t>
      </w:r>
    </w:p>
    <w:p>
      <w:pPr>
        <w:pStyle w:val="Title"/>
        <w:spacing w:line="480" w:lineRule="auto"/>
        <w:ind w:left="720" w:hanging="720"/>
        <w:jc w:val="left"/>
      </w:pPr>
      <w:r>
        <w:t>A.</w:t>
      </w:r>
      <w:r>
        <w:tab/>
        <w:t>This testimony is submitted on behalf of Frontier Communications Northwest Inc. (“Frontier”).</w:t>
      </w:r>
    </w:p>
    <w:p>
      <w:pPr>
        <w:pStyle w:val="Title"/>
        <w:spacing w:line="480" w:lineRule="auto"/>
        <w:ind w:left="720" w:hanging="720"/>
        <w:jc w:val="left"/>
      </w:pPr>
    </w:p>
    <w:p>
      <w:pPr>
        <w:pStyle w:val="Title"/>
        <w:spacing w:line="480" w:lineRule="auto"/>
        <w:ind w:left="720" w:hanging="720"/>
        <w:jc w:val="left"/>
        <w:rPr>
          <w:b/>
        </w:rPr>
      </w:pPr>
      <w:r>
        <w:rPr>
          <w:b/>
        </w:rPr>
        <w:t>Q.</w:t>
      </w:r>
      <w:r>
        <w:rPr>
          <w:b/>
        </w:rPr>
        <w:tab/>
        <w:t xml:space="preserve">ARE YOU THE SAME JACK D. PHILLIPS THAT FILED DIRECT TESTIMONY, REPLY TESTIMONY, TESTIMONY IN SUPPORT OF THE CLEC SETTLEMENT, AND TESTIMONY IN SUPPORT OF THE SETTLEMENT WITH THE DEPARTMENT OF DEFENSE AND ALL OTHER FEDERAL EXECUTIVE AGENCIES IN THIS PROCEEDING? </w:t>
      </w:r>
    </w:p>
    <w:p>
      <w:pPr>
        <w:pStyle w:val="Title"/>
        <w:spacing w:line="480" w:lineRule="auto"/>
        <w:ind w:left="720" w:hanging="720"/>
        <w:jc w:val="left"/>
      </w:pPr>
      <w:r>
        <w:t>A.</w:t>
      </w:r>
      <w:r>
        <w:tab/>
        <w:t xml:space="preserve">Yes.  </w:t>
      </w:r>
    </w:p>
    <w:p>
      <w:pPr>
        <w:pStyle w:val="Title"/>
        <w:spacing w:line="480" w:lineRule="auto"/>
        <w:ind w:left="720" w:hanging="720"/>
        <w:jc w:val="left"/>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WHAT IS THE PURPOSE OF YOUR TESTIMONY?</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My testimony describes and supports the Settlement Agreement (“Agreement”) between Frontier Northwest Inc. (“Frontier”) and Staff of Washington Utilities and Transportation Commission (“Commission Staff”) and Public Counsel.</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BRIEFLY DESCRIBE THE HISTORY OF THIS PROCEEDING.</w:t>
      </w:r>
    </w:p>
    <w:p>
      <w:pPr>
        <w:spacing w:after="0" w:line="480" w:lineRule="auto"/>
        <w:ind w:left="720" w:hanging="720"/>
        <w:rPr>
          <w:rFonts w:ascii="Times New Roman" w:hAnsi="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 xml:space="preserve">On   December 21, 2012 Frontier filed a petition with the Washington Utilities and Transportation Commission (“Commission) to be classified as a competitive provider pursuant to RCW 80.36.320.  On January 23, 2013, Frontier filed an amended petition (“the Petition”) in the proceeding.  On February 7, 2013, the Department of Defense and other Federal Executive Agencies (“DoD/FEA”) filed a petition to intervene in the proceeding.  On February 28, Frontier filed direct testimony in this proceeding.  On April 17, CLEC Intervenors (Cbeyond Communications LLC, Integra Telecom of Washington, Inc.; tw telecom of Washington, llc; Level 3 Communications, LLC; and Charter Fiberlink WA-CCVII, LLC) and Frontier filed a “Settlement of CLEC Issues” (“CLEC Agreement”).  On April 25, Frontier and CLEC Intervenors filed testimony in support of the settlement.  Also on April 25, the Commission Staff, Public Counsel and DoD/FEA filed Response Testimony.  On May 14, Frontier filed Rebuttal Testimony.  An agreement (“DoD/FEA Agreement”) was reached between Frontier and DoD/FEA on May 14, 2013.  Frontier and DoD/FEA filed a motion seeking leave to file testimony and a narrative in support of the settlement on May 14, which the Commission approved.  Frontier and DOD/FEA filed testimony in support of that settlement on May 17.  </w:t>
      </w:r>
      <w:r>
        <w:rPr>
          <w:rFonts w:ascii="Times New Roman" w:hAnsi="Times New Roman"/>
          <w:sz w:val="25"/>
          <w:szCs w:val="25"/>
        </w:rPr>
        <w:t xml:space="preserve">On </w:t>
      </w:r>
      <w:r>
        <w:rPr>
          <w:rFonts w:ascii="Times New Roman" w:hAnsi="Times New Roman"/>
          <w:sz w:val="24"/>
          <w:szCs w:val="24"/>
        </w:rPr>
        <w:t>May 21, 2013, Frontier, Commission Staff, and Public Counsel notified the Commission that the parties had reached a full settlement in this proceeding.  The parties jointly request that the remaining procedural schedule be suspended, with the exception of the public comment hearing set for May 23, 2013, and that the parties be allowed time to reduce their agreement to writing, and prepare a joint narrative and supporting testimony.  The Commission granted the parties’ request and on May 22, 2013, the parties filed an executed copy of the Agreement with the Commission.</w:t>
      </w:r>
    </w:p>
    <w:p>
      <w:pPr>
        <w:spacing w:after="0" w:line="480" w:lineRule="auto"/>
        <w:ind w:left="720" w:hanging="720"/>
        <w:rPr>
          <w:rFonts w:ascii="Times New Roman" w:hAnsi="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DOES FRONTIER SUPPORT THE SETTLEMENT BETWEEN FRONTIER AND COMMISSION STAFF AND PUBLIC COUNSEL?</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Yes.  The Agreement was structured to provide Frontier with certain pricing flexibility and relief from certain regulatory obligations while providing lifeline customers, basic stand-alone residential service customers, basic stand-alone small business (one to three lines) service customers, and intrastate special access customers with various protections.  One of the key elements of the Agreement provides Frontier flexibility for stand-alone basic local residential and small business services and special access services, but uses rate bands and caps on the increases to limit the impact on customers of any price changes.  In addition to Frontier’s obligations as a CoLR and ETC, the Agreement provides assurances that these services will remain available to customers throughout Frontier’s service area.  Lifeline and WTAP services are also afforded additional protections by exempting lifeline service rates from price increases.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HOW DOES THE AGREEMENT BETWEEN FRONTIER AND COMMISSION STAFF AND PUBLIC COUNSEL INTERACT WITH THE CLEC AGREEMENT AND DOD/FEA AGREEMENTS?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The Agreement complements and supplements the terms and conditions contained in the CLEC Agreement and the DoD/FEA Agreement- agreements that were previously filed with the Commission and supported by my testimony and that of the settling parties.  The three agreements do not conflict or invalidate the terms or conditions of the others.  Collectively, the three agreements satisfactorily address the concerns and interests of Commission Staff, Public Counsel, CLEC Intevenors, DoD/FEA and Frontier.  </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 THE PRIOR SETTLEMENT AGREEMENTS FILED WITH THE COMMISSION REQUIRE ANY AMENDMENTS AS A RESULT OF THE SETTLEMENT BETWEEN FRONTIER, COMMISSION STAFF AND PUBLIC COUNSEL?</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No changes are required in the DoD/FEA settlement.  However, the settlement with the CLEC Intervenors must be modified slightly.  The Frontier/Commission Staff/Public Counsel settlement Agreement contemplated a resolution of certain issues in a manner that could be interpreted to be inconsistent with the language contained in paragraph 14 of the CLEC Agreement.  Paragraph 14 of the CLEC Agreement states that that settlement will not take effect in the event the Commission issues an order denying Frontier’s Petition or Frontier otherwise elects not to be classified as a competitive carrier.  Paragraph 23 of the Agreement between Frontier/Commission Staff and Public Counsel expressly calls for the filing by Frontier and CLEC Intervenors of an amendment to the CLEC Agreement that preserves the CLEC Agreement if the Commission approves the Agreement.  The amendment to the CLEC agreement preserves the CLEC Agreement if the Commission approves the Agreement filed with the Commission on May 22, 2013.</w:t>
      </w:r>
      <w:r>
        <w:rPr>
          <w:rFonts w:ascii="Times New Roman" w:eastAsia="Times New Roman" w:hAnsi="Times New Roman" w:cs="Times New Roman"/>
          <w:b/>
          <w:sz w:val="24"/>
          <w:szCs w:val="24"/>
        </w:rPr>
        <w:t xml:space="preserve">    </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HAS FRONTIER ENTERED INTO AN AMENDMENT TO THE CLEC AGREEMENT TO PRESERVE THE CONDITIONS CONTAINED IN THAT AGREEMENT?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Yes.  Attached as Exhibit No.___(JP-45) is Amendment 1 to Settlement of CLEC Issues.  Frontier has executed the Amendment, as have three of the CLEC Intervenors.  Given the logistical complexities of getting signatures, Amendment 1 had not been executed by two of the CLEC Intervenors as the time this testimony was filed.  Frontier expects all of the CLEC Intervenors to have signed the Amendment 1 by the time of the hearing and will supplement the record when all signatures have been obtained.</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KEY AREAS ADDRESSED BY THE AGREEMENT WITH COMMISSION STAFF AND PUBLIC COUNSEL?</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Frontier has seven tariffs on file with the Commission, each of which are addressed in the Agreement with Commission Staff and Public Counsel:  </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U-16 Facilities for Intrastate Access (“Intrastate Access Tariff”) which contains intrastate switched access charges and special access rates;</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U-17 General and Local Exchange Tariff (“Local Exchange Tariff”) which contains local residential and business services;</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WU U-18 Network Interconnection Access Service;</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U-20 Collocation Service;</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U-21 Unbundled Network Elements;</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U-22 Resale Local Exchange Services; and</w:t>
      </w:r>
    </w:p>
    <w:p>
      <w:pPr>
        <w:pStyle w:val="ListParagraph"/>
        <w:numPr>
          <w:ilvl w:val="0"/>
          <w:numId w:val="25"/>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U-23 Advanced Data Services (“ADS Tariff”).</w:t>
      </w:r>
    </w:p>
    <w:p>
      <w:pPr>
        <w:pStyle w:val="ListParagraph"/>
        <w:tabs>
          <w:tab w:val="num" w:pos="720"/>
        </w:tabs>
        <w:spacing w:after="0" w:line="480" w:lineRule="auto"/>
        <w:ind w:left="1080"/>
        <w:rPr>
          <w:rFonts w:ascii="Times New Roman" w:eastAsia="Times New Roman" w:hAnsi="Times New Roman" w:cs="Times New Roman"/>
          <w:b/>
          <w:sz w:val="24"/>
          <w:szCs w:val="24"/>
        </w:rPr>
      </w:pPr>
    </w:p>
    <w:p>
      <w:pPr>
        <w:pStyle w:val="ListParagraph"/>
        <w:tabs>
          <w:tab w:val="num" w:pos="720"/>
        </w:tabs>
        <w:spacing w:after="0" w:line="480" w:lineRule="auto"/>
        <w:ind w:left="1080"/>
        <w:rPr>
          <w:rFonts w:ascii="Times New Roman" w:eastAsia="Times New Roman" w:hAnsi="Times New Roman" w:cs="Times New Roman"/>
          <w:b/>
          <w:sz w:val="24"/>
          <w:szCs w:val="24"/>
        </w:rPr>
      </w:pPr>
    </w:p>
    <w:p>
      <w:pPr>
        <w:pStyle w:val="ListParagraph"/>
        <w:tabs>
          <w:tab w:val="num" w:pos="720"/>
        </w:tabs>
        <w:spacing w:after="0" w:line="480" w:lineRule="auto"/>
        <w:ind w:left="1080"/>
        <w:rPr>
          <w:rFonts w:ascii="Times New Roman" w:eastAsia="Times New Roman" w:hAnsi="Times New Roman" w:cs="Times New Roman"/>
          <w:b/>
          <w:sz w:val="24"/>
          <w:szCs w:val="24"/>
        </w:rPr>
      </w:pPr>
    </w:p>
    <w:p>
      <w:pPr>
        <w:pStyle w:val="ListParagraph"/>
        <w:tabs>
          <w:tab w:val="num" w:pos="720"/>
        </w:tabs>
        <w:spacing w:after="0" w:line="480" w:lineRule="auto"/>
        <w:ind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Intrastate Access</w:t>
      </w:r>
    </w:p>
    <w:p>
      <w:pPr>
        <w:pStyle w:val="ListParagraph"/>
        <w:tabs>
          <w:tab w:val="num" w:pos="720"/>
        </w:tabs>
        <w:spacing w:after="0" w:line="480"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KEY TERMS AND CONDITIONS OF THE AGREEMENT FOR INTRASTATE ACCESS AND HOW ARE THESE CONDITIONS IN THE PUBLIC INTEREST?</w:t>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The Agreement provides different terms and conditions for intrastate switched access and for the special access services contained in Frontier’s tariff, WN U-16 Facilities for Intrastate Access (“Intrastate Access Tariff”).  </w:t>
      </w:r>
    </w:p>
    <w:p>
      <w:pPr>
        <w:pStyle w:val="ListParagraph"/>
        <w:tabs>
          <w:tab w:val="num" w:pos="720"/>
        </w:tabs>
        <w:spacing w:after="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Switched Access</w:t>
      </w:r>
      <w:r>
        <w:rPr>
          <w:rFonts w:ascii="Times New Roman" w:eastAsia="Times New Roman" w:hAnsi="Times New Roman" w:cs="Times New Roman"/>
          <w:i/>
          <w:sz w:val="24"/>
          <w:szCs w:val="24"/>
        </w:rPr>
        <w:tab/>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respect to switched access services, the Federal Communications Commission (“FCC”)’s Inter-Carrier Compensation (“ICC”) Transformation Order is currently pending in the Tenth Circuit of the U.S. Court of Appeals under cause no. 11-9900.  In light of some level of uncertainty on the outcome of that appeal, Frontier commits to retain the switched access services contained in its Intrastate Access Tariff until the appeal is resolved and further appeals are exhausted.  Within 60 days after the review of the ICC transformation order is resolved, Frontier will file with the Commission a proposal concerning its intrastate switched access charges that is consistent with resolution of the review of the ICC transformation order.</w:t>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provision of the Agreement is in the public interest in that it provides assurances that the Commission will retain authority over switched access rates in the event that the court appeal overturns the FCC’s preemption of intrastate switched access rates.</w:t>
      </w:r>
    </w:p>
    <w:p>
      <w:pPr>
        <w:pStyle w:val="ListParagraph"/>
        <w:tabs>
          <w:tab w:val="num" w:pos="720"/>
        </w:tabs>
        <w:spacing w:after="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Special Access</w:t>
      </w:r>
      <w:r>
        <w:rPr>
          <w:rFonts w:ascii="Times New Roman" w:eastAsia="Times New Roman" w:hAnsi="Times New Roman" w:cs="Times New Roman"/>
          <w:i/>
          <w:sz w:val="24"/>
          <w:szCs w:val="24"/>
        </w:rPr>
        <w:tab/>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Intrastate special access services are separately addressed in each of the settlement agreements with Commission Staff and Public Counsel, the CLEC Intervenors, and the DoD/FEA.  The three agreements address interests of the respective parties to those agreements and while there is some overlap, they do not conflict.  </w:t>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Agreement requires Frontier to continue to offer intrastate special access services in the Intrastate Access Tariff.  Both retail and wholesale carriers would be permitted to order services from this tariff.  Frontier is permitted to revise the Intrastate Access Tariff to establish banded rates under RCW 80.36.340.  The minimum band of the rates is 10 percent below Frontier’s existing tariffed rates, and any filing proposing to decrease rates below the rates in effect as of the date of the agreement must be supported by a TSLRIC study demonstrating the proposed rates are above cost.  The maximum band for the intrastate access rates will be the interstate special access rate for the same service.  Frontier would be permitted to implement rate changes within the rate bands upon ten days’ notice to the Commission and subscribers.  Wholesale customers would be permitted to avail themselves of themselves of the prices from the special access tariff, but would not be required to do so, as they would also have access to pricing from the Wholesale Special Access Price Catalog agreed to in the CLEC Agreement.</w:t>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special access provision of the Agreement is in the public interest in that it provides Frontier with some limited retail pricing flexibility to better respond to market conditions but provides an upper and lower bound on rate changes and allows wholesale customers to purchase from the tariff in the event Frontier lowers the tariffed prices. These provide protections to both Frontier’s customers and competitors. </w:t>
      </w:r>
    </w:p>
    <w:p>
      <w:pPr>
        <w:tabs>
          <w:tab w:val="num" w:pos="720"/>
        </w:tabs>
        <w:spacing w:after="0" w:line="480" w:lineRule="auto"/>
        <w:rPr>
          <w:rFonts w:ascii="Times New Roman" w:eastAsia="Times New Roman" w:hAnsi="Times New Roman" w:cs="Times New Roman"/>
          <w:sz w:val="24"/>
          <w:szCs w:val="24"/>
        </w:rPr>
      </w:pPr>
    </w:p>
    <w:p>
      <w:pPr>
        <w:tabs>
          <w:tab w:val="num" w:pos="720"/>
        </w:tabs>
        <w:spacing w:after="0" w:line="480" w:lineRule="auto"/>
        <w:rPr>
          <w:rFonts w:ascii="Times New Roman" w:eastAsia="Times New Roman" w:hAnsi="Times New Roman" w:cs="Times New Roman"/>
          <w:sz w:val="24"/>
          <w:szCs w:val="24"/>
        </w:rPr>
      </w:pPr>
    </w:p>
    <w:p>
      <w:pPr>
        <w:tabs>
          <w:tab w:val="num" w:pos="720"/>
        </w:tabs>
        <w:spacing w:after="0" w:line="480" w:lineRule="auto"/>
        <w:rPr>
          <w:rFonts w:ascii="Times New Roman" w:eastAsia="Times New Roman" w:hAnsi="Times New Roman" w:cs="Times New Roman"/>
          <w:sz w:val="24"/>
          <w:szCs w:val="24"/>
        </w:rPr>
      </w:pPr>
    </w:p>
    <w:p>
      <w:pPr>
        <w:pStyle w:val="ListParagraph"/>
        <w:tabs>
          <w:tab w:val="num" w:pos="720"/>
        </w:tabs>
        <w:spacing w:after="0" w:line="480" w:lineRule="auto"/>
        <w:ind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Local Exchange Service</w:t>
      </w:r>
    </w:p>
    <w:p>
      <w:pPr>
        <w:pStyle w:val="ListParagraph"/>
        <w:tabs>
          <w:tab w:val="num" w:pos="720"/>
        </w:tabs>
        <w:spacing w:after="0" w:line="480"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KEY TERMS AND CONDITIONS OF THE AGREEMENT FOR LOCAL EXCHANGE SERVICES AND HOW ARE THESE CONDITIONS IN THE PUBLIC INTEREST?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Agreement is intended to respond to concerns of Commission Staff and Public Counsel that sufficient competition may not exist in all markets for stand-alone basic local services, stand-alone residential service; basic stand-alone business service for customers subscribing to one to three lines (“small business service”); and certain other services currently contained in Frontier WN U-17 General and Local Exchange Tariff (“Local Exchange Tariff”).</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Frontier’s basic stand-alone services would be subject to rate bands as allowed pursuant to WAC 480-80-112.  In its rate band filing, Frontier would provide a statement supporting the use of a banded rate tariff.  Additionally, Frontier would include information in its rate band filing detailing the potential revenue effect on revenue of the proposed banded rate tariff range, as well as the effect on revenue of the current or proposed rate. If Frontier were to reduce its rates below the current tariff rates, Frontier would file cost of service studies </w:t>
      </w:r>
      <w:bookmarkStart w:id="0" w:name="_GoBack"/>
      <w:bookmarkEnd w:id="0"/>
      <w:r>
        <w:rPr>
          <w:rFonts w:ascii="Times New Roman" w:eastAsia="Times New Roman" w:hAnsi="Times New Roman" w:cs="Times New Roman"/>
          <w:sz w:val="24"/>
          <w:szCs w:val="24"/>
        </w:rPr>
        <w:t>to demonstrate that the rate exceeded the cost of service.</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tabs>
          <w:tab w:val="num" w:pos="720"/>
        </w:tabs>
        <w:spacing w:after="0"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Protections for Basic Stand-Alone Residential Service </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Agreement would establish a basic stand-alone residential service rate band in the Local Exchange Tariff at $2 above and $4 below the existing rates of $16.90 for flat-rated service and $11.15 for basic measured service.  Beginning October 1, 2013, Frontier can increase these rates no more than $1 in any 12-month period, except that no increase shall exceed the rate band maximum.  Lifeline and WTAP customers would not be affected by any basic residential service rate increases.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Protections for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Basic Stand-Alone Small Business Service (One to Three Lines)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with residential service rates, rate bands would be established for basic stand-alone small business service.  Rate bands would be set at $3 above and $5 below the existing rates of $33.60 for flat-rated service and $21.60 for basic measured service.  Beginning October 1, 2013, Frontier can increase these rates no more than $2 in any 12-month period, except no increase can exceed the rate band maximum. </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To provide Frontier greater pricing flexibility to respond to competition, it would be permitted to withdraw all other services from its Local Exchange Tariff and to maintain those services on its website in its Local Exchange Service Catalog.</w:t>
      </w:r>
      <w:r>
        <w:rPr>
          <w:rFonts w:ascii="Times New Roman" w:eastAsia="Times New Roman" w:hAnsi="Times New Roman" w:cs="Times New Roman"/>
          <w:sz w:val="24"/>
          <w:szCs w:val="24"/>
        </w:rPr>
        <w:tab/>
      </w:r>
    </w:p>
    <w:p>
      <w:pPr>
        <w:tabs>
          <w:tab w:val="num" w:pos="720"/>
        </w:tabs>
        <w:spacing w:after="0"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Protections for Services Moved to Local Exchange Service Catalog</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The Agreement would require Frontier to offer each service it moves from its Local Exchange Tariff to the Local Exchange Service Catalog on a stand-alone basis. If Frontier seeks to discontinue stand-alone services offered in its Local Exchange Service Catalog to existing customers, it must first seek and be granted Commission approval.  This would give Frontier the ability to change its bundled service offerings to meet market conditions but provide customers with protections as to the availability of stand-alone services in the Local Exchange Service Catalog.  Additionally customers would be protected by Frontier’s commitment not to price bundled services above the sum of the stand-alone rates for those services.</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Additional Customer and Competitor Protections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Additional customer protections include a commitment by Frontier that it will continue to serve as a carrier of last resort with respect to services moved from the Local Exchange Service Tariff into the Local Exchange Service Catalog.  Frontier also commits, with respect to basic stand-alone and basic small business services, to continue to apply a statewide rate with no wire center deaveraging, including a commitment that extends to calling features.  Competitors are protected from Frontier pricing services below cost by a commitment that Frontier will file a TSLRIC cost study for any rate reductions to demonstrate that its proposed rates are above cost.</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Wholesale Services</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Interconnection Agreement Services</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GENERAL PROVISIONS OF THE AGREEMENT FOR WHOLESALE SERVICES PROVIDED UNDER THE TELECOMMUNICATIONS ACT OF 1996 (“THE ACT”) AND HOW ARE THE PROVISIONS OF THE AGREEMENT IN THE PUBLIC INTEREST?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Agreement permits Frontier to withdraw the following interconnection-related wholesale tariffs and offer the services in price catalogs or price lists posted on Frontier’s website:</w:t>
      </w:r>
    </w:p>
    <w:p>
      <w:pPr>
        <w:pStyle w:val="ListParagraph"/>
        <w:numPr>
          <w:ilvl w:val="0"/>
          <w:numId w:val="26"/>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U-18 Network Interconnection Access Service</w:t>
      </w:r>
    </w:p>
    <w:p>
      <w:pPr>
        <w:pStyle w:val="ListParagraph"/>
        <w:numPr>
          <w:ilvl w:val="0"/>
          <w:numId w:val="26"/>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U-20 Collocation Service</w:t>
      </w:r>
    </w:p>
    <w:p>
      <w:pPr>
        <w:pStyle w:val="ListParagraph"/>
        <w:numPr>
          <w:ilvl w:val="0"/>
          <w:numId w:val="26"/>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U-21 Unbundled Network Elements</w:t>
      </w:r>
    </w:p>
    <w:p>
      <w:pPr>
        <w:pStyle w:val="ListParagraph"/>
        <w:numPr>
          <w:ilvl w:val="0"/>
          <w:numId w:val="26"/>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 U-22 Resale Local Exchange Services</w:t>
      </w:r>
    </w:p>
    <w:p>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Agreement does not impact Frontier’s wholesale obligations under the Telecommunications Act of 1996 (“the Act”).  As a condition of the Agreement, Frontier reaffirms its wholesale obligations under the Act.</w:t>
      </w:r>
    </w:p>
    <w:p>
      <w:pPr>
        <w:spacing w:after="0" w:line="480" w:lineRule="auto"/>
        <w:ind w:left="720"/>
        <w:rPr>
          <w:rFonts w:ascii="Times New Roman" w:eastAsia="Times New Roman" w:hAnsi="Times New Roman" w:cs="Times New Roman"/>
          <w:sz w:val="24"/>
          <w:szCs w:val="24"/>
        </w:rPr>
      </w:pPr>
    </w:p>
    <w:p>
      <w:pPr>
        <w:spacing w:after="0"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Non-Interconnection Wholesale Services</w:t>
      </w:r>
    </w:p>
    <w:p>
      <w:pPr>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GENERAL PROVISIONS OF THE AGREEMENT FOR SERVICES CONTAINED IN WN U-23 ADVANCED DATA SERVICES TARIFF?</w:t>
      </w:r>
    </w:p>
    <w:p>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Consistent with the CLEC Agreement, the Agreement permits Frontier to move services contained in the Advanced Data Services Tariff to an Advanced Data Services Catalog that will be maintained on Frontier’s website.  Frontier agrees to continue to offer these services to existing customers at rates in effect on the date of the Agreement, May 21, 2013, for the duration of the Agreement.   If Frontier seeks to discontinue any of these services moved from the tariff to the catalog to existing customers subscribing to the services, it will file a petition for Commission approval.</w:t>
      </w:r>
    </w:p>
    <w:p>
      <w:pPr>
        <w:spacing w:after="0" w:line="480" w:lineRule="auto"/>
        <w:ind w:left="720" w:hanging="720"/>
        <w:rPr>
          <w:rFonts w:ascii="Times New Roman" w:eastAsia="Times New Roman" w:hAnsi="Times New Roman" w:cs="Times New Roman"/>
          <w:b/>
          <w:sz w:val="24"/>
          <w:szCs w:val="24"/>
        </w:rPr>
      </w:pPr>
    </w:p>
    <w:p>
      <w:pPr>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HOW DOES THE AGREEMENT INTERACT WITH THE CLEC AGREEMENT WITH RESPECT TO INTRASTATE SPECIAL ACCESS SERVICES AND TO DETARIFFING ADVANCED DATA SERVICES?</w:t>
      </w:r>
    </w:p>
    <w:p>
      <w:pPr>
        <w:pStyle w:val="ListParagraph"/>
        <w:tabs>
          <w:tab w:val="num" w:pos="720"/>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 The CLEC Intervenor Agreement requires Frontier to establish Non-ICA Wholesale Service Catalogs which would include intrastate access services and advanced data services.  The Non-ICA Wholesale Service Catalogs would contain the same rates, terms and conditions as the Intrastate Access Tariff and Advanced Data Services Tariff.  Only carriers certified as long distance carriers or CLECs would be permitted to purchase services from these two newly established service catalogs.  However, certified carriers would have the option of purchasing services from the Intrastate Access Tariff or Advanced Data Services Tariff if, for example, Frontier were to reduce rates to a lower level within the bands of the Intrastate Access Tariff.</w:t>
      </w:r>
    </w:p>
    <w:p>
      <w:pPr>
        <w:spacing w:after="0" w:line="480" w:lineRule="auto"/>
        <w:rPr>
          <w:rFonts w:ascii="Times New Roman" w:eastAsia="Times New Roman" w:hAnsi="Times New Roman" w:cs="Times New Roman"/>
          <w:sz w:val="24"/>
          <w:szCs w:val="24"/>
        </w:rPr>
      </w:pPr>
    </w:p>
    <w:p>
      <w:pPr>
        <w:pStyle w:val="ListParagraph"/>
        <w:spacing w:after="0" w:line="480" w:lineRule="auto"/>
        <w:ind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DSL</w:t>
      </w:r>
    </w:p>
    <w:p>
      <w:pPr>
        <w:pStyle w:val="ListParagraph"/>
        <w:spacing w:after="0" w:line="480"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CONDITIONS DOES THE AGREEMENT IMPOSE ON FRONTIER WITH RESPECT TO OFFERING DSL SERVICE?</w:t>
      </w:r>
    </w:p>
    <w:p>
      <w:pPr>
        <w:pStyle w:val="ListParagraph"/>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Frontier currently offers stand-alone DSL service in its service areas where DSL is available.  Frontier commits that it will continue to offer stand-alone DSL or another comparable broadband service to residential and small business end user customers where DSL is provided by Frontier.  Frontier would be permitted to petition the Commission to terminate this condition on or after December 31, 2015.  However, if Frontier does not petition to end this condition or the Commission has not acted on such a petition, the commitment to offer stand-alone DSL expires on December 31, 2016.</w:t>
      </w:r>
    </w:p>
    <w:p>
      <w:pPr>
        <w:pStyle w:val="ListParagraph"/>
        <w:spacing w:after="0" w:line="480" w:lineRule="auto"/>
        <w:ind w:hanging="720"/>
        <w:jc w:val="center"/>
        <w:rPr>
          <w:rFonts w:ascii="Times New Roman" w:eastAsia="Times New Roman" w:hAnsi="Times New Roman" w:cs="Times New Roman"/>
          <w:b/>
          <w:sz w:val="24"/>
          <w:szCs w:val="24"/>
          <w:u w:val="single"/>
        </w:rPr>
      </w:pPr>
    </w:p>
    <w:p>
      <w:pPr>
        <w:pStyle w:val="ListParagraph"/>
        <w:spacing w:after="0" w:line="480" w:lineRule="auto"/>
        <w:ind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WAIVERS</w:t>
      </w:r>
    </w:p>
    <w:p>
      <w:pPr>
        <w:pStyle w:val="ListParagraph"/>
        <w:spacing w:after="0" w:line="480"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STATUTES DO THE PARTIES TO THE AGREEMENT RECOMMEND BE WAIVED?</w:t>
      </w:r>
    </w:p>
    <w:p>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Pursuant to RCW 80.36.330, the Parties agree that it is appropriate for the Commission to waive certain regulatory requirements for Frontier.  These recommended waivers are contained as Appendix B, which was included as William Weinman’s Exhibit No.___(WHW-2).   </w:t>
      </w:r>
    </w:p>
    <w:p>
      <w:pPr>
        <w:spacing w:after="0" w:line="480" w:lineRule="auto"/>
        <w:ind w:left="720" w:hanging="720"/>
        <w:rPr>
          <w:rFonts w:ascii="Times New Roman" w:eastAsia="Times New Roman" w:hAnsi="Times New Roman" w:cs="Times New Roman"/>
          <w:sz w:val="24"/>
          <w:szCs w:val="24"/>
        </w:rPr>
      </w:pPr>
    </w:p>
    <w:p>
      <w:pPr>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IS THE RATIONALE FOR THE COMMISSION TO WAIVE THESE REGULATORY REQUIREMENTS?</w:t>
      </w:r>
    </w:p>
    <w:p>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There are at least two general reasons it is reasonable and appropriate for the Commission to waive these requirements.  First, while there is not common agreement among the parties to this proceeding as to whether the level of competition Frontier faces in its Washington markets meets the statutory definition of “effective competition”, there is general agreement that Frontier faces a significant level of competition.  Frontier’s competitors are not subject to the regulatory requirements for which the Parties recommend waiver.  Granting these waivers would move Frontier closer to parity with its competitors with respect to the level of resources that are expended on regulatory compliance.  Second, Frontier is in the business of providing telecommunications services to customers in its service areas.  The waivers included in the Agreement are the legacy of a regulated monopoly environment and waiver of these regulatory burdens would permit Frontier to redirect resources to providing services to customers.</w:t>
      </w:r>
    </w:p>
    <w:p>
      <w:pPr>
        <w:spacing w:after="0" w:line="480" w:lineRule="auto"/>
        <w:ind w:left="720"/>
        <w:rPr>
          <w:rFonts w:ascii="Times New Roman" w:hAnsi="Times New Roman" w:cs="Times New Roman"/>
          <w:sz w:val="24"/>
          <w:szCs w:val="24"/>
        </w:rPr>
      </w:pPr>
    </w:p>
    <w:p>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The following regulatory requirements provide for Commission oversight of  Frontier’s budgets, expenditures, leases, transactions with affiliates, and financing arrangements:  RCW 80.04.300 (Budgets to be filed by companies-Supplementary budgets), RCW 80.04.310 (Commission’s control over expenditures), RCW 80.04.320 (Budget rules), RCW 80.04.330 (Effect of unauthorized expenditure-emergencies), RCW 80.04.520 (Approval of lease of utility facilities), Chapter 80.16 RCW (affiliated interests), Chapter 480-140 WAC (Commission general-budgets), WAC 480-120-344 (Expenditures for political or legislative activities),WAC 480-120-369 (Transferring cash or assuming obligation), WAC 480-120-375 (Affiliated interests- contracts or arrangements), WAC 480-120-389 (Securities report), and WAC480-120-395 (Affiliated interest and subsidiary transaction reports).  Under the terms of the Agreement, Frontier’s rates would no longer be set under the rate-of-return regulatory regime for rate setting which relies heavily upon a company’s level of capital and expense expenditures.  As a result, the need for Commission oversight of the company’s budgets, expenditures, leases, transactions with affiliates, and financing arrangements would no longer be necessary for rate setting or protecting consumer interests.  Waiver of these requirements would eliminate unnecessary regulatory and administrative burdens, permitting Frontier to focus its resources on providing competitive telecommunications services in Washington.</w:t>
      </w:r>
    </w:p>
    <w:p>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p>
    <w:p>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RCW 80.04.360 (Earnings in excess of reasonable rate-consideration in fixing rates) provides for Commission investigation of excessive earnings.  As a telecommunications company whose rates are no longer set under rate-of-return regulation, the rule would not provide any benefit and should not apply.</w:t>
      </w:r>
    </w:p>
    <w:p>
      <w:pPr>
        <w:spacing w:after="0" w:line="480" w:lineRule="auto"/>
        <w:ind w:left="720"/>
        <w:rPr>
          <w:rFonts w:ascii="Times New Roman" w:hAnsi="Times New Roman" w:cs="Times New Roman"/>
          <w:sz w:val="24"/>
          <w:szCs w:val="24"/>
        </w:rPr>
      </w:pPr>
    </w:p>
    <w:p>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RCW 80.04.460 (Investigation of accidents) provides for Commission investigation of accidents resulting in injury or death involving a public service company.  The Washington Department of Labor and Industries (L&amp;I), Division of Occupational Safety and Health (DOSH)</w:t>
      </w:r>
      <w:r>
        <w:rPr>
          <w:rFonts w:ascii="Tahoma" w:hAnsi="Tahoma" w:cs="Tahoma"/>
        </w:rPr>
        <w:t xml:space="preserve"> </w:t>
      </w:r>
      <w:r>
        <w:rPr>
          <w:rFonts w:ascii="Times New Roman" w:hAnsi="Times New Roman" w:cs="Times New Roman"/>
          <w:sz w:val="24"/>
          <w:szCs w:val="24"/>
        </w:rPr>
        <w:t>and other agencies have oversight of accident and injury investigation.  Waiver of this rule would eliminate an unnecessary duplication of oversight.</w:t>
      </w:r>
    </w:p>
    <w:p>
      <w:pPr>
        <w:spacing w:after="0" w:line="480" w:lineRule="auto"/>
        <w:ind w:left="720"/>
        <w:rPr>
          <w:rFonts w:ascii="Times New Roman" w:hAnsi="Times New Roman" w:cs="Times New Roman"/>
          <w:sz w:val="24"/>
          <w:szCs w:val="24"/>
        </w:rPr>
      </w:pPr>
    </w:p>
    <w:p>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Chapter 80.08 RCW (Securities) relates to commission oversight of securities issued by public service companies.  This regulatory obligation is unnecessary because Frontier’s rates would no longer be set under the rate-of-return regulation regime and there would no longer be a link between its cost of capital and rate setting.</w:t>
      </w:r>
    </w:p>
    <w:p>
      <w:pPr>
        <w:spacing w:after="0" w:line="480" w:lineRule="auto"/>
        <w:ind w:left="720"/>
        <w:rPr>
          <w:rFonts w:ascii="Times New Roman" w:hAnsi="Times New Roman" w:cs="Times New Roman"/>
          <w:sz w:val="24"/>
          <w:szCs w:val="24"/>
        </w:rPr>
      </w:pPr>
    </w:p>
    <w:p>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The Parties agree to partial waiver of Chapter 80.12 RCW (Transfers of property).  The Agreement would waive this regulatory obligation, except for sale of exchanges and/or merger to a non-affiliated third-party.  As a company whose rates are no longer set under the legacy rate-of-return regime, there is a reduced need for Commission oversight as the financial implications of such transfers would not be used for ratemaking purposes.  However, the Agreement would preserve Commission oversight of transfers that would be of greater potential customer impact, transfers of ownership of exchanges or mergers involving third-parties that would have public policy implications well beyond rate setting.</w:t>
      </w:r>
    </w:p>
    <w:p>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pPr>
        <w:pStyle w:val="ListParagraph"/>
        <w:spacing w:after="0" w:line="480" w:lineRule="auto"/>
        <w:ind w:hanging="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EFFECTIVE DATE AND PRESERVATION OF SETTLEMENT TERMS</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IS THE PROPOSED EFFECTIVE DATE AND WHAT ARE THE TERMS UNDER WHICH THE TERMS OF THE AGREEMENT WOULD BE MODIFIED?</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Agreement would be effective upon Commission approval and would terminate when the Commission approves a modification or termination of the Agreement.  Frontier commits that it will not request any modification of the terms of the Agreement that would take effect before December 31, 2015.</w:t>
      </w:r>
    </w:p>
    <w:p>
      <w:pPr>
        <w:tabs>
          <w:tab w:val="num" w:pos="720"/>
        </w:tabs>
        <w:spacing w:after="0" w:line="480" w:lineRule="auto"/>
        <w:ind w:left="720" w:hanging="720"/>
        <w:jc w:val="center"/>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IS THE SETTLEMENT BETWEEN FRONTIER AND COMMISSION STAFF AND PUBLIC COUNSEL IN THE PUBLIC INTEREST AND DOES IT ADDRESS THE INTERESTS OF THE PARTIES TO THE AGREEMENT?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Yes.  The Agreement is both in the public interest and addresses the interests of the Parties.  It provides for certain price protections for residential customers, small business customers and wholesale service providers.  It also provides assurances that services will remain available to these customers.  For Frontier, it provides additional pricing flexibility and reduces regulatory burdens for which there is little benefit thereby permitting it to focus on the business it is in- providing telecommunications services to customers.    </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Q.</w:t>
      </w:r>
      <w:r>
        <w:rPr>
          <w:rFonts w:ascii="Times New Roman" w:eastAsia="Calibri" w:hAnsi="Times New Roman" w:cs="Times New Roman"/>
          <w:sz w:val="24"/>
          <w:szCs w:val="24"/>
        </w:rPr>
        <w:tab/>
      </w:r>
      <w:r>
        <w:rPr>
          <w:rFonts w:ascii="Times New Roman" w:eastAsia="Calibri" w:hAnsi="Times New Roman" w:cs="Times New Roman"/>
          <w:b/>
          <w:sz w:val="24"/>
          <w:szCs w:val="24"/>
        </w:rPr>
        <w:t>WHAT IS YOUR RECOMMENDATION TO THE COMMISSION REGARDING THIS AGREEMENT?</w:t>
      </w:r>
    </w:p>
    <w:p>
      <w:pPr>
        <w:tabs>
          <w:tab w:val="num" w:pos="720"/>
        </w:tabs>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Frontier joins with the Commission Staff and Public Counsel in recommending the Commission approve the conditions of the Agreement.</w:t>
      </w:r>
    </w:p>
    <w:p>
      <w:pPr>
        <w:tabs>
          <w:tab w:val="num" w:pos="720"/>
        </w:tabs>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THIS CONCLUDE YOUR TESTIMONY?</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it does.</w:t>
      </w:r>
    </w:p>
    <w:sectPr>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exact"/>
      <w:jc w:val="center"/>
    </w:pPr>
    <w:sdt>
      <w:sdtPr>
        <w:id w:val="3413757"/>
        <w:docPartObj>
          <w:docPartGallery w:val="Page Numbers (Bottom of Page)"/>
          <w:docPartUnique/>
        </w:docPartObj>
      </w:sdtPr>
      <w:sdtEndPr>
        <w:rPr>
          <w:noProof/>
        </w:rPr>
      </w:sdtEndPr>
      <w:sdtContent>
        <w:fldSimple w:instr=" PAGE   \* MERGEFORMAT ">
          <w:r>
            <w:rPr>
              <w:noProof/>
            </w:rPr>
            <w:t>1</w:t>
          </w:r>
        </w:fldSimple>
      </w:sdtContent>
    </w:sdt>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rFonts w:ascii="Times New Roman" w:hAnsi="Times New Roman" w:cs="Times New Roman"/>
      </w:rPr>
    </w:pPr>
    <w:r>
      <w:rPr>
        <w:rFonts w:ascii="Times New Roman" w:hAnsi="Times New Roman" w:cs="Times New Roman"/>
      </w:rPr>
      <w:t>EXHIBIT NO.__ (JP-44T)</w:t>
    </w:r>
  </w:p>
  <w:p>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1AE0B5C"/>
    <w:lvl w:ilvl="0">
      <w:start w:val="1"/>
      <w:numFmt w:val="bullet"/>
      <w:lvlText w:val=""/>
      <w:lvlJc w:val="left"/>
      <w:pPr>
        <w:tabs>
          <w:tab w:val="num" w:pos="2610"/>
        </w:tabs>
        <w:ind w:left="2610" w:hanging="360"/>
      </w:pPr>
      <w:rPr>
        <w:rFonts w:ascii="Symbol" w:hAnsi="Symbol" w:hint="default"/>
      </w:rPr>
    </w:lvl>
  </w:abstractNum>
  <w:abstractNum w:abstractNumId="1">
    <w:nsid w:val="081533C6"/>
    <w:multiLevelType w:val="hybridMultilevel"/>
    <w:tmpl w:val="6082BF9A"/>
    <w:lvl w:ilvl="0" w:tplc="9A0E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766BE"/>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C6CC3"/>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C35F4"/>
    <w:multiLevelType w:val="hybridMultilevel"/>
    <w:tmpl w:val="DB04CA62"/>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1">
      <w:start w:val="1"/>
      <w:numFmt w:val="bullet"/>
      <w:lvlText w:val=""/>
      <w:lvlJc w:val="left"/>
      <w:pPr>
        <w:tabs>
          <w:tab w:val="num" w:pos="3660"/>
        </w:tabs>
        <w:ind w:left="3660" w:hanging="360"/>
      </w:pPr>
      <w:rPr>
        <w:rFonts w:ascii="Symbol" w:hAnsi="Symbol"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0EBE4F27"/>
    <w:multiLevelType w:val="hybridMultilevel"/>
    <w:tmpl w:val="C80E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166CD"/>
    <w:multiLevelType w:val="hybridMultilevel"/>
    <w:tmpl w:val="9618BD1C"/>
    <w:lvl w:ilvl="0" w:tplc="57E08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272A07"/>
    <w:multiLevelType w:val="hybridMultilevel"/>
    <w:tmpl w:val="B4B04EA6"/>
    <w:lvl w:ilvl="0" w:tplc="AF6C67A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9F35BF"/>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764996"/>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A85346"/>
    <w:multiLevelType w:val="hybridMultilevel"/>
    <w:tmpl w:val="6E4CC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342753"/>
    <w:multiLevelType w:val="hybridMultilevel"/>
    <w:tmpl w:val="7348F812"/>
    <w:lvl w:ilvl="0" w:tplc="7DD2414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46AB1"/>
    <w:multiLevelType w:val="hybridMultilevel"/>
    <w:tmpl w:val="B4AE1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45B02A3F"/>
    <w:multiLevelType w:val="hybridMultilevel"/>
    <w:tmpl w:val="B53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C0F12"/>
    <w:multiLevelType w:val="hybridMultilevel"/>
    <w:tmpl w:val="5F2A4F0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0D00C26"/>
    <w:multiLevelType w:val="hybridMultilevel"/>
    <w:tmpl w:val="8C1EC74E"/>
    <w:lvl w:ilvl="0" w:tplc="7D76B6DC">
      <w:start w:val="1"/>
      <w:numFmt w:val="decimal"/>
      <w:lvlText w:val="%1."/>
      <w:lvlJc w:val="left"/>
      <w:pPr>
        <w:tabs>
          <w:tab w:val="num" w:pos="360"/>
        </w:tabs>
        <w:ind w:left="360" w:hanging="360"/>
      </w:pPr>
      <w:rPr>
        <w:i/>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51667303"/>
    <w:multiLevelType w:val="hybridMultilevel"/>
    <w:tmpl w:val="105613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55F2789C"/>
    <w:multiLevelType w:val="hybridMultilevel"/>
    <w:tmpl w:val="7B8AE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0D07A4"/>
    <w:multiLevelType w:val="hybridMultilevel"/>
    <w:tmpl w:val="C680AC92"/>
    <w:lvl w:ilvl="0" w:tplc="FEAE073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21860"/>
    <w:multiLevelType w:val="hybridMultilevel"/>
    <w:tmpl w:val="B2001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F77660"/>
    <w:multiLevelType w:val="hybridMultilevel"/>
    <w:tmpl w:val="75BABE5C"/>
    <w:lvl w:ilvl="0" w:tplc="FFFFFFFF">
      <w:start w:val="1"/>
      <w:numFmt w:val="none"/>
      <w:pStyle w:val="Answer"/>
      <w:lvlText w:val="%1A."/>
      <w:lvlJc w:val="left"/>
      <w:pPr>
        <w:tabs>
          <w:tab w:val="num" w:pos="720"/>
        </w:tabs>
        <w:ind w:left="720" w:hanging="720"/>
      </w:pPr>
      <w:rPr>
        <w:rFonts w:hint="default"/>
        <w:b w:val="0"/>
      </w:rPr>
    </w:lvl>
    <w:lvl w:ilvl="1" w:tplc="FFFFFFFF">
      <w:start w:val="1"/>
      <w:numFmt w:val="bullet"/>
      <w:lvlText w:val=""/>
      <w:lvlJc w:val="left"/>
      <w:pPr>
        <w:tabs>
          <w:tab w:val="num" w:pos="360"/>
        </w:tabs>
        <w:ind w:left="360" w:hanging="360"/>
      </w:pPr>
      <w:rPr>
        <w:rFonts w:ascii="Symbol" w:hAnsi="Symbol" w:hint="default"/>
        <w:b w:val="0"/>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B1552BC"/>
    <w:multiLevelType w:val="hybridMultilevel"/>
    <w:tmpl w:val="B1687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121E1"/>
    <w:multiLevelType w:val="hybridMultilevel"/>
    <w:tmpl w:val="343EB108"/>
    <w:lvl w:ilvl="0" w:tplc="FFFFFFFF">
      <w:start w:val="1"/>
      <w:numFmt w:val="none"/>
      <w:pStyle w:val="Question"/>
      <w:lvlText w:val="%1Q."/>
      <w:lvlJc w:val="left"/>
      <w:pPr>
        <w:tabs>
          <w:tab w:val="num" w:pos="3150"/>
        </w:tabs>
        <w:ind w:left="3150" w:hanging="720"/>
      </w:pPr>
      <w:rPr>
        <w:rFonts w:hint="default"/>
      </w:rPr>
    </w:lvl>
    <w:lvl w:ilvl="1" w:tplc="FFFFFFFF">
      <w:start w:val="1"/>
      <w:numFmt w:val="lowerLetter"/>
      <w:lvlText w:val="%2."/>
      <w:lvlJc w:val="left"/>
      <w:pPr>
        <w:tabs>
          <w:tab w:val="num" w:pos="3870"/>
        </w:tabs>
        <w:ind w:left="3870" w:hanging="360"/>
      </w:pPr>
    </w:lvl>
    <w:lvl w:ilvl="2" w:tplc="FFFFFFFF">
      <w:start w:val="1"/>
      <w:numFmt w:val="bullet"/>
      <w:lvlText w:val="-"/>
      <w:lvlJc w:val="left"/>
      <w:pPr>
        <w:tabs>
          <w:tab w:val="num" w:pos="4770"/>
        </w:tabs>
        <w:ind w:left="4770" w:hanging="360"/>
      </w:pPr>
      <w:rPr>
        <w:rFonts w:ascii="Times New Roman" w:eastAsia="Times New Roman" w:hAnsi="Times New Roman" w:cs="Times New Roman" w:hint="default"/>
      </w:rPr>
    </w:lvl>
    <w:lvl w:ilvl="3" w:tplc="FFFFFFFF">
      <w:start w:val="1"/>
      <w:numFmt w:val="decimal"/>
      <w:lvlText w:val="%4."/>
      <w:lvlJc w:val="left"/>
      <w:pPr>
        <w:tabs>
          <w:tab w:val="num" w:pos="5310"/>
        </w:tabs>
        <w:ind w:left="5310" w:hanging="360"/>
      </w:pPr>
    </w:lvl>
    <w:lvl w:ilvl="4" w:tplc="FFFFFFFF" w:tentative="1">
      <w:start w:val="1"/>
      <w:numFmt w:val="lowerLetter"/>
      <w:lvlText w:val="%5."/>
      <w:lvlJc w:val="left"/>
      <w:pPr>
        <w:tabs>
          <w:tab w:val="num" w:pos="6030"/>
        </w:tabs>
        <w:ind w:left="6030" w:hanging="360"/>
      </w:pPr>
    </w:lvl>
    <w:lvl w:ilvl="5" w:tplc="FFFFFFFF" w:tentative="1">
      <w:start w:val="1"/>
      <w:numFmt w:val="lowerRoman"/>
      <w:lvlText w:val="%6."/>
      <w:lvlJc w:val="right"/>
      <w:pPr>
        <w:tabs>
          <w:tab w:val="num" w:pos="6750"/>
        </w:tabs>
        <w:ind w:left="6750" w:hanging="180"/>
      </w:pPr>
    </w:lvl>
    <w:lvl w:ilvl="6" w:tplc="FFFFFFFF" w:tentative="1">
      <w:start w:val="1"/>
      <w:numFmt w:val="decimal"/>
      <w:lvlText w:val="%7."/>
      <w:lvlJc w:val="left"/>
      <w:pPr>
        <w:tabs>
          <w:tab w:val="num" w:pos="7470"/>
        </w:tabs>
        <w:ind w:left="7470" w:hanging="360"/>
      </w:pPr>
    </w:lvl>
    <w:lvl w:ilvl="7" w:tplc="FFFFFFFF" w:tentative="1">
      <w:start w:val="1"/>
      <w:numFmt w:val="lowerLetter"/>
      <w:lvlText w:val="%8."/>
      <w:lvlJc w:val="left"/>
      <w:pPr>
        <w:tabs>
          <w:tab w:val="num" w:pos="8190"/>
        </w:tabs>
        <w:ind w:left="8190" w:hanging="360"/>
      </w:pPr>
    </w:lvl>
    <w:lvl w:ilvl="8" w:tplc="FFFFFFFF" w:tentative="1">
      <w:start w:val="1"/>
      <w:numFmt w:val="lowerRoman"/>
      <w:lvlText w:val="%9."/>
      <w:lvlJc w:val="right"/>
      <w:pPr>
        <w:tabs>
          <w:tab w:val="num" w:pos="8910"/>
        </w:tabs>
        <w:ind w:left="8910" w:hanging="180"/>
      </w:pPr>
    </w:lvl>
  </w:abstractNum>
  <w:abstractNum w:abstractNumId="23">
    <w:nsid w:val="73EA1CFF"/>
    <w:multiLevelType w:val="hybridMultilevel"/>
    <w:tmpl w:val="3D5A393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48BD70">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1D4A1A"/>
    <w:multiLevelType w:val="hybridMultilevel"/>
    <w:tmpl w:val="9A9CF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E91744"/>
    <w:multiLevelType w:val="hybridMultilevel"/>
    <w:tmpl w:val="FF68EA26"/>
    <w:lvl w:ilvl="0" w:tplc="F448242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5"/>
  </w:num>
  <w:num w:numId="3">
    <w:abstractNumId w:val="25"/>
  </w:num>
  <w:num w:numId="4">
    <w:abstractNumId w:val="3"/>
  </w:num>
  <w:num w:numId="5">
    <w:abstractNumId w:val="23"/>
  </w:num>
  <w:num w:numId="6">
    <w:abstractNumId w:val="4"/>
  </w:num>
  <w:num w:numId="7">
    <w:abstractNumId w:val="14"/>
  </w:num>
  <w:num w:numId="8">
    <w:abstractNumId w:val="12"/>
  </w:num>
  <w:num w:numId="9">
    <w:abstractNumId w:val="20"/>
  </w:num>
  <w:num w:numId="10">
    <w:abstractNumId w:val="22"/>
  </w:num>
  <w:num w:numId="11">
    <w:abstractNumId w:val="0"/>
  </w:num>
  <w:num w:numId="12">
    <w:abstractNumId w:val="9"/>
  </w:num>
  <w:num w:numId="13">
    <w:abstractNumId w:val="8"/>
  </w:num>
  <w:num w:numId="14">
    <w:abstractNumId w:val="2"/>
  </w:num>
  <w:num w:numId="15">
    <w:abstractNumId w:val="7"/>
  </w:num>
  <w:num w:numId="16">
    <w:abstractNumId w:val="11"/>
  </w:num>
  <w:num w:numId="17">
    <w:abstractNumId w:val="1"/>
  </w:num>
  <w:num w:numId="18">
    <w:abstractNumId w:val="6"/>
  </w:num>
  <w:num w:numId="19">
    <w:abstractNumId w:val="5"/>
  </w:num>
  <w:num w:numId="20">
    <w:abstractNumId w:val="21"/>
  </w:num>
  <w:num w:numId="21">
    <w:abstractNumId w:val="24"/>
  </w:num>
  <w:num w:numId="22">
    <w:abstractNumId w:val="16"/>
  </w:num>
  <w:num w:numId="23">
    <w:abstractNumId w:val="17"/>
  </w:num>
  <w:num w:numId="24">
    <w:abstractNumId w:val="13"/>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docVars>
    <w:docVar w:name="85TrailerType" w:val="100"/>
    <w:docVar w:name="MPDocID" w:val="73926956.1 0078349-00017"/>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styleId="Subtitle">
    <w:name w:val="Subtitle"/>
    <w:basedOn w:val="Normal"/>
    <w:link w:val="SubtitleChar"/>
    <w:qFormat/>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yperlink1">
    <w:name w:val="Hyperlink1"/>
    <w:basedOn w:val="DefaultParagraphFont"/>
    <w:uiPriority w:val="99"/>
    <w:unhideWhenUsed/>
    <w:rPr>
      <w:color w:val="0000FF"/>
      <w:u w:val="single"/>
    </w:rPr>
  </w:style>
  <w:style w:type="paragraph" w:styleId="NoSpacing">
    <w:name w:val="No Spacing"/>
    <w:uiPriority w:val="1"/>
    <w:qFormat/>
    <w:pPr>
      <w:spacing w:after="0" w:line="240" w:lineRule="auto"/>
    </w:p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unhideWhenUsed/>
    <w:pPr>
      <w:spacing w:after="200"/>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Hyperlink">
    <w:name w:val="Hyperlink"/>
    <w:basedOn w:val="DefaultParagraphFont"/>
    <w:rPr>
      <w:color w:val="0000FF"/>
      <w:u w:val="single"/>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D8"/>
  </w:style>
  <w:style w:type="paragraph" w:styleId="Footer">
    <w:name w:val="footer"/>
    <w:basedOn w:val="Normal"/>
    <w:link w:val="FooterChar"/>
    <w:uiPriority w:val="99"/>
    <w:unhideWhenUsed/>
    <w:rsid w:val="008C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8"/>
  </w:style>
  <w:style w:type="paragraph" w:styleId="Title">
    <w:name w:val="Title"/>
    <w:basedOn w:val="Normal"/>
    <w:link w:val="TitleChar"/>
    <w:qFormat/>
    <w:rsid w:val="0074643B"/>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4643B"/>
    <w:rPr>
      <w:rFonts w:ascii="Times New Roman" w:eastAsia="Times New Roman" w:hAnsi="Times New Roman" w:cs="Times New Roman"/>
      <w:sz w:val="24"/>
      <w:szCs w:val="20"/>
    </w:rPr>
  </w:style>
  <w:style w:type="paragraph" w:styleId="Subtitle">
    <w:name w:val="Subtitle"/>
    <w:basedOn w:val="Normal"/>
    <w:link w:val="SubtitleChar"/>
    <w:qFormat/>
    <w:rsid w:val="0074643B"/>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74643B"/>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DB2842"/>
    <w:pPr>
      <w:spacing w:after="0" w:line="240" w:lineRule="auto"/>
    </w:pPr>
    <w:rPr>
      <w:sz w:val="20"/>
      <w:szCs w:val="20"/>
    </w:rPr>
  </w:style>
  <w:style w:type="character" w:customStyle="1" w:styleId="FootnoteTextChar">
    <w:name w:val="Footnote Text Char"/>
    <w:basedOn w:val="DefaultParagraphFont"/>
    <w:link w:val="FootnoteText"/>
    <w:uiPriority w:val="99"/>
    <w:rsid w:val="00DB2842"/>
    <w:rPr>
      <w:sz w:val="20"/>
      <w:szCs w:val="20"/>
    </w:rPr>
  </w:style>
  <w:style w:type="character" w:styleId="FootnoteReference">
    <w:name w:val="footnote reference"/>
    <w:basedOn w:val="DefaultParagraphFont"/>
    <w:uiPriority w:val="99"/>
    <w:semiHidden/>
    <w:unhideWhenUsed/>
    <w:rsid w:val="00DB2842"/>
    <w:rPr>
      <w:vertAlign w:val="superscript"/>
    </w:rPr>
  </w:style>
  <w:style w:type="paragraph" w:styleId="ListParagraph">
    <w:name w:val="List Paragraph"/>
    <w:basedOn w:val="Normal"/>
    <w:uiPriority w:val="34"/>
    <w:qFormat/>
    <w:rsid w:val="00DB2842"/>
    <w:pPr>
      <w:ind w:left="720"/>
      <w:contextualSpacing/>
    </w:pPr>
  </w:style>
  <w:style w:type="paragraph" w:styleId="BalloonText">
    <w:name w:val="Balloon Text"/>
    <w:basedOn w:val="Normal"/>
    <w:link w:val="BalloonTextChar"/>
    <w:uiPriority w:val="99"/>
    <w:semiHidden/>
    <w:unhideWhenUsed/>
    <w:rsid w:val="00D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842"/>
    <w:rPr>
      <w:rFonts w:ascii="Tahoma" w:hAnsi="Tahoma" w:cs="Tahoma"/>
      <w:sz w:val="16"/>
      <w:szCs w:val="16"/>
    </w:rPr>
  </w:style>
  <w:style w:type="character" w:customStyle="1" w:styleId="Hyperlink1">
    <w:name w:val="Hyperlink1"/>
    <w:basedOn w:val="DefaultParagraphFont"/>
    <w:uiPriority w:val="99"/>
    <w:unhideWhenUsed/>
    <w:rsid w:val="009C4342"/>
    <w:rPr>
      <w:color w:val="0000FF"/>
      <w:u w:val="single"/>
    </w:rPr>
  </w:style>
  <w:style w:type="paragraph" w:styleId="NoSpacing">
    <w:name w:val="No Spacing"/>
    <w:uiPriority w:val="1"/>
    <w:qFormat/>
    <w:rsid w:val="00FB4411"/>
    <w:pPr>
      <w:spacing w:after="0" w:line="240" w:lineRule="auto"/>
    </w:pPr>
  </w:style>
  <w:style w:type="paragraph" w:styleId="BodyTextIndent">
    <w:name w:val="Body Text Indent"/>
    <w:basedOn w:val="Normal"/>
    <w:link w:val="BodyTextIndentChar"/>
    <w:uiPriority w:val="99"/>
    <w:unhideWhenUsed/>
    <w:rsid w:val="00A93864"/>
    <w:pPr>
      <w:spacing w:after="120"/>
      <w:ind w:left="360"/>
    </w:pPr>
  </w:style>
  <w:style w:type="character" w:customStyle="1" w:styleId="BodyTextIndentChar">
    <w:name w:val="Body Text Indent Char"/>
    <w:basedOn w:val="DefaultParagraphFont"/>
    <w:link w:val="BodyTextIndent"/>
    <w:uiPriority w:val="99"/>
    <w:rsid w:val="00A93864"/>
  </w:style>
  <w:style w:type="paragraph" w:styleId="BodyTextFirstIndent2">
    <w:name w:val="Body Text First Indent 2"/>
    <w:basedOn w:val="BodyTextIndent"/>
    <w:link w:val="BodyTextFirstIndent2Char"/>
    <w:uiPriority w:val="99"/>
    <w:unhideWhenUsed/>
    <w:rsid w:val="00A93864"/>
    <w:pPr>
      <w:spacing w:after="200"/>
      <w:ind w:firstLine="360"/>
    </w:pPr>
  </w:style>
  <w:style w:type="character" w:customStyle="1" w:styleId="BodyTextFirstIndent2Char">
    <w:name w:val="Body Text First Indent 2 Char"/>
    <w:basedOn w:val="BodyTextIndentChar"/>
    <w:link w:val="BodyTextFirstIndent2"/>
    <w:uiPriority w:val="99"/>
    <w:rsid w:val="00A93864"/>
  </w:style>
  <w:style w:type="paragraph" w:styleId="BodyText">
    <w:name w:val="Body Text"/>
    <w:basedOn w:val="Normal"/>
    <w:link w:val="BodyTextChar"/>
    <w:uiPriority w:val="99"/>
    <w:semiHidden/>
    <w:unhideWhenUsed/>
    <w:rsid w:val="00365830"/>
    <w:pPr>
      <w:spacing w:after="120"/>
    </w:pPr>
  </w:style>
  <w:style w:type="character" w:customStyle="1" w:styleId="BodyTextChar">
    <w:name w:val="Body Text Char"/>
    <w:basedOn w:val="DefaultParagraphFont"/>
    <w:link w:val="BodyText"/>
    <w:uiPriority w:val="99"/>
    <w:semiHidden/>
    <w:rsid w:val="00365830"/>
  </w:style>
  <w:style w:type="character" w:styleId="Hyperlink">
    <w:name w:val="Hyperlink"/>
    <w:basedOn w:val="DefaultParagraphFont"/>
    <w:rsid w:val="005532A6"/>
    <w:rPr>
      <w:color w:val="0000FF"/>
      <w:u w:val="single"/>
    </w:rPr>
  </w:style>
  <w:style w:type="paragraph" w:styleId="BodyTextIndent3">
    <w:name w:val="Body Text Indent 3"/>
    <w:basedOn w:val="Normal"/>
    <w:link w:val="BodyTextIndent3Char"/>
    <w:uiPriority w:val="99"/>
    <w:semiHidden/>
    <w:unhideWhenUsed/>
    <w:rsid w:val="005532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2A6"/>
    <w:rPr>
      <w:sz w:val="16"/>
      <w:szCs w:val="16"/>
    </w:rPr>
  </w:style>
  <w:style w:type="paragraph" w:styleId="BodyText2">
    <w:name w:val="Body Text 2"/>
    <w:basedOn w:val="Normal"/>
    <w:link w:val="BodyText2Char"/>
    <w:uiPriority w:val="99"/>
    <w:semiHidden/>
    <w:unhideWhenUsed/>
    <w:rsid w:val="005532A6"/>
    <w:pPr>
      <w:spacing w:after="120" w:line="480" w:lineRule="auto"/>
    </w:pPr>
  </w:style>
  <w:style w:type="character" w:customStyle="1" w:styleId="BodyText2Char">
    <w:name w:val="Body Text 2 Char"/>
    <w:basedOn w:val="DefaultParagraphFont"/>
    <w:link w:val="BodyText2"/>
    <w:uiPriority w:val="99"/>
    <w:semiHidden/>
    <w:rsid w:val="005532A6"/>
  </w:style>
  <w:style w:type="table" w:styleId="TableGrid">
    <w:name w:val="Table Grid"/>
    <w:basedOn w:val="TableNormal"/>
    <w:rsid w:val="00CE2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9C4DC9"/>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rsid w:val="009C4DC9"/>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sid w:val="009C4DC9"/>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rsid w:val="00EA37E2"/>
  </w:style>
  <w:style w:type="character" w:styleId="CommentReference">
    <w:name w:val="annotation reference"/>
    <w:basedOn w:val="DefaultParagraphFont"/>
    <w:uiPriority w:val="99"/>
    <w:semiHidden/>
    <w:unhideWhenUsed/>
    <w:rsid w:val="00513895"/>
    <w:rPr>
      <w:sz w:val="16"/>
      <w:szCs w:val="16"/>
    </w:rPr>
  </w:style>
  <w:style w:type="paragraph" w:styleId="CommentText">
    <w:name w:val="annotation text"/>
    <w:basedOn w:val="Normal"/>
    <w:link w:val="CommentTextChar"/>
    <w:uiPriority w:val="99"/>
    <w:semiHidden/>
    <w:unhideWhenUsed/>
    <w:rsid w:val="00513895"/>
    <w:pPr>
      <w:spacing w:line="240" w:lineRule="auto"/>
    </w:pPr>
    <w:rPr>
      <w:sz w:val="20"/>
      <w:szCs w:val="20"/>
    </w:rPr>
  </w:style>
  <w:style w:type="character" w:customStyle="1" w:styleId="CommentTextChar">
    <w:name w:val="Comment Text Char"/>
    <w:basedOn w:val="DefaultParagraphFont"/>
    <w:link w:val="CommentText"/>
    <w:uiPriority w:val="99"/>
    <w:semiHidden/>
    <w:rsid w:val="00513895"/>
    <w:rPr>
      <w:sz w:val="20"/>
      <w:szCs w:val="20"/>
    </w:rPr>
  </w:style>
  <w:style w:type="paragraph" w:styleId="CommentSubject">
    <w:name w:val="annotation subject"/>
    <w:basedOn w:val="CommentText"/>
    <w:next w:val="CommentText"/>
    <w:link w:val="CommentSubjectChar"/>
    <w:uiPriority w:val="99"/>
    <w:semiHidden/>
    <w:unhideWhenUsed/>
    <w:rsid w:val="00513895"/>
    <w:rPr>
      <w:b/>
      <w:bCs/>
    </w:rPr>
  </w:style>
  <w:style w:type="character" w:customStyle="1" w:styleId="CommentSubjectChar">
    <w:name w:val="Comment Subject Char"/>
    <w:basedOn w:val="CommentTextChar"/>
    <w:link w:val="CommentSubject"/>
    <w:uiPriority w:val="99"/>
    <w:semiHidden/>
    <w:rsid w:val="00513895"/>
    <w:rPr>
      <w:b/>
      <w:bCs/>
      <w:sz w:val="20"/>
      <w:szCs w:val="20"/>
    </w:rPr>
  </w:style>
  <w:style w:type="paragraph" w:styleId="EndnoteText">
    <w:name w:val="endnote text"/>
    <w:basedOn w:val="Normal"/>
    <w:link w:val="EndnoteTextChar"/>
    <w:uiPriority w:val="99"/>
    <w:semiHidden/>
    <w:unhideWhenUsed/>
    <w:rsid w:val="00C42D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2DAC"/>
    <w:rPr>
      <w:sz w:val="20"/>
      <w:szCs w:val="20"/>
    </w:rPr>
  </w:style>
  <w:style w:type="character" w:styleId="EndnoteReference">
    <w:name w:val="endnote reference"/>
    <w:basedOn w:val="DefaultParagraphFont"/>
    <w:uiPriority w:val="99"/>
    <w:semiHidden/>
    <w:unhideWhenUsed/>
    <w:rsid w:val="00C42DAC"/>
    <w:rPr>
      <w:vertAlign w:val="superscript"/>
    </w:rPr>
  </w:style>
</w:styles>
</file>

<file path=word/webSettings.xml><?xml version="1.0" encoding="utf-8"?>
<w:webSettings xmlns:r="http://schemas.openxmlformats.org/officeDocument/2006/relationships" xmlns:w="http://schemas.openxmlformats.org/wordprocessingml/2006/main">
  <w:divs>
    <w:div w:id="54663499">
      <w:bodyDiv w:val="1"/>
      <w:marLeft w:val="0"/>
      <w:marRight w:val="0"/>
      <w:marTop w:val="0"/>
      <w:marBottom w:val="0"/>
      <w:divBdr>
        <w:top w:val="none" w:sz="0" w:space="0" w:color="auto"/>
        <w:left w:val="none" w:sz="0" w:space="0" w:color="auto"/>
        <w:bottom w:val="none" w:sz="0" w:space="0" w:color="auto"/>
        <w:right w:val="none" w:sz="0" w:space="0" w:color="auto"/>
      </w:divBdr>
    </w:div>
    <w:div w:id="7530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2012-12-21T08:00:00+00:00</OpenedDate>
    <Date1 xmlns="dc463f71-b30c-4ab2-9473-d307f9d35888">2013-05-23T07:00:00+00:00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E3D9D-A4A0-42DA-A7A0-87D212306527}"/>
</file>

<file path=customXml/itemProps2.xml><?xml version="1.0" encoding="utf-8"?>
<ds:datastoreItem xmlns:ds="http://schemas.openxmlformats.org/officeDocument/2006/customXml" ds:itemID="{F8F169DF-3444-42DF-9359-C9E1AC8EC980}"/>
</file>

<file path=customXml/itemProps3.xml><?xml version="1.0" encoding="utf-8"?>
<ds:datastoreItem xmlns:ds="http://schemas.openxmlformats.org/officeDocument/2006/customXml" ds:itemID="{87B52361-1723-4711-8207-E35BC547B9D4}"/>
</file>

<file path=customXml/itemProps4.xml><?xml version="1.0" encoding="utf-8"?>
<ds:datastoreItem xmlns:ds="http://schemas.openxmlformats.org/officeDocument/2006/customXml" ds:itemID="{91689B82-9244-48E8-BEA9-92ED31BD169D}"/>
</file>

<file path=docProps/app.xml><?xml version="1.0" encoding="utf-8"?>
<Properties xmlns="http://schemas.openxmlformats.org/officeDocument/2006/extended-properties" xmlns:vt="http://schemas.openxmlformats.org/officeDocument/2006/docPropsVTypes">
  <Template>Normal.dotm</Template>
  <TotalTime>0</TotalTime>
  <Pages>3</Pages>
  <Words>3594</Words>
  <Characters>20418</Characters>
  <Application>Microsoft Office Word</Application>
  <DocSecurity>0</DocSecurity>
  <Lines>391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2013-02-28T19:52:00Z</cp:lastPrinted>
  <dcterms:created xsi:type="dcterms:W3CDTF">2013-05-23T22:22:00Z</dcterms:created>
  <dcterms:modified xsi:type="dcterms:W3CDTF">2013-05-23T22:22:00Z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