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46" w:rsidRPr="00D261C9" w:rsidRDefault="00DB2248" w:rsidP="00676046">
      <w:pPr>
        <w:pStyle w:val="Header"/>
        <w:tabs>
          <w:tab w:val="clear" w:pos="4320"/>
          <w:tab w:val="clear" w:pos="8640"/>
        </w:tabs>
        <w:jc w:val="center"/>
        <w:rPr>
          <w:rFonts w:ascii="Times New Roman" w:hAnsi="Times New Roman"/>
          <w:sz w:val="24"/>
        </w:rPr>
      </w:pPr>
      <w:r w:rsidRPr="00D261C9">
        <w:rPr>
          <w:rFonts w:ascii="Times New Roman" w:hAnsi="Times New Roman"/>
          <w:sz w:val="24"/>
        </w:rPr>
        <w:t>BEFORE THE WASHINGTON UTILITIES AND TRANSPORTATION COMMISSION</w:t>
      </w:r>
    </w:p>
    <w:p w:rsidR="00676046" w:rsidRPr="007D5EB2" w:rsidRDefault="001E154F" w:rsidP="00676046">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480698" w:rsidTr="008F2228">
        <w:tc>
          <w:tcPr>
            <w:tcW w:w="4410" w:type="dxa"/>
            <w:tcBorders>
              <w:top w:val="single" w:sz="6" w:space="0" w:color="FFFFFF"/>
              <w:left w:val="single" w:sz="6" w:space="0" w:color="FFFFFF"/>
              <w:bottom w:val="single" w:sz="7" w:space="0" w:color="000000"/>
              <w:right w:val="single" w:sz="6" w:space="0" w:color="FFFFFF"/>
            </w:tcBorders>
          </w:tcPr>
          <w:p w:rsidR="00AE76C1" w:rsidRDefault="00AE76C1" w:rsidP="00AE76C1">
            <w:pPr>
              <w:spacing w:line="240" w:lineRule="atLeast"/>
              <w:rPr>
                <w:rFonts w:ascii="Times New Roman" w:hAnsi="Times New Roman" w:cs="Times New Roman"/>
                <w:sz w:val="24"/>
                <w:szCs w:val="24"/>
              </w:rPr>
            </w:pPr>
            <w:r>
              <w:rPr>
                <w:rFonts w:ascii="Times New Roman" w:hAnsi="Times New Roman" w:cs="Times New Roman"/>
                <w:sz w:val="24"/>
                <w:szCs w:val="24"/>
              </w:rPr>
              <w:t>SHUTTLE EXPRESS, INC.,</w:t>
            </w:r>
          </w:p>
          <w:p w:rsidR="00AE76C1" w:rsidRPr="00D261C9" w:rsidRDefault="00AE76C1" w:rsidP="00AE76C1">
            <w:pPr>
              <w:spacing w:line="240" w:lineRule="atLeast"/>
              <w:rPr>
                <w:rFonts w:ascii="Times New Roman" w:hAnsi="Times New Roman" w:cs="Times New Roman"/>
                <w:sz w:val="20"/>
                <w:szCs w:val="24"/>
              </w:rPr>
            </w:pPr>
          </w:p>
          <w:p w:rsidR="00AE76C1" w:rsidRDefault="00AE76C1" w:rsidP="00AE76C1">
            <w:pPr>
              <w:spacing w:line="240" w:lineRule="atLeast"/>
              <w:ind w:left="1496"/>
              <w:rPr>
                <w:rFonts w:ascii="Times New Roman" w:hAnsi="Times New Roman" w:cs="Times New Roman"/>
                <w:szCs w:val="24"/>
              </w:rPr>
            </w:pPr>
            <w:r w:rsidRPr="002803BA">
              <w:rPr>
                <w:rFonts w:ascii="Times New Roman" w:hAnsi="Times New Roman" w:cs="Times New Roman"/>
                <w:szCs w:val="24"/>
              </w:rPr>
              <w:t>Petitioner and Complainant,</w:t>
            </w:r>
          </w:p>
          <w:p w:rsidR="00AE76C1" w:rsidRDefault="00AE76C1" w:rsidP="00AE76C1">
            <w:pPr>
              <w:spacing w:line="240" w:lineRule="atLeast"/>
              <w:ind w:left="1496"/>
              <w:rPr>
                <w:rFonts w:ascii="Times New Roman" w:hAnsi="Times New Roman" w:cs="Times New Roman"/>
                <w:szCs w:val="24"/>
              </w:rPr>
            </w:pPr>
          </w:p>
          <w:p w:rsidR="00AE76C1" w:rsidRDefault="00AE76C1" w:rsidP="00AE76C1">
            <w:pPr>
              <w:spacing w:line="240" w:lineRule="atLeast"/>
              <w:ind w:left="686"/>
              <w:rPr>
                <w:rFonts w:ascii="Times New Roman" w:hAnsi="Times New Roman" w:cs="Times New Roman"/>
                <w:szCs w:val="24"/>
              </w:rPr>
            </w:pPr>
            <w:proofErr w:type="gramStart"/>
            <w:r>
              <w:rPr>
                <w:rFonts w:ascii="Times New Roman" w:hAnsi="Times New Roman" w:cs="Times New Roman"/>
                <w:szCs w:val="24"/>
              </w:rPr>
              <w:t>v</w:t>
            </w:r>
            <w:proofErr w:type="gramEnd"/>
            <w:r>
              <w:rPr>
                <w:rFonts w:ascii="Times New Roman" w:hAnsi="Times New Roman" w:cs="Times New Roman"/>
                <w:szCs w:val="24"/>
              </w:rPr>
              <w:t>.</w:t>
            </w:r>
          </w:p>
          <w:p w:rsidR="00AE76C1" w:rsidRDefault="00AE76C1" w:rsidP="00AE76C1">
            <w:pPr>
              <w:spacing w:line="240" w:lineRule="atLeast"/>
              <w:ind w:left="686"/>
              <w:rPr>
                <w:rFonts w:ascii="Times New Roman" w:hAnsi="Times New Roman" w:cs="Times New Roman"/>
                <w:szCs w:val="24"/>
              </w:rPr>
            </w:pPr>
          </w:p>
          <w:p w:rsidR="00AE76C1" w:rsidRDefault="00AE76C1" w:rsidP="00AE76C1">
            <w:pPr>
              <w:spacing w:line="240" w:lineRule="atLeast"/>
              <w:ind w:left="56"/>
              <w:rPr>
                <w:rFonts w:ascii="Times New Roman" w:hAnsi="Times New Roman" w:cs="Times New Roman"/>
                <w:szCs w:val="24"/>
              </w:rPr>
            </w:pPr>
            <w:r w:rsidRPr="00D261C9">
              <w:rPr>
                <w:rFonts w:ascii="Times New Roman" w:hAnsi="Times New Roman" w:cs="Times New Roman"/>
                <w:sz w:val="24"/>
                <w:szCs w:val="24"/>
              </w:rPr>
              <w:t>SPEEDISHUTTLE WASHINGTON, LLC</w:t>
            </w:r>
            <w:r>
              <w:rPr>
                <w:rFonts w:ascii="Times New Roman" w:hAnsi="Times New Roman" w:cs="Times New Roman"/>
                <w:szCs w:val="24"/>
              </w:rPr>
              <w:t>,</w:t>
            </w:r>
          </w:p>
          <w:p w:rsidR="00AE76C1" w:rsidRPr="00D261C9" w:rsidRDefault="00AE76C1" w:rsidP="00AE76C1">
            <w:pPr>
              <w:spacing w:line="240" w:lineRule="atLeast"/>
              <w:ind w:left="56"/>
              <w:rPr>
                <w:rFonts w:ascii="Times New Roman" w:hAnsi="Times New Roman" w:cs="Times New Roman"/>
                <w:sz w:val="20"/>
                <w:szCs w:val="24"/>
              </w:rPr>
            </w:pPr>
          </w:p>
          <w:p w:rsidR="00676046" w:rsidRPr="003E3A33" w:rsidRDefault="00AE76C1" w:rsidP="00AE76C1">
            <w:pPr>
              <w:spacing w:line="240" w:lineRule="atLeast"/>
              <w:rPr>
                <w:rFonts w:ascii="Times New Roman" w:hAnsi="Times New Roman" w:cs="Times New Roman"/>
                <w:sz w:val="24"/>
                <w:szCs w:val="24"/>
              </w:rPr>
            </w:pPr>
            <w:r>
              <w:rPr>
                <w:rFonts w:ascii="Times New Roman" w:hAnsi="Times New Roman" w:cs="Times New Roman"/>
                <w:szCs w:val="24"/>
              </w:rPr>
              <w:t>Respondent.</w:t>
            </w:r>
          </w:p>
        </w:tc>
        <w:tc>
          <w:tcPr>
            <w:tcW w:w="4770" w:type="dxa"/>
            <w:tcBorders>
              <w:top w:val="single" w:sz="6" w:space="0" w:color="FFFFFF"/>
              <w:left w:val="single" w:sz="7" w:space="0" w:color="000000"/>
              <w:bottom w:val="single" w:sz="6" w:space="0" w:color="FFFFFF"/>
              <w:right w:val="single" w:sz="6" w:space="0" w:color="FFFFFF"/>
            </w:tcBorders>
          </w:tcPr>
          <w:p w:rsidR="00676046" w:rsidRPr="004554F5" w:rsidRDefault="00DB2248" w:rsidP="008F2228">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sidR="00573A46">
              <w:rPr>
                <w:rFonts w:ascii="Times New Roman" w:hAnsi="Times New Roman" w:cs="Times New Roman"/>
                <w:sz w:val="24"/>
                <w:szCs w:val="24"/>
              </w:rPr>
              <w:t>143691, TC</w:t>
            </w:r>
            <w:r w:rsidR="00C809DF">
              <w:rPr>
                <w:rFonts w:ascii="Times New Roman" w:hAnsi="Times New Roman" w:cs="Times New Roman"/>
                <w:sz w:val="24"/>
                <w:szCs w:val="24"/>
              </w:rPr>
              <w:t>-</w:t>
            </w:r>
            <w:r w:rsidR="00573A46">
              <w:rPr>
                <w:rFonts w:ascii="Times New Roman" w:hAnsi="Times New Roman" w:cs="Times New Roman"/>
                <w:sz w:val="24"/>
                <w:szCs w:val="24"/>
              </w:rPr>
              <w:t>160516</w:t>
            </w:r>
          </w:p>
          <w:p w:rsidR="00676046" w:rsidRPr="004554F5" w:rsidRDefault="001E154F" w:rsidP="008F2228">
            <w:pPr>
              <w:rPr>
                <w:rFonts w:ascii="Times New Roman" w:hAnsi="Times New Roman" w:cs="Times New Roman"/>
                <w:sz w:val="24"/>
                <w:szCs w:val="24"/>
              </w:rPr>
            </w:pPr>
          </w:p>
          <w:p w:rsidR="00676046" w:rsidRPr="004554F5" w:rsidRDefault="003E2B8D" w:rsidP="008F2228">
            <w:pPr>
              <w:rPr>
                <w:rFonts w:ascii="Times New Roman" w:hAnsi="Times New Roman" w:cs="Times New Roman"/>
                <w:sz w:val="24"/>
                <w:szCs w:val="24"/>
              </w:rPr>
            </w:pPr>
            <w:r>
              <w:rPr>
                <w:rFonts w:ascii="Times New Roman" w:hAnsi="Times New Roman" w:cs="Times New Roman"/>
                <w:sz w:val="24"/>
                <w:szCs w:val="24"/>
              </w:rPr>
              <w:t xml:space="preserve">SPEEDISHUTTLE’S </w:t>
            </w:r>
            <w:r w:rsidR="00654B9D">
              <w:rPr>
                <w:rFonts w:ascii="Times New Roman" w:hAnsi="Times New Roman" w:cs="Times New Roman"/>
                <w:sz w:val="24"/>
                <w:szCs w:val="24"/>
              </w:rPr>
              <w:t>RESPONSE TO SHUTTLE EXPRESS’ MOTION TO STRIKE</w:t>
            </w:r>
          </w:p>
          <w:p w:rsidR="00676046" w:rsidRDefault="001E154F" w:rsidP="008F2228"/>
        </w:tc>
      </w:tr>
    </w:tbl>
    <w:p w:rsidR="00AE76C1" w:rsidRDefault="00AE76C1" w:rsidP="00AE76C1">
      <w:pPr>
        <w:pStyle w:val="Heading1"/>
        <w:numPr>
          <w:ilvl w:val="0"/>
          <w:numId w:val="0"/>
        </w:numPr>
      </w:pPr>
    </w:p>
    <w:p w:rsidR="00AE76C1" w:rsidRDefault="00AE76C1" w:rsidP="00AE76C1">
      <w:pPr>
        <w:pStyle w:val="Heading1"/>
      </w:pPr>
      <w:r>
        <w:t>preliminary statement</w:t>
      </w:r>
    </w:p>
    <w:p w:rsidR="00AE76C1" w:rsidRDefault="00AE76C1" w:rsidP="00573A46"/>
    <w:p w:rsidR="00AE76C1" w:rsidRDefault="00AE76C1" w:rsidP="00AE76C1">
      <w:pPr>
        <w:pStyle w:val="ListParagraph"/>
        <w:numPr>
          <w:ilvl w:val="0"/>
          <w:numId w:val="16"/>
        </w:numPr>
        <w:spacing w:line="480" w:lineRule="auto"/>
        <w:ind w:left="0" w:hanging="720"/>
      </w:pPr>
      <w:r>
        <w:tab/>
      </w:r>
      <w:r w:rsidR="00573A46">
        <w:t>Speedishuttle Washington, LLC dba Speedishuttle Washington (“Speedishuttle” or “Respondent”), files the below in response to Shuttle Express</w:t>
      </w:r>
      <w:r w:rsidR="0022316A">
        <w:t xml:space="preserve"> Inc.</w:t>
      </w:r>
      <w:r w:rsidR="00573A46">
        <w:t>’</w:t>
      </w:r>
      <w:r w:rsidR="0022316A">
        <w:t>s (“Shuttle Express”)</w:t>
      </w:r>
      <w:r w:rsidR="00573A46">
        <w:t xml:space="preserve"> June 14, 2016 Motion to Strike Answers to Petition an</w:t>
      </w:r>
      <w:r w:rsidR="0022316A">
        <w:t>d Complaint of Shuttle Express.</w:t>
      </w:r>
    </w:p>
    <w:p w:rsidR="00573A46" w:rsidRDefault="00573A46" w:rsidP="00AE76C1">
      <w:pPr>
        <w:pStyle w:val="ListParagraph"/>
        <w:numPr>
          <w:ilvl w:val="0"/>
          <w:numId w:val="16"/>
        </w:numPr>
        <w:spacing w:line="480" w:lineRule="auto"/>
        <w:ind w:left="0" w:hanging="720"/>
      </w:pPr>
      <w:r>
        <w:tab/>
        <w:t>On June 7, 2016</w:t>
      </w:r>
      <w:r w:rsidR="00E60538">
        <w:t>,</w:t>
      </w:r>
      <w:r>
        <w:t xml:space="preserve"> Speedishuttle filed a 28-page answer to Shuttle Express’ Petition to Rehear Application Docket TC-143691 and</w:t>
      </w:r>
      <w:r w:rsidR="004E1A38">
        <w:t>,</w:t>
      </w:r>
      <w:r>
        <w:t xml:space="preserve"> on the same date</w:t>
      </w:r>
      <w:r w:rsidR="004E1A38">
        <w:t>,</w:t>
      </w:r>
      <w:r>
        <w:t xml:space="preserve"> Speedishuttle </w:t>
      </w:r>
      <w:r w:rsidR="00E60538">
        <w:t>filed a separate approximate six</w:t>
      </w:r>
      <w:r>
        <w:t xml:space="preserve">-page Answer to Shuttle Express’ </w:t>
      </w:r>
      <w:r w:rsidR="00690D53">
        <w:t>Comp</w:t>
      </w:r>
      <w:r w:rsidR="00940B4D">
        <w:t>l</w:t>
      </w:r>
      <w:r w:rsidR="00690D53">
        <w:t>aint.</w:t>
      </w:r>
      <w:r>
        <w:t xml:space="preserve">  A week later, Shuttle Express filed the subject Motion to which this Response is directed seeking to strike Speedishuttle’s Answer</w:t>
      </w:r>
      <w:r w:rsidR="00E60538">
        <w:t>s</w:t>
      </w:r>
      <w:r>
        <w:t xml:space="preserve"> claiming they were not appro</w:t>
      </w:r>
      <w:r w:rsidR="003E2B8D">
        <w:t>priately responsive or otherwise</w:t>
      </w:r>
      <w:r w:rsidR="00E60538">
        <w:t xml:space="preserve"> in compliance with Commission p</w:t>
      </w:r>
      <w:r w:rsidR="003E2B8D">
        <w:t xml:space="preserve">rocedural </w:t>
      </w:r>
      <w:r w:rsidR="00E60538">
        <w:t>r</w:t>
      </w:r>
      <w:r w:rsidR="003E2B8D">
        <w:t xml:space="preserve">ules </w:t>
      </w:r>
      <w:r w:rsidR="00E60538">
        <w:t xml:space="preserve">in suggesting </w:t>
      </w:r>
      <w:r w:rsidR="003E2B8D">
        <w:t xml:space="preserve">the Answer to the Petition to Rehear did not provide the necessary particularity in response </w:t>
      </w:r>
      <w:r w:rsidR="00E60538">
        <w:t xml:space="preserve">as </w:t>
      </w:r>
      <w:r w:rsidR="003E2B8D">
        <w:t xml:space="preserve">required by rule. </w:t>
      </w:r>
    </w:p>
    <w:p w:rsidR="00AE76C1" w:rsidRDefault="00AE76C1" w:rsidP="003E2B8D">
      <w:pPr>
        <w:pStyle w:val="Heading1"/>
      </w:pPr>
      <w:r w:rsidRPr="002803BA">
        <w:tab/>
      </w:r>
      <w:r w:rsidR="003E2B8D">
        <w:t>argument in opposition to motion to strike</w:t>
      </w:r>
    </w:p>
    <w:p w:rsidR="005B29E0" w:rsidRPr="00AE76C1" w:rsidRDefault="005B29E0" w:rsidP="005B29E0">
      <w:pPr>
        <w:pStyle w:val="Heading2"/>
      </w:pPr>
      <w:r>
        <w:t>Shuttle Express Created Any Interpretative Problem Here.</w:t>
      </w:r>
    </w:p>
    <w:p w:rsidR="00940B4D" w:rsidRDefault="003E2B8D" w:rsidP="003E2B8D">
      <w:pPr>
        <w:pStyle w:val="ListParagraph"/>
        <w:numPr>
          <w:ilvl w:val="0"/>
          <w:numId w:val="16"/>
        </w:numPr>
        <w:spacing w:line="480" w:lineRule="auto"/>
        <w:ind w:left="0" w:hanging="720"/>
      </w:pPr>
      <w:r>
        <w:tab/>
        <w:t xml:space="preserve">Once again, Shuttle Express, Inc. (“Shuttle Express” or “Complainant”), has </w:t>
      </w:r>
      <w:r w:rsidR="00690D53">
        <w:t xml:space="preserve">itself </w:t>
      </w:r>
      <w:r>
        <w:t xml:space="preserve">ironically precipitated </w:t>
      </w:r>
      <w:r w:rsidR="00E60538">
        <w:t xml:space="preserve">a </w:t>
      </w:r>
      <w:r>
        <w:t>procedural issue it now claims to be so material as to ask the Commission to strike the l</w:t>
      </w:r>
      <w:r w:rsidR="00BD49FB">
        <w:t xml:space="preserve">engthy Responses filed to date in this matter.  In reviewing the Answer </w:t>
      </w:r>
      <w:r w:rsidR="00BD49FB">
        <w:lastRenderedPageBreak/>
        <w:t xml:space="preserve">to the Petition for Rehearing and the more specific Response to what was perceived to be the </w:t>
      </w:r>
      <w:r w:rsidR="00690D53">
        <w:t>“</w:t>
      </w:r>
      <w:r w:rsidR="00BD49FB">
        <w:t>Complaint</w:t>
      </w:r>
      <w:r w:rsidR="00690D53">
        <w:t>”</w:t>
      </w:r>
      <w:r w:rsidR="00BD49FB">
        <w:t xml:space="preserve"> section of Shuttle Express’ subjoined pleading</w:t>
      </w:r>
      <w:r w:rsidR="00E60538">
        <w:t>,</w:t>
      </w:r>
      <w:r w:rsidR="00BD49FB">
        <w:t xml:space="preserve"> it is clear that the amalgamation of the Complaint and the Petition for Rehearing </w:t>
      </w:r>
      <w:r w:rsidR="00DF7DAD">
        <w:t xml:space="preserve">by Shuttle Express </w:t>
      </w:r>
      <w:r w:rsidR="00E276EB">
        <w:t>has</w:t>
      </w:r>
      <w:r w:rsidR="00E60538">
        <w:t xml:space="preserve"> actually</w:t>
      </w:r>
      <w:r w:rsidR="00BD49FB">
        <w:t xml:space="preserve"> caused </w:t>
      </w:r>
      <w:r w:rsidR="00E60538">
        <w:t xml:space="preserve"> whatever </w:t>
      </w:r>
      <w:r w:rsidR="00DF7DAD">
        <w:t>uncertainty</w:t>
      </w:r>
      <w:r w:rsidR="00E60538">
        <w:t xml:space="preserve"> or lack of clarity about which Shuttle Express now complains.  </w:t>
      </w:r>
    </w:p>
    <w:p w:rsidR="00AE76C1" w:rsidRDefault="00940B4D" w:rsidP="003E2B8D">
      <w:pPr>
        <w:pStyle w:val="ListParagraph"/>
        <w:numPr>
          <w:ilvl w:val="0"/>
          <w:numId w:val="16"/>
        </w:numPr>
        <w:spacing w:line="480" w:lineRule="auto"/>
        <w:ind w:left="0" w:hanging="720"/>
      </w:pPr>
      <w:r>
        <w:tab/>
      </w:r>
      <w:r w:rsidR="00E60538">
        <w:t xml:space="preserve">In filing its Response to the Petition to </w:t>
      </w:r>
      <w:proofErr w:type="gramStart"/>
      <w:r w:rsidR="00E60538">
        <w:t>Rehear</w:t>
      </w:r>
      <w:proofErr w:type="gramEnd"/>
      <w:r w:rsidR="000F7F48">
        <w:t>,</w:t>
      </w:r>
      <w:r w:rsidR="004E1A38">
        <w:t xml:space="preserve"> the S</w:t>
      </w:r>
      <w:r w:rsidR="00E60538">
        <w:t>taff also noted its disapproval of the Complaint bei</w:t>
      </w:r>
      <w:r w:rsidR="00DF7DAD">
        <w:t xml:space="preserve">ng </w:t>
      </w:r>
      <w:r>
        <w:t>embedded within the Petition for</w:t>
      </w:r>
      <w:r w:rsidR="00DF7DAD">
        <w:t xml:space="preserve"> Rehearing.</w:t>
      </w:r>
    </w:p>
    <w:p w:rsidR="00E60538" w:rsidRDefault="00E60538" w:rsidP="00E60538">
      <w:pPr>
        <w:pStyle w:val="Quote"/>
      </w:pPr>
      <w:r>
        <w:t xml:space="preserve">Staff wishes to express that it disapproves of Shuttle Express’s decision to combine and </w:t>
      </w:r>
      <w:r>
        <w:rPr>
          <w:i/>
        </w:rPr>
        <w:t>enmesh</w:t>
      </w:r>
      <w:r>
        <w:t xml:space="preserve"> these pleadings.  In preparing this Response, Staff was confused as to which allegations and requests for relief applied to the former and which applied to the latter.</w:t>
      </w:r>
      <w:r w:rsidR="00363621">
        <w:rPr>
          <w:rStyle w:val="FootnoteReference"/>
        </w:rPr>
        <w:footnoteReference w:id="1"/>
      </w:r>
    </w:p>
    <w:p w:rsidR="00363621" w:rsidRDefault="00DF7DAD" w:rsidP="00363621">
      <w:pPr>
        <w:pStyle w:val="ListParagraph"/>
        <w:spacing w:line="480" w:lineRule="auto"/>
      </w:pPr>
      <w:r>
        <w:t xml:space="preserve">On June 7, </w:t>
      </w:r>
      <w:r w:rsidR="00363621">
        <w:t xml:space="preserve">Speedishuttle </w:t>
      </w:r>
      <w:r>
        <w:t>similarly</w:t>
      </w:r>
      <w:r w:rsidR="00363621">
        <w:t xml:space="preserve"> </w:t>
      </w:r>
      <w:r w:rsidR="00E276EB">
        <w:t xml:space="preserve">voiced </w:t>
      </w:r>
      <w:r w:rsidR="00363621">
        <w:t>its concern with formatting of the Complaint:</w:t>
      </w:r>
    </w:p>
    <w:p w:rsidR="00363621" w:rsidRPr="00363621" w:rsidRDefault="00363621" w:rsidP="00363621">
      <w:pPr>
        <w:pStyle w:val="Quote"/>
      </w:pPr>
      <w:r>
        <w:t>The original joinder of the Petition for Rehearing with the Complaint has unnecessarily complicated and rendered procedurally awkward, responsive pleadings and this Motion.  The Respondent apologizes to the Commission for any lack of clarity in the “intertwined” nature of the contentions in this Motion as a result, but it believes the format was dictated by the joinder and inter-dependency of those pleadings and their allegations by the Petitioner/ Complainant.</w:t>
      </w:r>
      <w:r w:rsidR="00960FEF">
        <w:rPr>
          <w:rStyle w:val="FootnoteReference"/>
        </w:rPr>
        <w:footnoteReference w:id="2"/>
      </w:r>
    </w:p>
    <w:p w:rsidR="00E60538" w:rsidRDefault="00E60538" w:rsidP="00E60538">
      <w:pPr>
        <w:pStyle w:val="ListParagraph"/>
        <w:numPr>
          <w:ilvl w:val="0"/>
          <w:numId w:val="16"/>
        </w:numPr>
        <w:spacing w:line="480" w:lineRule="auto"/>
        <w:ind w:left="0" w:hanging="720"/>
      </w:pPr>
      <w:r>
        <w:tab/>
        <w:t xml:space="preserve">Any difficulties the Complainant is </w:t>
      </w:r>
      <w:r w:rsidR="000F7F48">
        <w:t xml:space="preserve">now </w:t>
      </w:r>
      <w:r>
        <w:t>asserting</w:t>
      </w:r>
      <w:r w:rsidR="00DF7DAD">
        <w:t xml:space="preserve"> </w:t>
      </w:r>
      <w:r w:rsidR="000F7F48">
        <w:t xml:space="preserve">are </w:t>
      </w:r>
      <w:r>
        <w:t>posed by the construction of the Answer to the Complaint and t</w:t>
      </w:r>
      <w:r w:rsidR="000F7F48">
        <w:t>he Answer Opposing Rehearing were</w:t>
      </w:r>
      <w:r>
        <w:t xml:space="preserve"> created by its own failure to separate its Petition for Rehearing from </w:t>
      </w:r>
      <w:r w:rsidR="00DF7DAD">
        <w:t xml:space="preserve">its </w:t>
      </w:r>
      <w:r>
        <w:t>Complaint.</w:t>
      </w:r>
      <w:r w:rsidR="005B441F">
        <w:rPr>
          <w:rStyle w:val="FootnoteReference"/>
        </w:rPr>
        <w:footnoteReference w:id="3"/>
      </w:r>
      <w:r>
        <w:t xml:space="preserve">  While </w:t>
      </w:r>
      <w:r w:rsidR="00DF7DAD">
        <w:t>“</w:t>
      </w:r>
      <w:r>
        <w:t>petitions</w:t>
      </w:r>
      <w:r w:rsidR="00DF7DAD">
        <w:t>”</w:t>
      </w:r>
      <w:r>
        <w:t xml:space="preserve"> for rehearing are </w:t>
      </w:r>
      <w:r w:rsidR="005B29E0">
        <w:t xml:space="preserve">processed </w:t>
      </w:r>
      <w:r>
        <w:t>similar</w:t>
      </w:r>
      <w:r w:rsidR="00940B4D">
        <w:t>ly</w:t>
      </w:r>
      <w:r>
        <w:t xml:space="preserve"> to complaints, the standards for granting petitions for rehearing are discretionary with the Commission</w:t>
      </w:r>
      <w:r w:rsidR="005B29E0">
        <w:t xml:space="preserve"> and are difficult to achieve</w:t>
      </w:r>
      <w:r w:rsidR="000F7F48">
        <w:t>.</w:t>
      </w:r>
      <w:r>
        <w:rPr>
          <w:rStyle w:val="FootnoteReference"/>
        </w:rPr>
        <w:footnoteReference w:id="4"/>
      </w:r>
      <w:r>
        <w:t xml:space="preserve"> </w:t>
      </w:r>
      <w:r w:rsidR="005B29E0">
        <w:t xml:space="preserve"> </w:t>
      </w:r>
      <w:r>
        <w:t>RCW 81.04.110 grants public service companies the right to file complaints against another company on their own motion</w:t>
      </w:r>
      <w:r w:rsidR="00DF7DAD">
        <w:t>s</w:t>
      </w:r>
      <w:r>
        <w:t xml:space="preserve"> and </w:t>
      </w:r>
      <w:r>
        <w:lastRenderedPageBreak/>
        <w:t>typically trigger</w:t>
      </w:r>
      <w:r w:rsidR="00DF7DAD">
        <w:t>s</w:t>
      </w:r>
      <w:r>
        <w:t xml:space="preserve"> a formal adjudication.</w:t>
      </w:r>
      <w:r w:rsidR="000F7F48">
        <w:t xml:space="preserve">  Orders G</w:t>
      </w:r>
      <w:r w:rsidR="00DF7DAD">
        <w:t>ranting Petition</w:t>
      </w:r>
      <w:r w:rsidR="000F7F48">
        <w:t>s</w:t>
      </w:r>
      <w:r w:rsidR="00DF7DAD">
        <w:t xml:space="preserve"> for Rehearing are understandably rare.  Administrative finality is an important </w:t>
      </w:r>
      <w:r w:rsidR="005B29E0">
        <w:t xml:space="preserve">legal </w:t>
      </w:r>
      <w:r w:rsidR="00DF7DAD">
        <w:t xml:space="preserve">doctrine as frequent exceptions would imperil the orderly disposition of adjudicative proceedings and </w:t>
      </w:r>
      <w:r w:rsidR="0022316A">
        <w:t>precipitate</w:t>
      </w:r>
      <w:r w:rsidR="00DF7DAD">
        <w:t xml:space="preserve"> an endless </w:t>
      </w:r>
      <w:r w:rsidR="005B29E0">
        <w:t xml:space="preserve">cycle </w:t>
      </w:r>
      <w:r w:rsidR="00DF7DAD">
        <w:t>of administrative</w:t>
      </w:r>
      <w:r w:rsidR="005B29E0">
        <w:t xml:space="preserve"> litigation encouraging proponents to perpetually retry their cases.</w:t>
      </w:r>
    </w:p>
    <w:p w:rsidR="00670B12" w:rsidRDefault="008D6E30" w:rsidP="00D87ED2">
      <w:pPr>
        <w:pStyle w:val="ListParagraph"/>
        <w:numPr>
          <w:ilvl w:val="0"/>
          <w:numId w:val="16"/>
        </w:numPr>
        <w:spacing w:line="480" w:lineRule="auto"/>
        <w:ind w:left="0" w:hanging="720"/>
      </w:pPr>
      <w:r>
        <w:tab/>
        <w:t>Shuttle Express’ amalgamated Petition and Complaint is more akin to a “shotgun pleading”</w:t>
      </w:r>
      <w:r w:rsidR="00D87ED2">
        <w:rPr>
          <w:rStyle w:val="FootnoteReference"/>
        </w:rPr>
        <w:footnoteReference w:id="5"/>
      </w:r>
      <w:r>
        <w:t xml:space="preserve"> where it is almost impossible to discern which allegations of fact are intended to support which specific claim for relief</w:t>
      </w:r>
      <w:r w:rsidR="0022316A">
        <w:t>,</w:t>
      </w:r>
      <w:r>
        <w:t xml:space="preserve"> or </w:t>
      </w:r>
      <w:r w:rsidR="004E1A38">
        <w:t xml:space="preserve">additionally </w:t>
      </w:r>
      <w:r>
        <w:t xml:space="preserve">here, which alternative remedy advocated by Shuttle Express is to apply.  </w:t>
      </w:r>
      <w:r w:rsidR="004E1A38">
        <w:t xml:space="preserve">This is precisely the type of interpretative confusion Staff complained of in their earlier Response, cited above.  </w:t>
      </w:r>
      <w:r>
        <w:t xml:space="preserve">In such circumstances, </w:t>
      </w:r>
      <w:r w:rsidR="005B441F">
        <w:t xml:space="preserve">had the </w:t>
      </w:r>
      <w:r>
        <w:t xml:space="preserve">Commission </w:t>
      </w:r>
      <w:r w:rsidR="005B441F">
        <w:t xml:space="preserve">an </w:t>
      </w:r>
      <w:r>
        <w:t>equivalent rule to Civil Rule 12</w:t>
      </w:r>
      <w:r w:rsidR="0055612E">
        <w:t>(e)</w:t>
      </w:r>
      <w:r>
        <w:t xml:space="preserve">, the </w:t>
      </w:r>
      <w:r w:rsidR="00D261C9">
        <w:t xml:space="preserve">likely </w:t>
      </w:r>
      <w:r>
        <w:t>remedy would have been a Motion for a More Definite Statement by the Respondents.  While Speedishuttle has previously unsuccessfully sought dismissal of the Complaint action as an alternative, it i</w:t>
      </w:r>
      <w:r w:rsidR="004E1A38">
        <w:t>s again ironic that it and the S</w:t>
      </w:r>
      <w:r>
        <w:t>taff are responding to Motions to Strike</w:t>
      </w:r>
      <w:r w:rsidR="004E1A38">
        <w:t xml:space="preserve"> their</w:t>
      </w:r>
      <w:r>
        <w:t xml:space="preserve"> responsive pleadings, when the trigger to all of this uncertainty and lack of clarity was and is the initial pleading </w:t>
      </w:r>
      <w:r w:rsidR="005B441F">
        <w:t xml:space="preserve">as </w:t>
      </w:r>
      <w:r>
        <w:t>formatted by Shuttle Express.</w:t>
      </w:r>
      <w:r w:rsidR="00D87ED2">
        <w:t xml:space="preserve">  </w:t>
      </w:r>
    </w:p>
    <w:p w:rsidR="00D87ED2" w:rsidRPr="00D87ED2" w:rsidRDefault="00670B12" w:rsidP="00D87ED2">
      <w:pPr>
        <w:pStyle w:val="ListParagraph"/>
        <w:numPr>
          <w:ilvl w:val="0"/>
          <w:numId w:val="16"/>
        </w:numPr>
        <w:spacing w:line="480" w:lineRule="auto"/>
        <w:ind w:left="0" w:hanging="720"/>
      </w:pPr>
      <w:r>
        <w:tab/>
      </w:r>
      <w:r w:rsidR="00D87ED2" w:rsidRPr="00D87ED2">
        <w:t xml:space="preserve">The </w:t>
      </w:r>
      <w:r w:rsidR="0022316A">
        <w:t xml:space="preserve">overview </w:t>
      </w:r>
      <w:r w:rsidR="00D87ED2" w:rsidRPr="00D87ED2">
        <w:t xml:space="preserve">statement </w:t>
      </w:r>
      <w:r>
        <w:t>by Shuttle Express</w:t>
      </w:r>
      <w:r w:rsidR="0022316A">
        <w:t xml:space="preserve"> that</w:t>
      </w:r>
      <w:r w:rsidR="00D87ED2" w:rsidRPr="00D87ED2">
        <w:t>: “[t]o start with, it is possible the Respondent does not even deny the material allegations of</w:t>
      </w:r>
      <w:r w:rsidR="0022316A">
        <w:t xml:space="preserve"> the Petition and the Complaint</w:t>
      </w:r>
      <w:r w:rsidR="00D87ED2" w:rsidRPr="00D87ED2">
        <w:t>”</w:t>
      </w:r>
      <w:r w:rsidR="00AA6545" w:rsidRPr="00AA6545">
        <w:rPr>
          <w:rStyle w:val="FootnoteReference"/>
        </w:rPr>
        <w:t xml:space="preserve"> </w:t>
      </w:r>
      <w:r w:rsidR="00AA6545">
        <w:rPr>
          <w:rStyle w:val="FootnoteReference"/>
        </w:rPr>
        <w:footnoteReference w:id="6"/>
      </w:r>
      <w:r w:rsidR="0022316A">
        <w:t xml:space="preserve"> is astounding.</w:t>
      </w:r>
      <w:r w:rsidR="00D87ED2" w:rsidRPr="00D87ED2">
        <w:t xml:space="preserve">  First of all</w:t>
      </w:r>
      <w:r w:rsidR="0022316A">
        <w:t>,</w:t>
      </w:r>
      <w:r w:rsidR="00D87ED2" w:rsidRPr="00D87ED2">
        <w:t xml:space="preserve"> as noted, the allegations of the Petition and the Complaint are hopelessly intertwi</w:t>
      </w:r>
      <w:r w:rsidR="0022316A">
        <w:t>ned and convoluted.  If anyone wa</w:t>
      </w:r>
      <w:r w:rsidR="00D87ED2" w:rsidRPr="00D87ED2">
        <w:t>s required to make a “clear and concise” statement of the allegations</w:t>
      </w:r>
      <w:r w:rsidR="0022316A">
        <w:t>,</w:t>
      </w:r>
      <w:r w:rsidR="00D87ED2" w:rsidRPr="00D87ED2">
        <w:t xml:space="preserve"> it is Shuttle Express</w:t>
      </w:r>
      <w:r w:rsidR="0022316A">
        <w:t>,</w:t>
      </w:r>
      <w:r w:rsidR="00D87ED2" w:rsidRPr="00D87ED2">
        <w:t xml:space="preserve"> not the Respondent parties after the fact.  Moreover, to suggest any of the material allegations in the Petition and Complaint (that can be clearly </w:t>
      </w:r>
      <w:r w:rsidR="00D87ED2" w:rsidRPr="00D87ED2">
        <w:lastRenderedPageBreak/>
        <w:t>ascertained) are ambiguously responded to by Speedishuttle is a</w:t>
      </w:r>
      <w:r>
        <w:t>pocryphal.  Simply reading the p</w:t>
      </w:r>
      <w:r w:rsidR="00D87ED2" w:rsidRPr="00D87ED2">
        <w:t xml:space="preserve">rayers for </w:t>
      </w:r>
      <w:r>
        <w:t>r</w:t>
      </w:r>
      <w:r w:rsidR="00D87ED2" w:rsidRPr="00D87ED2">
        <w:t xml:space="preserve">elief </w:t>
      </w:r>
      <w:r>
        <w:t xml:space="preserve">in both pleadings </w:t>
      </w:r>
      <w:r w:rsidR="00D87ED2" w:rsidRPr="00D87ED2">
        <w:t>suggests that the Respondent believed the Complaint should be dismissed with prejudice and the Petition for Rehearing should be denied.</w:t>
      </w:r>
      <w:r w:rsidR="00AA6545">
        <w:rPr>
          <w:rStyle w:val="FootnoteReference"/>
        </w:rPr>
        <w:footnoteReference w:id="7"/>
      </w:r>
      <w:r w:rsidR="00D87ED2" w:rsidRPr="00D87ED2">
        <w:t xml:space="preserve">  The antecedent </w:t>
      </w:r>
      <w:r w:rsidR="007A086B">
        <w:t>discussion and analysis in both pleadings</w:t>
      </w:r>
      <w:r w:rsidR="00D87ED2" w:rsidRPr="00D87ED2">
        <w:t xml:space="preserve"> leave no doubt to any objective reader that the Respondent denies, disagrees with and contravenes all of the material assertions in the conjoined pleading.  </w:t>
      </w:r>
    </w:p>
    <w:p w:rsidR="00E60538" w:rsidRPr="00AA5EDE" w:rsidRDefault="00E60538" w:rsidP="00E60538">
      <w:pPr>
        <w:pStyle w:val="ListParagraph"/>
        <w:numPr>
          <w:ilvl w:val="0"/>
          <w:numId w:val="16"/>
        </w:numPr>
        <w:spacing w:line="480" w:lineRule="auto"/>
        <w:ind w:left="0" w:hanging="720"/>
      </w:pPr>
      <w:r>
        <w:tab/>
        <w:t xml:space="preserve">Moreover, the Commission’s Notice of May 18, 2016 sought </w:t>
      </w:r>
      <w:r w:rsidR="000F7F48">
        <w:t xml:space="preserve">only </w:t>
      </w:r>
      <w:r>
        <w:t>“responses” to the Petition for Rehearing</w:t>
      </w:r>
      <w:r w:rsidR="000059FD">
        <w:t xml:space="preserve">. </w:t>
      </w:r>
      <w:r>
        <w:t xml:space="preserve"> </w:t>
      </w:r>
      <w:r w:rsidR="000059FD">
        <w:t>W</w:t>
      </w:r>
      <w:r>
        <w:t xml:space="preserve">hile the Complainant cites to the reference in the last sentence to filing an “answer,” the combination </w:t>
      </w:r>
      <w:r w:rsidR="000F7F48" w:rsidRPr="00940B4D">
        <w:rPr>
          <w:b/>
        </w:rPr>
        <w:t>by</w:t>
      </w:r>
      <w:r w:rsidR="000F7F48">
        <w:t xml:space="preserve"> </w:t>
      </w:r>
      <w:r w:rsidR="000F7F48" w:rsidRPr="005B29E0">
        <w:rPr>
          <w:b/>
        </w:rPr>
        <w:t>Shuttle Express</w:t>
      </w:r>
      <w:r w:rsidR="000F7F48">
        <w:t xml:space="preserve"> </w:t>
      </w:r>
      <w:r>
        <w:t xml:space="preserve">of the Petition and the Complaint has complicated the more traditional rule reference calling for “Answers” to Petitions and Complaints </w:t>
      </w:r>
      <w:r w:rsidR="005B29E0">
        <w:t xml:space="preserve">due to </w:t>
      </w:r>
      <w:r>
        <w:t xml:space="preserve">the intertwined nature of the assertions in the Petition and the Complaint.  Indeed, many of the </w:t>
      </w:r>
      <w:r w:rsidR="000059FD">
        <w:t xml:space="preserve">allegations </w:t>
      </w:r>
      <w:r>
        <w:t>in the Petition for Rehearing</w:t>
      </w:r>
      <w:r w:rsidR="00940B4D">
        <w:t>,</w:t>
      </w:r>
      <w:r>
        <w:t xml:space="preserve"> (</w:t>
      </w:r>
      <w:r>
        <w:rPr>
          <w:i/>
        </w:rPr>
        <w:t>see</w:t>
      </w:r>
      <w:r>
        <w:t xml:space="preserve"> for instance, Paragraph 9)</w:t>
      </w:r>
      <w:r w:rsidR="00940B4D">
        <w:t>,</w:t>
      </w:r>
      <w:r>
        <w:t xml:space="preserve"> are not traditional notice pleading assertions, but are instead legal arguments in which the </w:t>
      </w:r>
      <w:r w:rsidR="000059FD">
        <w:t>C</w:t>
      </w:r>
      <w:r>
        <w:t xml:space="preserve">omplainant cites to transcript testimony and then attempts to characterize or place in purported context that testimony which Speedishuttle </w:t>
      </w:r>
      <w:r w:rsidR="000059FD">
        <w:t xml:space="preserve">subsequently </w:t>
      </w:r>
      <w:r>
        <w:t xml:space="preserve">wholeheartedly disputes.  While Speedishuttle </w:t>
      </w:r>
      <w:r w:rsidR="007A086B">
        <w:t xml:space="preserve">might </w:t>
      </w:r>
      <w:r w:rsidR="000059FD">
        <w:t xml:space="preserve">have </w:t>
      </w:r>
      <w:r w:rsidR="007A086B">
        <w:t xml:space="preserve">easily </w:t>
      </w:r>
      <w:r>
        <w:t>respond</w:t>
      </w:r>
      <w:r w:rsidR="000059FD">
        <w:t>ed</w:t>
      </w:r>
      <w:r>
        <w:t xml:space="preserve"> with a </w:t>
      </w:r>
      <w:r w:rsidR="000F7F48">
        <w:t xml:space="preserve">standard </w:t>
      </w:r>
      <w:r>
        <w:t>blanket denial</w:t>
      </w:r>
      <w:r w:rsidR="000059FD">
        <w:t xml:space="preserve"> pleading</w:t>
      </w:r>
      <w:r>
        <w:t xml:space="preserve">, it should not </w:t>
      </w:r>
      <w:r>
        <w:lastRenderedPageBreak/>
        <w:t xml:space="preserve">be </w:t>
      </w:r>
      <w:r w:rsidR="005B29E0">
        <w:t xml:space="preserve">constrained in </w:t>
      </w:r>
      <w:r>
        <w:t xml:space="preserve">“answering” this type of legal argument </w:t>
      </w:r>
      <w:r w:rsidR="005B29E0">
        <w:t xml:space="preserve">seeking </w:t>
      </w:r>
      <w:r w:rsidR="000F7F48">
        <w:t xml:space="preserve">the extraordinary remedy of rehearing </w:t>
      </w:r>
      <w:r w:rsidR="007A086B">
        <w:t xml:space="preserve">from </w:t>
      </w:r>
      <w:r>
        <w:t xml:space="preserve">offering its own developed responsive arguments based on statute, rule and case law.  Indeed, far from Shuttle Express being prejudiced by arguments </w:t>
      </w:r>
      <w:r w:rsidR="000059FD">
        <w:t xml:space="preserve">that constitute </w:t>
      </w:r>
      <w:r>
        <w:t xml:space="preserve">“clandestine” legal briefs, Speedishuttle, in a responsive pleading, should be afforded </w:t>
      </w:r>
      <w:r w:rsidR="000059FD">
        <w:t xml:space="preserve">basic </w:t>
      </w:r>
      <w:r>
        <w:t>due process rights to comp</w:t>
      </w:r>
      <w:r w:rsidR="005E30CA">
        <w:t xml:space="preserve">rehensively refute allegations that </w:t>
      </w:r>
      <w:r>
        <w:t xml:space="preserve">are far more than declarative statements </w:t>
      </w:r>
      <w:r w:rsidR="000059FD">
        <w:t>and</w:t>
      </w:r>
      <w:r>
        <w:t xml:space="preserve"> which often allude to testimonial and documentary support which the Complainant selectively </w:t>
      </w:r>
      <w:r w:rsidR="000059FD">
        <w:t xml:space="preserve">and </w:t>
      </w:r>
      <w:r>
        <w:t xml:space="preserve">inaccurately characterizes and for which a blanket denial is inadequate or meaningless in </w:t>
      </w:r>
      <w:r w:rsidR="000059FD">
        <w:t xml:space="preserve">comprehending </w:t>
      </w:r>
      <w:r>
        <w:t>Respondent’s</w:t>
      </w:r>
      <w:r w:rsidR="005E30CA">
        <w:t xml:space="preserve"> </w:t>
      </w:r>
      <w:r w:rsidR="005B29E0">
        <w:t xml:space="preserve">comprehensive </w:t>
      </w:r>
      <w:r w:rsidR="005E30CA">
        <w:t>opposition.</w:t>
      </w:r>
      <w:r>
        <w:t xml:space="preserve"> </w:t>
      </w:r>
    </w:p>
    <w:p w:rsidR="000059FD" w:rsidRDefault="000059FD" w:rsidP="000059FD">
      <w:pPr>
        <w:pStyle w:val="ListParagraph"/>
        <w:numPr>
          <w:ilvl w:val="0"/>
          <w:numId w:val="16"/>
        </w:numPr>
        <w:spacing w:line="480" w:lineRule="auto"/>
        <w:ind w:left="0" w:hanging="720"/>
      </w:pPr>
      <w:r>
        <w:tab/>
        <w:t>There is another compelling reason the Respondent bifurcated its response</w:t>
      </w:r>
      <w:r w:rsidR="00E276EB">
        <w:t>s</w:t>
      </w:r>
      <w:r>
        <w:t xml:space="preserve">.  Apart </w:t>
      </w:r>
      <w:r w:rsidR="005E30CA">
        <w:t>from</w:t>
      </w:r>
      <w:r>
        <w:t xml:space="preserve"> the differing statutory and regulatory policy standards for hearing complaints and dec</w:t>
      </w:r>
      <w:r w:rsidR="00DE2130">
        <w:t>i</w:t>
      </w:r>
      <w:r>
        <w:t>ding Petit</w:t>
      </w:r>
      <w:r w:rsidR="00DE2130">
        <w:t>ions to Rehear based on fully</w:t>
      </w:r>
      <w:r>
        <w:t xml:space="preserve"> developed adjudicative records, the </w:t>
      </w:r>
      <w:r w:rsidR="00DE2130">
        <w:t>May 18 Notice to wh</w:t>
      </w:r>
      <w:r w:rsidR="004E1A38">
        <w:t>ich S</w:t>
      </w:r>
      <w:r w:rsidR="00DE2130">
        <w:t xml:space="preserve">taff and Speedishuttle timely responded only referred in its title to the </w:t>
      </w:r>
      <w:r w:rsidR="005E30CA">
        <w:t>“</w:t>
      </w:r>
      <w:r w:rsidR="00DE2130">
        <w:t>Petition for Rehearing</w:t>
      </w:r>
      <w:r w:rsidR="005E30CA">
        <w:t>”</w:t>
      </w:r>
      <w:r w:rsidR="00DE2130">
        <w:t xml:space="preserve"> as did its concluding bold-faced dispositive section referencing the previous docket proceeding TC-143691 and Certificate C-65854 which flowed out of that docket.  It was therefore unsurprising that Speedishuttle </w:t>
      </w:r>
      <w:r w:rsidR="007A086B">
        <w:t xml:space="preserve">separated </w:t>
      </w:r>
      <w:r w:rsidR="00DE2130">
        <w:t>both the form and substance of its responsive “answers” to the Petition and Complaint and addressed the first in a more traditional legal analysis form and the Complaint</w:t>
      </w:r>
      <w:r w:rsidR="005E30CA">
        <w:t>,</w:t>
      </w:r>
      <w:r w:rsidR="00DE2130">
        <w:t xml:space="preserve"> (the new proceeding)</w:t>
      </w:r>
      <w:r w:rsidR="005E30CA">
        <w:t>,</w:t>
      </w:r>
      <w:r w:rsidR="00DE2130">
        <w:t xml:space="preserve"> in </w:t>
      </w:r>
      <w:r w:rsidR="005E30CA">
        <w:t xml:space="preserve">a </w:t>
      </w:r>
      <w:r w:rsidR="00DE2130">
        <w:t>more threshold notice pleading</w:t>
      </w:r>
      <w:r w:rsidR="005E30CA">
        <w:t xml:space="preserve"> responsive Answer.</w:t>
      </w:r>
      <w:r w:rsidR="007A086B">
        <w:rPr>
          <w:rStyle w:val="FootnoteReference"/>
        </w:rPr>
        <w:footnoteReference w:id="8"/>
      </w:r>
      <w:r w:rsidR="00DE2130">
        <w:t xml:space="preserve"> </w:t>
      </w:r>
    </w:p>
    <w:p w:rsidR="00DE2130" w:rsidRDefault="00DE2130" w:rsidP="000059FD">
      <w:pPr>
        <w:pStyle w:val="ListParagraph"/>
        <w:numPr>
          <w:ilvl w:val="0"/>
          <w:numId w:val="16"/>
        </w:numPr>
        <w:spacing w:line="480" w:lineRule="auto"/>
        <w:ind w:left="0" w:hanging="720"/>
      </w:pPr>
      <w:r>
        <w:tab/>
        <w:t xml:space="preserve">Shuttle Express </w:t>
      </w:r>
      <w:r w:rsidR="005B29E0">
        <w:t xml:space="preserve">originally </w:t>
      </w:r>
      <w:r>
        <w:t>intertwined the two causes of action</w:t>
      </w:r>
      <w:r w:rsidR="005B29E0">
        <w:t xml:space="preserve">.  It </w:t>
      </w:r>
      <w:r>
        <w:t>now comp</w:t>
      </w:r>
      <w:r w:rsidR="004E1A38">
        <w:t>lains both the Respondent (and S</w:t>
      </w:r>
      <w:r>
        <w:t>taff) violat</w:t>
      </w:r>
      <w:r w:rsidR="005E30CA">
        <w:t>ed its formatting dictates and C</w:t>
      </w:r>
      <w:r>
        <w:t xml:space="preserve">ommission rule by not taking the bait of its unprecedented and awkward construction designed to piggyback unsupported legal </w:t>
      </w:r>
      <w:r>
        <w:lastRenderedPageBreak/>
        <w:t xml:space="preserve">theories in the Petition for Rehearing to prop up its broad and baseless </w:t>
      </w:r>
      <w:r w:rsidR="005E30CA">
        <w:t xml:space="preserve">private </w:t>
      </w:r>
      <w:r>
        <w:t>Complaint allegations.</w:t>
      </w:r>
    </w:p>
    <w:p w:rsidR="00DE2130" w:rsidRDefault="00940B4D" w:rsidP="00DE2130">
      <w:pPr>
        <w:pStyle w:val="Heading2"/>
      </w:pPr>
      <w:r>
        <w:t>There is a Pronounced Irony/“</w:t>
      </w:r>
      <w:r w:rsidR="00DE2130">
        <w:t xml:space="preserve">Glass House” </w:t>
      </w:r>
      <w:r w:rsidR="005E30CA">
        <w:t xml:space="preserve">Effect </w:t>
      </w:r>
      <w:r>
        <w:t xml:space="preserve">to </w:t>
      </w:r>
      <w:r w:rsidR="00DE2130">
        <w:t>Shuttle Express’ Claims in Seeking to Strike Speedishuttle’s Answers Here</w:t>
      </w:r>
      <w:r w:rsidR="000D3FE8">
        <w:t>.</w:t>
      </w:r>
    </w:p>
    <w:p w:rsidR="00DE2130" w:rsidRDefault="00DE2130" w:rsidP="00DE2130">
      <w:pPr>
        <w:pStyle w:val="ListParagraph"/>
        <w:numPr>
          <w:ilvl w:val="0"/>
          <w:numId w:val="16"/>
        </w:numPr>
        <w:spacing w:line="480" w:lineRule="auto"/>
        <w:ind w:left="0" w:hanging="720"/>
      </w:pPr>
      <w:r>
        <w:tab/>
        <w:t>In addition to the self-</w:t>
      </w:r>
      <w:r w:rsidR="00A04F4C">
        <w:t>create</w:t>
      </w:r>
      <w:r>
        <w:t>d</w:t>
      </w:r>
      <w:r w:rsidR="00A04F4C">
        <w:t xml:space="preserve"> joinder issue posed by the organization of it</w:t>
      </w:r>
      <w:r w:rsidR="005E30CA">
        <w:t>s</w:t>
      </w:r>
      <w:r w:rsidR="00A04F4C">
        <w:t xml:space="preserve"> pleadings</w:t>
      </w:r>
      <w:r w:rsidR="005E30CA">
        <w:t>,</w:t>
      </w:r>
      <w:r w:rsidR="00A04F4C">
        <w:t xml:space="preserve"> in this renewed challenge by Shuttle Express, Shuttle Express itself has some failed technicalities</w:t>
      </w:r>
      <w:r w:rsidR="005E30CA">
        <w:t xml:space="preserve"> of its own</w:t>
      </w:r>
      <w:r w:rsidR="00A04F4C">
        <w:t xml:space="preserve"> in Commission procedural rule compliance to explain.  First, the fact that the pleading served on Respondent failed to include a certificate of service</w:t>
      </w:r>
      <w:r w:rsidR="005E30CA">
        <w:t xml:space="preserve"> as required by WAC 480-07-150(9</w:t>
      </w:r>
      <w:r w:rsidR="00A04F4C">
        <w:t xml:space="preserve">).  While private complaints are typically served on respondents by the </w:t>
      </w:r>
      <w:proofErr w:type="gramStart"/>
      <w:r w:rsidR="005E30CA">
        <w:t>C</w:t>
      </w:r>
      <w:r w:rsidR="00A04F4C">
        <w:t>ommission</w:t>
      </w:r>
      <w:r w:rsidR="005E30CA">
        <w:t>,</w:t>
      </w:r>
      <w:r w:rsidR="00A04F4C">
        <w:t xml:space="preserve"> that</w:t>
      </w:r>
      <w:proofErr w:type="gramEnd"/>
      <w:r w:rsidR="00A04F4C">
        <w:t xml:space="preserve"> is not the case with Petitions for Rehearing.  Shuttle Express may have thought it had</w:t>
      </w:r>
      <w:r w:rsidR="005E30CA">
        <w:t xml:space="preserve"> procedurally</w:t>
      </w:r>
      <w:r w:rsidR="00A04F4C">
        <w:t xml:space="preserve"> outsmarted its opposition by </w:t>
      </w:r>
      <w:r w:rsidR="007A086B">
        <w:t xml:space="preserve">awkwardly </w:t>
      </w:r>
      <w:r w:rsidR="00A04F4C">
        <w:t xml:space="preserve">joining the Petition to </w:t>
      </w:r>
      <w:proofErr w:type="gramStart"/>
      <w:r w:rsidR="00A04F4C">
        <w:t>Rehear</w:t>
      </w:r>
      <w:proofErr w:type="gramEnd"/>
      <w:r w:rsidR="00A04F4C">
        <w:t xml:space="preserve"> with the Complaint</w:t>
      </w:r>
      <w:r w:rsidR="006A18C6">
        <w:t xml:space="preserve">. </w:t>
      </w:r>
      <w:r w:rsidR="00A04F4C">
        <w:t xml:space="preserve"> </w:t>
      </w:r>
      <w:r w:rsidR="006A18C6">
        <w:t>I</w:t>
      </w:r>
      <w:r w:rsidR="00A04F4C">
        <w:t xml:space="preserve">t should have separately and appropriately served the Petition to </w:t>
      </w:r>
      <w:proofErr w:type="gramStart"/>
      <w:r w:rsidR="00A04F4C">
        <w:t>Rehear</w:t>
      </w:r>
      <w:proofErr w:type="gramEnd"/>
      <w:r w:rsidR="00A04F4C">
        <w:t xml:space="preserve"> “portion” </w:t>
      </w:r>
      <w:r w:rsidR="00041C09">
        <w:t xml:space="preserve">of its omnibus pleading </w:t>
      </w:r>
      <w:r w:rsidR="005E30CA">
        <w:t xml:space="preserve">with an accompanying certificate of service </w:t>
      </w:r>
      <w:r w:rsidR="00A04F4C">
        <w:t>on the applicant and its counsel in its effort to rehear application TC-143691.</w:t>
      </w:r>
    </w:p>
    <w:p w:rsidR="00A04F4C" w:rsidRDefault="00A04F4C" w:rsidP="00DE2130">
      <w:pPr>
        <w:pStyle w:val="ListParagraph"/>
        <w:numPr>
          <w:ilvl w:val="0"/>
          <w:numId w:val="16"/>
        </w:numPr>
        <w:spacing w:line="480" w:lineRule="auto"/>
        <w:ind w:left="0" w:hanging="720"/>
      </w:pPr>
      <w:r>
        <w:t xml:space="preserve">More egregious however and so typifying the “glass house” impact of the multiple and evolving positions </w:t>
      </w:r>
      <w:r w:rsidR="006A18C6">
        <w:t>(</w:t>
      </w:r>
      <w:r>
        <w:t>and representatives</w:t>
      </w:r>
      <w:r w:rsidR="006A18C6">
        <w:t>)</w:t>
      </w:r>
      <w:r>
        <w:t xml:space="preserve"> Shuttle Express has employed in this proceeding, is Shuttle Express’ </w:t>
      </w:r>
      <w:r w:rsidR="005E30CA">
        <w:t>previous</w:t>
      </w:r>
      <w:r>
        <w:t xml:space="preserve"> failure to conform its Petition for Administrative Review of the Initial Order </w:t>
      </w:r>
      <w:r w:rsidR="006A18C6">
        <w:t>to</w:t>
      </w:r>
      <w:r w:rsidR="00041C09">
        <w:t xml:space="preserve"> rule </w:t>
      </w:r>
      <w:r w:rsidR="005E30CA">
        <w:t>in February, 2015</w:t>
      </w:r>
      <w:r w:rsidR="00041C09">
        <w:t xml:space="preserve">. </w:t>
      </w:r>
      <w:r w:rsidR="005E30CA">
        <w:t xml:space="preserve"> </w:t>
      </w:r>
      <w:r w:rsidR="00041C09">
        <w:t>B</w:t>
      </w:r>
      <w:r w:rsidR="009C035F">
        <w:t xml:space="preserve">y </w:t>
      </w:r>
      <w:r>
        <w:t>fail</w:t>
      </w:r>
      <w:r w:rsidR="009C035F">
        <w:t>ing</w:t>
      </w:r>
      <w:r>
        <w:t xml:space="preserve"> to include recommended findings </w:t>
      </w:r>
      <w:r w:rsidR="00041C09">
        <w:t>of fact and conclusions of law</w:t>
      </w:r>
      <w:r w:rsidR="006A18C6">
        <w:t>,</w:t>
      </w:r>
      <w:r w:rsidR="00041C09">
        <w:t xml:space="preserve"> Shuttle Express </w:t>
      </w:r>
      <w:r>
        <w:t>violat</w:t>
      </w:r>
      <w:r w:rsidR="00041C09">
        <w:t>ed</w:t>
      </w:r>
      <w:r>
        <w:t xml:space="preserve"> WAC 480-07-825(3).  It also failed to appropriately isolate the findings and conclusions it was challenging,</w:t>
      </w:r>
      <w:r w:rsidR="00041C09">
        <w:t xml:space="preserve"> as required by rule</w:t>
      </w:r>
      <w:r>
        <w:t xml:space="preserve"> and made Speedishuttle’s </w:t>
      </w:r>
      <w:r w:rsidR="004E1A38">
        <w:t>and S</w:t>
      </w:r>
      <w:r w:rsidR="009C035F">
        <w:t>taff’s responsive a</w:t>
      </w:r>
      <w:r>
        <w:t>nswer</w:t>
      </w:r>
      <w:r w:rsidR="009C035F">
        <w:t>s</w:t>
      </w:r>
      <w:r>
        <w:t xml:space="preserve"> all the more difficult.</w:t>
      </w:r>
      <w:r>
        <w:rPr>
          <w:rStyle w:val="FootnoteReference"/>
        </w:rPr>
        <w:footnoteReference w:id="9"/>
      </w:r>
    </w:p>
    <w:p w:rsidR="00A04F4C" w:rsidRDefault="00A04F4C" w:rsidP="00DE2130">
      <w:pPr>
        <w:pStyle w:val="ListParagraph"/>
        <w:numPr>
          <w:ilvl w:val="0"/>
          <w:numId w:val="16"/>
        </w:numPr>
        <w:spacing w:line="480" w:lineRule="auto"/>
        <w:ind w:left="0" w:hanging="720"/>
      </w:pPr>
      <w:r>
        <w:lastRenderedPageBreak/>
        <w:tab/>
        <w:t>This type of procedural omission by Shuttle Express</w:t>
      </w:r>
      <w:r w:rsidR="000D3FE8">
        <w:t xml:space="preserve"> in failing to highlight and identify its specific challenges to the hearing examiner’s original findings and conclusions </w:t>
      </w:r>
      <w:r w:rsidR="00041C09">
        <w:t xml:space="preserve">should </w:t>
      </w:r>
      <w:r w:rsidR="000D3FE8">
        <w:t xml:space="preserve">not be </w:t>
      </w:r>
      <w:r w:rsidR="009C035F">
        <w:t xml:space="preserve">ratified </w:t>
      </w:r>
      <w:r w:rsidR="000D3FE8">
        <w:t>by entertaining its “</w:t>
      </w:r>
      <w:r w:rsidR="005E30CA">
        <w:t>moving</w:t>
      </w:r>
      <w:r w:rsidR="000D3FE8">
        <w:t xml:space="preserve"> target” </w:t>
      </w:r>
      <w:r w:rsidR="005E30CA">
        <w:t>or “r</w:t>
      </w:r>
      <w:r w:rsidR="000D3FE8">
        <w:t xml:space="preserve">evolving </w:t>
      </w:r>
      <w:r w:rsidR="005E30CA">
        <w:t xml:space="preserve">door” </w:t>
      </w:r>
      <w:r w:rsidR="009C035F">
        <w:t xml:space="preserve">procedural </w:t>
      </w:r>
      <w:r w:rsidR="000D3FE8">
        <w:t xml:space="preserve">theories </w:t>
      </w:r>
      <w:r w:rsidR="00041C09">
        <w:t xml:space="preserve">here </w:t>
      </w:r>
      <w:r w:rsidR="000D3FE8">
        <w:t>to continue to attack the rational</w:t>
      </w:r>
      <w:r w:rsidR="005E30CA">
        <w:t>e</w:t>
      </w:r>
      <w:r w:rsidR="000D3FE8">
        <w:t xml:space="preserve"> and substantive bases </w:t>
      </w:r>
      <w:r w:rsidR="005B29E0">
        <w:t>(</w:t>
      </w:r>
      <w:r w:rsidR="000D3FE8">
        <w:t>such as service differentiation factors</w:t>
      </w:r>
      <w:r w:rsidR="005B29E0">
        <w:t>)</w:t>
      </w:r>
      <w:r w:rsidR="000D3FE8">
        <w:t xml:space="preserve"> identified by the Commission in final </w:t>
      </w:r>
      <w:proofErr w:type="spellStart"/>
      <w:r w:rsidR="000D3FE8">
        <w:t>unappealed</w:t>
      </w:r>
      <w:proofErr w:type="spellEnd"/>
      <w:r w:rsidR="000D3FE8">
        <w:t xml:space="preserve"> Order 04.  In short, </w:t>
      </w:r>
      <w:r w:rsidR="009C035F">
        <w:t xml:space="preserve">its own </w:t>
      </w:r>
      <w:r w:rsidR="000D3FE8">
        <w:t>prior procedural</w:t>
      </w:r>
      <w:r w:rsidR="005B29E0">
        <w:t xml:space="preserve"> rule</w:t>
      </w:r>
      <w:r w:rsidR="000D3FE8">
        <w:t xml:space="preserve"> compliance omission</w:t>
      </w:r>
      <w:r w:rsidR="005B29E0">
        <w:t>s</w:t>
      </w:r>
      <w:r w:rsidR="000D3FE8">
        <w:t xml:space="preserve"> objected to at the time by Speedishuttle should not be allowed to “aid and abet” </w:t>
      </w:r>
      <w:r w:rsidR="005B29E0">
        <w:t xml:space="preserve">Shuttle Express’ </w:t>
      </w:r>
      <w:r w:rsidR="000D3FE8">
        <w:t>expansionist, retrospective arguments now upon which it seeks to rehear the original case.</w:t>
      </w:r>
    </w:p>
    <w:p w:rsidR="000D3FE8" w:rsidRDefault="000D3FE8" w:rsidP="000D3FE8">
      <w:pPr>
        <w:pStyle w:val="Heading2"/>
      </w:pPr>
      <w:r>
        <w:t>The Commission’s “Liberal Construction” Rule Suggests Shuttle Express’ Latest Procedural Ploy is a Costly Distraction.</w:t>
      </w:r>
      <w:r w:rsidR="009C035F">
        <w:rPr>
          <w:rStyle w:val="FootnoteReference"/>
        </w:rPr>
        <w:footnoteReference w:id="10"/>
      </w:r>
    </w:p>
    <w:p w:rsidR="000D3FE8" w:rsidRDefault="000D3FE8" w:rsidP="000D3FE8">
      <w:pPr>
        <w:pStyle w:val="ListParagraph"/>
        <w:numPr>
          <w:ilvl w:val="0"/>
          <w:numId w:val="16"/>
        </w:numPr>
        <w:spacing w:line="480" w:lineRule="auto"/>
        <w:ind w:left="0" w:hanging="720"/>
      </w:pPr>
      <w:r>
        <w:tab/>
      </w:r>
      <w:r w:rsidR="00F316B8">
        <w:t>Even if the C</w:t>
      </w:r>
      <w:r>
        <w:t>ommission were somehow to find Speedishuttle’</w:t>
      </w:r>
      <w:r w:rsidR="00F316B8">
        <w:t>s considered R</w:t>
      </w:r>
      <w:r>
        <w:t>es</w:t>
      </w:r>
      <w:r w:rsidR="00F316B8">
        <w:t>p</w:t>
      </w:r>
      <w:r>
        <w:t>onse to the Petition for Rehearing technically in violation of the formatting requirements for Answers under WAC 480-07-370</w:t>
      </w:r>
      <w:r w:rsidR="005E30CA">
        <w:t>(c</w:t>
      </w:r>
      <w:r>
        <w:t>)(</w:t>
      </w:r>
      <w:proofErr w:type="spellStart"/>
      <w:r>
        <w:t>i</w:t>
      </w:r>
      <w:proofErr w:type="spellEnd"/>
      <w:r>
        <w:t>),</w:t>
      </w:r>
      <w:r w:rsidR="00F316B8">
        <w:t xml:space="preserve"> this should not resolve the issue.  Speedishuttle </w:t>
      </w:r>
      <w:proofErr w:type="spellStart"/>
      <w:r w:rsidR="00362CE9">
        <w:t>prminently</w:t>
      </w:r>
      <w:proofErr w:type="spellEnd"/>
      <w:r w:rsidR="004E1A38">
        <w:t xml:space="preserve"> </w:t>
      </w:r>
      <w:r w:rsidR="00F316B8">
        <w:t xml:space="preserve">acknowledged in its Answer to the Petition for Administrative Review about a year and a half ago that seeking to </w:t>
      </w:r>
      <w:r w:rsidR="005E30CA">
        <w:t>strike or otherwise contest</w:t>
      </w:r>
      <w:r w:rsidR="00F316B8">
        <w:t xml:space="preserve"> the legitimacy of the formatting of Shuttle Express’ procedurally deficient Petition for Administrative Review would likely be unsuccessful:</w:t>
      </w:r>
    </w:p>
    <w:p w:rsidR="00F316B8" w:rsidRDefault="00362CE9" w:rsidP="00F316B8">
      <w:pPr>
        <w:pStyle w:val="Quote"/>
      </w:pPr>
      <w:r>
        <w:t>[B</w:t>
      </w:r>
      <w:r w:rsidR="00F316B8">
        <w:t>]</w:t>
      </w:r>
      <w:proofErr w:type="spellStart"/>
      <w:r w:rsidR="00F316B8">
        <w:t>ecause</w:t>
      </w:r>
      <w:proofErr w:type="spellEnd"/>
      <w:r w:rsidR="00F316B8">
        <w:t xml:space="preserve"> the applicant and its counsel believe the Commission with its ‘liberal construction’ premise codified in WAC 480-07-395(4), will disregard such omissions with respect to the procedural rule</w:t>
      </w:r>
      <w:r w:rsidR="00041C09">
        <w:t>s</w:t>
      </w:r>
      <w:r w:rsidR="00F316B8">
        <w:t xml:space="preserve"> it will nevertheless submit this Answer</w:t>
      </w:r>
      <w:r w:rsidR="00041C09">
        <w:t>.</w:t>
      </w:r>
      <w:r w:rsidR="00F316B8">
        <w:rPr>
          <w:rStyle w:val="FootnoteReference"/>
        </w:rPr>
        <w:footnoteReference w:id="11"/>
      </w:r>
    </w:p>
    <w:p w:rsidR="00F316B8" w:rsidRDefault="00F316B8" w:rsidP="00F316B8">
      <w:pPr>
        <w:pStyle w:val="ListParagraph"/>
        <w:numPr>
          <w:ilvl w:val="0"/>
          <w:numId w:val="16"/>
        </w:numPr>
        <w:spacing w:line="480" w:lineRule="auto"/>
        <w:ind w:left="0" w:hanging="720"/>
      </w:pPr>
      <w:r>
        <w:tab/>
      </w:r>
      <w:r w:rsidR="005E30CA">
        <w:t xml:space="preserve">Weighing potential “prejudices” caused by allegations of rule compliance deficiencies is </w:t>
      </w:r>
      <w:r w:rsidR="00041C09">
        <w:t>surely</w:t>
      </w:r>
      <w:r w:rsidR="005E30CA">
        <w:t xml:space="preserve"> a slippery slope for Shuttle Express.  It is an evaluation that Shuttle Express should </w:t>
      </w:r>
      <w:r w:rsidR="005E30CA">
        <w:lastRenderedPageBreak/>
        <w:t>assiduously avoid mu</w:t>
      </w:r>
      <w:r w:rsidR="009C035F">
        <w:t>c</w:t>
      </w:r>
      <w:r w:rsidR="005E30CA">
        <w:t xml:space="preserve">h as it would be expected to deflect focus on </w:t>
      </w:r>
      <w:r w:rsidR="009C035F">
        <w:t xml:space="preserve">its </w:t>
      </w:r>
      <w:r w:rsidR="006A18C6">
        <w:t xml:space="preserve">historic </w:t>
      </w:r>
      <w:r w:rsidR="005E30CA">
        <w:t xml:space="preserve">operational </w:t>
      </w:r>
      <w:r w:rsidR="006A18C6">
        <w:t>non-</w:t>
      </w:r>
      <w:r w:rsidR="005E30CA">
        <w:t xml:space="preserve">compliance with substantive </w:t>
      </w:r>
      <w:r w:rsidR="009C035F">
        <w:t xml:space="preserve">Commission </w:t>
      </w:r>
      <w:r w:rsidR="005E30CA">
        <w:t>regulations</w:t>
      </w:r>
      <w:r w:rsidR="009C035F">
        <w:t>,</w:t>
      </w:r>
      <w:r w:rsidR="005E30CA">
        <w:t xml:space="preserve"> like WAC 480-30-213.</w:t>
      </w:r>
    </w:p>
    <w:p w:rsidR="005B441F" w:rsidRDefault="005E30CA" w:rsidP="00F316B8">
      <w:pPr>
        <w:pStyle w:val="ListParagraph"/>
        <w:numPr>
          <w:ilvl w:val="0"/>
          <w:numId w:val="16"/>
        </w:numPr>
        <w:spacing w:line="480" w:lineRule="auto"/>
        <w:ind w:left="0" w:hanging="720"/>
      </w:pPr>
      <w:r>
        <w:tab/>
        <w:t xml:space="preserve">Shuttle Express’ current Motion typifies its “Trojan horse” administrative </w:t>
      </w:r>
      <w:r w:rsidR="009C035F">
        <w:t>compliance philosophy</w:t>
      </w:r>
      <w:r w:rsidR="00C2558F">
        <w:t xml:space="preserve">.  </w:t>
      </w:r>
      <w:r w:rsidR="00041C09">
        <w:t xml:space="preserve">Moreover, despite Shuttle Express’ reliance on a narrow procedural rule provision on formatting of answers, there is </w:t>
      </w:r>
      <w:r w:rsidR="006A18C6">
        <w:t xml:space="preserve">also </w:t>
      </w:r>
      <w:r w:rsidR="00041C09">
        <w:t xml:space="preserve">no substantive Commission roadmap precluding Speedishuttle from thoroughly and exhaustively arguing its specific opposition to the barrage of legal arguments raised by Shuttle Express in its Petition for Rehearing.  </w:t>
      </w:r>
      <w:r w:rsidR="00C2558F">
        <w:t>It</w:t>
      </w:r>
      <w:r w:rsidR="00041C09">
        <w:t xml:space="preserve">s Motion </w:t>
      </w:r>
      <w:r>
        <w:t xml:space="preserve">serves as </w:t>
      </w:r>
      <w:r w:rsidR="00041C09">
        <w:t xml:space="preserve">yet </w:t>
      </w:r>
      <w:r>
        <w:t>a</w:t>
      </w:r>
      <w:r w:rsidR="009C035F">
        <w:t>nother</w:t>
      </w:r>
      <w:r>
        <w:t xml:space="preserve"> </w:t>
      </w:r>
      <w:r w:rsidR="00451672">
        <w:t>smokescreen</w:t>
      </w:r>
      <w:r>
        <w:t xml:space="preserve"> </w:t>
      </w:r>
      <w:r w:rsidR="00451672">
        <w:t>t</w:t>
      </w:r>
      <w:r>
        <w:t xml:space="preserve">o deflect </w:t>
      </w:r>
      <w:r w:rsidR="00C2558F">
        <w:t>telling</w:t>
      </w:r>
      <w:r>
        <w:t xml:space="preserve"> </w:t>
      </w:r>
      <w:r w:rsidR="00451672">
        <w:t>analysis</w:t>
      </w:r>
      <w:r>
        <w:t xml:space="preserve"> and characterizations of both its underlying motives to squelch</w:t>
      </w:r>
      <w:r w:rsidR="00451672">
        <w:t xml:space="preserve"> any viable auto transportation alternative at Sea-</w:t>
      </w:r>
      <w:proofErr w:type="spellStart"/>
      <w:proofErr w:type="gramStart"/>
      <w:r w:rsidR="00451672">
        <w:t>Tac</w:t>
      </w:r>
      <w:proofErr w:type="spellEnd"/>
      <w:proofErr w:type="gramEnd"/>
      <w:r w:rsidR="00451672">
        <w:t xml:space="preserve"> Airport and to distract a</w:t>
      </w:r>
      <w:r w:rsidR="00041C09">
        <w:t>ll parties from its</w:t>
      </w:r>
      <w:r w:rsidR="00451672">
        <w:t xml:space="preserve"> historic conduct against which the amalgamated Complaint and Petition to Rehear must be considered.  </w:t>
      </w:r>
    </w:p>
    <w:p w:rsidR="005B441F" w:rsidRDefault="005B441F" w:rsidP="005B441F">
      <w:pPr>
        <w:pStyle w:val="Heading1"/>
      </w:pPr>
      <w:r>
        <w:t>conclusion/prayer for relief</w:t>
      </w:r>
    </w:p>
    <w:p w:rsidR="005E30CA" w:rsidRDefault="00041C09" w:rsidP="00F316B8">
      <w:pPr>
        <w:pStyle w:val="ListParagraph"/>
        <w:numPr>
          <w:ilvl w:val="0"/>
          <w:numId w:val="16"/>
        </w:numPr>
        <w:spacing w:line="480" w:lineRule="auto"/>
        <w:ind w:left="0" w:hanging="720"/>
      </w:pPr>
      <w:r>
        <w:t>Vacating</w:t>
      </w:r>
      <w:r w:rsidR="00451672">
        <w:t xml:space="preserve"> Speedishuttl</w:t>
      </w:r>
      <w:r w:rsidR="009C035F">
        <w:t xml:space="preserve">e’s detailed analytical </w:t>
      </w:r>
      <w:r w:rsidR="007A086B">
        <w:t>response</w:t>
      </w:r>
      <w:r w:rsidR="009C035F">
        <w:t xml:space="preserve"> from </w:t>
      </w:r>
      <w:r w:rsidR="00451672">
        <w:t xml:space="preserve">the record </w:t>
      </w:r>
      <w:r w:rsidR="009C035F">
        <w:t xml:space="preserve">to date </w:t>
      </w:r>
      <w:r w:rsidR="00451672">
        <w:t>on th</w:t>
      </w:r>
      <w:r w:rsidR="009C035F">
        <w:t xml:space="preserve">e latest Shuttle Express </w:t>
      </w:r>
      <w:r w:rsidR="00362CE9">
        <w:t>orchestrations</w:t>
      </w:r>
      <w:r w:rsidR="00451672">
        <w:t xml:space="preserve"> to extinguish its operations would be contrary to the public interest and </w:t>
      </w:r>
      <w:r w:rsidR="009C035F">
        <w:t xml:space="preserve">would </w:t>
      </w:r>
      <w:r w:rsidR="00451672">
        <w:t>violate longstanding procedural rule and substa</w:t>
      </w:r>
      <w:r w:rsidR="009C035F">
        <w:t xml:space="preserve">ntial compliance </w:t>
      </w:r>
      <w:r w:rsidR="007A086B">
        <w:t xml:space="preserve">policies </w:t>
      </w:r>
      <w:r w:rsidR="009C035F">
        <w:t>of the C</w:t>
      </w:r>
      <w:r w:rsidR="00451672">
        <w:t>ommission</w:t>
      </w:r>
      <w:r w:rsidR="006A18C6">
        <w:t xml:space="preserve">. </w:t>
      </w:r>
      <w:r w:rsidR="009C035F">
        <w:t xml:space="preserve"> </w:t>
      </w:r>
      <w:r w:rsidR="006A18C6">
        <w:t xml:space="preserve">It </w:t>
      </w:r>
      <w:r w:rsidR="009C035F">
        <w:t>would hardly “effect justice” between the parties.  For all of the above reasons</w:t>
      </w:r>
      <w:r w:rsidR="00C2558F">
        <w:t>,</w:t>
      </w:r>
      <w:r w:rsidR="009C035F">
        <w:t xml:space="preserve"> Shuttle Express’ Motion to Strike should be denied.</w:t>
      </w:r>
    </w:p>
    <w:p w:rsidR="00041C09" w:rsidRPr="007A02D4" w:rsidRDefault="00041C09" w:rsidP="007A02D4"/>
    <w:p w:rsidR="00DB2248" w:rsidRPr="007A02D4" w:rsidRDefault="00DB2248" w:rsidP="007A02D4"/>
    <w:p w:rsidR="00DB2248" w:rsidRPr="007A02D4" w:rsidRDefault="00DB2248" w:rsidP="007A02D4"/>
    <w:p w:rsidR="006F59AE" w:rsidRPr="007A02D4" w:rsidRDefault="001E154F" w:rsidP="007A02D4"/>
    <w:tbl>
      <w:tblPr>
        <w:tblpPr w:leftFromText="180" w:rightFromText="180" w:horzAnchor="margin" w:tblpY="548"/>
        <w:tblW w:w="0" w:type="auto"/>
        <w:tblLayout w:type="fixed"/>
        <w:tblLook w:val="0000" w:firstRow="0" w:lastRow="0" w:firstColumn="0" w:lastColumn="0" w:noHBand="0" w:noVBand="0"/>
      </w:tblPr>
      <w:tblGrid>
        <w:gridCol w:w="4698"/>
        <w:gridCol w:w="4860"/>
      </w:tblGrid>
      <w:tr w:rsidR="00480698" w:rsidTr="008A539C">
        <w:trPr>
          <w:cantSplit/>
        </w:trPr>
        <w:tc>
          <w:tcPr>
            <w:tcW w:w="4698" w:type="dxa"/>
          </w:tcPr>
          <w:p w:rsidR="006F59AE" w:rsidRPr="00712413" w:rsidRDefault="000137EF" w:rsidP="000137EF">
            <w:pPr>
              <w:keepNext/>
              <w:tabs>
                <w:tab w:val="left" w:pos="432"/>
              </w:tabs>
              <w:spacing w:line="240" w:lineRule="exact"/>
              <w:rPr>
                <w:rFonts w:ascii="Times New Roman" w:hAnsi="Times New Roman"/>
                <w:sz w:val="20"/>
                <w:szCs w:val="20"/>
              </w:rPr>
            </w:pPr>
            <w:r w:rsidRPr="00C852BA">
              <w:rPr>
                <w:rFonts w:ascii="Times New Roman" w:hAnsi="Times New Roman"/>
                <w:sz w:val="24"/>
                <w:szCs w:val="20"/>
              </w:rPr>
              <w:lastRenderedPageBreak/>
              <w:t xml:space="preserve">DATED this </w:t>
            </w:r>
            <w:r w:rsidRPr="00E644AC">
              <w:rPr>
                <w:rFonts w:ascii="Times New Roman" w:hAnsi="Times New Roman"/>
                <w:sz w:val="24"/>
                <w:szCs w:val="20"/>
                <w:u w:val="single"/>
              </w:rPr>
              <w:t xml:space="preserve">___ </w:t>
            </w:r>
            <w:r w:rsidRPr="00C852BA">
              <w:rPr>
                <w:rFonts w:ascii="Times New Roman" w:hAnsi="Times New Roman"/>
                <w:sz w:val="24"/>
                <w:szCs w:val="20"/>
              </w:rPr>
              <w:t xml:space="preserve">day of </w:t>
            </w:r>
            <w:r>
              <w:rPr>
                <w:rFonts w:ascii="Times New Roman" w:hAnsi="Times New Roman"/>
                <w:sz w:val="24"/>
                <w:szCs w:val="20"/>
              </w:rPr>
              <w:t>August</w:t>
            </w:r>
            <w:r w:rsidRPr="00C852BA">
              <w:rPr>
                <w:rFonts w:ascii="Times New Roman" w:hAnsi="Times New Roman"/>
                <w:sz w:val="24"/>
                <w:szCs w:val="20"/>
              </w:rPr>
              <w:t>, 2016.</w:t>
            </w:r>
          </w:p>
        </w:tc>
        <w:tc>
          <w:tcPr>
            <w:tcW w:w="4860" w:type="dxa"/>
          </w:tcPr>
          <w:p w:rsidR="007A02D4" w:rsidRDefault="007A02D4" w:rsidP="008A539C">
            <w:pPr>
              <w:keepNext/>
              <w:spacing w:line="240" w:lineRule="exact"/>
              <w:rPr>
                <w:rFonts w:ascii="Times New Roman" w:hAnsi="Times New Roman"/>
                <w:caps/>
              </w:rPr>
            </w:pPr>
          </w:p>
          <w:p w:rsidR="007A02D4" w:rsidRDefault="007A02D4" w:rsidP="008A539C">
            <w:pPr>
              <w:keepNext/>
              <w:spacing w:line="240" w:lineRule="exact"/>
              <w:rPr>
                <w:rFonts w:ascii="Times New Roman" w:hAnsi="Times New Roman"/>
                <w:caps/>
              </w:rPr>
            </w:pPr>
          </w:p>
          <w:p w:rsidR="007A02D4" w:rsidRDefault="007A02D4" w:rsidP="008A539C">
            <w:pPr>
              <w:keepNext/>
              <w:spacing w:line="240" w:lineRule="exact"/>
              <w:rPr>
                <w:rFonts w:ascii="Times New Roman" w:hAnsi="Times New Roman"/>
                <w:caps/>
              </w:rPr>
            </w:pPr>
          </w:p>
          <w:p w:rsidR="008A539C" w:rsidRDefault="008A539C" w:rsidP="008A539C">
            <w:pPr>
              <w:keepNext/>
              <w:spacing w:line="240" w:lineRule="exact"/>
              <w:rPr>
                <w:rFonts w:ascii="Times New Roman" w:hAnsi="Times New Roman"/>
                <w:caps/>
              </w:rPr>
            </w:pPr>
          </w:p>
          <w:p w:rsidR="006F59AE" w:rsidRDefault="00DB2248" w:rsidP="008A539C">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6F59AE" w:rsidRPr="00712413" w:rsidRDefault="001E154F" w:rsidP="008A539C">
            <w:pPr>
              <w:keepNext/>
              <w:spacing w:line="240" w:lineRule="exact"/>
              <w:rPr>
                <w:rFonts w:ascii="Times New Roman" w:hAnsi="Times New Roman"/>
                <w:caps/>
                <w:sz w:val="20"/>
                <w:szCs w:val="20"/>
              </w:rPr>
            </w:pPr>
          </w:p>
          <w:p w:rsidR="006F59AE" w:rsidRPr="00712413" w:rsidRDefault="001E154F" w:rsidP="008A539C">
            <w:pPr>
              <w:keepNext/>
              <w:spacing w:line="240" w:lineRule="exact"/>
              <w:rPr>
                <w:rFonts w:ascii="Times New Roman" w:hAnsi="Times New Roman"/>
                <w:caps/>
                <w:sz w:val="20"/>
                <w:szCs w:val="20"/>
              </w:rPr>
            </w:pPr>
          </w:p>
          <w:p w:rsidR="006F59AE" w:rsidRPr="00712413" w:rsidRDefault="00DB2248" w:rsidP="008A539C">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6F59AE" w:rsidRPr="00712413" w:rsidRDefault="00DB2248" w:rsidP="008A539C">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Pr="00712413">
              <w:rPr>
                <w:rFonts w:ascii="Times New Roman" w:hAnsi="Times New Roman"/>
              </w:rPr>
              <w:t xml:space="preserve">David W. Wiley, WSBA #08614 </w:t>
            </w:r>
          </w:p>
          <w:p w:rsidR="006F59AE" w:rsidRDefault="00DB2248" w:rsidP="008A539C">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hyperlink r:id="rId9" w:history="1">
              <w:r w:rsidRPr="00712413">
                <w:rPr>
                  <w:rStyle w:val="Hyperlink"/>
                  <w:rFonts w:ascii="Times New Roman" w:hAnsi="Times New Roman"/>
                  <w:sz w:val="20"/>
                  <w:szCs w:val="20"/>
                </w:rPr>
                <w:t>dwiley@williamskastner.com</w:t>
              </w:r>
            </w:hyperlink>
            <w:r w:rsidRPr="00712413">
              <w:rPr>
                <w:rFonts w:ascii="Times New Roman" w:hAnsi="Times New Roman"/>
                <w:sz w:val="20"/>
                <w:szCs w:val="20"/>
              </w:rPr>
              <w:t xml:space="preserve"> </w:t>
            </w:r>
          </w:p>
          <w:p w:rsidR="006F59AE" w:rsidRPr="00712413" w:rsidRDefault="00DB2248" w:rsidP="00362CE9">
            <w:pPr>
              <w:keepNext/>
              <w:spacing w:line="240" w:lineRule="exact"/>
              <w:rPr>
                <w:rFonts w:ascii="Times New Roman" w:hAnsi="Times New Roman"/>
              </w:rPr>
            </w:pPr>
            <w:r w:rsidRPr="00712413">
              <w:rPr>
                <w:rFonts w:ascii="Times New Roman" w:hAnsi="Times New Roman"/>
              </w:rPr>
              <w:t xml:space="preserve">Attorney for </w:t>
            </w:r>
            <w:r>
              <w:rPr>
                <w:rFonts w:ascii="Times New Roman" w:hAnsi="Times New Roman"/>
              </w:rPr>
              <w:t>Speedishuttle Washington, LLC</w:t>
            </w:r>
          </w:p>
        </w:tc>
      </w:tr>
    </w:tbl>
    <w:p w:rsidR="006F59AE" w:rsidRPr="007A02D4" w:rsidRDefault="001E154F" w:rsidP="007A02D4"/>
    <w:p w:rsidR="006F59AE" w:rsidRPr="007A02D4" w:rsidRDefault="001E154F" w:rsidP="007A02D4"/>
    <w:p w:rsidR="003E3A33" w:rsidRPr="007A02D4" w:rsidRDefault="001E154F" w:rsidP="007A02D4"/>
    <w:p w:rsidR="003E3A33" w:rsidRPr="007A02D4" w:rsidRDefault="001E154F" w:rsidP="007A02D4"/>
    <w:p w:rsidR="00EE1C12" w:rsidRDefault="00DB2248" w:rsidP="00C77CAD">
      <w:pPr>
        <w:pStyle w:val="StyleListParagraphTimesNewRoman12ptLinespacingDouble"/>
      </w:pPr>
      <w:r>
        <w:br w:type="page"/>
      </w:r>
    </w:p>
    <w:p w:rsidR="00B62D6E" w:rsidRDefault="00DB2248" w:rsidP="00B62D6E">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lastRenderedPageBreak/>
        <w:t>CERTIFICATE OF SERVICE</w:t>
      </w:r>
    </w:p>
    <w:p w:rsidR="008A539C" w:rsidRPr="00316687" w:rsidRDefault="008A539C" w:rsidP="00B62D6E">
      <w:pPr>
        <w:keepNext/>
        <w:keepLines/>
        <w:jc w:val="center"/>
        <w:rPr>
          <w:rFonts w:ascii="Times New Roman" w:hAnsi="Times New Roman" w:cs="Times New Roman"/>
          <w:b/>
          <w:sz w:val="24"/>
          <w:szCs w:val="24"/>
        </w:rPr>
      </w:pPr>
    </w:p>
    <w:p w:rsidR="00B62D6E" w:rsidRPr="008B20AC" w:rsidRDefault="00DB2248" w:rsidP="00B62D6E">
      <w:pPr>
        <w:keepNext/>
        <w:keepLines/>
        <w:rPr>
          <w:rFonts w:ascii="Times New Roman" w:hAnsi="Times New Roman"/>
          <w:color w:val="0000FF"/>
          <w:sz w:val="24"/>
          <w:u w:val="single"/>
        </w:rPr>
      </w:pPr>
      <w:r w:rsidRPr="00316687">
        <w:rPr>
          <w:rFonts w:ascii="Times New Roman" w:hAnsi="Times New Roman" w:cs="Times New Roman"/>
          <w:sz w:val="24"/>
          <w:szCs w:val="24"/>
        </w:rPr>
        <w:tab/>
      </w:r>
      <w:r w:rsidRPr="008B20AC">
        <w:rPr>
          <w:rFonts w:ascii="Times New Roman" w:hAnsi="Times New Roman"/>
          <w:sz w:val="24"/>
        </w:rPr>
        <w:t xml:space="preserve">I hereby certify that </w:t>
      </w:r>
      <w:r>
        <w:rPr>
          <w:rFonts w:ascii="Times New Roman" w:hAnsi="Times New Roman"/>
          <w:sz w:val="24"/>
        </w:rPr>
        <w:t>on</w:t>
      </w:r>
      <w:r w:rsidR="007A02D4">
        <w:rPr>
          <w:rFonts w:ascii="Times New Roman" w:hAnsi="Times New Roman"/>
          <w:sz w:val="24"/>
        </w:rPr>
        <w:t xml:space="preserve"> August 1</w:t>
      </w:r>
      <w:r>
        <w:rPr>
          <w:rFonts w:ascii="Times New Roman" w:hAnsi="Times New Roman"/>
          <w:sz w:val="24"/>
        </w:rPr>
        <w:t>,</w:t>
      </w:r>
      <w:r w:rsidR="007A02D4">
        <w:rPr>
          <w:rFonts w:ascii="Times New Roman" w:hAnsi="Times New Roman"/>
          <w:sz w:val="24"/>
        </w:rPr>
        <w:t xml:space="preserve"> 2016</w:t>
      </w:r>
      <w:r>
        <w:rPr>
          <w:rFonts w:ascii="Times New Roman" w:hAnsi="Times New Roman"/>
          <w:sz w:val="24"/>
        </w:rPr>
        <w:t xml:space="preserve"> I caused to be served the original and three (3) copies of the foregoing documents to the following address via first class mail:</w:t>
      </w:r>
      <w:r w:rsidRPr="008B20AC">
        <w:rPr>
          <w:rFonts w:ascii="Times New Roman" w:hAnsi="Times New Roman"/>
          <w:sz w:val="24"/>
        </w:rPr>
        <w:t xml:space="preserve"> </w:t>
      </w:r>
    </w:p>
    <w:p w:rsidR="00B62D6E" w:rsidRPr="008B20AC" w:rsidRDefault="001E154F" w:rsidP="00B62D6E">
      <w:pPr>
        <w:rPr>
          <w:rFonts w:ascii="Times New Roman" w:hAnsi="Times New Roman"/>
          <w:sz w:val="24"/>
        </w:rPr>
      </w:pPr>
    </w:p>
    <w:p w:rsidR="00B62D6E" w:rsidRPr="008B20AC" w:rsidRDefault="00DB2248" w:rsidP="00B62D6E">
      <w:pPr>
        <w:rPr>
          <w:rFonts w:ascii="Times New Roman" w:hAnsi="Times New Roman"/>
          <w:sz w:val="24"/>
        </w:rPr>
      </w:pPr>
      <w:r w:rsidRPr="008B20AC">
        <w:rPr>
          <w:rFonts w:ascii="Times New Roman" w:hAnsi="Times New Roman"/>
          <w:sz w:val="24"/>
        </w:rPr>
        <w:tab/>
        <w:t>Steven V. King, Executive Director and Secretary</w:t>
      </w:r>
    </w:p>
    <w:p w:rsidR="00B62D6E" w:rsidRPr="008B20AC" w:rsidRDefault="00DB2248" w:rsidP="00B62D6E">
      <w:pPr>
        <w:ind w:firstLine="720"/>
        <w:rPr>
          <w:rFonts w:ascii="Times New Roman" w:hAnsi="Times New Roman"/>
          <w:sz w:val="24"/>
        </w:rPr>
      </w:pPr>
      <w:r w:rsidRPr="008B20AC">
        <w:rPr>
          <w:rFonts w:ascii="Times New Roman" w:hAnsi="Times New Roman"/>
          <w:sz w:val="24"/>
        </w:rPr>
        <w:t>Washington Utilities and Transportation Commission</w:t>
      </w:r>
    </w:p>
    <w:p w:rsidR="00B62D6E" w:rsidRPr="008B20AC" w:rsidRDefault="00DB2248" w:rsidP="00B62D6E">
      <w:pPr>
        <w:ind w:firstLine="720"/>
        <w:rPr>
          <w:rFonts w:ascii="Times New Roman" w:hAnsi="Times New Roman"/>
          <w:sz w:val="24"/>
        </w:rPr>
      </w:pPr>
      <w:r w:rsidRPr="008B20AC">
        <w:rPr>
          <w:rFonts w:ascii="Times New Roman" w:hAnsi="Times New Roman"/>
          <w:sz w:val="24"/>
        </w:rPr>
        <w:t>Attn.:  Records Center</w:t>
      </w:r>
    </w:p>
    <w:p w:rsidR="00B62D6E" w:rsidRPr="008B20AC" w:rsidRDefault="00DB2248" w:rsidP="00B62D6E">
      <w:pPr>
        <w:ind w:firstLine="720"/>
        <w:rPr>
          <w:rFonts w:ascii="Times New Roman" w:hAnsi="Times New Roman"/>
          <w:sz w:val="24"/>
        </w:rPr>
      </w:pPr>
      <w:r w:rsidRPr="008B20AC">
        <w:rPr>
          <w:rFonts w:ascii="Times New Roman" w:hAnsi="Times New Roman"/>
          <w:sz w:val="24"/>
        </w:rPr>
        <w:t>P.O. Box 47250</w:t>
      </w:r>
    </w:p>
    <w:p w:rsidR="00B62D6E" w:rsidRPr="008B20AC" w:rsidRDefault="00DB2248" w:rsidP="00B62D6E">
      <w:pPr>
        <w:ind w:firstLine="720"/>
        <w:rPr>
          <w:rFonts w:ascii="Times New Roman" w:hAnsi="Times New Roman"/>
          <w:sz w:val="24"/>
        </w:rPr>
      </w:pPr>
      <w:r w:rsidRPr="008B20AC">
        <w:rPr>
          <w:rFonts w:ascii="Times New Roman" w:hAnsi="Times New Roman"/>
          <w:sz w:val="24"/>
        </w:rPr>
        <w:t>1300 S. Evergreen Park Dr. SW</w:t>
      </w:r>
    </w:p>
    <w:p w:rsidR="00B62D6E" w:rsidRPr="008B20AC" w:rsidRDefault="00DB2248" w:rsidP="00B62D6E">
      <w:pPr>
        <w:ind w:firstLine="720"/>
        <w:rPr>
          <w:rFonts w:ascii="Times New Roman" w:hAnsi="Times New Roman"/>
          <w:sz w:val="24"/>
        </w:rPr>
      </w:pPr>
      <w:r w:rsidRPr="008B20AC">
        <w:rPr>
          <w:rFonts w:ascii="Times New Roman" w:hAnsi="Times New Roman"/>
          <w:sz w:val="24"/>
        </w:rPr>
        <w:t>Olympia, WA 98504-7250</w:t>
      </w:r>
    </w:p>
    <w:p w:rsidR="00B62D6E" w:rsidRPr="008B20AC" w:rsidRDefault="001E154F" w:rsidP="00B62D6E">
      <w:pPr>
        <w:ind w:firstLine="720"/>
        <w:rPr>
          <w:rFonts w:ascii="Times New Roman" w:hAnsi="Times New Roman"/>
          <w:sz w:val="24"/>
        </w:rPr>
      </w:pPr>
    </w:p>
    <w:p w:rsidR="008B2564" w:rsidRPr="008B2564" w:rsidRDefault="00DB2248" w:rsidP="00B62D6E">
      <w:pPr>
        <w:rPr>
          <w:rStyle w:val="Hyperlink"/>
          <w:rFonts w:ascii="Times New Roman" w:hAnsi="Times New Roman"/>
          <w:color w:val="auto"/>
          <w:sz w:val="24"/>
          <w:u w:val="none"/>
        </w:rPr>
      </w:pPr>
      <w:r w:rsidRPr="008B2564">
        <w:rPr>
          <w:rStyle w:val="Hyperlink"/>
          <w:rFonts w:ascii="Times New Roman" w:hAnsi="Times New Roman"/>
          <w:color w:val="auto"/>
          <w:sz w:val="24"/>
          <w:u w:val="none"/>
        </w:rPr>
        <w:t xml:space="preserve">I further certify that I have also provided to the Washington Utilities and Transportation Commission’s Secretary an official electronic file containing the foregoing </w:t>
      </w:r>
      <w:r>
        <w:rPr>
          <w:rStyle w:val="Hyperlink"/>
          <w:rFonts w:ascii="Times New Roman" w:hAnsi="Times New Roman"/>
          <w:color w:val="auto"/>
          <w:sz w:val="24"/>
          <w:u w:val="none"/>
        </w:rPr>
        <w:t xml:space="preserve">document via </w:t>
      </w:r>
      <w:r w:rsidR="00CB510B">
        <w:rPr>
          <w:rStyle w:val="Hyperlink"/>
          <w:rFonts w:ascii="Times New Roman" w:hAnsi="Times New Roman"/>
          <w:color w:val="auto"/>
          <w:sz w:val="24"/>
          <w:u w:val="none"/>
        </w:rPr>
        <w:t>the web portal</w:t>
      </w:r>
      <w:bookmarkStart w:id="0" w:name="_GoBack"/>
      <w:bookmarkEnd w:id="0"/>
      <w:r>
        <w:rPr>
          <w:rStyle w:val="Hyperlink"/>
          <w:rFonts w:ascii="Times New Roman" w:hAnsi="Times New Roman"/>
          <w:color w:val="auto"/>
          <w:sz w:val="24"/>
          <w:u w:val="none"/>
        </w:rPr>
        <w:t xml:space="preserve"> to:</w:t>
      </w:r>
    </w:p>
    <w:p w:rsidR="00B62D6E" w:rsidRDefault="001E154F" w:rsidP="00B62D6E">
      <w:pPr>
        <w:rPr>
          <w:rStyle w:val="Hyperlink"/>
          <w:rFonts w:ascii="Times New Roman" w:hAnsi="Times New Roman"/>
          <w:sz w:val="24"/>
        </w:rPr>
      </w:pPr>
      <w:hyperlink r:id="rId10" w:history="1">
        <w:r w:rsidR="00DB2248" w:rsidRPr="00DD4253">
          <w:rPr>
            <w:rStyle w:val="Hyperlink"/>
            <w:rFonts w:ascii="Times New Roman" w:hAnsi="Times New Roman"/>
            <w:sz w:val="24"/>
          </w:rPr>
          <w:t>records@utc.wa.gov</w:t>
        </w:r>
      </w:hyperlink>
    </w:p>
    <w:p w:rsidR="008B2564" w:rsidRPr="008B20AC" w:rsidRDefault="001E154F" w:rsidP="00B62D6E">
      <w:pPr>
        <w:rPr>
          <w:rFonts w:ascii="Times New Roman" w:hAnsi="Times New Roman"/>
          <w:sz w:val="24"/>
        </w:rPr>
      </w:pPr>
    </w:p>
    <w:p w:rsidR="00B62D6E" w:rsidRPr="008B20AC" w:rsidRDefault="00DB2248" w:rsidP="00B62D6E">
      <w:pPr>
        <w:keepNext/>
        <w:keepLines/>
        <w:rPr>
          <w:rFonts w:ascii="Times New Roman" w:hAnsi="Times New Roman"/>
          <w:sz w:val="24"/>
        </w:rPr>
      </w:pPr>
      <w:proofErr w:type="gramStart"/>
      <w:r w:rsidRPr="008B20AC">
        <w:rPr>
          <w:rFonts w:ascii="Times New Roman" w:hAnsi="Times New Roman"/>
          <w:sz w:val="24"/>
        </w:rPr>
        <w:t>and</w:t>
      </w:r>
      <w:proofErr w:type="gramEnd"/>
      <w:r w:rsidRPr="008B20AC">
        <w:rPr>
          <w:rFonts w:ascii="Times New Roman" w:hAnsi="Times New Roman"/>
          <w:sz w:val="24"/>
        </w:rPr>
        <w:t xml:space="preserve"> served a copy via email and first class mail, postage prepaid, to:</w:t>
      </w:r>
      <w:r w:rsidRPr="008B20AC">
        <w:rPr>
          <w:rFonts w:ascii="Times New Roman" w:hAnsi="Times New Roman"/>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480698" w:rsidTr="003723BC">
        <w:tc>
          <w:tcPr>
            <w:tcW w:w="4338" w:type="dxa"/>
            <w:shd w:val="clear" w:color="auto" w:fill="auto"/>
          </w:tcPr>
          <w:p w:rsidR="00B62D6E" w:rsidRPr="00316687"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B62D6E"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Assistant Attorney General</w:t>
            </w:r>
          </w:p>
          <w:p w:rsidR="00B62D6E"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Office of the Attorney General</w:t>
            </w:r>
          </w:p>
          <w:p w:rsidR="00B62D6E" w:rsidRPr="00316687" w:rsidRDefault="00DB2248" w:rsidP="003723BC">
            <w:pPr>
              <w:keepNext/>
              <w:keepLines/>
              <w:rPr>
                <w:rFonts w:ascii="Times New Roman" w:hAnsi="Times New Roman" w:cs="Times New Roman"/>
                <w:sz w:val="24"/>
                <w:szCs w:val="24"/>
              </w:rPr>
            </w:pPr>
            <w:r>
              <w:rPr>
                <w:rFonts w:ascii="Times New Roman" w:hAnsi="Times New Roman" w:cs="Times New Roman"/>
                <w:sz w:val="24"/>
                <w:szCs w:val="24"/>
              </w:rPr>
              <w:t>Utilities and Transportation Division</w:t>
            </w:r>
          </w:p>
          <w:p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B62D6E" w:rsidRPr="00316687" w:rsidRDefault="00DB2248" w:rsidP="003723BC">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hyperlink r:id="rId11" w:history="1">
              <w:r w:rsidRPr="0014570A">
                <w:rPr>
                  <w:rStyle w:val="Hyperlink"/>
                  <w:rFonts w:ascii="Times New Roman" w:hAnsi="Times New Roman" w:cs="Times New Roman"/>
                  <w:sz w:val="24"/>
                  <w:szCs w:val="24"/>
                </w:rPr>
                <w:t>jbeattie@utc.wa.gov</w:t>
              </w:r>
            </w:hyperlink>
          </w:p>
          <w:p w:rsidR="00B62D6E" w:rsidRPr="00316687" w:rsidRDefault="001E154F" w:rsidP="003723BC">
            <w:pPr>
              <w:keepNext/>
              <w:keepLines/>
              <w:rPr>
                <w:rFonts w:ascii="Times New Roman" w:hAnsi="Times New Roman" w:cs="Times New Roman"/>
                <w:sz w:val="24"/>
                <w:szCs w:val="24"/>
              </w:rPr>
            </w:pPr>
          </w:p>
        </w:tc>
        <w:tc>
          <w:tcPr>
            <w:tcW w:w="4860" w:type="dxa"/>
            <w:shd w:val="clear" w:color="auto" w:fill="auto"/>
          </w:tcPr>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Brooks Harlow</w:t>
            </w:r>
          </w:p>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 xml:space="preserve">Lukas, </w:t>
            </w:r>
            <w:proofErr w:type="spellStart"/>
            <w:r>
              <w:rPr>
                <w:rFonts w:ascii="Times New Roman" w:hAnsi="Times New Roman" w:cs="Times New Roman"/>
                <w:sz w:val="24"/>
                <w:szCs w:val="24"/>
              </w:rPr>
              <w:t>Nace</w:t>
            </w:r>
            <w:proofErr w:type="spellEnd"/>
            <w:r>
              <w:rPr>
                <w:rFonts w:ascii="Times New Roman" w:hAnsi="Times New Roman" w:cs="Times New Roman"/>
                <w:sz w:val="24"/>
                <w:szCs w:val="24"/>
              </w:rPr>
              <w:t>, Gutierrez &amp; Sachs, LLP</w:t>
            </w:r>
          </w:p>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8300 Greensboro Dr. Suite 1200</w:t>
            </w:r>
          </w:p>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McLean, VA 22102</w:t>
            </w:r>
            <w:r w:rsidR="008E5FE8">
              <w:rPr>
                <w:rFonts w:ascii="Times New Roman" w:hAnsi="Times New Roman" w:cs="Times New Roman"/>
                <w:sz w:val="24"/>
                <w:szCs w:val="24"/>
              </w:rPr>
              <w:t>gk</w:t>
            </w:r>
          </w:p>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(703) 584-8680</w:t>
            </w:r>
          </w:p>
          <w:p w:rsidR="00070876" w:rsidRDefault="00070876" w:rsidP="00070876">
            <w:pPr>
              <w:keepNext/>
              <w:keepLines/>
              <w:rPr>
                <w:rFonts w:ascii="Times New Roman" w:hAnsi="Times New Roman" w:cs="Times New Roman"/>
                <w:sz w:val="24"/>
                <w:szCs w:val="24"/>
              </w:rPr>
            </w:pPr>
            <w:r>
              <w:rPr>
                <w:rFonts w:ascii="Times New Roman" w:hAnsi="Times New Roman" w:cs="Times New Roman"/>
                <w:sz w:val="24"/>
                <w:szCs w:val="24"/>
              </w:rPr>
              <w:t xml:space="preserve">Email: </w:t>
            </w:r>
            <w:r>
              <w:rPr>
                <w:rStyle w:val="Hyperlink"/>
                <w:rFonts w:ascii="Times New Roman" w:hAnsi="Times New Roman" w:cs="Times New Roman"/>
                <w:sz w:val="24"/>
                <w:szCs w:val="24"/>
              </w:rPr>
              <w:t>bharlow@fcclaw.com</w:t>
            </w:r>
          </w:p>
          <w:p w:rsidR="00B62D6E" w:rsidRPr="00316687" w:rsidRDefault="001E154F" w:rsidP="00070876">
            <w:pPr>
              <w:keepNext/>
              <w:keepLines/>
              <w:rPr>
                <w:rFonts w:ascii="Times New Roman" w:hAnsi="Times New Roman" w:cs="Times New Roman"/>
                <w:sz w:val="24"/>
                <w:szCs w:val="24"/>
              </w:rPr>
            </w:pPr>
          </w:p>
        </w:tc>
      </w:tr>
      <w:tr w:rsidR="00480698" w:rsidTr="003723BC">
        <w:tc>
          <w:tcPr>
            <w:tcW w:w="4338" w:type="dxa"/>
            <w:shd w:val="clear" w:color="auto" w:fill="auto"/>
          </w:tcPr>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John Fricke</w:t>
            </w:r>
          </w:p>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Pacific Northwest Transportation Services, Inc.</w:t>
            </w:r>
          </w:p>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 xml:space="preserve">d/b/a Capital </w:t>
            </w:r>
            <w:proofErr w:type="spellStart"/>
            <w:r w:rsidRPr="00316687">
              <w:rPr>
                <w:rFonts w:ascii="Times New Roman" w:hAnsi="Times New Roman" w:cs="Times New Roman"/>
                <w:sz w:val="24"/>
                <w:szCs w:val="24"/>
              </w:rPr>
              <w:t>Aeroporter</w:t>
            </w:r>
            <w:proofErr w:type="spellEnd"/>
            <w:r w:rsidRPr="00316687">
              <w:rPr>
                <w:rFonts w:ascii="Times New Roman" w:hAnsi="Times New Roman" w:cs="Times New Roman"/>
                <w:sz w:val="24"/>
                <w:szCs w:val="24"/>
              </w:rPr>
              <w:t xml:space="preserve"> Airport Shuttle</w:t>
            </w:r>
          </w:p>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PO Box 2163</w:t>
            </w:r>
          </w:p>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Olympia, WA 98507-2163</w:t>
            </w:r>
          </w:p>
          <w:p w:rsidR="00070876" w:rsidRPr="00316687" w:rsidRDefault="00070876" w:rsidP="00070876">
            <w:pPr>
              <w:rPr>
                <w:rFonts w:ascii="Times New Roman" w:hAnsi="Times New Roman" w:cs="Times New Roman"/>
                <w:sz w:val="24"/>
                <w:szCs w:val="24"/>
              </w:rPr>
            </w:pPr>
            <w:r w:rsidRPr="00316687">
              <w:rPr>
                <w:rFonts w:ascii="Times New Roman" w:hAnsi="Times New Roman" w:cs="Times New Roman"/>
                <w:sz w:val="24"/>
                <w:szCs w:val="24"/>
              </w:rPr>
              <w:t>(360) 292-7680</w:t>
            </w:r>
          </w:p>
          <w:p w:rsidR="00B62D6E" w:rsidRPr="00316687" w:rsidRDefault="001E154F" w:rsidP="00070876">
            <w:pPr>
              <w:keepNext/>
              <w:keepLines/>
              <w:rPr>
                <w:rFonts w:ascii="Times New Roman" w:hAnsi="Times New Roman" w:cs="Times New Roman"/>
                <w:sz w:val="24"/>
                <w:szCs w:val="24"/>
              </w:rPr>
            </w:pPr>
            <w:hyperlink r:id="rId12" w:history="1">
              <w:r w:rsidR="00070876" w:rsidRPr="00316687">
                <w:rPr>
                  <w:rStyle w:val="Hyperlink"/>
                  <w:rFonts w:ascii="Times New Roman" w:hAnsi="Times New Roman" w:cs="Times New Roman"/>
                  <w:sz w:val="24"/>
                  <w:szCs w:val="24"/>
                </w:rPr>
                <w:t>johnf@capair.com</w:t>
              </w:r>
            </w:hyperlink>
          </w:p>
        </w:tc>
        <w:tc>
          <w:tcPr>
            <w:tcW w:w="4860" w:type="dxa"/>
            <w:shd w:val="clear" w:color="auto" w:fill="auto"/>
          </w:tcPr>
          <w:p w:rsidR="00B62D6E"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 xml:space="preserve">Greg </w:t>
            </w:r>
            <w:proofErr w:type="spellStart"/>
            <w:r>
              <w:rPr>
                <w:rFonts w:ascii="Times New Roman" w:hAnsi="Times New Roman" w:cs="Times New Roman"/>
                <w:sz w:val="24"/>
                <w:szCs w:val="24"/>
              </w:rPr>
              <w:t>Kopta</w:t>
            </w:r>
            <w:proofErr w:type="spellEnd"/>
          </w:p>
          <w:p w:rsidR="007A02D4"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Director/Administrative Law Judge</w:t>
            </w:r>
          </w:p>
          <w:p w:rsidR="007A02D4"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PO Box 47250</w:t>
            </w:r>
          </w:p>
          <w:p w:rsidR="007A02D4"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1300 S. Evergreen Park Dr. SW</w:t>
            </w:r>
          </w:p>
          <w:p w:rsidR="007A02D4"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Olympia, WA 98504-7250</w:t>
            </w:r>
          </w:p>
          <w:p w:rsidR="007A02D4" w:rsidRDefault="007A02D4" w:rsidP="003723BC">
            <w:pPr>
              <w:keepNext/>
              <w:keepLines/>
              <w:rPr>
                <w:rFonts w:ascii="Times New Roman" w:hAnsi="Times New Roman" w:cs="Times New Roman"/>
                <w:sz w:val="24"/>
                <w:szCs w:val="24"/>
              </w:rPr>
            </w:pPr>
            <w:r>
              <w:rPr>
                <w:rFonts w:ascii="Times New Roman" w:hAnsi="Times New Roman" w:cs="Times New Roman"/>
                <w:sz w:val="24"/>
                <w:szCs w:val="24"/>
              </w:rPr>
              <w:t>(360) 664-1160</w:t>
            </w:r>
          </w:p>
          <w:p w:rsidR="007A02D4" w:rsidRDefault="001E154F" w:rsidP="003723BC">
            <w:pPr>
              <w:keepNext/>
              <w:keepLines/>
              <w:rPr>
                <w:rFonts w:ascii="Times New Roman" w:hAnsi="Times New Roman" w:cs="Times New Roman"/>
                <w:sz w:val="24"/>
                <w:szCs w:val="24"/>
              </w:rPr>
            </w:pPr>
            <w:hyperlink r:id="rId13" w:history="1">
              <w:r w:rsidR="007A02D4" w:rsidRPr="001B6D84">
                <w:rPr>
                  <w:rStyle w:val="Hyperlink"/>
                  <w:rFonts w:ascii="Times New Roman" w:hAnsi="Times New Roman" w:cs="Times New Roman"/>
                  <w:sz w:val="24"/>
                  <w:szCs w:val="24"/>
                </w:rPr>
                <w:t>gkopta@utc.wa.gov</w:t>
              </w:r>
            </w:hyperlink>
          </w:p>
          <w:p w:rsidR="007A02D4" w:rsidRPr="00316687" w:rsidRDefault="007A02D4" w:rsidP="003723BC">
            <w:pPr>
              <w:keepNext/>
              <w:keepLines/>
              <w:rPr>
                <w:rFonts w:ascii="Times New Roman" w:hAnsi="Times New Roman" w:cs="Times New Roman"/>
                <w:sz w:val="24"/>
                <w:szCs w:val="24"/>
              </w:rPr>
            </w:pPr>
          </w:p>
        </w:tc>
      </w:tr>
    </w:tbl>
    <w:p w:rsidR="00B62D6E" w:rsidRDefault="00DB2248" w:rsidP="00B62D6E">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B62D6E" w:rsidRPr="00316687" w:rsidRDefault="001E154F" w:rsidP="00B62D6E">
      <w:pPr>
        <w:keepNext/>
        <w:keepLines/>
        <w:jc w:val="center"/>
        <w:rPr>
          <w:rFonts w:ascii="Times New Roman" w:hAnsi="Times New Roman" w:cs="Times New Roman"/>
          <w:sz w:val="24"/>
          <w:szCs w:val="24"/>
        </w:rPr>
      </w:pPr>
    </w:p>
    <w:p w:rsidR="00B62D6E" w:rsidRDefault="00DB2248" w:rsidP="00B62D6E">
      <w:pPr>
        <w:keepNext/>
        <w:keepLines/>
        <w:rPr>
          <w:rFonts w:ascii="Times New Roman" w:hAnsi="Times New Roman" w:cs="Times New Roman"/>
          <w:sz w:val="24"/>
          <w:szCs w:val="24"/>
        </w:rPr>
      </w:pPr>
      <w:proofErr w:type="gramStart"/>
      <w:r>
        <w:rPr>
          <w:rFonts w:ascii="Times New Roman" w:hAnsi="Times New Roman" w:cs="Times New Roman"/>
          <w:sz w:val="24"/>
          <w:szCs w:val="24"/>
        </w:rPr>
        <w:t xml:space="preserve">Dated at Seattle, Washington this </w:t>
      </w:r>
      <w:r w:rsidR="007A02D4">
        <w:rPr>
          <w:rFonts w:ascii="Times New Roman" w:hAnsi="Times New Roman" w:cs="Times New Roman"/>
          <w:sz w:val="24"/>
          <w:szCs w:val="24"/>
        </w:rPr>
        <w:t>1</w:t>
      </w:r>
      <w:r w:rsidR="007A02D4" w:rsidRPr="007A02D4">
        <w:rPr>
          <w:rFonts w:ascii="Times New Roman" w:hAnsi="Times New Roman" w:cs="Times New Roman"/>
          <w:sz w:val="24"/>
          <w:szCs w:val="24"/>
          <w:vertAlign w:val="superscript"/>
        </w:rPr>
        <w:t>st</w:t>
      </w:r>
      <w:r w:rsidR="007A02D4">
        <w:rPr>
          <w:rFonts w:ascii="Times New Roman" w:hAnsi="Times New Roman" w:cs="Times New Roman"/>
          <w:sz w:val="24"/>
          <w:szCs w:val="24"/>
        </w:rPr>
        <w:t xml:space="preserve"> </w:t>
      </w:r>
      <w:r>
        <w:rPr>
          <w:rFonts w:ascii="Times New Roman" w:hAnsi="Times New Roman" w:cs="Times New Roman"/>
          <w:sz w:val="24"/>
          <w:szCs w:val="24"/>
        </w:rPr>
        <w:t>day of</w:t>
      </w:r>
      <w:r w:rsidR="007A02D4">
        <w:rPr>
          <w:rFonts w:ascii="Times New Roman" w:hAnsi="Times New Roman" w:cs="Times New Roman"/>
          <w:sz w:val="24"/>
          <w:szCs w:val="24"/>
        </w:rPr>
        <w:t xml:space="preserve"> August</w:t>
      </w:r>
      <w:r>
        <w:rPr>
          <w:rFonts w:ascii="Times New Roman" w:hAnsi="Times New Roman" w:cs="Times New Roman"/>
          <w:sz w:val="24"/>
          <w:szCs w:val="24"/>
        </w:rPr>
        <w:t>, 2016.</w:t>
      </w:r>
      <w:proofErr w:type="gramEnd"/>
    </w:p>
    <w:p w:rsidR="00B62D6E" w:rsidRPr="007A02D4" w:rsidRDefault="001E154F" w:rsidP="007A02D4"/>
    <w:p w:rsidR="00B62D6E" w:rsidRPr="00316687" w:rsidRDefault="00DB2248" w:rsidP="00B62D6E">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rsidR="00B62D6E" w:rsidRPr="00316687" w:rsidRDefault="00DB2248" w:rsidP="00B62D6E">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t>Maggi Gruber</w:t>
      </w:r>
    </w:p>
    <w:p w:rsidR="003E2B8D" w:rsidRPr="007A02D4" w:rsidRDefault="003E2B8D" w:rsidP="007A02D4"/>
    <w:sectPr w:rsidR="003E2B8D" w:rsidRPr="007A02D4" w:rsidSect="0052270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BF" w:rsidRDefault="00DB2248">
      <w:r>
        <w:separator/>
      </w:r>
    </w:p>
  </w:endnote>
  <w:endnote w:type="continuationSeparator" w:id="0">
    <w:p w:rsidR="003410BF" w:rsidRDefault="00DB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E3" w:rsidRDefault="00FA5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91" w:type="dxa"/>
      <w:tblLayout w:type="fixed"/>
      <w:tblCellMar>
        <w:left w:w="91" w:type="dxa"/>
        <w:right w:w="91" w:type="dxa"/>
      </w:tblCellMar>
      <w:tblLook w:val="0000" w:firstRow="0" w:lastRow="0" w:firstColumn="0" w:lastColumn="0" w:noHBand="0" w:noVBand="0"/>
    </w:tblPr>
    <w:tblGrid>
      <w:gridCol w:w="6029"/>
      <w:gridCol w:w="202"/>
      <w:gridCol w:w="3489"/>
    </w:tblGrid>
    <w:tr w:rsidR="00480698" w:rsidTr="00403A09">
      <w:trPr>
        <w:trHeight w:val="700"/>
      </w:trPr>
      <w:tc>
        <w:tcPr>
          <w:tcW w:w="6029" w:type="dxa"/>
        </w:tcPr>
        <w:p w:rsidR="00ED1D92" w:rsidRDefault="00DB2248" w:rsidP="00ED1D92">
          <w:pPr>
            <w:rPr>
              <w:rFonts w:ascii="Times New Roman" w:hAnsi="Times New Roman" w:cs="Times New Roman"/>
              <w:sz w:val="20"/>
              <w:szCs w:val="24"/>
            </w:rPr>
          </w:pPr>
          <w:r w:rsidRPr="00787DD8">
            <w:rPr>
              <w:rFonts w:ascii="Times New Roman" w:hAnsi="Times New Roman" w:cs="Times New Roman"/>
              <w:sz w:val="20"/>
              <w:szCs w:val="24"/>
            </w:rPr>
            <w:t>SPEEDISHUTTLE</w:t>
          </w:r>
          <w:r w:rsidR="00ED1D92">
            <w:rPr>
              <w:rFonts w:ascii="Times New Roman" w:hAnsi="Times New Roman" w:cs="Times New Roman"/>
              <w:sz w:val="20"/>
              <w:szCs w:val="24"/>
            </w:rPr>
            <w:t xml:space="preserve">’S RESPONSE TO </w:t>
          </w:r>
        </w:p>
        <w:p w:rsidR="008F2228" w:rsidRPr="00403A09" w:rsidRDefault="00ED1D92" w:rsidP="00ED1D92">
          <w:pPr>
            <w:rPr>
              <w:rStyle w:val="PageNumber"/>
              <w:rFonts w:ascii="Times New Roman" w:hAnsi="Times New Roman" w:cs="Times New Roman"/>
              <w:szCs w:val="24"/>
            </w:rPr>
          </w:pPr>
          <w:r>
            <w:rPr>
              <w:rFonts w:ascii="Times New Roman" w:hAnsi="Times New Roman" w:cs="Times New Roman"/>
              <w:sz w:val="20"/>
              <w:szCs w:val="24"/>
            </w:rPr>
            <w:t xml:space="preserve">SHUTTLE EXPRESS’ MOTION TO STRIKE - </w:t>
          </w:r>
          <w:r w:rsidR="00DB2248">
            <w:rPr>
              <w:rStyle w:val="PageNumber"/>
              <w:sz w:val="20"/>
            </w:rPr>
            <w:fldChar w:fldCharType="begin"/>
          </w:r>
          <w:r w:rsidR="00DB2248">
            <w:rPr>
              <w:rStyle w:val="PageNumber"/>
              <w:sz w:val="20"/>
            </w:rPr>
            <w:instrText xml:space="preserve"> PAGE </w:instrText>
          </w:r>
          <w:r w:rsidR="00DB2248">
            <w:rPr>
              <w:rStyle w:val="PageNumber"/>
              <w:sz w:val="20"/>
            </w:rPr>
            <w:fldChar w:fldCharType="separate"/>
          </w:r>
          <w:r w:rsidR="001E154F">
            <w:rPr>
              <w:rStyle w:val="PageNumber"/>
              <w:noProof/>
              <w:sz w:val="20"/>
            </w:rPr>
            <w:t>10</w:t>
          </w:r>
          <w:r w:rsidR="00DB2248">
            <w:rPr>
              <w:rStyle w:val="PageNumber"/>
              <w:sz w:val="20"/>
            </w:rPr>
            <w:fldChar w:fldCharType="end"/>
          </w:r>
        </w:p>
      </w:tc>
      <w:tc>
        <w:tcPr>
          <w:tcW w:w="202" w:type="dxa"/>
        </w:tcPr>
        <w:p w:rsidR="008F2228" w:rsidRDefault="001E154F" w:rsidP="008F2228">
          <w:pPr>
            <w:pStyle w:val="FirmName"/>
            <w:spacing w:line="200" w:lineRule="exact"/>
            <w:jc w:val="left"/>
            <w:rPr>
              <w:b/>
              <w:sz w:val="16"/>
            </w:rPr>
          </w:pPr>
        </w:p>
      </w:tc>
      <w:tc>
        <w:tcPr>
          <w:tcW w:w="3489" w:type="dxa"/>
        </w:tcPr>
        <w:p w:rsidR="008F2228" w:rsidRDefault="001E154F" w:rsidP="008F2228">
          <w:pPr>
            <w:pStyle w:val="FirmName"/>
            <w:spacing w:line="240" w:lineRule="auto"/>
            <w:ind w:left="-86"/>
            <w:jc w:val="left"/>
            <w:rPr>
              <w:sz w:val="16"/>
            </w:rPr>
          </w:pPr>
        </w:p>
      </w:tc>
    </w:tr>
  </w:tbl>
  <w:p w:rsidR="008A029A" w:rsidRDefault="00DB2248" w:rsidP="00A273DB">
    <w:pPr>
      <w:pStyle w:val="Footer"/>
      <w:rPr>
        <w:sz w:val="16"/>
      </w:rPr>
    </w:pPr>
    <w:r>
      <w:rPr>
        <w:sz w:val="16"/>
      </w:rPr>
      <w:fldChar w:fldCharType="begin"/>
    </w:r>
    <w:r>
      <w:rPr>
        <w:sz w:val="16"/>
      </w:rPr>
      <w:instrText xml:space="preserve"> </w:instrText>
    </w:r>
    <w:r w:rsidRPr="00A273DB">
      <w:rPr>
        <w:sz w:val="16"/>
      </w:rPr>
      <w:instrText>IF "1" = "1" "</w:instrText>
    </w:r>
    <w:r w:rsidRPr="00A273DB">
      <w:rPr>
        <w:sz w:val="16"/>
      </w:rPr>
      <w:fldChar w:fldCharType="begin"/>
    </w:r>
    <w:r w:rsidRPr="00A273DB">
      <w:rPr>
        <w:sz w:val="16"/>
      </w:rPr>
      <w:instrText xml:space="preserve"> DOCPROPERTY "SWDocID" </w:instrText>
    </w:r>
    <w:r w:rsidRPr="00A273DB">
      <w:rPr>
        <w:sz w:val="16"/>
      </w:rPr>
      <w:fldChar w:fldCharType="separate"/>
    </w:r>
    <w:r w:rsidR="001E154F">
      <w:rPr>
        <w:sz w:val="16"/>
      </w:rPr>
      <w:instrText xml:space="preserve"> 5820107.1</w:instrText>
    </w:r>
    <w:r w:rsidRPr="00A273DB">
      <w:rPr>
        <w:sz w:val="16"/>
      </w:rPr>
      <w:fldChar w:fldCharType="end"/>
    </w:r>
    <w:r w:rsidRPr="00A273DB">
      <w:rPr>
        <w:sz w:val="16"/>
      </w:rPr>
      <w:instrText>" ""</w:instrText>
    </w:r>
    <w:r>
      <w:rPr>
        <w:sz w:val="16"/>
      </w:rPr>
      <w:instrText xml:space="preserve"> </w:instrText>
    </w:r>
    <w:r>
      <w:rPr>
        <w:sz w:val="16"/>
      </w:rPr>
      <w:fldChar w:fldCharType="separate"/>
    </w:r>
    <w:r w:rsidR="001E154F">
      <w:rPr>
        <w:noProof/>
        <w:sz w:val="16"/>
      </w:rPr>
      <w:t xml:space="preserve"> 5820107.1</w:t>
    </w:r>
    <w:r>
      <w:rPr>
        <w:sz w:val="16"/>
      </w:rPr>
      <w:fldChar w:fldCharType="end"/>
    </w:r>
  </w:p>
  <w:p w:rsidR="00FA50E3" w:rsidRDefault="008A029A" w:rsidP="008A029A">
    <w:pPr>
      <w:pStyle w:val="Footer"/>
      <w:rPr>
        <w:sz w:val="16"/>
      </w:rPr>
    </w:pPr>
    <w:r>
      <w:rPr>
        <w:sz w:val="16"/>
      </w:rPr>
      <w:fldChar w:fldCharType="begin"/>
    </w:r>
    <w:r>
      <w:rPr>
        <w:sz w:val="16"/>
      </w:rPr>
      <w:instrText xml:space="preserve"> </w:instrText>
    </w:r>
    <w:r w:rsidRPr="008A029A">
      <w:rPr>
        <w:sz w:val="16"/>
      </w:rPr>
      <w:instrText>IF "</w:instrText>
    </w:r>
    <w:r w:rsidRPr="008A029A">
      <w:rPr>
        <w:sz w:val="16"/>
      </w:rPr>
      <w:fldChar w:fldCharType="begin"/>
    </w:r>
    <w:r w:rsidRPr="008A029A">
      <w:rPr>
        <w:sz w:val="16"/>
      </w:rPr>
      <w:instrText xml:space="preserve"> DOCVARIABLE "SWDocIDLocation" </w:instrText>
    </w:r>
    <w:r w:rsidRPr="008A029A">
      <w:rPr>
        <w:sz w:val="16"/>
      </w:rPr>
      <w:fldChar w:fldCharType="separate"/>
    </w:r>
    <w:r w:rsidR="001E154F">
      <w:rPr>
        <w:sz w:val="16"/>
      </w:rPr>
      <w:instrText>1</w:instrText>
    </w:r>
    <w:r w:rsidRPr="008A029A">
      <w:rPr>
        <w:sz w:val="16"/>
      </w:rPr>
      <w:fldChar w:fldCharType="end"/>
    </w:r>
    <w:r w:rsidRPr="008A029A">
      <w:rPr>
        <w:sz w:val="16"/>
      </w:rPr>
      <w:instrText>" = "1" "</w:instrText>
    </w:r>
    <w:r w:rsidRPr="008A029A">
      <w:rPr>
        <w:sz w:val="16"/>
      </w:rPr>
      <w:fldChar w:fldCharType="begin"/>
    </w:r>
    <w:r w:rsidRPr="008A029A">
      <w:rPr>
        <w:sz w:val="16"/>
      </w:rPr>
      <w:instrText xml:space="preserve"> DOCPROPERTY "SWDocID" </w:instrText>
    </w:r>
    <w:r w:rsidRPr="008A029A">
      <w:rPr>
        <w:sz w:val="16"/>
      </w:rPr>
      <w:fldChar w:fldCharType="separate"/>
    </w:r>
    <w:r w:rsidR="001E154F">
      <w:rPr>
        <w:sz w:val="16"/>
      </w:rPr>
      <w:instrText xml:space="preserve"> 5820107.1</w:instrText>
    </w:r>
    <w:r w:rsidRPr="008A029A">
      <w:rPr>
        <w:sz w:val="16"/>
      </w:rPr>
      <w:fldChar w:fldCharType="end"/>
    </w:r>
    <w:r w:rsidRPr="008A029A">
      <w:rPr>
        <w:sz w:val="16"/>
      </w:rPr>
      <w:instrText>" ""</w:instrText>
    </w:r>
    <w:r>
      <w:rPr>
        <w:sz w:val="16"/>
      </w:rPr>
      <w:instrText xml:space="preserve"> </w:instrText>
    </w:r>
    <w:r>
      <w:rPr>
        <w:sz w:val="16"/>
      </w:rPr>
      <w:fldChar w:fldCharType="separate"/>
    </w:r>
    <w:r w:rsidR="001E154F">
      <w:rPr>
        <w:noProof/>
        <w:sz w:val="16"/>
      </w:rPr>
      <w:t xml:space="preserve"> 5820107.1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E3" w:rsidRDefault="00FA5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28" w:rsidRDefault="00DB2248">
      <w:r>
        <w:separator/>
      </w:r>
    </w:p>
  </w:footnote>
  <w:footnote w:type="continuationSeparator" w:id="0">
    <w:p w:rsidR="008F2228" w:rsidRDefault="00DB2248">
      <w:r>
        <w:continuationSeparator/>
      </w:r>
    </w:p>
  </w:footnote>
  <w:footnote w:id="1">
    <w:p w:rsidR="00363621" w:rsidRDefault="00363621">
      <w:pPr>
        <w:pStyle w:val="FootnoteText"/>
      </w:pPr>
      <w:r>
        <w:rPr>
          <w:rStyle w:val="FootnoteReference"/>
        </w:rPr>
        <w:footnoteRef/>
      </w:r>
      <w:r>
        <w:t xml:space="preserve"> </w:t>
      </w:r>
      <w:proofErr w:type="gramStart"/>
      <w:r>
        <w:t>“Commission Staff’s Response to Shuttle Express’s Petition for Rehearing,” fn. 4, p. 2.</w:t>
      </w:r>
      <w:proofErr w:type="gramEnd"/>
    </w:p>
  </w:footnote>
  <w:footnote w:id="2">
    <w:p w:rsidR="00960FEF" w:rsidRDefault="00960FEF">
      <w:pPr>
        <w:pStyle w:val="FootnoteText"/>
      </w:pPr>
      <w:r>
        <w:rPr>
          <w:rStyle w:val="FootnoteReference"/>
        </w:rPr>
        <w:footnoteRef/>
      </w:r>
      <w:r>
        <w:t xml:space="preserve"> Speedishuttle’s Motion to Dismiss Complaint of Shuttle Express, Inc., June 7, 2016, fn. 1, p. 1.</w:t>
      </w:r>
    </w:p>
  </w:footnote>
  <w:footnote w:id="3">
    <w:p w:rsidR="005B441F" w:rsidRPr="005B441F" w:rsidRDefault="005B441F">
      <w:pPr>
        <w:pStyle w:val="FootnoteText"/>
      </w:pPr>
      <w:r>
        <w:rPr>
          <w:rStyle w:val="FootnoteReference"/>
        </w:rPr>
        <w:footnoteRef/>
      </w:r>
      <w:r>
        <w:t xml:space="preserve"> While there is apparently no express prohibition in the Commission’s procedural rules to combining a Petition with a Complaint, WAC 480-07-375(2) requires </w:t>
      </w:r>
      <w:r w:rsidR="00E276EB">
        <w:rPr>
          <w:b/>
        </w:rPr>
        <w:t>m</w:t>
      </w:r>
      <w:r w:rsidRPr="005B441F">
        <w:rPr>
          <w:b/>
        </w:rPr>
        <w:t>otions</w:t>
      </w:r>
      <w:r>
        <w:rPr>
          <w:b/>
        </w:rPr>
        <w:t xml:space="preserve"> </w:t>
      </w:r>
      <w:r>
        <w:t>to be filed separately from any other pleading.  Prudence would seem to dictate that rule apply analogously here.</w:t>
      </w:r>
    </w:p>
  </w:footnote>
  <w:footnote w:id="4">
    <w:p w:rsidR="00E60538" w:rsidRPr="00AA5EDE" w:rsidRDefault="00E60538" w:rsidP="00E60538">
      <w:pPr>
        <w:pStyle w:val="FootnoteText"/>
      </w:pPr>
      <w:r>
        <w:rPr>
          <w:rStyle w:val="FootnoteReference"/>
        </w:rPr>
        <w:footnoteRef/>
      </w:r>
      <w:r>
        <w:t xml:space="preserve"> </w:t>
      </w:r>
      <w:r>
        <w:rPr>
          <w:i/>
        </w:rPr>
        <w:t>See</w:t>
      </w:r>
      <w:r>
        <w:t>, RCW 81.04.110 v RCW 81.04.</w:t>
      </w:r>
      <w:r w:rsidR="000F7F48">
        <w:t>200.</w:t>
      </w:r>
      <w:r>
        <w:t xml:space="preserve">  For discussion of the standards for </w:t>
      </w:r>
      <w:r w:rsidR="000F7F48">
        <w:t xml:space="preserve">granting </w:t>
      </w:r>
      <w:r>
        <w:t xml:space="preserve">rehearing, </w:t>
      </w:r>
      <w:r>
        <w:rPr>
          <w:i/>
        </w:rPr>
        <w:t xml:space="preserve">see again, </w:t>
      </w:r>
      <w:r>
        <w:t xml:space="preserve"> footnote 4, p. 2, o</w:t>
      </w:r>
      <w:r w:rsidR="00940B4D">
        <w:t>f</w:t>
      </w:r>
      <w:r>
        <w:t xml:space="preserve"> Speedishuttle’s Answer </w:t>
      </w:r>
      <w:r w:rsidR="004E1A38">
        <w:t xml:space="preserve">to the Petition for Rehearing </w:t>
      </w:r>
      <w:r>
        <w:t xml:space="preserve">and Order M.V.G. No. 1533, </w:t>
      </w:r>
      <w:r>
        <w:rPr>
          <w:i/>
        </w:rPr>
        <w:t xml:space="preserve">In re Sure-Way Incineration, Inc., </w:t>
      </w:r>
      <w:r>
        <w:t>App. GA-868 (Feb. 1992).</w:t>
      </w:r>
    </w:p>
  </w:footnote>
  <w:footnote w:id="5">
    <w:p w:rsidR="00D87ED2" w:rsidRPr="008D6E30" w:rsidRDefault="00D87ED2" w:rsidP="00D87ED2">
      <w:pPr>
        <w:pStyle w:val="FootnoteText"/>
      </w:pPr>
      <w:r>
        <w:rPr>
          <w:rStyle w:val="FootnoteReference"/>
        </w:rPr>
        <w:footnoteRef/>
      </w:r>
      <w:r>
        <w:t xml:space="preserve"> </w:t>
      </w:r>
      <w:proofErr w:type="gramStart"/>
      <w:r>
        <w:rPr>
          <w:i/>
        </w:rPr>
        <w:t>Anderson v District Board of Trustees of Cent.</w:t>
      </w:r>
      <w:proofErr w:type="gramEnd"/>
      <w:r>
        <w:rPr>
          <w:i/>
        </w:rPr>
        <w:t xml:space="preserve"> Fl. </w:t>
      </w:r>
      <w:proofErr w:type="spellStart"/>
      <w:r>
        <w:rPr>
          <w:i/>
        </w:rPr>
        <w:t>Cmty</w:t>
      </w:r>
      <w:proofErr w:type="spellEnd"/>
      <w:r>
        <w:rPr>
          <w:i/>
        </w:rPr>
        <w:t xml:space="preserve">. </w:t>
      </w:r>
      <w:proofErr w:type="gramStart"/>
      <w:r>
        <w:rPr>
          <w:i/>
        </w:rPr>
        <w:t xml:space="preserve">College, </w:t>
      </w:r>
      <w:r>
        <w:t>77 F. 3</w:t>
      </w:r>
      <w:r w:rsidR="00362CE9">
        <w:t xml:space="preserve">d </w:t>
      </w:r>
      <w:r>
        <w:t>364, 366 (11</w:t>
      </w:r>
      <w:r w:rsidRPr="008D6E30">
        <w:rPr>
          <w:vertAlign w:val="superscript"/>
        </w:rPr>
        <w:t>th</w:t>
      </w:r>
      <w:r>
        <w:t xml:space="preserve"> Cir. 1996).</w:t>
      </w:r>
      <w:proofErr w:type="gramEnd"/>
    </w:p>
  </w:footnote>
  <w:footnote w:id="6">
    <w:p w:rsidR="00AA6545" w:rsidRDefault="00AA6545" w:rsidP="00AA6545">
      <w:pPr>
        <w:pStyle w:val="FootnoteText"/>
      </w:pPr>
      <w:r>
        <w:rPr>
          <w:rStyle w:val="FootnoteReference"/>
        </w:rPr>
        <w:footnoteRef/>
      </w:r>
      <w:r>
        <w:t xml:space="preserve"> “Motion to</w:t>
      </w:r>
      <w:r w:rsidRPr="00D87ED2">
        <w:t xml:space="preserve"> Strike of Shuttle </w:t>
      </w:r>
      <w:proofErr w:type="gramStart"/>
      <w:r w:rsidRPr="00D87ED2">
        <w:t>Express</w:t>
      </w:r>
      <w:proofErr w:type="gramEnd"/>
      <w:r>
        <w:t>,</w:t>
      </w:r>
      <w:r w:rsidRPr="00D87ED2">
        <w:t>”</w:t>
      </w:r>
      <w:r>
        <w:t xml:space="preserve"> </w:t>
      </w:r>
      <w:r w:rsidRPr="00D87ED2">
        <w:t>¶18, page 6</w:t>
      </w:r>
      <w:r>
        <w:t>.</w:t>
      </w:r>
    </w:p>
  </w:footnote>
  <w:footnote w:id="7">
    <w:p w:rsidR="00AA6545" w:rsidRDefault="00AA6545">
      <w:pPr>
        <w:pStyle w:val="FootnoteText"/>
      </w:pPr>
      <w:r>
        <w:rPr>
          <w:rStyle w:val="FootnoteReference"/>
        </w:rPr>
        <w:footnoteRef/>
      </w:r>
      <w:r>
        <w:t xml:space="preserve"> It should similarly go without saying that Speedishuttle opposes the specific Prayer for Relief included by Shuttle Express in its Motion</w:t>
      </w:r>
      <w:r w:rsidR="000170CC">
        <w:t xml:space="preserve"> </w:t>
      </w:r>
      <w:r w:rsidR="00362CE9">
        <w:t xml:space="preserve">to Strike </w:t>
      </w:r>
      <w:r w:rsidR="000170CC">
        <w:t>at page 2</w:t>
      </w:r>
      <w:r>
        <w:t xml:space="preserve">.  Clearly, the detailed Answers of Speedishuttle and Staff should not be stricken or </w:t>
      </w:r>
      <w:r w:rsidR="00362CE9">
        <w:t xml:space="preserve">otherwise </w:t>
      </w:r>
      <w:r>
        <w:t xml:space="preserve">nullified at this stage.  Additionally, at this juncture, providing Shuttle Express yet another procedural avenue and opportunity for any more legal arguments, briefing or theoretical jousting would undoubtedly initiate yet another cycle of responses and escalating legal expense which is not in the public interest nor consistent with the Commission’s 2013 streamlining of auto transportation application processes.  Considering Shuttle Express’ previous attempts, i.e., to convert the Brief Adjudicative proceeding into </w:t>
      </w:r>
      <w:r w:rsidR="004E1A38">
        <w:t xml:space="preserve">a </w:t>
      </w:r>
      <w:r>
        <w:t xml:space="preserve">conventional hearing, initiate broad discovery, reopen the hearing record before consideration of its Petition for Administrative Review, wholesale failure to appeal Order 04 and, starting last summer, behind-the-scenes’ efforts to restrict Speedishuttle’s extant certificate initiating the process that culminated in the December 14, 2015 Determination not to revise its certificate, there is no telling how many new procedural twists and turns might be </w:t>
      </w:r>
      <w:r w:rsidR="00362CE9">
        <w:t>invoked</w:t>
      </w:r>
      <w:r>
        <w:t xml:space="preserve"> by granting Shuttle Express more opportunity for legal argument.  The only procedural allowance that should be granted to Shuttle Express now is to answer the counterclaim in Speedishuttle’s June 7, 2016 Complaint, albeit one that could have easily been filed by the Complainant without leave of the hearing examiner or Commission within the earlier period prescribed by rule or following the recent denial of the Motion for Dismissal.</w:t>
      </w:r>
    </w:p>
  </w:footnote>
  <w:footnote w:id="8">
    <w:p w:rsidR="007A086B" w:rsidRDefault="007A086B" w:rsidP="007A086B">
      <w:pPr>
        <w:pStyle w:val="FootnoteText"/>
      </w:pPr>
      <w:r>
        <w:rPr>
          <w:rStyle w:val="FootnoteReference"/>
        </w:rPr>
        <w:footnoteRef/>
      </w:r>
      <w:r>
        <w:t xml:space="preserve"> And despite Shuttle Express protestations about uncertainty, there can be no doubt that Speedishuttle’s entire Answer to the Petition for Rehearing is a universal denial of all the substantive (non-prefatory) allegations against it.</w:t>
      </w:r>
    </w:p>
  </w:footnote>
  <w:footnote w:id="9">
    <w:p w:rsidR="00A04F4C" w:rsidRPr="00A04F4C" w:rsidRDefault="00A04F4C">
      <w:pPr>
        <w:pStyle w:val="FootnoteText"/>
      </w:pPr>
      <w:r>
        <w:rPr>
          <w:rStyle w:val="FootnoteReference"/>
        </w:rPr>
        <w:footnoteRef/>
      </w:r>
      <w:r>
        <w:t xml:space="preserve"> </w:t>
      </w:r>
      <w:r>
        <w:rPr>
          <w:i/>
        </w:rPr>
        <w:t>See</w:t>
      </w:r>
      <w:r>
        <w:t xml:space="preserve">, Speedishuttle Washington, LLC d/b/a Speedishuttle’s Answer to Shuttle Express’ Petition for Administrative Review </w:t>
      </w:r>
      <w:r>
        <w:rPr>
          <w:rFonts w:cs="Times New Roman"/>
        </w:rPr>
        <w:t>¶</w:t>
      </w:r>
      <w:r>
        <w:t>11, pp. 5</w:t>
      </w:r>
      <w:proofErr w:type="gramStart"/>
      <w:r>
        <w:t>,6</w:t>
      </w:r>
      <w:proofErr w:type="gramEnd"/>
      <w:r>
        <w:t>.</w:t>
      </w:r>
    </w:p>
  </w:footnote>
  <w:footnote w:id="10">
    <w:p w:rsidR="009C035F" w:rsidRPr="009C035F" w:rsidRDefault="009C035F">
      <w:pPr>
        <w:pStyle w:val="FootnoteText"/>
      </w:pPr>
      <w:r>
        <w:rPr>
          <w:rStyle w:val="FootnoteReference"/>
        </w:rPr>
        <w:footnoteRef/>
      </w:r>
      <w:r>
        <w:t xml:space="preserve"> “The Commission interprets pleadings liberally with a view to effecting justice between the parties.”  Order M.V. No. 146114, </w:t>
      </w:r>
      <w:r>
        <w:rPr>
          <w:i/>
        </w:rPr>
        <w:t>In re International Port Services, Inc. d/b/a Northwest Mail Delivery Services,</w:t>
      </w:r>
      <w:r>
        <w:t xml:space="preserve"> App. P-75781 (Feb. 1993).</w:t>
      </w:r>
    </w:p>
  </w:footnote>
  <w:footnote w:id="11">
    <w:p w:rsidR="00F316B8" w:rsidRDefault="00F316B8">
      <w:pPr>
        <w:pStyle w:val="FootnoteText"/>
      </w:pPr>
      <w:r>
        <w:rPr>
          <w:rStyle w:val="FootnoteReference"/>
        </w:rPr>
        <w:footnoteRef/>
      </w:r>
      <w:r>
        <w:t xml:space="preserve"> </w:t>
      </w:r>
      <w:proofErr w:type="gramStart"/>
      <w:r w:rsidR="00041C09">
        <w:t xml:space="preserve">Speedishuttle’s Answer to Shuttle Express’ Petition for Administrative Review, </w:t>
      </w:r>
      <w:r w:rsidR="00041C09">
        <w:rPr>
          <w:rFonts w:cs="Times New Roman"/>
        </w:rPr>
        <w:t>¶</w:t>
      </w:r>
      <w:r w:rsidR="00041C09">
        <w:t>11 at 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E3" w:rsidRDefault="00FA50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E3" w:rsidRPr="003F5321" w:rsidRDefault="00FA50E3" w:rsidP="003F5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E3" w:rsidRDefault="00FA5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C9C6CAE"/>
    <w:multiLevelType w:val="hybridMultilevel"/>
    <w:tmpl w:val="0CC675BA"/>
    <w:lvl w:ilvl="0" w:tplc="CC0467F6">
      <w:start w:val="1"/>
      <w:numFmt w:val="decimal"/>
      <w:lvlText w:val="%1"/>
      <w:lvlJc w:val="left"/>
      <w:pPr>
        <w:ind w:left="1440" w:hanging="360"/>
      </w:pPr>
      <w:rPr>
        <w:rFonts w:ascii="Times New Roman" w:hAnsi="Times New Roman" w:hint="default"/>
        <w:b w:val="0"/>
        <w:i/>
        <w:sz w:val="24"/>
      </w:rPr>
    </w:lvl>
    <w:lvl w:ilvl="1" w:tplc="C9705E14" w:tentative="1">
      <w:start w:val="1"/>
      <w:numFmt w:val="lowerLetter"/>
      <w:lvlText w:val="%2."/>
      <w:lvlJc w:val="left"/>
      <w:pPr>
        <w:ind w:left="2160" w:hanging="360"/>
      </w:pPr>
    </w:lvl>
    <w:lvl w:ilvl="2" w:tplc="85FEE9EC" w:tentative="1">
      <w:start w:val="1"/>
      <w:numFmt w:val="lowerRoman"/>
      <w:lvlText w:val="%3."/>
      <w:lvlJc w:val="right"/>
      <w:pPr>
        <w:ind w:left="2880" w:hanging="180"/>
      </w:pPr>
    </w:lvl>
    <w:lvl w:ilvl="3" w:tplc="8D406DB6" w:tentative="1">
      <w:start w:val="1"/>
      <w:numFmt w:val="decimal"/>
      <w:lvlText w:val="%4."/>
      <w:lvlJc w:val="left"/>
      <w:pPr>
        <w:ind w:left="3600" w:hanging="360"/>
      </w:pPr>
    </w:lvl>
    <w:lvl w:ilvl="4" w:tplc="647C7844" w:tentative="1">
      <w:start w:val="1"/>
      <w:numFmt w:val="lowerLetter"/>
      <w:lvlText w:val="%5."/>
      <w:lvlJc w:val="left"/>
      <w:pPr>
        <w:ind w:left="4320" w:hanging="360"/>
      </w:pPr>
    </w:lvl>
    <w:lvl w:ilvl="5" w:tplc="27D2ED74" w:tentative="1">
      <w:start w:val="1"/>
      <w:numFmt w:val="lowerRoman"/>
      <w:lvlText w:val="%6."/>
      <w:lvlJc w:val="right"/>
      <w:pPr>
        <w:ind w:left="5040" w:hanging="180"/>
      </w:pPr>
    </w:lvl>
    <w:lvl w:ilvl="6" w:tplc="15D2887C" w:tentative="1">
      <w:start w:val="1"/>
      <w:numFmt w:val="decimal"/>
      <w:lvlText w:val="%7."/>
      <w:lvlJc w:val="left"/>
      <w:pPr>
        <w:ind w:left="5760" w:hanging="360"/>
      </w:pPr>
    </w:lvl>
    <w:lvl w:ilvl="7" w:tplc="924042BA" w:tentative="1">
      <w:start w:val="1"/>
      <w:numFmt w:val="lowerLetter"/>
      <w:lvlText w:val="%8."/>
      <w:lvlJc w:val="left"/>
      <w:pPr>
        <w:ind w:left="6480" w:hanging="360"/>
      </w:pPr>
    </w:lvl>
    <w:lvl w:ilvl="8" w:tplc="4B9E43D8" w:tentative="1">
      <w:start w:val="1"/>
      <w:numFmt w:val="lowerRoman"/>
      <w:lvlText w:val="%9."/>
      <w:lvlJc w:val="right"/>
      <w:pPr>
        <w:ind w:left="7200" w:hanging="180"/>
      </w:pPr>
    </w:lvl>
  </w:abstractNum>
  <w:abstractNum w:abstractNumId="11">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D381E30"/>
    <w:multiLevelType w:val="hybridMultilevel"/>
    <w:tmpl w:val="0E680516"/>
    <w:lvl w:ilvl="0" w:tplc="161A6B00">
      <w:start w:val="1"/>
      <w:numFmt w:val="upperLetter"/>
      <w:lvlText w:val="%1."/>
      <w:lvlJc w:val="left"/>
      <w:pPr>
        <w:ind w:left="720" w:hanging="360"/>
      </w:pPr>
    </w:lvl>
    <w:lvl w:ilvl="1" w:tplc="46EAF962" w:tentative="1">
      <w:start w:val="1"/>
      <w:numFmt w:val="lowerLetter"/>
      <w:lvlText w:val="%2."/>
      <w:lvlJc w:val="left"/>
      <w:pPr>
        <w:ind w:left="1440" w:hanging="360"/>
      </w:pPr>
    </w:lvl>
    <w:lvl w:ilvl="2" w:tplc="EAFC5D00" w:tentative="1">
      <w:start w:val="1"/>
      <w:numFmt w:val="lowerRoman"/>
      <w:lvlText w:val="%3."/>
      <w:lvlJc w:val="right"/>
      <w:pPr>
        <w:ind w:left="2160" w:hanging="180"/>
      </w:pPr>
    </w:lvl>
    <w:lvl w:ilvl="3" w:tplc="5E5A1974" w:tentative="1">
      <w:start w:val="1"/>
      <w:numFmt w:val="decimal"/>
      <w:lvlText w:val="%4."/>
      <w:lvlJc w:val="left"/>
      <w:pPr>
        <w:ind w:left="2880" w:hanging="360"/>
      </w:pPr>
    </w:lvl>
    <w:lvl w:ilvl="4" w:tplc="C60E7DD0" w:tentative="1">
      <w:start w:val="1"/>
      <w:numFmt w:val="lowerLetter"/>
      <w:lvlText w:val="%5."/>
      <w:lvlJc w:val="left"/>
      <w:pPr>
        <w:ind w:left="3600" w:hanging="360"/>
      </w:pPr>
    </w:lvl>
    <w:lvl w:ilvl="5" w:tplc="FC5C2018" w:tentative="1">
      <w:start w:val="1"/>
      <w:numFmt w:val="lowerRoman"/>
      <w:lvlText w:val="%6."/>
      <w:lvlJc w:val="right"/>
      <w:pPr>
        <w:ind w:left="4320" w:hanging="180"/>
      </w:pPr>
    </w:lvl>
    <w:lvl w:ilvl="6" w:tplc="7F4605B2" w:tentative="1">
      <w:start w:val="1"/>
      <w:numFmt w:val="decimal"/>
      <w:lvlText w:val="%7."/>
      <w:lvlJc w:val="left"/>
      <w:pPr>
        <w:ind w:left="5040" w:hanging="360"/>
      </w:pPr>
    </w:lvl>
    <w:lvl w:ilvl="7" w:tplc="CF0CABA0" w:tentative="1">
      <w:start w:val="1"/>
      <w:numFmt w:val="lowerLetter"/>
      <w:lvlText w:val="%8."/>
      <w:lvlJc w:val="left"/>
      <w:pPr>
        <w:ind w:left="5760" w:hanging="360"/>
      </w:pPr>
    </w:lvl>
    <w:lvl w:ilvl="8" w:tplc="B158FB48" w:tentative="1">
      <w:start w:val="1"/>
      <w:numFmt w:val="lowerRoman"/>
      <w:lvlText w:val="%9."/>
      <w:lvlJc w:val="right"/>
      <w:pPr>
        <w:ind w:left="6480" w:hanging="180"/>
      </w:pPr>
    </w:lvl>
  </w:abstractNum>
  <w:abstractNum w:abstractNumId="14">
    <w:nsid w:val="500761B1"/>
    <w:multiLevelType w:val="multilevel"/>
    <w:tmpl w:val="31CA7196"/>
    <w:lvl w:ilvl="0">
      <w:start w:val="1"/>
      <w:numFmt w:val="upperRoman"/>
      <w:suff w:val="nothing"/>
      <w:lvlText w:val="%1"/>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upperLetter"/>
      <w:suff w:val="nothing"/>
      <w:lvlText w:val="%2.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2">
      <w:start w:val="1"/>
      <w:numFmt w:val="lowerLetter"/>
      <w:suff w:val="nothing"/>
      <w:lvlText w:val="%3"/>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5">
    <w:nsid w:val="620115ED"/>
    <w:multiLevelType w:val="hybridMultilevel"/>
    <w:tmpl w:val="551A618C"/>
    <w:lvl w:ilvl="0" w:tplc="40964BFC">
      <w:start w:val="1"/>
      <w:numFmt w:val="decimal"/>
      <w:lvlText w:val="%1"/>
      <w:lvlJc w:val="left"/>
      <w:pPr>
        <w:ind w:left="360" w:hanging="360"/>
      </w:pPr>
      <w:rPr>
        <w:rFonts w:ascii="Times New Roman" w:hAnsi="Times New Roman" w:hint="default"/>
        <w:b w:val="0"/>
        <w:i/>
        <w:sz w:val="22"/>
        <w:szCs w:val="22"/>
      </w:rPr>
    </w:lvl>
    <w:lvl w:ilvl="1" w:tplc="60E8F838">
      <w:start w:val="1"/>
      <w:numFmt w:val="lowerLetter"/>
      <w:lvlText w:val="%2."/>
      <w:lvlJc w:val="left"/>
      <w:pPr>
        <w:ind w:left="1080" w:hanging="360"/>
      </w:pPr>
    </w:lvl>
    <w:lvl w:ilvl="2" w:tplc="1CE86136">
      <w:start w:val="1"/>
      <w:numFmt w:val="lowerRoman"/>
      <w:lvlText w:val="%3."/>
      <w:lvlJc w:val="right"/>
      <w:pPr>
        <w:ind w:left="1800" w:hanging="180"/>
      </w:pPr>
    </w:lvl>
    <w:lvl w:ilvl="3" w:tplc="A986F6BE" w:tentative="1">
      <w:start w:val="1"/>
      <w:numFmt w:val="decimal"/>
      <w:lvlText w:val="%4."/>
      <w:lvlJc w:val="left"/>
      <w:pPr>
        <w:ind w:left="2520" w:hanging="360"/>
      </w:pPr>
    </w:lvl>
    <w:lvl w:ilvl="4" w:tplc="9698B912" w:tentative="1">
      <w:start w:val="1"/>
      <w:numFmt w:val="lowerLetter"/>
      <w:lvlText w:val="%5."/>
      <w:lvlJc w:val="left"/>
      <w:pPr>
        <w:ind w:left="3240" w:hanging="360"/>
      </w:pPr>
    </w:lvl>
    <w:lvl w:ilvl="5" w:tplc="56080CD4" w:tentative="1">
      <w:start w:val="1"/>
      <w:numFmt w:val="lowerRoman"/>
      <w:lvlText w:val="%6."/>
      <w:lvlJc w:val="right"/>
      <w:pPr>
        <w:ind w:left="3960" w:hanging="180"/>
      </w:pPr>
    </w:lvl>
    <w:lvl w:ilvl="6" w:tplc="A10003F2" w:tentative="1">
      <w:start w:val="1"/>
      <w:numFmt w:val="decimal"/>
      <w:lvlText w:val="%7."/>
      <w:lvlJc w:val="left"/>
      <w:pPr>
        <w:ind w:left="4680" w:hanging="360"/>
      </w:pPr>
    </w:lvl>
    <w:lvl w:ilvl="7" w:tplc="C54A57C2" w:tentative="1">
      <w:start w:val="1"/>
      <w:numFmt w:val="lowerLetter"/>
      <w:lvlText w:val="%8."/>
      <w:lvlJc w:val="left"/>
      <w:pPr>
        <w:ind w:left="5400" w:hanging="360"/>
      </w:pPr>
    </w:lvl>
    <w:lvl w:ilvl="8" w:tplc="12AA8AC0" w:tentative="1">
      <w:start w:val="1"/>
      <w:numFmt w:val="lowerRoman"/>
      <w:lvlText w:val="%9."/>
      <w:lvlJc w:val="right"/>
      <w:pPr>
        <w:ind w:left="6120" w:hanging="180"/>
      </w:pPr>
    </w:lvl>
  </w:abstractNum>
  <w:abstractNum w:abstractNumId="16">
    <w:nsid w:val="7ACF31F2"/>
    <w:multiLevelType w:val="multilevel"/>
    <w:tmpl w:val="01C2BFD6"/>
    <w:lvl w:ilvl="0">
      <w:start w:val="1"/>
      <w:numFmt w:val="upperRoman"/>
      <w:pStyle w:val="Heading1"/>
      <w:suff w:val="nothing"/>
      <w:lvlText w:val="%1.  "/>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4"/>
        <w:u w:val="none"/>
        <w:effect w:val="none"/>
        <w:vertAlign w:val="baseline"/>
      </w:rPr>
    </w:lvl>
    <w:lvl w:ilvl="1">
      <w:start w:val="1"/>
      <w:numFmt w:val="upperLetter"/>
      <w:pStyle w:val="Heading2"/>
      <w:suff w:val="nothing"/>
      <w:lvlText w:val="%2.  "/>
      <w:lvlJc w:val="left"/>
      <w:pPr>
        <w:tabs>
          <w:tab w:val="num" w:pos="0"/>
        </w:tabs>
        <w:ind w:left="720" w:hanging="360"/>
      </w:pPr>
      <w:rPr>
        <w:rFonts w:ascii="9999999" w:hAnsi="9999999"/>
        <w:b/>
        <w:i w:val="0"/>
        <w:caps w:val="0"/>
        <w:strike w:val="0"/>
        <w:dstrike w:val="0"/>
        <w:outline w:val="0"/>
        <w:shadow w:val="0"/>
        <w:emboss w:val="0"/>
        <w:imprint w:val="0"/>
        <w:vanish w:val="0"/>
        <w:color w:val="000000"/>
        <w:sz w:val="24"/>
        <w:u w:val="none"/>
        <w:effect w:val="none"/>
        <w:vertAlign w:val="baseline"/>
      </w:rPr>
    </w:lvl>
    <w:lvl w:ilvl="2">
      <w:start w:val="1"/>
      <w:numFmt w:val="none"/>
      <w:pStyle w:val="Heading3"/>
      <w:suff w:val="nothing"/>
      <w:lvlText w:val=""/>
      <w:lvlJc w:val="left"/>
      <w:pPr>
        <w:tabs>
          <w:tab w:val="num" w:pos="0"/>
        </w:tabs>
        <w:ind w:left="0" w:firstLine="72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sz w:val="22"/>
        <w:u w:val="none"/>
        <w:effect w:val="none"/>
        <w:vertAlign w:val="baseline"/>
      </w:rPr>
    </w:lvl>
  </w:abstractNum>
  <w:abstractNum w:abstractNumId="17">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5"/>
  </w:num>
  <w:num w:numId="15">
    <w:abstractNumId w:val="14"/>
  </w:num>
  <w:num w:numId="16">
    <w:abstractNumId w:val="10"/>
  </w:num>
  <w:num w:numId="17">
    <w:abstractNumId w:val="16"/>
  </w:num>
  <w:num w:numId="18">
    <w:abstractNumId w:val="10"/>
    <w:lvlOverride w:ilvl="0">
      <w:startOverride w:val="1"/>
    </w:lvlOverride>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Layout" w:val="10000"/>
    <w:docVar w:name="SWDocIDLocation" w:val="1"/>
  </w:docVars>
  <w:rsids>
    <w:rsidRoot w:val="00480698"/>
    <w:rsid w:val="000059FD"/>
    <w:rsid w:val="000137EF"/>
    <w:rsid w:val="000170CC"/>
    <w:rsid w:val="000275B5"/>
    <w:rsid w:val="00041C09"/>
    <w:rsid w:val="00044FE5"/>
    <w:rsid w:val="00066E81"/>
    <w:rsid w:val="00070876"/>
    <w:rsid w:val="000D3FE8"/>
    <w:rsid w:val="000D5B61"/>
    <w:rsid w:val="000E5430"/>
    <w:rsid w:val="000F0525"/>
    <w:rsid w:val="000F7F48"/>
    <w:rsid w:val="00150C49"/>
    <w:rsid w:val="00157B85"/>
    <w:rsid w:val="00166D66"/>
    <w:rsid w:val="00170B0F"/>
    <w:rsid w:val="0017196A"/>
    <w:rsid w:val="00172D5E"/>
    <w:rsid w:val="0017796A"/>
    <w:rsid w:val="001B73E6"/>
    <w:rsid w:val="001E154F"/>
    <w:rsid w:val="00207EF8"/>
    <w:rsid w:val="0022316A"/>
    <w:rsid w:val="00233126"/>
    <w:rsid w:val="002970B9"/>
    <w:rsid w:val="002A0D43"/>
    <w:rsid w:val="002B4082"/>
    <w:rsid w:val="002C5442"/>
    <w:rsid w:val="003220AD"/>
    <w:rsid w:val="003410BF"/>
    <w:rsid w:val="003478A6"/>
    <w:rsid w:val="00362CE9"/>
    <w:rsid w:val="00363621"/>
    <w:rsid w:val="00371DCB"/>
    <w:rsid w:val="003955DD"/>
    <w:rsid w:val="003E2B8D"/>
    <w:rsid w:val="003E67BA"/>
    <w:rsid w:val="003F3367"/>
    <w:rsid w:val="003F5321"/>
    <w:rsid w:val="00412AAA"/>
    <w:rsid w:val="00434E21"/>
    <w:rsid w:val="00451672"/>
    <w:rsid w:val="00480698"/>
    <w:rsid w:val="00483208"/>
    <w:rsid w:val="004E1A38"/>
    <w:rsid w:val="005212FF"/>
    <w:rsid w:val="0052270B"/>
    <w:rsid w:val="0055612E"/>
    <w:rsid w:val="00573A46"/>
    <w:rsid w:val="005B29E0"/>
    <w:rsid w:val="005B441F"/>
    <w:rsid w:val="005E30CA"/>
    <w:rsid w:val="005F1C93"/>
    <w:rsid w:val="00634C10"/>
    <w:rsid w:val="006526CD"/>
    <w:rsid w:val="00654B9D"/>
    <w:rsid w:val="00670B12"/>
    <w:rsid w:val="00677B72"/>
    <w:rsid w:val="00690D53"/>
    <w:rsid w:val="006A18C6"/>
    <w:rsid w:val="006A6578"/>
    <w:rsid w:val="006F1159"/>
    <w:rsid w:val="00701F08"/>
    <w:rsid w:val="0070206F"/>
    <w:rsid w:val="00742CBC"/>
    <w:rsid w:val="0077302C"/>
    <w:rsid w:val="007A02D4"/>
    <w:rsid w:val="007A086B"/>
    <w:rsid w:val="007C22FD"/>
    <w:rsid w:val="00833B44"/>
    <w:rsid w:val="0086773C"/>
    <w:rsid w:val="008A029A"/>
    <w:rsid w:val="008A539C"/>
    <w:rsid w:val="008A5607"/>
    <w:rsid w:val="008D6E30"/>
    <w:rsid w:val="008E5FE8"/>
    <w:rsid w:val="008F00E9"/>
    <w:rsid w:val="008F5078"/>
    <w:rsid w:val="0092241E"/>
    <w:rsid w:val="0093394B"/>
    <w:rsid w:val="00940B4D"/>
    <w:rsid w:val="00956FEE"/>
    <w:rsid w:val="00960FEF"/>
    <w:rsid w:val="009712B8"/>
    <w:rsid w:val="009866DB"/>
    <w:rsid w:val="0099227B"/>
    <w:rsid w:val="009B268D"/>
    <w:rsid w:val="009C035F"/>
    <w:rsid w:val="009C15EF"/>
    <w:rsid w:val="009F6D6C"/>
    <w:rsid w:val="00A04F4C"/>
    <w:rsid w:val="00A3237A"/>
    <w:rsid w:val="00AA639A"/>
    <w:rsid w:val="00AA6545"/>
    <w:rsid w:val="00AE76C1"/>
    <w:rsid w:val="00BA3957"/>
    <w:rsid w:val="00BD49FB"/>
    <w:rsid w:val="00C2558F"/>
    <w:rsid w:val="00C66C29"/>
    <w:rsid w:val="00C809DF"/>
    <w:rsid w:val="00CB2C7C"/>
    <w:rsid w:val="00CB510B"/>
    <w:rsid w:val="00CC51D3"/>
    <w:rsid w:val="00CE7B21"/>
    <w:rsid w:val="00D0012F"/>
    <w:rsid w:val="00D04C6B"/>
    <w:rsid w:val="00D261C9"/>
    <w:rsid w:val="00D340DE"/>
    <w:rsid w:val="00D5085F"/>
    <w:rsid w:val="00D5154E"/>
    <w:rsid w:val="00D52B42"/>
    <w:rsid w:val="00D87ED2"/>
    <w:rsid w:val="00D94DEA"/>
    <w:rsid w:val="00D97E9A"/>
    <w:rsid w:val="00DB2248"/>
    <w:rsid w:val="00DE2130"/>
    <w:rsid w:val="00DF7DAD"/>
    <w:rsid w:val="00E115E6"/>
    <w:rsid w:val="00E276EB"/>
    <w:rsid w:val="00E30D5D"/>
    <w:rsid w:val="00E33FCE"/>
    <w:rsid w:val="00E60538"/>
    <w:rsid w:val="00EC0BFD"/>
    <w:rsid w:val="00ED1D92"/>
    <w:rsid w:val="00ED51FC"/>
    <w:rsid w:val="00F316B8"/>
    <w:rsid w:val="00F95FF5"/>
    <w:rsid w:val="00FA50E3"/>
    <w:rsid w:val="00FB7676"/>
    <w:rsid w:val="00FE7594"/>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ListParagraph"/>
    <w:link w:val="Heading1Char"/>
    <w:uiPriority w:val="9"/>
    <w:qFormat/>
    <w:rsid w:val="00E60538"/>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E60538"/>
    <w:pPr>
      <w:keepNext/>
      <w:numPr>
        <w:ilvl w:val="1"/>
        <w:numId w:val="17"/>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E60538"/>
    <w:pPr>
      <w:keepNext/>
      <w:numPr>
        <w:ilvl w:val="2"/>
        <w:numId w:val="17"/>
      </w:numPr>
      <w:tabs>
        <w:tab w:val="clear" w:pos="0"/>
      </w:tabs>
      <w:spacing w:after="240"/>
      <w:outlineLvl w:val="2"/>
    </w:pPr>
    <w:rPr>
      <w:rFonts w:cs="Arial"/>
      <w:b/>
      <w:bCs/>
      <w:szCs w:val="26"/>
    </w:rPr>
  </w:style>
  <w:style w:type="paragraph" w:styleId="Heading4">
    <w:name w:val="heading 4"/>
    <w:basedOn w:val="Normal"/>
    <w:next w:val="BodyText2"/>
    <w:uiPriority w:val="9"/>
    <w:unhideWhenUsed/>
    <w:qFormat/>
    <w:rsid w:val="00E60538"/>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E60538"/>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E60538"/>
    <w:pPr>
      <w:numPr>
        <w:ilvl w:val="5"/>
        <w:numId w:val="17"/>
      </w:numPr>
      <w:tabs>
        <w:tab w:val="clear" w:pos="0"/>
      </w:tabs>
      <w:spacing w:before="240" w:after="60"/>
      <w:outlineLvl w:val="5"/>
    </w:pPr>
    <w:rPr>
      <w:b/>
      <w:bCs/>
    </w:rPr>
  </w:style>
  <w:style w:type="paragraph" w:styleId="Heading7">
    <w:name w:val="heading 7"/>
    <w:basedOn w:val="Normal"/>
    <w:next w:val="BodyText2"/>
    <w:uiPriority w:val="9"/>
    <w:unhideWhenUsed/>
    <w:qFormat/>
    <w:rsid w:val="00E60538"/>
    <w:pPr>
      <w:numPr>
        <w:ilvl w:val="6"/>
        <w:numId w:val="17"/>
      </w:numPr>
      <w:tabs>
        <w:tab w:val="clear" w:pos="0"/>
      </w:tabs>
      <w:spacing w:before="240" w:after="60"/>
      <w:outlineLvl w:val="6"/>
    </w:pPr>
  </w:style>
  <w:style w:type="paragraph" w:styleId="Heading8">
    <w:name w:val="heading 8"/>
    <w:basedOn w:val="Normal"/>
    <w:next w:val="BodyText2"/>
    <w:uiPriority w:val="9"/>
    <w:unhideWhenUsed/>
    <w:qFormat/>
    <w:rsid w:val="00E60538"/>
    <w:pPr>
      <w:numPr>
        <w:ilvl w:val="7"/>
        <w:numId w:val="17"/>
      </w:numPr>
      <w:tabs>
        <w:tab w:val="clear" w:pos="0"/>
      </w:tabs>
      <w:spacing w:before="240" w:after="60"/>
      <w:outlineLvl w:val="7"/>
    </w:pPr>
    <w:rPr>
      <w:i/>
      <w:iCs/>
    </w:rPr>
  </w:style>
  <w:style w:type="paragraph" w:styleId="Heading9">
    <w:name w:val="heading 9"/>
    <w:basedOn w:val="Normal"/>
    <w:next w:val="BodyText2"/>
    <w:uiPriority w:val="9"/>
    <w:unhideWhenUsed/>
    <w:qFormat/>
    <w:rsid w:val="00E60538"/>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E60538"/>
    <w:rPr>
      <w:rFonts w:eastAsiaTheme="minorHAnsi"/>
      <w:bCs/>
      <w:cap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676046"/>
    <w:rPr>
      <w:rFonts w:asciiTheme="minorHAnsi" w:eastAsiaTheme="minorHAnsi" w:hAnsiTheme="minorHAnsi" w:cstheme="minorBidi"/>
      <w:sz w:val="22"/>
      <w:szCs w:val="22"/>
    </w:rPr>
  </w:style>
  <w:style w:type="paragraph" w:styleId="Heading1">
    <w:name w:val="heading 1"/>
    <w:basedOn w:val="Normal"/>
    <w:next w:val="ListParagraph"/>
    <w:link w:val="Heading1Char"/>
    <w:uiPriority w:val="9"/>
    <w:qFormat/>
    <w:rsid w:val="00E60538"/>
    <w:pPr>
      <w:keepNext/>
      <w:numPr>
        <w:numId w:val="17"/>
      </w:numPr>
      <w:tabs>
        <w:tab w:val="clear" w:pos="0"/>
      </w:tabs>
      <w:spacing w:after="240"/>
      <w:jc w:val="center"/>
      <w:outlineLvl w:val="0"/>
    </w:pPr>
    <w:rPr>
      <w:rFonts w:ascii="Times New Roman" w:hAnsi="Times New Roman" w:cs="Times New Roman"/>
      <w:bCs/>
      <w:caps/>
      <w:sz w:val="24"/>
      <w:szCs w:val="32"/>
    </w:rPr>
  </w:style>
  <w:style w:type="paragraph" w:styleId="Heading2">
    <w:name w:val="heading 2"/>
    <w:basedOn w:val="Normal"/>
    <w:next w:val="ListParagraph"/>
    <w:uiPriority w:val="9"/>
    <w:qFormat/>
    <w:rsid w:val="00E60538"/>
    <w:pPr>
      <w:keepNext/>
      <w:numPr>
        <w:ilvl w:val="1"/>
        <w:numId w:val="17"/>
      </w:numPr>
      <w:tabs>
        <w:tab w:val="clear" w:pos="0"/>
      </w:tabs>
      <w:spacing w:after="240"/>
      <w:outlineLvl w:val="1"/>
    </w:pPr>
    <w:rPr>
      <w:rFonts w:ascii="Times New Roman" w:hAnsi="Times New Roman" w:cs="Times New Roman"/>
      <w:b/>
      <w:bCs/>
      <w:iCs/>
      <w:sz w:val="24"/>
      <w:szCs w:val="28"/>
      <w:u w:val="single"/>
    </w:rPr>
  </w:style>
  <w:style w:type="paragraph" w:styleId="Heading3">
    <w:name w:val="heading 3"/>
    <w:basedOn w:val="Normal"/>
    <w:next w:val="BodyText2"/>
    <w:uiPriority w:val="9"/>
    <w:qFormat/>
    <w:rsid w:val="00E60538"/>
    <w:pPr>
      <w:keepNext/>
      <w:numPr>
        <w:ilvl w:val="2"/>
        <w:numId w:val="17"/>
      </w:numPr>
      <w:tabs>
        <w:tab w:val="clear" w:pos="0"/>
      </w:tabs>
      <w:spacing w:after="240"/>
      <w:outlineLvl w:val="2"/>
    </w:pPr>
    <w:rPr>
      <w:rFonts w:cs="Arial"/>
      <w:b/>
      <w:bCs/>
      <w:szCs w:val="26"/>
    </w:rPr>
  </w:style>
  <w:style w:type="paragraph" w:styleId="Heading4">
    <w:name w:val="heading 4"/>
    <w:basedOn w:val="Normal"/>
    <w:next w:val="BodyText2"/>
    <w:uiPriority w:val="9"/>
    <w:unhideWhenUsed/>
    <w:qFormat/>
    <w:rsid w:val="00E60538"/>
    <w:pPr>
      <w:keepNext/>
      <w:numPr>
        <w:ilvl w:val="3"/>
        <w:numId w:val="17"/>
      </w:numPr>
      <w:tabs>
        <w:tab w:val="clear" w:pos="0"/>
      </w:tabs>
      <w:spacing w:before="240" w:after="60"/>
      <w:outlineLvl w:val="3"/>
    </w:pPr>
    <w:rPr>
      <w:b/>
      <w:bCs/>
      <w:sz w:val="28"/>
      <w:szCs w:val="28"/>
    </w:rPr>
  </w:style>
  <w:style w:type="paragraph" w:styleId="Heading5">
    <w:name w:val="heading 5"/>
    <w:basedOn w:val="Normal"/>
    <w:next w:val="BodyText2"/>
    <w:uiPriority w:val="9"/>
    <w:unhideWhenUsed/>
    <w:qFormat/>
    <w:rsid w:val="00E60538"/>
    <w:pPr>
      <w:numPr>
        <w:ilvl w:val="4"/>
        <w:numId w:val="17"/>
      </w:numPr>
      <w:tabs>
        <w:tab w:val="clear" w:pos="0"/>
      </w:tabs>
      <w:spacing w:before="240" w:after="60"/>
      <w:outlineLvl w:val="4"/>
    </w:pPr>
    <w:rPr>
      <w:b/>
      <w:bCs/>
      <w:i/>
      <w:iCs/>
      <w:sz w:val="26"/>
      <w:szCs w:val="26"/>
    </w:rPr>
  </w:style>
  <w:style w:type="paragraph" w:styleId="Heading6">
    <w:name w:val="heading 6"/>
    <w:basedOn w:val="Normal"/>
    <w:next w:val="BodyText2"/>
    <w:uiPriority w:val="9"/>
    <w:unhideWhenUsed/>
    <w:qFormat/>
    <w:rsid w:val="00E60538"/>
    <w:pPr>
      <w:numPr>
        <w:ilvl w:val="5"/>
        <w:numId w:val="17"/>
      </w:numPr>
      <w:tabs>
        <w:tab w:val="clear" w:pos="0"/>
      </w:tabs>
      <w:spacing w:before="240" w:after="60"/>
      <w:outlineLvl w:val="5"/>
    </w:pPr>
    <w:rPr>
      <w:b/>
      <w:bCs/>
    </w:rPr>
  </w:style>
  <w:style w:type="paragraph" w:styleId="Heading7">
    <w:name w:val="heading 7"/>
    <w:basedOn w:val="Normal"/>
    <w:next w:val="BodyText2"/>
    <w:uiPriority w:val="9"/>
    <w:unhideWhenUsed/>
    <w:qFormat/>
    <w:rsid w:val="00E60538"/>
    <w:pPr>
      <w:numPr>
        <w:ilvl w:val="6"/>
        <w:numId w:val="17"/>
      </w:numPr>
      <w:tabs>
        <w:tab w:val="clear" w:pos="0"/>
      </w:tabs>
      <w:spacing w:before="240" w:after="60"/>
      <w:outlineLvl w:val="6"/>
    </w:pPr>
  </w:style>
  <w:style w:type="paragraph" w:styleId="Heading8">
    <w:name w:val="heading 8"/>
    <w:basedOn w:val="Normal"/>
    <w:next w:val="BodyText2"/>
    <w:uiPriority w:val="9"/>
    <w:unhideWhenUsed/>
    <w:qFormat/>
    <w:rsid w:val="00E60538"/>
    <w:pPr>
      <w:numPr>
        <w:ilvl w:val="7"/>
        <w:numId w:val="17"/>
      </w:numPr>
      <w:tabs>
        <w:tab w:val="clear" w:pos="0"/>
      </w:tabs>
      <w:spacing w:before="240" w:after="60"/>
      <w:outlineLvl w:val="7"/>
    </w:pPr>
    <w:rPr>
      <w:i/>
      <w:iCs/>
    </w:rPr>
  </w:style>
  <w:style w:type="paragraph" w:styleId="Heading9">
    <w:name w:val="heading 9"/>
    <w:basedOn w:val="Normal"/>
    <w:next w:val="BodyText2"/>
    <w:uiPriority w:val="9"/>
    <w:unhideWhenUsed/>
    <w:qFormat/>
    <w:rsid w:val="00E60538"/>
    <w:pPr>
      <w:numPr>
        <w:ilvl w:val="8"/>
        <w:numId w:val="17"/>
      </w:numPr>
      <w:tabs>
        <w:tab w:val="clear" w:pos="0"/>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F2228"/>
    <w:pPr>
      <w:spacing w:after="240"/>
      <w:ind w:left="720" w:right="720"/>
    </w:pPr>
    <w:rPr>
      <w:rFonts w:ascii="Times New Roman" w:hAnsi="Times New Roman"/>
      <w:sz w:val="24"/>
    </w:r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link w:val="FooterChar"/>
    <w:rsid w:val="00230872"/>
    <w:pPr>
      <w:tabs>
        <w:tab w:val="center" w:pos="4320"/>
        <w:tab w:val="right" w:pos="8640"/>
      </w:tabs>
    </w:pPr>
  </w:style>
  <w:style w:type="paragraph" w:styleId="FootnoteText">
    <w:name w:val="footnote text"/>
    <w:basedOn w:val="Normal"/>
    <w:unhideWhenUsed/>
    <w:rsid w:val="002F76CF"/>
    <w:rPr>
      <w:rFonts w:ascii="Times New Roman" w:hAnsi="Times New Roman"/>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1">
    <w:name w:val="Note Heading1"/>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087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087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308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08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08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08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308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08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08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308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087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08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087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308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087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08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08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08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08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08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308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087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08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08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08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08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08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08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3087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08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08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3087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087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3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308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08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08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676046"/>
    <w:rPr>
      <w:sz w:val="24"/>
      <w:szCs w:val="24"/>
    </w:rPr>
  </w:style>
  <w:style w:type="paragraph" w:styleId="ListParagraph">
    <w:name w:val="List Paragraph"/>
    <w:basedOn w:val="Normal"/>
    <w:uiPriority w:val="34"/>
    <w:qFormat/>
    <w:rsid w:val="000278A7"/>
    <w:pPr>
      <w:contextualSpacing/>
    </w:pPr>
    <w:rPr>
      <w:rFonts w:ascii="Times New Roman" w:hAnsi="Times New Roman"/>
      <w:sz w:val="24"/>
    </w:rPr>
  </w:style>
  <w:style w:type="character" w:customStyle="1" w:styleId="FooterChar">
    <w:name w:val="Footer Char"/>
    <w:basedOn w:val="DefaultParagraphFont"/>
    <w:link w:val="Footer"/>
    <w:rsid w:val="00403A09"/>
    <w:rPr>
      <w:rFonts w:asciiTheme="minorHAnsi" w:eastAsiaTheme="minorHAnsi" w:hAnsiTheme="minorHAnsi" w:cstheme="minorBidi"/>
      <w:sz w:val="22"/>
      <w:szCs w:val="22"/>
    </w:rPr>
  </w:style>
  <w:style w:type="paragraph" w:customStyle="1" w:styleId="FirmName">
    <w:name w:val="Firm Name"/>
    <w:basedOn w:val="Normal"/>
    <w:semiHidden/>
    <w:rsid w:val="00403A09"/>
    <w:pPr>
      <w:spacing w:line="261" w:lineRule="exact"/>
      <w:jc w:val="center"/>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41FE5"/>
    <w:rPr>
      <w:rFonts w:ascii="Tahoma" w:hAnsi="Tahoma" w:cs="Tahoma"/>
      <w:sz w:val="16"/>
      <w:szCs w:val="16"/>
    </w:rPr>
  </w:style>
  <w:style w:type="character" w:customStyle="1" w:styleId="BalloonTextChar">
    <w:name w:val="Balloon Text Char"/>
    <w:basedOn w:val="DefaultParagraphFont"/>
    <w:link w:val="BalloonText"/>
    <w:semiHidden/>
    <w:rsid w:val="00441FE5"/>
    <w:rPr>
      <w:rFonts w:ascii="Tahoma" w:eastAsiaTheme="minorHAnsi" w:hAnsi="Tahoma" w:cs="Tahoma"/>
      <w:sz w:val="16"/>
      <w:szCs w:val="16"/>
    </w:rPr>
  </w:style>
  <w:style w:type="paragraph" w:customStyle="1" w:styleId="StyleListParagraphTimesNewRoman12pt">
    <w:name w:val="Style List Paragraph + Times New Roman 12 pt"/>
    <w:basedOn w:val="ListParagraph"/>
    <w:rsid w:val="00B221C8"/>
  </w:style>
  <w:style w:type="paragraph" w:customStyle="1" w:styleId="StyleListParagraphTimesNewRoman12ptLinespacingDouble">
    <w:name w:val="Style List Paragraph + Times New Roman 12 pt Line spacing:  Double"/>
    <w:basedOn w:val="ListParagraph"/>
    <w:rsid w:val="00C77CAD"/>
    <w:pPr>
      <w:spacing w:line="480" w:lineRule="auto"/>
    </w:pPr>
    <w:rPr>
      <w:rFonts w:eastAsia="Times New Roman" w:cs="Times New Roman"/>
      <w:szCs w:val="20"/>
    </w:rPr>
  </w:style>
  <w:style w:type="character" w:customStyle="1" w:styleId="Heading1Char">
    <w:name w:val="Heading 1 Char"/>
    <w:basedOn w:val="DefaultParagraphFont"/>
    <w:link w:val="Heading1"/>
    <w:uiPriority w:val="9"/>
    <w:rsid w:val="00E60538"/>
    <w:rPr>
      <w:rFonts w:eastAsiaTheme="minorHAnsi"/>
      <w:bCs/>
      <w:cap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0407">
      <w:bodyDiv w:val="1"/>
      <w:marLeft w:val="0"/>
      <w:marRight w:val="0"/>
      <w:marTop w:val="0"/>
      <w:marBottom w:val="0"/>
      <w:divBdr>
        <w:top w:val="none" w:sz="0" w:space="0" w:color="auto"/>
        <w:left w:val="none" w:sz="0" w:space="0" w:color="auto"/>
        <w:bottom w:val="none" w:sz="0" w:space="0" w:color="auto"/>
        <w:right w:val="none" w:sz="0" w:space="0" w:color="auto"/>
      </w:divBdr>
    </w:div>
    <w:div w:id="7356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kopta@utc.w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ohnf@capair.com"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eattie@utc.wa.gov"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records@utc.wa.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dwiley@williamskastner.com"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2016-05-16T07:00:00+00:00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Shuttle Express, Inc.;Speedishuttle Washington, LLC</CaseCompanyNames>
    <DocketNumber xmlns="dc463f71-b30c-4ab2-9473-d307f9d35888">160516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75A9A80A8E144CB184A37CEDCE3503" ma:contentTypeVersion="104" ma:contentTypeDescription="" ma:contentTypeScope="" ma:versionID="cc7e6197082c4a27fe3c8d8c8cc153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03953-41D4-4B36-9919-871D18725C7C}"/>
</file>

<file path=customXml/itemProps2.xml><?xml version="1.0" encoding="utf-8"?>
<ds:datastoreItem xmlns:ds="http://schemas.openxmlformats.org/officeDocument/2006/customXml" ds:itemID="{BB1A48B9-882A-42AC-A5A2-BC20BD286A0A}"/>
</file>

<file path=customXml/itemProps3.xml><?xml version="1.0" encoding="utf-8"?>
<ds:datastoreItem xmlns:ds="http://schemas.openxmlformats.org/officeDocument/2006/customXml" ds:itemID="{6F4AAAE1-A446-48C3-8B11-FBDC49F4D1FD}"/>
</file>

<file path=customXml/itemProps4.xml><?xml version="1.0" encoding="utf-8"?>
<ds:datastoreItem xmlns:ds="http://schemas.openxmlformats.org/officeDocument/2006/customXml" ds:itemID="{B7AB94D0-739F-41EE-9A88-C83A86B7396C}"/>
</file>

<file path=customXml/itemProps5.xml><?xml version="1.0" encoding="utf-8"?>
<ds:datastoreItem xmlns:ds="http://schemas.openxmlformats.org/officeDocument/2006/customXml" ds:itemID="{A6707ADC-89DA-4FDC-88E7-39374743D42D}"/>
</file>

<file path=docProps/app.xml><?xml version="1.0" encoding="utf-8"?>
<Properties xmlns="http://schemas.openxmlformats.org/officeDocument/2006/extended-properties" xmlns:vt="http://schemas.openxmlformats.org/officeDocument/2006/docPropsVTypes">
  <Template>Normal.dotm</Template>
  <TotalTime>602</TotalTime>
  <Pages>10</Pages>
  <Words>2209</Words>
  <Characters>12857</Characters>
  <Application>Microsoft Office Word</Application>
  <DocSecurity>0</DocSecurity>
  <Lines>257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Dave Wiley</cp:lastModifiedBy>
  <cp:revision>88</cp:revision>
  <cp:lastPrinted>2016-08-01T21:18:00Z</cp:lastPrinted>
  <dcterms:created xsi:type="dcterms:W3CDTF">2016-07-22T21:34:00Z</dcterms:created>
  <dcterms:modified xsi:type="dcterms:W3CDTF">2016-08-01T21:19:00Z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5820107.1</vt:lpwstr>
  </property>
  <property fmtid="{D5CDD505-2E9C-101B-9397-08002B2CF9AE}" pid="3" name="ContentTypeId">
    <vt:lpwstr>0x0101006E56B4D1795A2E4DB2F0B01679ED314A005D75A9A80A8E144CB184A37CEDCE3503</vt:lpwstr>
  </property>
  <property fmtid="{D5CDD505-2E9C-101B-9397-08002B2CF9AE}" pid="4" name="_docset_NoMedatataSyncRequired">
    <vt:lpwstr>False</vt:lpwstr>
  </property>
</Properties>
</file>