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3ECFD6F4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UT-151501</w:t>
            </w:r>
          </w:p>
        </w:tc>
        <w:tc>
          <w:tcPr>
            <w:tcW w:w="1350" w:type="dxa"/>
          </w:tcPr>
          <w:p w14:paraId="37936150" w14:textId="6A6D89D8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762C63B9" w:rsidR="00E624CC" w:rsidRDefault="00E624CC" w:rsidP="00D304E1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226,918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0108D9D3" w:rsidR="00E624CC" w:rsidRPr="00840B8D" w:rsidRDefault="00E624CC" w:rsidP="00D304E1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306,793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05780046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18CDBF0C" w14:textId="7BE96C9F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UT-151520</w:t>
            </w:r>
          </w:p>
        </w:tc>
        <w:tc>
          <w:tcPr>
            <w:tcW w:w="1350" w:type="dxa"/>
          </w:tcPr>
          <w:p w14:paraId="2826E5C3" w14:textId="6E5EED50" w:rsidR="00E624CC" w:rsidRDefault="00E624CC" w:rsidP="00F35F0A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-63.3%</w:t>
            </w:r>
          </w:p>
        </w:tc>
        <w:tc>
          <w:tcPr>
            <w:tcW w:w="1435" w:type="dxa"/>
          </w:tcPr>
          <w:p w14:paraId="77492F5F" w14:textId="5C536C16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4DAB3EEE" w14:textId="35FE801D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91,269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6E1CE2A9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160,385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6EED997E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464" w:type="dxa"/>
          </w:tcPr>
          <w:p w14:paraId="2732E1A6" w14:textId="44B06F6E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UT-151549</w:t>
            </w:r>
          </w:p>
        </w:tc>
        <w:tc>
          <w:tcPr>
            <w:tcW w:w="1350" w:type="dxa"/>
          </w:tcPr>
          <w:p w14:paraId="660771BF" w14:textId="5E9FF125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-108.1%</w:t>
            </w:r>
          </w:p>
        </w:tc>
        <w:tc>
          <w:tcPr>
            <w:tcW w:w="1435" w:type="dxa"/>
          </w:tcPr>
          <w:p w14:paraId="46A3A16D" w14:textId="7D37206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40" w:type="dxa"/>
          </w:tcPr>
          <w:p w14:paraId="0E74A1CD" w14:textId="6B544C7A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77,793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105963E2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117,214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2C726DE9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UT-151554</w:t>
            </w:r>
          </w:p>
        </w:tc>
        <w:tc>
          <w:tcPr>
            <w:tcW w:w="1350" w:type="dxa"/>
          </w:tcPr>
          <w:p w14:paraId="696E7BB7" w14:textId="6A4AC51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9.0%</w:t>
            </w:r>
          </w:p>
        </w:tc>
        <w:tc>
          <w:tcPr>
            <w:tcW w:w="1435" w:type="dxa"/>
          </w:tcPr>
          <w:p w14:paraId="4E8D1D2E" w14:textId="748F32D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40" w:type="dxa"/>
          </w:tcPr>
          <w:p w14:paraId="16A557AA" w14:textId="6555AEF0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47,733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692B0E41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52,308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4642F80C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1E425426" w14:textId="69D6B0B7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UT-151559</w:t>
            </w:r>
          </w:p>
        </w:tc>
        <w:tc>
          <w:tcPr>
            <w:tcW w:w="1350" w:type="dxa"/>
          </w:tcPr>
          <w:p w14:paraId="71A2EF6C" w14:textId="3BA1C9D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  <w:tc>
          <w:tcPr>
            <w:tcW w:w="1435" w:type="dxa"/>
          </w:tcPr>
          <w:p w14:paraId="12C7F63A" w14:textId="1F3024EF" w:rsidR="00E624CC" w:rsidRDefault="00E624CC" w:rsidP="008455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440" w:type="dxa"/>
          </w:tcPr>
          <w:p w14:paraId="1C3DC971" w14:textId="2E1AB440" w:rsidR="00E624CC" w:rsidRDefault="00E624CC" w:rsidP="00007940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523CD675" w:rsidR="00E624CC" w:rsidRPr="00840B8D" w:rsidRDefault="00E624CC" w:rsidP="00007940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201,068</w:t>
            </w:r>
          </w:p>
        </w:tc>
      </w:tr>
      <w:tr w:rsidR="00E624CC" w14:paraId="77CAEEC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C303AFD" w14:textId="665605B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Kalama </w:t>
            </w:r>
          </w:p>
        </w:tc>
        <w:tc>
          <w:tcPr>
            <w:tcW w:w="1464" w:type="dxa"/>
          </w:tcPr>
          <w:p w14:paraId="2153DCF2" w14:textId="60E2DFD2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UT-151571</w:t>
            </w:r>
          </w:p>
        </w:tc>
        <w:tc>
          <w:tcPr>
            <w:tcW w:w="1350" w:type="dxa"/>
          </w:tcPr>
          <w:p w14:paraId="294FEC02" w14:textId="4EDEFE7A" w:rsidR="00E624CC" w:rsidRDefault="00E624CC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-9.5%</w:t>
            </w:r>
          </w:p>
        </w:tc>
        <w:tc>
          <w:tcPr>
            <w:tcW w:w="1435" w:type="dxa"/>
          </w:tcPr>
          <w:p w14:paraId="7A1DD620" w14:textId="1393A96E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40" w:type="dxa"/>
          </w:tcPr>
          <w:p w14:paraId="65AC7BD0" w14:textId="31D5E9DF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138,513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516D3E0" w14:textId="505F7004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217,885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4C46F5AD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Tenino </w:t>
            </w:r>
          </w:p>
        </w:tc>
        <w:tc>
          <w:tcPr>
            <w:tcW w:w="1464" w:type="dxa"/>
          </w:tcPr>
          <w:p w14:paraId="3AA7CED9" w14:textId="76BEBAF3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UT-151572</w:t>
            </w:r>
          </w:p>
        </w:tc>
        <w:tc>
          <w:tcPr>
            <w:tcW w:w="1350" w:type="dxa"/>
          </w:tcPr>
          <w:p w14:paraId="52B73EA3" w14:textId="5A7D54B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-19.5%</w:t>
            </w:r>
          </w:p>
        </w:tc>
        <w:tc>
          <w:tcPr>
            <w:tcW w:w="1435" w:type="dxa"/>
          </w:tcPr>
          <w:p w14:paraId="5AEACAF4" w14:textId="46491D1F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40" w:type="dxa"/>
          </w:tcPr>
          <w:p w14:paraId="7C78E760" w14:textId="71552104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135,137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3B742D28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211,387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8D59188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Pioneer </w:t>
            </w:r>
          </w:p>
        </w:tc>
        <w:tc>
          <w:tcPr>
            <w:tcW w:w="1464" w:type="dxa"/>
          </w:tcPr>
          <w:p w14:paraId="67ED2B79" w14:textId="304C36BE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UT-151577</w:t>
            </w:r>
          </w:p>
        </w:tc>
        <w:tc>
          <w:tcPr>
            <w:tcW w:w="1350" w:type="dxa"/>
          </w:tcPr>
          <w:p w14:paraId="10A9BA7E" w14:textId="5F1AC0F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435" w:type="dxa"/>
          </w:tcPr>
          <w:p w14:paraId="5A643F13" w14:textId="584725E6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40" w:type="dxa"/>
          </w:tcPr>
          <w:p w14:paraId="52D4AACC" w14:textId="76CFAD30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84,280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350A2896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99,862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3C8B210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Whidbey </w:t>
            </w:r>
          </w:p>
        </w:tc>
        <w:tc>
          <w:tcPr>
            <w:tcW w:w="1464" w:type="dxa"/>
          </w:tcPr>
          <w:p w14:paraId="756E6780" w14:textId="38A1FC5C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UT-151584</w:t>
            </w:r>
          </w:p>
        </w:tc>
        <w:tc>
          <w:tcPr>
            <w:tcW w:w="1350" w:type="dxa"/>
          </w:tcPr>
          <w:p w14:paraId="27858E9D" w14:textId="1F8CC51F" w:rsidR="00E624CC" w:rsidRDefault="00E624CC" w:rsidP="00C823F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72BEAB84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40" w:type="dxa"/>
          </w:tcPr>
          <w:p w14:paraId="70CDC740" w14:textId="3AC48803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442,021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3EA67A8D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748,392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1EB603D5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YCOM – FairPoint</w:t>
            </w:r>
          </w:p>
        </w:tc>
        <w:tc>
          <w:tcPr>
            <w:tcW w:w="1464" w:type="dxa"/>
          </w:tcPr>
          <w:p w14:paraId="6DF2E0C2" w14:textId="0A19CA21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UT-151585</w:t>
            </w:r>
          </w:p>
        </w:tc>
        <w:tc>
          <w:tcPr>
            <w:tcW w:w="1350" w:type="dxa"/>
          </w:tcPr>
          <w:p w14:paraId="19A56CE9" w14:textId="4087D364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435" w:type="dxa"/>
          </w:tcPr>
          <w:p w14:paraId="7A4FF8FD" w14:textId="4276D41C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40" w:type="dxa"/>
          </w:tcPr>
          <w:p w14:paraId="690FF3A6" w14:textId="7A970159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201,136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04A639C7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281,798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3A0DC35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464" w:type="dxa"/>
          </w:tcPr>
          <w:p w14:paraId="68B5F590" w14:textId="06F19E75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UT-151586</w:t>
            </w:r>
          </w:p>
        </w:tc>
        <w:tc>
          <w:tcPr>
            <w:tcW w:w="1350" w:type="dxa"/>
          </w:tcPr>
          <w:p w14:paraId="279A73A6" w14:textId="41E29A5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1435" w:type="dxa"/>
          </w:tcPr>
          <w:p w14:paraId="6B537514" w14:textId="0CA94258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40" w:type="dxa"/>
          </w:tcPr>
          <w:p w14:paraId="7BBF6EEE" w14:textId="15C9D384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41,262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1A7B2E71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99,808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2A2D78DB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– TDS</w:t>
            </w:r>
          </w:p>
        </w:tc>
        <w:tc>
          <w:tcPr>
            <w:tcW w:w="1464" w:type="dxa"/>
          </w:tcPr>
          <w:p w14:paraId="21ED364A" w14:textId="64DF4D83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UT-151587</w:t>
            </w:r>
          </w:p>
        </w:tc>
        <w:tc>
          <w:tcPr>
            <w:tcW w:w="1350" w:type="dxa"/>
          </w:tcPr>
          <w:p w14:paraId="24486D75" w14:textId="1EEBBFD8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715FFE5E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B1289AD" w14:textId="62D0271E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97,696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3B841EE3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102,416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27A52372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– TDS</w:t>
            </w:r>
          </w:p>
        </w:tc>
        <w:tc>
          <w:tcPr>
            <w:tcW w:w="1464" w:type="dxa"/>
          </w:tcPr>
          <w:p w14:paraId="44FF03E2" w14:textId="5F396184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UT-151591</w:t>
            </w:r>
          </w:p>
        </w:tc>
        <w:tc>
          <w:tcPr>
            <w:tcW w:w="1350" w:type="dxa"/>
          </w:tcPr>
          <w:p w14:paraId="0644CF78" w14:textId="030F1ABD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59E98AC1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2D5EDA55" w14:textId="7CCB082D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133,737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47D7D95E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213,220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1A8A890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Island </w:t>
            </w:r>
          </w:p>
        </w:tc>
        <w:tc>
          <w:tcPr>
            <w:tcW w:w="1464" w:type="dxa"/>
          </w:tcPr>
          <w:p w14:paraId="1D754EDD" w14:textId="02826B50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UT-151593</w:t>
            </w:r>
          </w:p>
        </w:tc>
        <w:tc>
          <w:tcPr>
            <w:tcW w:w="1350" w:type="dxa"/>
          </w:tcPr>
          <w:p w14:paraId="385F40A3" w14:textId="074E1763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435" w:type="dxa"/>
          </w:tcPr>
          <w:p w14:paraId="393F8A94" w14:textId="28455182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40" w:type="dxa"/>
          </w:tcPr>
          <w:p w14:paraId="55B40FAE" w14:textId="09A7A2AA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742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4692904B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2,771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366F5E4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Toledo </w:t>
            </w:r>
          </w:p>
        </w:tc>
        <w:tc>
          <w:tcPr>
            <w:tcW w:w="1464" w:type="dxa"/>
          </w:tcPr>
          <w:p w14:paraId="28A76D71" w14:textId="4761B7BB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UT-151612</w:t>
            </w:r>
          </w:p>
        </w:tc>
        <w:tc>
          <w:tcPr>
            <w:tcW w:w="1350" w:type="dxa"/>
          </w:tcPr>
          <w:p w14:paraId="3A1E49C3" w14:textId="050A1E50" w:rsidR="00E624CC" w:rsidRDefault="00855A87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1435" w:type="dxa"/>
          </w:tcPr>
          <w:p w14:paraId="3700A325" w14:textId="7C0A9ED4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40" w:type="dxa"/>
          </w:tcPr>
          <w:p w14:paraId="2E7F8C19" w14:textId="5CE7AF50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164,333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6FC4EC76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279,514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32AA58E1" w:rsidR="00E624CC" w:rsidRDefault="00E624CC" w:rsidP="003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stgate</w:t>
            </w:r>
          </w:p>
        </w:tc>
        <w:tc>
          <w:tcPr>
            <w:tcW w:w="1464" w:type="dxa"/>
          </w:tcPr>
          <w:p w14:paraId="1167F05F" w14:textId="5B8682B4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UT-151613</w:t>
            </w:r>
          </w:p>
        </w:tc>
        <w:tc>
          <w:tcPr>
            <w:tcW w:w="1350" w:type="dxa"/>
          </w:tcPr>
          <w:p w14:paraId="5B7D39C3" w14:textId="52510F6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-8.0%</w:t>
            </w:r>
          </w:p>
        </w:tc>
        <w:tc>
          <w:tcPr>
            <w:tcW w:w="1435" w:type="dxa"/>
          </w:tcPr>
          <w:p w14:paraId="6E1DD217" w14:textId="3B5C630F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 0</w:t>
            </w:r>
          </w:p>
        </w:tc>
        <w:tc>
          <w:tcPr>
            <w:tcW w:w="1440" w:type="dxa"/>
          </w:tcPr>
          <w:p w14:paraId="0911BDE9" w14:textId="082E8756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58,291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7C0AA948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         58,291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77777777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8CD14C" w14:textId="77777777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46201C" w14:textId="7777777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E4AA14C" w14:textId="599A67AF" w:rsidR="00E624CC" w:rsidRDefault="00E624CC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AB342" w14:textId="77777777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77777777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7999B552" w:rsidR="00E624CC" w:rsidRDefault="00E624CC" w:rsidP="006D25FC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$1,011,183</w:t>
            </w:r>
          </w:p>
        </w:tc>
        <w:tc>
          <w:tcPr>
            <w:tcW w:w="1440" w:type="dxa"/>
          </w:tcPr>
          <w:p w14:paraId="5A0AC6A3" w14:textId="65731A7E" w:rsidR="00E624CC" w:rsidRDefault="00E624CC" w:rsidP="006D25FC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2,141,929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CC05CD7" w:rsidR="00E624CC" w:rsidRPr="00840B8D" w:rsidRDefault="00E624CC" w:rsidP="006D25FC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3,153,112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05745" w:rsidSect="003175C4">
      <w:headerReference w:type="default" r:id="rId9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5CDFAE11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B11112" w:rsidRPr="008376A8">
      <w:rPr>
        <w:rFonts w:ascii="Times New Roman" w:hAnsi="Times New Roman" w:cs="Times New Roman"/>
        <w:sz w:val="20"/>
        <w:szCs w:val="20"/>
      </w:rPr>
      <w:t>51501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536034B5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Pr="008376A8">
      <w:rPr>
        <w:rFonts w:ascii="Times New Roman" w:hAnsi="Times New Roman" w:cs="Times New Roman"/>
        <w:sz w:val="20"/>
        <w:szCs w:val="20"/>
      </w:rPr>
      <w:t>3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Pr="008376A8">
      <w:rPr>
        <w:rFonts w:ascii="Times New Roman" w:hAnsi="Times New Roman" w:cs="Times New Roman"/>
        <w:sz w:val="20"/>
        <w:szCs w:val="20"/>
      </w:rPr>
      <w:t>5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2354C5"/>
    <w:rsid w:val="002519C5"/>
    <w:rsid w:val="0029585E"/>
    <w:rsid w:val="002C039A"/>
    <w:rsid w:val="003175C4"/>
    <w:rsid w:val="00331E38"/>
    <w:rsid w:val="00344366"/>
    <w:rsid w:val="00376DBE"/>
    <w:rsid w:val="00392D10"/>
    <w:rsid w:val="003959AF"/>
    <w:rsid w:val="003E023F"/>
    <w:rsid w:val="00445C7B"/>
    <w:rsid w:val="004554EB"/>
    <w:rsid w:val="004667FF"/>
    <w:rsid w:val="004802F4"/>
    <w:rsid w:val="00494B71"/>
    <w:rsid w:val="00513527"/>
    <w:rsid w:val="00552600"/>
    <w:rsid w:val="0055321C"/>
    <w:rsid w:val="00576D49"/>
    <w:rsid w:val="005800DE"/>
    <w:rsid w:val="005A6C74"/>
    <w:rsid w:val="005B2472"/>
    <w:rsid w:val="006202CC"/>
    <w:rsid w:val="0063756C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70C99"/>
    <w:rsid w:val="0098105F"/>
    <w:rsid w:val="009B2E22"/>
    <w:rsid w:val="009C0A53"/>
    <w:rsid w:val="009C5DB8"/>
    <w:rsid w:val="009D0FA5"/>
    <w:rsid w:val="009E56B2"/>
    <w:rsid w:val="00A14EC2"/>
    <w:rsid w:val="00A1767B"/>
    <w:rsid w:val="00A52EF6"/>
    <w:rsid w:val="00A740E6"/>
    <w:rsid w:val="00A84042"/>
    <w:rsid w:val="00A84C2A"/>
    <w:rsid w:val="00AA5736"/>
    <w:rsid w:val="00AC4861"/>
    <w:rsid w:val="00AD114B"/>
    <w:rsid w:val="00AD3312"/>
    <w:rsid w:val="00AD71A6"/>
    <w:rsid w:val="00AE126F"/>
    <w:rsid w:val="00AE273E"/>
    <w:rsid w:val="00AF50C2"/>
    <w:rsid w:val="00B11112"/>
    <w:rsid w:val="00B13041"/>
    <w:rsid w:val="00B44C96"/>
    <w:rsid w:val="00B91AC6"/>
    <w:rsid w:val="00BC3DE1"/>
    <w:rsid w:val="00BF2682"/>
    <w:rsid w:val="00BF5B4C"/>
    <w:rsid w:val="00C74E18"/>
    <w:rsid w:val="00C823F6"/>
    <w:rsid w:val="00CF26FC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E7C1F"/>
    <w:rsid w:val="00F21B68"/>
    <w:rsid w:val="00F35F0A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DB815F6BD0534BB5FEF02761B9EEF6" ma:contentTypeVersion="119" ma:contentTypeDescription="" ma:contentTypeScope="" ma:versionID="4cf07580b5ecfc193589701948f68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2015-07-28T07:00:00+00:00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151549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A2D25-F2C4-44FB-BFC0-420E60950723}"/>
</file>

<file path=customXml/itemProps2.xml><?xml version="1.0" encoding="utf-8"?>
<ds:datastoreItem xmlns:ds="http://schemas.openxmlformats.org/officeDocument/2006/customXml" ds:itemID="{10E756BD-8B18-47FB-A47D-3B4ABAB15135}"/>
</file>

<file path=customXml/itemProps3.xml><?xml version="1.0" encoding="utf-8"?>
<ds:datastoreItem xmlns:ds="http://schemas.openxmlformats.org/officeDocument/2006/customXml" ds:itemID="{CC2A826B-5386-41B2-A7FE-6C3535AEC3AF}"/>
</file>

<file path=customXml/itemProps4.xml><?xml version="1.0" encoding="utf-8"?>
<ds:datastoreItem xmlns:ds="http://schemas.openxmlformats.org/officeDocument/2006/customXml" ds:itemID="{8A5E3AF1-E59E-44BE-9057-B0BC1BFF7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UT-151501 Attachment</dc:title>
  <dc:subject/>
  <dc:creator/>
  <cp:keywords/>
  <dc:description/>
  <cp:lastModifiedBy/>
  <cp:revision>1</cp:revision>
  <dcterms:created xsi:type="dcterms:W3CDTF">2015-11-12T22:04:00Z</dcterms:created>
  <dcterms:modified xsi:type="dcterms:W3CDTF">2015-11-12T22:04:00Z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0x0101006E56B4D1795A2E4DB2F0B01679ED314A007CDB815F6BD0534BB5FEF02761B9EEF6</vt:lpwstr>
  </property>
  <property fmtid="{D5CDD505-2E9C-101B-9397-08002B2CF9AE}" pid="3" name="_docset_NoMedatataSyncRequired">
    <vt:lpwstr>False</vt:lpwstr>
  </property>
</Properties>
</file>