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5B677" w14:textId="77777777" w:rsidR="00045148" w:rsidRPr="00045148" w:rsidRDefault="00A95D9B" w:rsidP="00A95D9B">
      <w:pPr>
        <w:pStyle w:val="IRPtitl"/>
        <w:ind w:left="0" w:firstLine="0"/>
        <w:rPr>
          <w:sz w:val="48"/>
          <w:szCs w:val="48"/>
        </w:rPr>
      </w:pPr>
      <w:r>
        <w:rPr>
          <w:sz w:val="48"/>
          <w:szCs w:val="48"/>
        </w:rPr>
        <w:t xml:space="preserve">LEGAL REQUIREMENTS </w:t>
      </w:r>
      <w:r>
        <w:rPr>
          <w:sz w:val="48"/>
          <w:szCs w:val="48"/>
        </w:rPr>
        <w:br/>
        <w:t>AND OTHER REPORTS</w:t>
      </w:r>
      <w:r w:rsidR="00045148" w:rsidRPr="00045148">
        <w:rPr>
          <w:sz w:val="48"/>
          <w:szCs w:val="48"/>
        </w:rPr>
        <w:br/>
      </w:r>
      <w:r w:rsidR="00A71D0B">
        <w:rPr>
          <w:noProof/>
          <w:color w:val="FFFFFF" w:themeColor="background1"/>
          <w:sz w:val="48"/>
          <w:szCs w:val="48"/>
          <w:lang w:eastAsia="en-US"/>
        </w:rPr>
        <mc:AlternateContent>
          <mc:Choice Requires="wps">
            <w:drawing>
              <wp:anchor distT="0" distB="0" distL="0" distR="182880" simplePos="0" relativeHeight="251661312" behindDoc="0" locked="0" layoutInCell="1" allowOverlap="1" wp14:anchorId="0B6CE2DB" wp14:editId="6B47AF5E">
                <wp:simplePos x="0" y="0"/>
                <wp:positionH relativeFrom="margin">
                  <wp:posOffset>53340</wp:posOffset>
                </wp:positionH>
                <wp:positionV relativeFrom="line">
                  <wp:posOffset>223520</wp:posOffset>
                </wp:positionV>
                <wp:extent cx="2284095" cy="1662430"/>
                <wp:effectExtent l="0" t="0" r="1905" b="0"/>
                <wp:wrapThrough wrapText="right">
                  <wp:wrapPolygon edited="0">
                    <wp:start x="0" y="0"/>
                    <wp:lineTo x="0" y="21121"/>
                    <wp:lineTo x="21378" y="21121"/>
                    <wp:lineTo x="21378" y="0"/>
                    <wp:lineTo x="0" y="0"/>
                  </wp:wrapPolygon>
                </wp:wrapThrough>
                <wp:docPr id="54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1662430"/>
                        </a:xfrm>
                        <a:prstGeom prst="rect">
                          <a:avLst/>
                        </a:prstGeom>
                        <a:solidFill>
                          <a:srgbClr val="71BB32"/>
                        </a:solidFill>
                        <a:ln>
                          <a:noFill/>
                        </a:ln>
                        <a:extLst/>
                      </wps:spPr>
                      <wps:txbx>
                        <w:txbxContent>
                          <w:p w14:paraId="3CB16034" w14:textId="77777777" w:rsidR="005C1A06" w:rsidRPr="003E5E14" w:rsidRDefault="005C1A06" w:rsidP="00E65DEE">
                            <w:pPr>
                              <w:pStyle w:val="IRPsub1"/>
                              <w:rPr>
                                <w:i w:val="0"/>
                                <w:sz w:val="8"/>
                                <w:szCs w:val="32"/>
                              </w:rPr>
                            </w:pPr>
                          </w:p>
                          <w:p w14:paraId="7BC48C72" w14:textId="77777777" w:rsidR="005C1A06" w:rsidRPr="00833BEA" w:rsidRDefault="005C1A06" w:rsidP="00E65DEE">
                            <w:pPr>
                              <w:pStyle w:val="IRPsub1"/>
                              <w:rPr>
                                <w:i w:val="0"/>
                                <w:sz w:val="32"/>
                                <w:szCs w:val="32"/>
                              </w:rPr>
                            </w:pPr>
                            <w:r>
                              <w:rPr>
                                <w:i w:val="0"/>
                                <w:sz w:val="32"/>
                                <w:szCs w:val="32"/>
                              </w:rPr>
                              <w:t>Contents</w:t>
                            </w:r>
                            <w:r>
                              <w:rPr>
                                <w:b/>
                                <w:color w:val="02265C"/>
                              </w:rPr>
                              <w:t xml:space="preserve"> </w:t>
                            </w:r>
                          </w:p>
                          <w:p w14:paraId="3E4CDE49" w14:textId="77777777" w:rsidR="005C1A06" w:rsidRDefault="005C1A06" w:rsidP="00E65DEE">
                            <w:pPr>
                              <w:pStyle w:val="IRPsub1"/>
                              <w:tabs>
                                <w:tab w:val="left" w:pos="270"/>
                              </w:tabs>
                              <w:spacing w:before="80" w:after="80"/>
                              <w:rPr>
                                <w:b/>
                                <w:caps/>
                                <w:color w:val="02265C"/>
                              </w:rPr>
                            </w:pPr>
                            <w:r>
                              <w:rPr>
                                <w:b/>
                                <w:color w:val="02265C"/>
                              </w:rPr>
                              <w:t>B</w:t>
                            </w:r>
                            <w:r w:rsidRPr="00833BEA">
                              <w:rPr>
                                <w:b/>
                                <w:color w:val="02265C"/>
                              </w:rPr>
                              <w:t xml:space="preserve">-2. </w:t>
                            </w:r>
                            <w:r>
                              <w:rPr>
                                <w:b/>
                                <w:caps/>
                                <w:color w:val="02265C"/>
                              </w:rPr>
                              <w:t xml:space="preserve">REGULATORY </w:t>
                            </w:r>
                            <w:r>
                              <w:rPr>
                                <w:b/>
                                <w:caps/>
                                <w:color w:val="02265C"/>
                              </w:rPr>
                              <w:br/>
                              <w:t xml:space="preserve">        REQUIREMENTS</w:t>
                            </w:r>
                          </w:p>
                          <w:p w14:paraId="25F86D83" w14:textId="77777777" w:rsidR="005C1A06" w:rsidRPr="00833BEA" w:rsidRDefault="005C1A06" w:rsidP="00E65DEE">
                            <w:pPr>
                              <w:pStyle w:val="IRPsub1"/>
                              <w:tabs>
                                <w:tab w:val="left" w:pos="270"/>
                              </w:tabs>
                              <w:spacing w:before="80" w:after="80"/>
                              <w:rPr>
                                <w:b/>
                                <w:color w:val="02265C"/>
                              </w:rPr>
                            </w:pPr>
                            <w:r>
                              <w:rPr>
                                <w:b/>
                                <w:color w:val="02265C"/>
                              </w:rPr>
                              <w:t>B</w:t>
                            </w:r>
                            <w:r w:rsidRPr="00833BEA">
                              <w:rPr>
                                <w:b/>
                                <w:color w:val="02265C"/>
                              </w:rPr>
                              <w:t>-</w:t>
                            </w:r>
                            <w:r>
                              <w:rPr>
                                <w:b/>
                                <w:color w:val="02265C"/>
                              </w:rPr>
                              <w:t>5</w:t>
                            </w:r>
                            <w:r w:rsidRPr="00833BEA">
                              <w:rPr>
                                <w:b/>
                                <w:color w:val="02265C"/>
                              </w:rPr>
                              <w:t xml:space="preserve">. </w:t>
                            </w:r>
                            <w:r>
                              <w:rPr>
                                <w:b/>
                                <w:caps/>
                                <w:color w:val="02265C"/>
                              </w:rPr>
                              <w:t xml:space="preserve">REPORT ON PREVIOUS </w:t>
                            </w:r>
                            <w:r>
                              <w:rPr>
                                <w:b/>
                                <w:caps/>
                                <w:color w:val="02265C"/>
                              </w:rPr>
                              <w:br/>
                              <w:t xml:space="preserve">       ACTION PLANS</w:t>
                            </w:r>
                          </w:p>
                          <w:p w14:paraId="468E1002" w14:textId="77777777" w:rsidR="005C1A06" w:rsidRPr="00833BEA" w:rsidRDefault="005C1A06" w:rsidP="00A95D9B">
                            <w:pPr>
                              <w:pStyle w:val="IRPsub1"/>
                              <w:tabs>
                                <w:tab w:val="left" w:pos="270"/>
                              </w:tabs>
                              <w:spacing w:before="80" w:after="80"/>
                              <w:rPr>
                                <w:b/>
                                <w:color w:val="02265C"/>
                              </w:rPr>
                            </w:pPr>
                            <w:r>
                              <w:rPr>
                                <w:b/>
                                <w:color w:val="02265C"/>
                              </w:rPr>
                              <w:t>B</w:t>
                            </w:r>
                            <w:r w:rsidRPr="00833BEA">
                              <w:rPr>
                                <w:b/>
                                <w:color w:val="02265C"/>
                              </w:rPr>
                              <w:t>-</w:t>
                            </w:r>
                            <w:r w:rsidR="00DD77F9">
                              <w:rPr>
                                <w:b/>
                                <w:color w:val="02265C"/>
                              </w:rPr>
                              <w:t>10</w:t>
                            </w:r>
                            <w:r w:rsidRPr="00833BEA">
                              <w:rPr>
                                <w:b/>
                                <w:color w:val="02265C"/>
                              </w:rPr>
                              <w:t xml:space="preserve">. </w:t>
                            </w:r>
                            <w:r>
                              <w:rPr>
                                <w:b/>
                                <w:caps/>
                                <w:color w:val="02265C"/>
                              </w:rPr>
                              <w:t>OTHER REPORTS</w:t>
                            </w:r>
                          </w:p>
                          <w:p w14:paraId="5308F943" w14:textId="77777777" w:rsidR="005C1A06" w:rsidRDefault="005C1A06" w:rsidP="00A42BDB">
                            <w:pPr>
                              <w:pStyle w:val="IRPsub1"/>
                              <w:spacing w:before="80" w:after="80"/>
                              <w:ind w:left="720"/>
                              <w:rPr>
                                <w:color w:val="02265C"/>
                              </w:rPr>
                            </w:pPr>
                          </w:p>
                          <w:p w14:paraId="1A4F65B2" w14:textId="77777777" w:rsidR="005C1A06" w:rsidRPr="00771D35" w:rsidRDefault="005C1A06" w:rsidP="00890FDA">
                            <w:pPr>
                              <w:pStyle w:val="IRPsub1"/>
                              <w:spacing w:before="80" w:after="80"/>
                              <w:rPr>
                                <w:color w:val="02265C"/>
                              </w:rPr>
                            </w:pPr>
                          </w:p>
                          <w:p w14:paraId="72FD15C8" w14:textId="77777777" w:rsidR="005C1A06" w:rsidRPr="00771D35" w:rsidRDefault="005C1A06" w:rsidP="00B12366">
                            <w:pPr>
                              <w:pStyle w:val="IRPsub1"/>
                              <w:spacing w:before="80" w:after="80"/>
                              <w:ind w:firstLine="270"/>
                              <w:rPr>
                                <w:color w:val="02265C"/>
                              </w:rPr>
                            </w:pPr>
                          </w:p>
                          <w:p w14:paraId="72399BBB" w14:textId="77777777" w:rsidR="005C1A06" w:rsidRPr="00D013FE" w:rsidRDefault="005C1A06" w:rsidP="00601E72">
                            <w:pPr>
                              <w:pStyle w:val="IRPsub1"/>
                            </w:pPr>
                          </w:p>
                          <w:p w14:paraId="27183B5D" w14:textId="77777777" w:rsidR="005C1A06" w:rsidRPr="00D013FE" w:rsidRDefault="005C1A06" w:rsidP="00601E72">
                            <w:pPr>
                              <w:pStyle w:val="IRPsub1"/>
                            </w:pPr>
                          </w:p>
                        </w:txbxContent>
                      </wps:txbx>
                      <wps:bodyPr rot="0" vert="horz" wrap="square" lIns="18288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7" o:spid="_x0000_s1026" type="#_x0000_t202" style="position:absolute;margin-left:4.2pt;margin-top:17.6pt;width:179.85pt;height:130.9pt;z-index:251661312;visibility:visible;mso-wrap-style:square;mso-width-percent:0;mso-height-percent:0;mso-wrap-distance-left:0;mso-wrap-distance-top:0;mso-wrap-distance-right:14.4pt;mso-wrap-distance-bottom:0;mso-position-horizontal:absolute;mso-position-horizontal-relative:margin;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" fillcolor="#71bb32" stroked="f">
                <v:textbox inset="14.4pt,7.2pt,,7.2pt">
                  <w:txbxContent>
                    <w:p w14:paraId="3CB16034" w14:textId="77777777" w:rsidR="005C1A06" w:rsidRPr="003E5E14" w:rsidRDefault="005C1A06" w:rsidP="00E65DEE">
                      <w:pPr>
                        <w:pStyle w:val="IRPsub1"/>
                        <w:rPr>
                          <w:i w:val="0"/>
                          <w:sz w:val="8"/>
                          <w:szCs w:val="32"/>
                        </w:rPr>
                      </w:pPr>
                    </w:p>
                    <w:p w14:paraId="7BC48C72" w14:textId="77777777" w:rsidR="005C1A06" w:rsidRPr="00833BEA" w:rsidRDefault="005C1A06" w:rsidP="00E65DEE">
                      <w:pPr>
                        <w:pStyle w:val="IRPsub1"/>
                        <w:rPr>
                          <w:i w:val="0"/>
                          <w:sz w:val="32"/>
                          <w:szCs w:val="32"/>
                        </w:rPr>
                      </w:pPr>
                      <w:r>
                        <w:rPr>
                          <w:i w:val="0"/>
                          <w:sz w:val="32"/>
                          <w:szCs w:val="32"/>
                        </w:rPr>
                        <w:t>Contents</w:t>
                      </w:r>
                      <w:r>
                        <w:rPr>
                          <w:b/>
                          <w:color w:val="02265C"/>
                        </w:rPr>
                        <w:t xml:space="preserve"> </w:t>
                      </w:r>
                    </w:p>
                    <w:p w14:paraId="3E4CDE49" w14:textId="77777777" w:rsidR="005C1A06" w:rsidRDefault="005C1A06" w:rsidP="00E65DEE">
                      <w:pPr>
                        <w:pStyle w:val="IRPsub1"/>
                        <w:tabs>
                          <w:tab w:val="left" w:pos="270"/>
                        </w:tabs>
                        <w:spacing w:before="80" w:after="80"/>
                        <w:rPr>
                          <w:b/>
                          <w:caps/>
                          <w:color w:val="02265C"/>
                        </w:rPr>
                      </w:pPr>
                      <w:r>
                        <w:rPr>
                          <w:b/>
                          <w:color w:val="02265C"/>
                        </w:rPr>
                        <w:t>B</w:t>
                      </w:r>
                      <w:r w:rsidRPr="00833BEA">
                        <w:rPr>
                          <w:b/>
                          <w:color w:val="02265C"/>
                        </w:rPr>
                        <w:t xml:space="preserve">-2. </w:t>
                      </w:r>
                      <w:r>
                        <w:rPr>
                          <w:b/>
                          <w:caps/>
                          <w:color w:val="02265C"/>
                        </w:rPr>
                        <w:t xml:space="preserve">REGULATORY </w:t>
                      </w:r>
                      <w:r>
                        <w:rPr>
                          <w:b/>
                          <w:caps/>
                          <w:color w:val="02265C"/>
                        </w:rPr>
                        <w:br/>
                        <w:t xml:space="preserve">        REQUIREMENTS</w:t>
                      </w:r>
                    </w:p>
                    <w:p w14:paraId="25F86D83" w14:textId="77777777" w:rsidR="005C1A06" w:rsidRPr="00833BEA" w:rsidRDefault="005C1A06" w:rsidP="00E65DEE">
                      <w:pPr>
                        <w:pStyle w:val="IRPsub1"/>
                        <w:tabs>
                          <w:tab w:val="left" w:pos="270"/>
                        </w:tabs>
                        <w:spacing w:before="80" w:after="80"/>
                        <w:rPr>
                          <w:b/>
                          <w:color w:val="02265C"/>
                        </w:rPr>
                      </w:pPr>
                      <w:r>
                        <w:rPr>
                          <w:b/>
                          <w:color w:val="02265C"/>
                        </w:rPr>
                        <w:t>B</w:t>
                      </w:r>
                      <w:r w:rsidRPr="00833BEA">
                        <w:rPr>
                          <w:b/>
                          <w:color w:val="02265C"/>
                        </w:rPr>
                        <w:t>-</w:t>
                      </w:r>
                      <w:r>
                        <w:rPr>
                          <w:b/>
                          <w:color w:val="02265C"/>
                        </w:rPr>
                        <w:t>5</w:t>
                      </w:r>
                      <w:r w:rsidRPr="00833BEA">
                        <w:rPr>
                          <w:b/>
                          <w:color w:val="02265C"/>
                        </w:rPr>
                        <w:t xml:space="preserve">. </w:t>
                      </w:r>
                      <w:r>
                        <w:rPr>
                          <w:b/>
                          <w:caps/>
                          <w:color w:val="02265C"/>
                        </w:rPr>
                        <w:t xml:space="preserve">REPORT ON PREVIOUS </w:t>
                      </w:r>
                      <w:r>
                        <w:rPr>
                          <w:b/>
                          <w:caps/>
                          <w:color w:val="02265C"/>
                        </w:rPr>
                        <w:br/>
                        <w:t xml:space="preserve">       ACTION PLANS</w:t>
                      </w:r>
                    </w:p>
                    <w:p w14:paraId="468E1002" w14:textId="77777777" w:rsidR="005C1A06" w:rsidRPr="00833BEA" w:rsidRDefault="005C1A06" w:rsidP="00A95D9B">
                      <w:pPr>
                        <w:pStyle w:val="IRPsub1"/>
                        <w:tabs>
                          <w:tab w:val="left" w:pos="270"/>
                        </w:tabs>
                        <w:spacing w:before="80" w:after="80"/>
                        <w:rPr>
                          <w:b/>
                          <w:color w:val="02265C"/>
                        </w:rPr>
                      </w:pPr>
                      <w:r>
                        <w:rPr>
                          <w:b/>
                          <w:color w:val="02265C"/>
                        </w:rPr>
                        <w:t>B</w:t>
                      </w:r>
                      <w:r w:rsidRPr="00833BEA">
                        <w:rPr>
                          <w:b/>
                          <w:color w:val="02265C"/>
                        </w:rPr>
                        <w:t>-</w:t>
                      </w:r>
                      <w:r w:rsidR="00DD77F9">
                        <w:rPr>
                          <w:b/>
                          <w:color w:val="02265C"/>
                        </w:rPr>
                        <w:t>10</w:t>
                      </w:r>
                      <w:r w:rsidRPr="00833BEA">
                        <w:rPr>
                          <w:b/>
                          <w:color w:val="02265C"/>
                        </w:rPr>
                        <w:t xml:space="preserve">. </w:t>
                      </w:r>
                      <w:r>
                        <w:rPr>
                          <w:b/>
                          <w:caps/>
                          <w:color w:val="02265C"/>
                        </w:rPr>
                        <w:t>OTHER REPORTS</w:t>
                      </w:r>
                    </w:p>
                    <w:p w14:paraId="5308F943" w14:textId="77777777" w:rsidR="005C1A06" w:rsidRDefault="005C1A06" w:rsidP="00A42BDB">
                      <w:pPr>
                        <w:pStyle w:val="IRPsub1"/>
                        <w:spacing w:before="80" w:after="80"/>
                        <w:ind w:left="720"/>
                        <w:rPr>
                          <w:color w:val="02265C"/>
                        </w:rPr>
                      </w:pPr>
                    </w:p>
                    <w:p w14:paraId="1A4F65B2" w14:textId="77777777" w:rsidR="005C1A06" w:rsidRPr="00771D35" w:rsidRDefault="005C1A06" w:rsidP="00890FDA">
                      <w:pPr>
                        <w:pStyle w:val="IRPsub1"/>
                        <w:spacing w:before="80" w:after="80"/>
                        <w:rPr>
                          <w:color w:val="02265C"/>
                        </w:rPr>
                      </w:pPr>
                    </w:p>
                    <w:p w14:paraId="72FD15C8" w14:textId="77777777" w:rsidR="005C1A06" w:rsidRPr="00771D35" w:rsidRDefault="005C1A06" w:rsidP="00B12366">
                      <w:pPr>
                        <w:pStyle w:val="IRPsub1"/>
                        <w:spacing w:before="80" w:after="80"/>
                        <w:ind w:firstLine="270"/>
                        <w:rPr>
                          <w:color w:val="02265C"/>
                        </w:rPr>
                      </w:pPr>
                    </w:p>
                    <w:p w14:paraId="72399BBB" w14:textId="77777777" w:rsidR="005C1A06" w:rsidRPr="00D013FE" w:rsidRDefault="005C1A06" w:rsidP="00601E72">
                      <w:pPr>
                        <w:pStyle w:val="IRPsub1"/>
                      </w:pPr>
                    </w:p>
                    <w:p w14:paraId="27183B5D" w14:textId="77777777" w:rsidR="005C1A06" w:rsidRPr="00D013FE" w:rsidRDefault="005C1A06" w:rsidP="00601E72">
                      <w:pPr>
                        <w:pStyle w:val="IRPsub1"/>
                      </w:pPr>
                    </w:p>
                  </w:txbxContent>
                </v:textbox>
                <w10:wrap type="through" side="right" anchorx="margin" anchory="line"/>
              </v:shape>
            </w:pict>
          </mc:Fallback>
        </mc:AlternateContent>
      </w:r>
    </w:p>
    <w:p w14:paraId="6EC5B9A9" w14:textId="77777777" w:rsidR="00623D77" w:rsidRDefault="00A95D9B" w:rsidP="00A95D9B">
      <w:pPr>
        <w:pStyle w:val="IRPseriftextbig"/>
      </w:pPr>
      <w:r w:rsidRPr="008E5EB6">
        <w:t xml:space="preserve">PSE is submitting this IRP pursuant to state regulations regarding electric </w:t>
      </w:r>
      <w:r>
        <w:t xml:space="preserve">and natural gas utility </w:t>
      </w:r>
      <w:r w:rsidRPr="008E5EB6">
        <w:t>resource planning</w:t>
      </w:r>
      <w:r>
        <w:t xml:space="preserve"> contained in</w:t>
      </w:r>
      <w:r w:rsidRPr="008E5EB6">
        <w:t xml:space="preserve"> WAC 480-100-238 and WAC 480-90-238</w:t>
      </w:r>
      <w:r>
        <w:t>, respectively.</w:t>
      </w:r>
      <w:r w:rsidRPr="008E5EB6">
        <w:t xml:space="preserve"> </w:t>
      </w:r>
    </w:p>
    <w:p w14:paraId="32707EB5" w14:textId="77777777" w:rsidR="00A95D9B" w:rsidRDefault="00A95D9B" w:rsidP="00A95D9B">
      <w:pPr>
        <w:pStyle w:val="IRPseriftextbig"/>
      </w:pPr>
      <w:r w:rsidRPr="008E5EB6">
        <w:t xml:space="preserve">Section 1 of this </w:t>
      </w:r>
      <w:r>
        <w:t>appendix</w:t>
      </w:r>
      <w:r w:rsidRPr="008E5EB6">
        <w:t xml:space="preserve"> outlines the regulatory requirements for electric and gas integrated resource plans and identifies where each of these requirements is addressed within the IRP. Section 2 reports on the electric and gas </w:t>
      </w:r>
      <w:r>
        <w:t>utility</w:t>
      </w:r>
      <w:r w:rsidRPr="008E5EB6">
        <w:t xml:space="preserve"> action plans put forward in the previous IRP. Section 3 offers </w:t>
      </w:r>
      <w:r w:rsidRPr="00FF1EF7">
        <w:t>two additional reports</w:t>
      </w:r>
      <w:r w:rsidRPr="008E5EB6">
        <w:t>. The first illustrat</w:t>
      </w:r>
      <w:r>
        <w:t xml:space="preserve">es how </w:t>
      </w:r>
      <w:r w:rsidRPr="008E5EB6">
        <w:t xml:space="preserve">PSE's electric demand-side resources assessment </w:t>
      </w:r>
      <w:r>
        <w:t xml:space="preserve">is consistent </w:t>
      </w:r>
      <w:r w:rsidRPr="008E5EB6">
        <w:t xml:space="preserve">with the Northwest Power </w:t>
      </w:r>
      <w:r w:rsidR="00F3525D">
        <w:t>and Conservation</w:t>
      </w:r>
      <w:r w:rsidR="00F3525D" w:rsidRPr="008E5EB6">
        <w:t xml:space="preserve"> </w:t>
      </w:r>
      <w:r w:rsidRPr="008E5EB6">
        <w:t>Cou</w:t>
      </w:r>
      <w:r>
        <w:t xml:space="preserve">ncil's methodology. The second </w:t>
      </w:r>
      <w:r w:rsidRPr="008E5EB6">
        <w:t>summariz</w:t>
      </w:r>
      <w:r>
        <w:t>es</w:t>
      </w:r>
      <w:r w:rsidRPr="008E5EB6">
        <w:t xml:space="preserve"> the load-resource balance information presented in this IRP.</w:t>
      </w:r>
    </w:p>
    <w:p w14:paraId="20B9B867" w14:textId="77777777" w:rsidR="00A95D9B" w:rsidRDefault="00A95D9B" w:rsidP="00A95D9B">
      <w:pPr>
        <w:pStyle w:val="IRPseriftextbig"/>
      </w:pPr>
    </w:p>
    <w:p w14:paraId="0FE4084F" w14:textId="77777777" w:rsidR="00A95D9B" w:rsidRPr="008E5EB6" w:rsidRDefault="00A95D9B" w:rsidP="00A95D9B">
      <w:pPr>
        <w:pStyle w:val="IRPseriftextbig"/>
      </w:pPr>
      <w:r>
        <w:t xml:space="preserve">This IRP is the product of robust analysis that considered a wide </w:t>
      </w:r>
      <w:r w:rsidR="00DD77F9">
        <w:br/>
      </w:r>
      <w:r>
        <w:t xml:space="preserve">range of future risks and uncertainties. PSE believes this plan </w:t>
      </w:r>
      <w:r w:rsidR="00DD77F9">
        <w:br/>
      </w:r>
      <w:r>
        <w:t xml:space="preserve">meets applicable statutory requirements, and seeks a letter from </w:t>
      </w:r>
      <w:r w:rsidR="00DD77F9">
        <w:br/>
      </w:r>
      <w:r>
        <w:t>the WUTC accepting this filing.</w:t>
      </w:r>
    </w:p>
    <w:p w14:paraId="3A1F7DB7" w14:textId="77777777" w:rsidR="00890FDA" w:rsidRDefault="00890FDA" w:rsidP="00C12FBA">
      <w:pPr>
        <w:pStyle w:val="IRPsanstext"/>
      </w:pPr>
    </w:p>
    <w:p w14:paraId="6526A61A" w14:textId="77777777" w:rsidR="00E573B5" w:rsidRDefault="00E573B5"/>
    <w:p w14:paraId="16BF1E5F" w14:textId="77777777" w:rsidR="00890FDA" w:rsidRPr="00E573B5" w:rsidRDefault="00890FDA">
      <w:pPr>
        <w:rPr>
          <w:rFonts w:ascii="Arial" w:hAnsi="Arial"/>
          <w:color w:val="FF0000"/>
        </w:rPr>
      </w:pPr>
      <w:r w:rsidRPr="00E573B5">
        <w:rPr>
          <w:color w:val="FF0000"/>
        </w:rPr>
        <w:br w:type="page"/>
      </w:r>
    </w:p>
    <w:p w14:paraId="3CFCDDB5" w14:textId="77777777" w:rsidR="00E65DEE" w:rsidRPr="00833BEA" w:rsidRDefault="00A95D9B" w:rsidP="00E65DEE">
      <w:pPr>
        <w:pStyle w:val="IRPtitl"/>
        <w:ind w:left="0" w:firstLine="0"/>
        <w:rPr>
          <w:b/>
        </w:rPr>
      </w:pPr>
      <w:r>
        <w:rPr>
          <w:b/>
        </w:rPr>
        <w:lastRenderedPageBreak/>
        <w:t>REGULATORY REQUIREMENTS</w:t>
      </w:r>
    </w:p>
    <w:p w14:paraId="4BD22F43" w14:textId="77777777" w:rsidR="00E65DEE" w:rsidRDefault="00E65DEE" w:rsidP="00E65DEE">
      <w:pPr>
        <w:pStyle w:val="IRPsanstext"/>
      </w:pPr>
    </w:p>
    <w:p w14:paraId="596BF441" w14:textId="77777777" w:rsidR="00A95D9B" w:rsidRDefault="00A95D9B" w:rsidP="00A95D9B">
      <w:pPr>
        <w:pStyle w:val="IRPsanstext"/>
        <w:rPr>
          <w:rFonts w:cs="Arial"/>
          <w:szCs w:val="22"/>
        </w:rPr>
      </w:pPr>
      <w:r>
        <w:rPr>
          <w:rFonts w:cs="Arial"/>
          <w:szCs w:val="22"/>
        </w:rPr>
        <w:t>Figures B-1 and B-2 delineate the regulatory requirements for electric and natural gas integrated resource plans and identify the chapters of this plan that address each requirement.</w:t>
      </w:r>
    </w:p>
    <w:p w14:paraId="1D86566E" w14:textId="77777777" w:rsidR="00A95D9B" w:rsidRDefault="00A95D9B" w:rsidP="00A95D9B">
      <w:pPr>
        <w:pStyle w:val="IRPsanstext"/>
        <w:rPr>
          <w:rFonts w:cs="Arial"/>
          <w:szCs w:val="22"/>
        </w:rPr>
      </w:pPr>
    </w:p>
    <w:p w14:paraId="45AE7441" w14:textId="77777777" w:rsidR="00A95D9B" w:rsidRPr="00B103CB" w:rsidRDefault="00A95D9B" w:rsidP="00A95D9B">
      <w:pPr>
        <w:pStyle w:val="IRPFigureSub"/>
      </w:pPr>
      <w:r>
        <w:t>Figure B-1: Electric Utility Integrated Resource Plan Regulatory Requirements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3960"/>
      </w:tblGrid>
      <w:tr w:rsidR="00A95D9B" w14:paraId="1785613E" w14:textId="77777777">
        <w:trPr>
          <w:cantSplit/>
          <w:trHeight w:hRule="exact" w:val="781"/>
          <w:tblHeader/>
        </w:trPr>
        <w:tc>
          <w:tcPr>
            <w:tcW w:w="4680" w:type="dxa"/>
            <w:tcBorders>
              <w:bottom w:val="single" w:sz="4" w:space="0" w:color="auto"/>
            </w:tcBorders>
            <w:shd w:val="clear" w:color="auto" w:fill="006A71"/>
            <w:vAlign w:val="center"/>
          </w:tcPr>
          <w:p w14:paraId="50AEC797" w14:textId="77777777" w:rsidR="00A95D9B" w:rsidRPr="00B976B0" w:rsidRDefault="00A95D9B" w:rsidP="00A95D9B">
            <w:pPr>
              <w:spacing w:line="280" w:lineRule="exact"/>
              <w:jc w:val="center"/>
              <w:rPr>
                <w:rFonts w:ascii="Arial" w:hAnsi="Arial"/>
                <w:b/>
                <w:color w:val="FFFFFF"/>
              </w:rPr>
            </w:pPr>
            <w:r>
              <w:rPr>
                <w:rFonts w:ascii="Arial" w:hAnsi="Arial"/>
                <w:b/>
                <w:color w:val="FFFFFF"/>
              </w:rPr>
              <w:t xml:space="preserve">Statutory or </w:t>
            </w:r>
            <w:r w:rsidRPr="00B976B0">
              <w:rPr>
                <w:rFonts w:ascii="Arial" w:hAnsi="Arial"/>
                <w:b/>
                <w:color w:val="FFFFFF"/>
              </w:rPr>
              <w:t>Regulatory Requirement</w:t>
            </w:r>
          </w:p>
        </w:tc>
        <w:tc>
          <w:tcPr>
            <w:tcW w:w="3960" w:type="dxa"/>
            <w:tcBorders>
              <w:bottom w:val="single" w:sz="4" w:space="0" w:color="auto"/>
            </w:tcBorders>
            <w:shd w:val="clear" w:color="auto" w:fill="006A71"/>
            <w:vAlign w:val="center"/>
          </w:tcPr>
          <w:p w14:paraId="5C2BCDDC" w14:textId="77777777" w:rsidR="00A95D9B" w:rsidRPr="00B976B0" w:rsidRDefault="00A95D9B" w:rsidP="00A95D9B">
            <w:pPr>
              <w:spacing w:line="280" w:lineRule="exact"/>
              <w:jc w:val="center"/>
              <w:rPr>
                <w:rFonts w:ascii="Arial" w:hAnsi="Arial"/>
                <w:b/>
                <w:color w:val="FFFFFF"/>
              </w:rPr>
            </w:pPr>
            <w:r w:rsidRPr="00B976B0">
              <w:rPr>
                <w:rFonts w:ascii="Arial" w:hAnsi="Arial"/>
                <w:b/>
                <w:color w:val="FFFFFF"/>
              </w:rPr>
              <w:t>Chapter</w:t>
            </w:r>
            <w:r>
              <w:rPr>
                <w:rFonts w:ascii="Arial" w:hAnsi="Arial"/>
                <w:b/>
                <w:color w:val="FFFFFF"/>
              </w:rPr>
              <w:t xml:space="preserve"> and/or Appendix</w:t>
            </w:r>
          </w:p>
        </w:tc>
      </w:tr>
      <w:tr w:rsidR="00A95D9B" w14:paraId="06AF4E2F" w14:textId="77777777">
        <w:trPr>
          <w:cantSplit/>
          <w:trHeight w:hRule="exact" w:val="202"/>
          <w:tblHeader/>
        </w:trPr>
        <w:tc>
          <w:tcPr>
            <w:tcW w:w="8640" w:type="dxa"/>
            <w:gridSpan w:val="2"/>
            <w:shd w:val="clear" w:color="auto" w:fill="807F83"/>
          </w:tcPr>
          <w:p w14:paraId="72F045B6" w14:textId="77777777" w:rsidR="00A95D9B" w:rsidRDefault="00A95D9B" w:rsidP="00A95D9B">
            <w:pPr>
              <w:spacing w:after="60" w:line="280" w:lineRule="exact"/>
              <w:rPr>
                <w:rFonts w:ascii="Arial" w:hAnsi="Arial"/>
                <w:szCs w:val="22"/>
              </w:rPr>
            </w:pPr>
          </w:p>
        </w:tc>
      </w:tr>
      <w:tr w:rsidR="00A95D9B" w14:paraId="0370F8B5" w14:textId="77777777">
        <w:trPr>
          <w:cantSplit/>
          <w:trHeight w:val="231"/>
        </w:trPr>
        <w:tc>
          <w:tcPr>
            <w:tcW w:w="4680" w:type="dxa"/>
          </w:tcPr>
          <w:p w14:paraId="0E570651" w14:textId="77777777" w:rsidR="00A95D9B" w:rsidRPr="00A95D9B" w:rsidRDefault="00A95D9B" w:rsidP="00A95D9B">
            <w:pPr>
              <w:pStyle w:val="IRPsanstext"/>
              <w:spacing w:line="240" w:lineRule="exact"/>
              <w:rPr>
                <w:sz w:val="18"/>
                <w:szCs w:val="18"/>
              </w:rPr>
            </w:pPr>
            <w:r w:rsidRPr="00A95D9B">
              <w:rPr>
                <w:b/>
                <w:i/>
                <w:sz w:val="18"/>
                <w:szCs w:val="18"/>
              </w:rPr>
              <w:t>WAC 480-100-238 (3) (a)</w:t>
            </w:r>
            <w:r w:rsidRPr="00A95D9B">
              <w:rPr>
                <w:b/>
                <w:sz w:val="18"/>
                <w:szCs w:val="18"/>
              </w:rPr>
              <w:t xml:space="preserve"> </w:t>
            </w:r>
            <w:r w:rsidRPr="00A95D9B">
              <w:rPr>
                <w:sz w:val="18"/>
                <w:szCs w:val="18"/>
              </w:rPr>
              <w:t>A range of forecasts of future demand using methods that examine the effect of economic forces on the consumption of electricity and that address changes in the number, type and efficiency of electrical end-uses.</w:t>
            </w:r>
          </w:p>
        </w:tc>
        <w:tc>
          <w:tcPr>
            <w:tcW w:w="3960" w:type="dxa"/>
            <w:vAlign w:val="center"/>
          </w:tcPr>
          <w:p w14:paraId="3B9A0F78" w14:textId="77777777" w:rsidR="00A95D9B" w:rsidRPr="00A95D9B" w:rsidRDefault="00A95D9B" w:rsidP="00A95D9B">
            <w:pPr>
              <w:pStyle w:val="IRPsanstext"/>
              <w:spacing w:line="240" w:lineRule="exact"/>
              <w:rPr>
                <w:sz w:val="18"/>
                <w:szCs w:val="18"/>
              </w:rPr>
            </w:pPr>
            <w:r w:rsidRPr="00A95D9B">
              <w:rPr>
                <w:sz w:val="18"/>
                <w:szCs w:val="18"/>
              </w:rPr>
              <w:t>Chapter 4, Key Analytical Assumptions</w:t>
            </w:r>
          </w:p>
          <w:p w14:paraId="2050315B" w14:textId="77777777" w:rsidR="00A95D9B" w:rsidRPr="00A95D9B" w:rsidRDefault="00A95D9B" w:rsidP="00A95D9B">
            <w:pPr>
              <w:pStyle w:val="IRPsanstext"/>
              <w:spacing w:line="240" w:lineRule="exact"/>
              <w:rPr>
                <w:sz w:val="18"/>
                <w:szCs w:val="18"/>
              </w:rPr>
            </w:pPr>
            <w:r w:rsidRPr="00A95D9B">
              <w:rPr>
                <w:sz w:val="18"/>
                <w:szCs w:val="18"/>
              </w:rPr>
              <w:t>Chapter 5, Demand Forecast</w:t>
            </w:r>
            <w:r w:rsidR="00F0200A">
              <w:rPr>
                <w:sz w:val="18"/>
                <w:szCs w:val="18"/>
              </w:rPr>
              <w:t>s</w:t>
            </w:r>
          </w:p>
          <w:p w14:paraId="3F8243D4" w14:textId="77777777" w:rsidR="00A95D9B" w:rsidRPr="00A95D9B" w:rsidRDefault="00A95D9B" w:rsidP="00A95D9B">
            <w:pPr>
              <w:pStyle w:val="IRPsanstext"/>
              <w:spacing w:line="240" w:lineRule="exact"/>
              <w:rPr>
                <w:sz w:val="18"/>
                <w:szCs w:val="18"/>
              </w:rPr>
            </w:pPr>
            <w:r w:rsidRPr="00A95D9B">
              <w:rPr>
                <w:sz w:val="18"/>
                <w:szCs w:val="18"/>
              </w:rPr>
              <w:t>Appendix E, Demand Forecast</w:t>
            </w:r>
            <w:r w:rsidR="00F0200A">
              <w:rPr>
                <w:sz w:val="18"/>
                <w:szCs w:val="18"/>
              </w:rPr>
              <w:t>ing Models</w:t>
            </w:r>
          </w:p>
        </w:tc>
      </w:tr>
      <w:tr w:rsidR="00A95D9B" w14:paraId="0F381B85" w14:textId="77777777">
        <w:trPr>
          <w:cantSplit/>
          <w:trHeight w:val="231"/>
        </w:trPr>
        <w:tc>
          <w:tcPr>
            <w:tcW w:w="4680" w:type="dxa"/>
          </w:tcPr>
          <w:p w14:paraId="2001DF51" w14:textId="77777777" w:rsidR="00A95D9B" w:rsidRPr="00A95D9B" w:rsidRDefault="00A95D9B" w:rsidP="00A95D9B">
            <w:pPr>
              <w:pStyle w:val="IRPsanstext"/>
              <w:spacing w:line="240" w:lineRule="exact"/>
              <w:rPr>
                <w:sz w:val="18"/>
                <w:szCs w:val="18"/>
              </w:rPr>
            </w:pPr>
            <w:r w:rsidRPr="00A95D9B">
              <w:rPr>
                <w:b/>
                <w:i/>
                <w:sz w:val="18"/>
                <w:szCs w:val="18"/>
              </w:rPr>
              <w:t>WAC 480-100-238 (3) (b)</w:t>
            </w:r>
            <w:r w:rsidRPr="00A95D9B">
              <w:rPr>
                <w:b/>
                <w:sz w:val="18"/>
                <w:szCs w:val="18"/>
              </w:rPr>
              <w:t xml:space="preserve"> </w:t>
            </w:r>
            <w:r w:rsidRPr="00A95D9B">
              <w:rPr>
                <w:sz w:val="18"/>
                <w:szCs w:val="18"/>
              </w:rPr>
              <w:t>An assessment of commercially available conservation, including load management, as well as an assessment of currently employed and new policies and programs needed to obtain the conservation improvements.</w:t>
            </w:r>
          </w:p>
        </w:tc>
        <w:tc>
          <w:tcPr>
            <w:tcW w:w="3960" w:type="dxa"/>
            <w:vAlign w:val="center"/>
          </w:tcPr>
          <w:p w14:paraId="02E0FCAC" w14:textId="77777777" w:rsidR="00A95D9B" w:rsidRPr="00A95D9B" w:rsidRDefault="00A95D9B" w:rsidP="00A95D9B">
            <w:pPr>
              <w:pStyle w:val="IRPsanstext"/>
              <w:spacing w:line="240" w:lineRule="exact"/>
              <w:rPr>
                <w:sz w:val="18"/>
                <w:szCs w:val="18"/>
              </w:rPr>
            </w:pPr>
            <w:r w:rsidRPr="00A95D9B">
              <w:rPr>
                <w:sz w:val="18"/>
                <w:szCs w:val="18"/>
              </w:rPr>
              <w:t>Chapter 6, Electric Analysis</w:t>
            </w:r>
          </w:p>
          <w:p w14:paraId="0C4A0896" w14:textId="77777777" w:rsidR="00A95D9B" w:rsidRPr="00A95D9B" w:rsidRDefault="00A95D9B" w:rsidP="004D7581">
            <w:pPr>
              <w:pStyle w:val="IRPsanstext"/>
              <w:spacing w:line="240" w:lineRule="exact"/>
              <w:rPr>
                <w:sz w:val="18"/>
                <w:szCs w:val="18"/>
              </w:rPr>
            </w:pPr>
            <w:r w:rsidRPr="00A95D9B">
              <w:rPr>
                <w:sz w:val="18"/>
                <w:szCs w:val="18"/>
              </w:rPr>
              <w:t xml:space="preserve">Appendix </w:t>
            </w:r>
            <w:r w:rsidR="006A5853">
              <w:rPr>
                <w:sz w:val="18"/>
                <w:szCs w:val="18"/>
              </w:rPr>
              <w:t>J</w:t>
            </w:r>
            <w:r w:rsidRPr="00A95D9B">
              <w:rPr>
                <w:sz w:val="18"/>
                <w:szCs w:val="18"/>
              </w:rPr>
              <w:t xml:space="preserve">, Demand-side Resources </w:t>
            </w:r>
          </w:p>
        </w:tc>
      </w:tr>
      <w:tr w:rsidR="00A95D9B" w14:paraId="4C5761E0" w14:textId="77777777">
        <w:trPr>
          <w:cantSplit/>
          <w:trHeight w:val="231"/>
        </w:trPr>
        <w:tc>
          <w:tcPr>
            <w:tcW w:w="4680" w:type="dxa"/>
          </w:tcPr>
          <w:p w14:paraId="76846A30" w14:textId="77777777" w:rsidR="00A95D9B" w:rsidRPr="00A95D9B" w:rsidRDefault="00A95D9B" w:rsidP="00A95D9B">
            <w:pPr>
              <w:pStyle w:val="IRPsanstext"/>
              <w:spacing w:line="240" w:lineRule="exact"/>
              <w:rPr>
                <w:sz w:val="18"/>
                <w:szCs w:val="18"/>
              </w:rPr>
            </w:pPr>
            <w:r w:rsidRPr="00A95D9B">
              <w:rPr>
                <w:b/>
                <w:i/>
                <w:sz w:val="18"/>
                <w:szCs w:val="18"/>
              </w:rPr>
              <w:t>WAC 480-100-238 (3) (c)</w:t>
            </w:r>
            <w:r w:rsidRPr="00A95D9B">
              <w:rPr>
                <w:b/>
                <w:sz w:val="18"/>
                <w:szCs w:val="18"/>
              </w:rPr>
              <w:t xml:space="preserve"> </w:t>
            </w:r>
            <w:r w:rsidRPr="00A95D9B">
              <w:rPr>
                <w:sz w:val="18"/>
                <w:szCs w:val="18"/>
              </w:rPr>
              <w:t>An assessment of a wide range of conventional and commercially available nonconventional generating technologies.</w:t>
            </w:r>
          </w:p>
        </w:tc>
        <w:tc>
          <w:tcPr>
            <w:tcW w:w="3960" w:type="dxa"/>
            <w:vAlign w:val="center"/>
          </w:tcPr>
          <w:p w14:paraId="50EA9CD3" w14:textId="77777777" w:rsidR="00A95D9B" w:rsidRPr="00A95D9B" w:rsidRDefault="00A95D9B" w:rsidP="00A95D9B">
            <w:pPr>
              <w:pStyle w:val="IRPsanstext"/>
              <w:spacing w:line="240" w:lineRule="exact"/>
              <w:rPr>
                <w:sz w:val="18"/>
                <w:szCs w:val="18"/>
              </w:rPr>
            </w:pPr>
            <w:r w:rsidRPr="00A95D9B">
              <w:rPr>
                <w:sz w:val="18"/>
                <w:szCs w:val="18"/>
              </w:rPr>
              <w:t xml:space="preserve">Chapter 6, Electric Analysis </w:t>
            </w:r>
          </w:p>
          <w:p w14:paraId="538F23BE" w14:textId="77777777" w:rsidR="00A95D9B" w:rsidRPr="00A95D9B" w:rsidRDefault="00A95D9B" w:rsidP="00A95D9B">
            <w:pPr>
              <w:pStyle w:val="IRPsanstext"/>
              <w:spacing w:line="240" w:lineRule="exact"/>
              <w:rPr>
                <w:sz w:val="18"/>
                <w:szCs w:val="18"/>
              </w:rPr>
            </w:pPr>
            <w:r w:rsidRPr="00A95D9B">
              <w:rPr>
                <w:sz w:val="18"/>
                <w:szCs w:val="18"/>
              </w:rPr>
              <w:t>Appendix D, Electric Resource</w:t>
            </w:r>
            <w:r w:rsidR="00623D77">
              <w:rPr>
                <w:sz w:val="18"/>
                <w:szCs w:val="18"/>
              </w:rPr>
              <w:t>s and</w:t>
            </w:r>
            <w:r w:rsidRPr="00A95D9B">
              <w:rPr>
                <w:sz w:val="18"/>
                <w:szCs w:val="18"/>
              </w:rPr>
              <w:t xml:space="preserve"> Alternatives</w:t>
            </w:r>
          </w:p>
          <w:p w14:paraId="355B08BD" w14:textId="77777777" w:rsidR="00A95D9B" w:rsidRPr="00A95D9B" w:rsidRDefault="00A95D9B" w:rsidP="00A95D9B">
            <w:pPr>
              <w:pStyle w:val="IRPsanstext"/>
              <w:spacing w:line="240" w:lineRule="exact"/>
              <w:rPr>
                <w:sz w:val="18"/>
                <w:szCs w:val="18"/>
              </w:rPr>
            </w:pPr>
            <w:r w:rsidRPr="00A95D9B">
              <w:rPr>
                <w:sz w:val="18"/>
                <w:szCs w:val="18"/>
              </w:rPr>
              <w:t>Appendix K, Colstrip</w:t>
            </w:r>
          </w:p>
          <w:p w14:paraId="006B16E7" w14:textId="77777777" w:rsidR="00A95D9B" w:rsidRPr="00A95D9B" w:rsidRDefault="00A95D9B" w:rsidP="00A95D9B">
            <w:pPr>
              <w:pStyle w:val="IRPsanstext"/>
              <w:spacing w:line="240" w:lineRule="exact"/>
              <w:rPr>
                <w:sz w:val="18"/>
                <w:szCs w:val="18"/>
              </w:rPr>
            </w:pPr>
            <w:r w:rsidRPr="00A95D9B">
              <w:rPr>
                <w:sz w:val="18"/>
                <w:szCs w:val="18"/>
              </w:rPr>
              <w:t>Appendix L, Electric Energy Storage</w:t>
            </w:r>
          </w:p>
          <w:p w14:paraId="275A4009" w14:textId="77777777" w:rsidR="00A95D9B" w:rsidRPr="00A95D9B" w:rsidRDefault="00A95D9B" w:rsidP="00A95D9B">
            <w:pPr>
              <w:pStyle w:val="IRPsanstext"/>
              <w:spacing w:line="240" w:lineRule="exact"/>
              <w:rPr>
                <w:sz w:val="18"/>
                <w:szCs w:val="18"/>
              </w:rPr>
            </w:pPr>
            <w:r w:rsidRPr="00A95D9B">
              <w:rPr>
                <w:sz w:val="18"/>
                <w:szCs w:val="18"/>
              </w:rPr>
              <w:t>Appendix M, Distributed Solar</w:t>
            </w:r>
          </w:p>
        </w:tc>
      </w:tr>
      <w:tr w:rsidR="00A95D9B" w14:paraId="7E8B5ACA" w14:textId="77777777">
        <w:trPr>
          <w:cantSplit/>
          <w:trHeight w:val="231"/>
        </w:trPr>
        <w:tc>
          <w:tcPr>
            <w:tcW w:w="4680" w:type="dxa"/>
          </w:tcPr>
          <w:p w14:paraId="4F52B417" w14:textId="77777777" w:rsidR="00A95D9B" w:rsidRPr="00A95D9B" w:rsidRDefault="00A95D9B" w:rsidP="00A95D9B">
            <w:pPr>
              <w:pStyle w:val="IRPsanstext"/>
              <w:spacing w:line="240" w:lineRule="exact"/>
              <w:rPr>
                <w:sz w:val="18"/>
                <w:szCs w:val="18"/>
              </w:rPr>
            </w:pPr>
            <w:r w:rsidRPr="00A95D9B">
              <w:rPr>
                <w:b/>
                <w:i/>
                <w:sz w:val="18"/>
                <w:szCs w:val="18"/>
              </w:rPr>
              <w:t>WAC 480-100-238 (3) (d)</w:t>
            </w:r>
            <w:r w:rsidRPr="00A95D9B">
              <w:rPr>
                <w:b/>
                <w:sz w:val="18"/>
                <w:szCs w:val="18"/>
              </w:rPr>
              <w:t xml:space="preserve"> </w:t>
            </w:r>
            <w:r w:rsidRPr="00A95D9B">
              <w:rPr>
                <w:sz w:val="18"/>
                <w:szCs w:val="18"/>
              </w:rPr>
              <w:t>An assessment of transmission system capability and reliability, to the extent such information can be provided consistent with applicable laws.</w:t>
            </w:r>
          </w:p>
        </w:tc>
        <w:tc>
          <w:tcPr>
            <w:tcW w:w="3960" w:type="dxa"/>
            <w:vAlign w:val="center"/>
          </w:tcPr>
          <w:p w14:paraId="32D3B31E" w14:textId="77777777" w:rsidR="00A95D9B" w:rsidRPr="00A95D9B" w:rsidRDefault="00A95D9B" w:rsidP="00A95D9B">
            <w:pPr>
              <w:pStyle w:val="IRPsanstext"/>
              <w:spacing w:line="240" w:lineRule="exact"/>
              <w:rPr>
                <w:sz w:val="18"/>
                <w:szCs w:val="18"/>
              </w:rPr>
            </w:pPr>
            <w:r w:rsidRPr="00A95D9B">
              <w:rPr>
                <w:sz w:val="18"/>
                <w:szCs w:val="18"/>
              </w:rPr>
              <w:t>Appendix I, Regional Transmission Resources</w:t>
            </w:r>
          </w:p>
        </w:tc>
      </w:tr>
      <w:tr w:rsidR="00A95D9B" w14:paraId="075FC5FD" w14:textId="77777777">
        <w:trPr>
          <w:cantSplit/>
          <w:trHeight w:val="231"/>
        </w:trPr>
        <w:tc>
          <w:tcPr>
            <w:tcW w:w="4680" w:type="dxa"/>
            <w:tcBorders>
              <w:bottom w:val="single" w:sz="4" w:space="0" w:color="auto"/>
            </w:tcBorders>
          </w:tcPr>
          <w:p w14:paraId="4326EFDE" w14:textId="77777777" w:rsidR="00A95D9B" w:rsidRPr="00A95D9B" w:rsidRDefault="00A95D9B" w:rsidP="00A95D9B">
            <w:pPr>
              <w:pStyle w:val="IRPsanstext"/>
              <w:spacing w:line="240" w:lineRule="exact"/>
              <w:rPr>
                <w:sz w:val="18"/>
                <w:szCs w:val="18"/>
              </w:rPr>
            </w:pPr>
            <w:r w:rsidRPr="00A95D9B">
              <w:rPr>
                <w:b/>
                <w:i/>
                <w:sz w:val="18"/>
                <w:szCs w:val="18"/>
              </w:rPr>
              <w:t>WAC 480-100-238 (3) (e)</w:t>
            </w:r>
            <w:r w:rsidRPr="00A95D9B">
              <w:rPr>
                <w:b/>
                <w:sz w:val="18"/>
                <w:szCs w:val="18"/>
              </w:rPr>
              <w:t xml:space="preserve"> </w:t>
            </w:r>
            <w:r w:rsidRPr="00A95D9B">
              <w:rPr>
                <w:sz w:val="18"/>
                <w:szCs w:val="18"/>
              </w:rPr>
              <w:t>A comparative evaluation of energy supply resources (including transmission and distribution) and improvements in conservation using the criteria specified in WAC 480-100-238 (2) (b), Lowest reasonable cost.</w:t>
            </w:r>
          </w:p>
        </w:tc>
        <w:tc>
          <w:tcPr>
            <w:tcW w:w="3960" w:type="dxa"/>
            <w:tcBorders>
              <w:bottom w:val="single" w:sz="4" w:space="0" w:color="auto"/>
            </w:tcBorders>
            <w:vAlign w:val="center"/>
          </w:tcPr>
          <w:p w14:paraId="47CCF47C" w14:textId="77777777" w:rsidR="00A95D9B" w:rsidRPr="00A95D9B" w:rsidRDefault="00A95D9B" w:rsidP="00A95D9B">
            <w:pPr>
              <w:pStyle w:val="IRPsanstext"/>
              <w:spacing w:line="240" w:lineRule="exact"/>
              <w:rPr>
                <w:sz w:val="18"/>
                <w:szCs w:val="18"/>
              </w:rPr>
            </w:pPr>
            <w:r w:rsidRPr="00A95D9B">
              <w:rPr>
                <w:sz w:val="18"/>
                <w:szCs w:val="18"/>
              </w:rPr>
              <w:t>Chapter 2, Resource Plan</w:t>
            </w:r>
            <w:r w:rsidR="00412FCD">
              <w:rPr>
                <w:sz w:val="18"/>
                <w:szCs w:val="18"/>
              </w:rPr>
              <w:t xml:space="preserve"> Decision</w:t>
            </w:r>
            <w:r w:rsidR="00F0200A">
              <w:rPr>
                <w:sz w:val="18"/>
                <w:szCs w:val="18"/>
              </w:rPr>
              <w:t>s</w:t>
            </w:r>
          </w:p>
          <w:p w14:paraId="1CCC14E9" w14:textId="77777777" w:rsidR="00A95D9B" w:rsidRPr="00A95D9B" w:rsidRDefault="00A95D9B" w:rsidP="00A95D9B">
            <w:pPr>
              <w:pStyle w:val="IRPsanstext"/>
              <w:spacing w:line="240" w:lineRule="exact"/>
              <w:rPr>
                <w:sz w:val="18"/>
                <w:szCs w:val="18"/>
              </w:rPr>
            </w:pPr>
            <w:r w:rsidRPr="00A95D9B">
              <w:rPr>
                <w:sz w:val="18"/>
                <w:szCs w:val="18"/>
              </w:rPr>
              <w:t>Chapter 6, Electric Analysis</w:t>
            </w:r>
          </w:p>
          <w:p w14:paraId="5C4AFCA5" w14:textId="77777777" w:rsidR="00A95D9B" w:rsidRPr="00A95D9B" w:rsidRDefault="00A95D9B" w:rsidP="00A95D9B">
            <w:pPr>
              <w:pStyle w:val="IRPsanstext"/>
              <w:spacing w:line="240" w:lineRule="exact"/>
              <w:rPr>
                <w:sz w:val="18"/>
                <w:szCs w:val="18"/>
              </w:rPr>
            </w:pPr>
            <w:r w:rsidRPr="00A95D9B">
              <w:rPr>
                <w:sz w:val="18"/>
                <w:szCs w:val="18"/>
              </w:rPr>
              <w:t>Appendix I, Regional Transmission Resources</w:t>
            </w:r>
          </w:p>
          <w:p w14:paraId="43CB2327" w14:textId="77777777" w:rsidR="00A95D9B" w:rsidRPr="00A95D9B" w:rsidRDefault="00A95D9B" w:rsidP="00A95D9B">
            <w:pPr>
              <w:pStyle w:val="IRPsanstext"/>
              <w:spacing w:line="240" w:lineRule="exact"/>
              <w:rPr>
                <w:sz w:val="18"/>
                <w:szCs w:val="18"/>
              </w:rPr>
            </w:pPr>
            <w:r w:rsidRPr="00A95D9B">
              <w:rPr>
                <w:sz w:val="18"/>
                <w:szCs w:val="18"/>
              </w:rPr>
              <w:t xml:space="preserve">Appendix N, Electric Analysis </w:t>
            </w:r>
          </w:p>
          <w:p w14:paraId="63106782" w14:textId="77777777" w:rsidR="00A95D9B" w:rsidRPr="00A95D9B" w:rsidRDefault="00A95D9B" w:rsidP="004D7581">
            <w:pPr>
              <w:pStyle w:val="IRPsanstext"/>
              <w:spacing w:line="240" w:lineRule="exact"/>
              <w:rPr>
                <w:sz w:val="18"/>
                <w:szCs w:val="18"/>
              </w:rPr>
            </w:pPr>
            <w:r w:rsidRPr="00A95D9B">
              <w:rPr>
                <w:sz w:val="18"/>
                <w:szCs w:val="18"/>
              </w:rPr>
              <w:t xml:space="preserve">Appendix </w:t>
            </w:r>
            <w:r w:rsidR="006A5853">
              <w:rPr>
                <w:sz w:val="18"/>
                <w:szCs w:val="18"/>
              </w:rPr>
              <w:t>J</w:t>
            </w:r>
            <w:r w:rsidRPr="00A95D9B">
              <w:rPr>
                <w:sz w:val="18"/>
                <w:szCs w:val="18"/>
              </w:rPr>
              <w:t xml:space="preserve">, Demand-side Resources </w:t>
            </w:r>
          </w:p>
        </w:tc>
      </w:tr>
      <w:tr w:rsidR="00A95D9B" w14:paraId="5A097830" w14:textId="77777777">
        <w:trPr>
          <w:cantSplit/>
          <w:trHeight w:val="231"/>
        </w:trPr>
        <w:tc>
          <w:tcPr>
            <w:tcW w:w="4680" w:type="dxa"/>
          </w:tcPr>
          <w:p w14:paraId="003B33A3" w14:textId="77777777" w:rsidR="00A95D9B" w:rsidRPr="00A95D9B" w:rsidRDefault="00A95D9B" w:rsidP="00A95D9B">
            <w:pPr>
              <w:pStyle w:val="IRPsanstext"/>
              <w:spacing w:line="240" w:lineRule="exact"/>
              <w:rPr>
                <w:sz w:val="18"/>
                <w:szCs w:val="18"/>
              </w:rPr>
            </w:pPr>
            <w:r w:rsidRPr="00A95D9B">
              <w:rPr>
                <w:b/>
                <w:i/>
                <w:sz w:val="18"/>
                <w:szCs w:val="18"/>
              </w:rPr>
              <w:t>WAC 480-100-238 (3) (f)</w:t>
            </w:r>
            <w:r w:rsidRPr="00A95D9B">
              <w:rPr>
                <w:b/>
                <w:sz w:val="18"/>
                <w:szCs w:val="18"/>
              </w:rPr>
              <w:t xml:space="preserve"> </w:t>
            </w:r>
            <w:r w:rsidRPr="00A95D9B">
              <w:rPr>
                <w:sz w:val="18"/>
                <w:szCs w:val="18"/>
              </w:rPr>
              <w:t>Integration of the demand forecasts and resource evaluations into a long-range (e.g., at least ten years; longer if appropriate to the life of the resources considered) integrated resource plan describing the mix of resources that is designated to meet current and projected future needs at the lowest reasonable cost to the utility and its ratepayers.</w:t>
            </w:r>
          </w:p>
        </w:tc>
        <w:tc>
          <w:tcPr>
            <w:tcW w:w="3960" w:type="dxa"/>
            <w:vAlign w:val="center"/>
          </w:tcPr>
          <w:p w14:paraId="7A389495" w14:textId="77777777" w:rsidR="00A95D9B" w:rsidRPr="00A95D9B" w:rsidRDefault="00A95D9B" w:rsidP="00A95D9B">
            <w:pPr>
              <w:pStyle w:val="IRPsanstext"/>
              <w:spacing w:line="240" w:lineRule="exact"/>
              <w:rPr>
                <w:sz w:val="18"/>
                <w:szCs w:val="18"/>
              </w:rPr>
            </w:pPr>
            <w:r w:rsidRPr="00A95D9B">
              <w:rPr>
                <w:sz w:val="18"/>
                <w:szCs w:val="18"/>
              </w:rPr>
              <w:t>Chapter 2, Resource Plan</w:t>
            </w:r>
            <w:r w:rsidR="00412FCD">
              <w:rPr>
                <w:sz w:val="18"/>
                <w:szCs w:val="18"/>
              </w:rPr>
              <w:t xml:space="preserve"> Decision</w:t>
            </w:r>
            <w:r w:rsidR="00F0200A">
              <w:rPr>
                <w:sz w:val="18"/>
                <w:szCs w:val="18"/>
              </w:rPr>
              <w:t>s</w:t>
            </w:r>
          </w:p>
          <w:p w14:paraId="67A903F3" w14:textId="77777777" w:rsidR="00A95D9B" w:rsidRPr="00A95D9B" w:rsidRDefault="00A95D9B" w:rsidP="00A95D9B">
            <w:pPr>
              <w:pStyle w:val="IRPsanstext"/>
              <w:spacing w:line="240" w:lineRule="exact"/>
              <w:rPr>
                <w:sz w:val="18"/>
                <w:szCs w:val="18"/>
              </w:rPr>
            </w:pPr>
          </w:p>
        </w:tc>
      </w:tr>
      <w:tr w:rsidR="00A95D9B" w14:paraId="68EF01DB" w14:textId="77777777">
        <w:trPr>
          <w:cantSplit/>
          <w:trHeight w:val="872"/>
        </w:trPr>
        <w:tc>
          <w:tcPr>
            <w:tcW w:w="4680" w:type="dxa"/>
          </w:tcPr>
          <w:p w14:paraId="3854AD65" w14:textId="77777777" w:rsidR="00A95D9B" w:rsidRPr="00A95D9B" w:rsidRDefault="00A95D9B" w:rsidP="00A95D9B">
            <w:pPr>
              <w:pStyle w:val="IRPsanstext"/>
              <w:spacing w:line="240" w:lineRule="exact"/>
              <w:rPr>
                <w:b/>
                <w:i/>
                <w:sz w:val="18"/>
                <w:szCs w:val="18"/>
              </w:rPr>
            </w:pPr>
            <w:r w:rsidRPr="00A95D9B">
              <w:rPr>
                <w:b/>
                <w:i/>
                <w:sz w:val="18"/>
                <w:szCs w:val="18"/>
              </w:rPr>
              <w:t>WAC 480-100-238 (3) (g)</w:t>
            </w:r>
            <w:r w:rsidRPr="00A95D9B">
              <w:rPr>
                <w:b/>
                <w:sz w:val="18"/>
                <w:szCs w:val="18"/>
              </w:rPr>
              <w:t xml:space="preserve"> </w:t>
            </w:r>
            <w:r w:rsidRPr="00A95D9B">
              <w:rPr>
                <w:sz w:val="18"/>
                <w:szCs w:val="18"/>
              </w:rPr>
              <w:t>A short-term plan outlining the specific actions to be taken by the utility in implementing the long-range integrated resource plan during the two years following submission.</w:t>
            </w:r>
          </w:p>
        </w:tc>
        <w:tc>
          <w:tcPr>
            <w:tcW w:w="3960" w:type="dxa"/>
            <w:vAlign w:val="center"/>
          </w:tcPr>
          <w:p w14:paraId="238CBB02" w14:textId="77777777" w:rsidR="00A95D9B" w:rsidRPr="00A95D9B" w:rsidRDefault="00A95D9B" w:rsidP="00A95D9B">
            <w:pPr>
              <w:pStyle w:val="IRPsanstext"/>
              <w:spacing w:line="240" w:lineRule="exact"/>
              <w:rPr>
                <w:sz w:val="18"/>
                <w:szCs w:val="18"/>
              </w:rPr>
            </w:pPr>
            <w:r w:rsidRPr="00A95D9B">
              <w:rPr>
                <w:sz w:val="18"/>
                <w:szCs w:val="18"/>
              </w:rPr>
              <w:t xml:space="preserve">Chapter 1, Executive Summary </w:t>
            </w:r>
          </w:p>
        </w:tc>
      </w:tr>
      <w:tr w:rsidR="00A95D9B" w14:paraId="5ACE8A1A" w14:textId="77777777">
        <w:trPr>
          <w:cantSplit/>
          <w:trHeight w:val="1277"/>
        </w:trPr>
        <w:tc>
          <w:tcPr>
            <w:tcW w:w="4680" w:type="dxa"/>
          </w:tcPr>
          <w:p w14:paraId="34272F5D" w14:textId="77777777" w:rsidR="00A95D9B" w:rsidRPr="00A95D9B" w:rsidRDefault="00A95D9B" w:rsidP="00A95D9B">
            <w:pPr>
              <w:pStyle w:val="IRPsanstext"/>
              <w:spacing w:line="240" w:lineRule="exact"/>
              <w:rPr>
                <w:b/>
                <w:i/>
                <w:sz w:val="18"/>
                <w:szCs w:val="18"/>
              </w:rPr>
            </w:pPr>
            <w:r w:rsidRPr="00A95D9B">
              <w:rPr>
                <w:b/>
                <w:i/>
                <w:sz w:val="18"/>
                <w:szCs w:val="18"/>
              </w:rPr>
              <w:lastRenderedPageBreak/>
              <w:t>WAC 480-100-238 (3) (h)</w:t>
            </w:r>
            <w:r w:rsidRPr="00A95D9B">
              <w:rPr>
                <w:b/>
                <w:sz w:val="18"/>
                <w:szCs w:val="18"/>
              </w:rPr>
              <w:t xml:space="preserve"> </w:t>
            </w:r>
            <w:r w:rsidRPr="00A95D9B">
              <w:rPr>
                <w:sz w:val="18"/>
                <w:szCs w:val="18"/>
              </w:rPr>
              <w:t>A report on the utility's progress towards implementing the recommendations contained in its previously filed plan.</w:t>
            </w:r>
          </w:p>
        </w:tc>
        <w:tc>
          <w:tcPr>
            <w:tcW w:w="3960" w:type="dxa"/>
            <w:vAlign w:val="center"/>
          </w:tcPr>
          <w:p w14:paraId="5E50BF7A" w14:textId="77777777" w:rsidR="00A95D9B" w:rsidRPr="00A95D9B" w:rsidRDefault="00A95D9B" w:rsidP="00A95D9B">
            <w:pPr>
              <w:pStyle w:val="IRPsanstext"/>
              <w:spacing w:line="240" w:lineRule="exact"/>
              <w:rPr>
                <w:sz w:val="18"/>
                <w:szCs w:val="18"/>
              </w:rPr>
            </w:pPr>
            <w:r w:rsidRPr="00A95D9B">
              <w:rPr>
                <w:sz w:val="18"/>
                <w:szCs w:val="18"/>
              </w:rPr>
              <w:t>Appendix B, Legal Requirements and Other Reports</w:t>
            </w:r>
          </w:p>
        </w:tc>
      </w:tr>
      <w:tr w:rsidR="00A95D9B" w14:paraId="7AB58AC8" w14:textId="77777777">
        <w:trPr>
          <w:cantSplit/>
          <w:trHeight w:val="2294"/>
        </w:trPr>
        <w:tc>
          <w:tcPr>
            <w:tcW w:w="4680" w:type="dxa"/>
          </w:tcPr>
          <w:p w14:paraId="4094FF08" w14:textId="77777777" w:rsidR="00A95D9B" w:rsidRPr="00A95D9B" w:rsidRDefault="00A95D9B" w:rsidP="00A95D9B">
            <w:pPr>
              <w:pStyle w:val="IRPsanstext"/>
              <w:spacing w:line="240" w:lineRule="exact"/>
              <w:rPr>
                <w:sz w:val="18"/>
                <w:szCs w:val="18"/>
              </w:rPr>
            </w:pPr>
            <w:r w:rsidRPr="00A95D9B">
              <w:rPr>
                <w:b/>
                <w:i/>
                <w:sz w:val="18"/>
                <w:szCs w:val="18"/>
              </w:rPr>
              <w:t xml:space="preserve">WAC 480-100-238 (4) </w:t>
            </w:r>
            <w:r w:rsidRPr="00A95D9B">
              <w:rPr>
                <w:sz w:val="18"/>
                <w:szCs w:val="18"/>
              </w:rPr>
              <w:t>Timing. Unless otherwise ordered by the commission, each electric utility must submit a plan within two years after the date on which the previous plan was filed with the commission. Not later than twelve months prior to the due date of a plan, the utility must provide a work plan for informal commission review. The work plan must outline the content of the integrated resource plan to be developed by the utility and the method for assessing potential resources.</w:t>
            </w:r>
          </w:p>
        </w:tc>
        <w:tc>
          <w:tcPr>
            <w:tcW w:w="3960" w:type="dxa"/>
            <w:vAlign w:val="center"/>
          </w:tcPr>
          <w:p w14:paraId="2F08ABDA" w14:textId="77777777" w:rsidR="00A95D9B" w:rsidRPr="00A95D9B" w:rsidRDefault="00A95D9B" w:rsidP="00A95D9B">
            <w:pPr>
              <w:pStyle w:val="IRPsanstext"/>
              <w:spacing w:line="240" w:lineRule="exact"/>
              <w:rPr>
                <w:sz w:val="18"/>
                <w:szCs w:val="18"/>
              </w:rPr>
            </w:pPr>
            <w:r w:rsidRPr="00A95D9B">
              <w:rPr>
                <w:sz w:val="18"/>
                <w:szCs w:val="18"/>
              </w:rPr>
              <w:t>2015 Integrated Resource Plan Work Plan filed with the WUTC May 29, 2014, and Updated Work Plan filed July 31, 2015</w:t>
            </w:r>
          </w:p>
        </w:tc>
      </w:tr>
      <w:tr w:rsidR="00A95D9B" w:rsidRPr="00365437" w14:paraId="6BD8C350" w14:textId="77777777">
        <w:trPr>
          <w:cantSplit/>
          <w:trHeight w:val="1880"/>
        </w:trPr>
        <w:tc>
          <w:tcPr>
            <w:tcW w:w="4680" w:type="dxa"/>
          </w:tcPr>
          <w:p w14:paraId="219A0A87" w14:textId="77777777" w:rsidR="00A95D9B" w:rsidRPr="00A95D9B" w:rsidRDefault="00A95D9B" w:rsidP="00A95D9B">
            <w:pPr>
              <w:pStyle w:val="IRPsanstext"/>
              <w:spacing w:line="240" w:lineRule="exact"/>
              <w:rPr>
                <w:b/>
                <w:i/>
                <w:sz w:val="18"/>
                <w:szCs w:val="18"/>
              </w:rPr>
            </w:pPr>
            <w:r w:rsidRPr="00A95D9B">
              <w:rPr>
                <w:b/>
                <w:i/>
                <w:sz w:val="18"/>
                <w:szCs w:val="18"/>
              </w:rPr>
              <w:t xml:space="preserve">WAC 480-100-238 (5) </w:t>
            </w:r>
            <w:r w:rsidRPr="00A95D9B">
              <w:rPr>
                <w:sz w:val="18"/>
                <w:szCs w:val="18"/>
              </w:rPr>
              <w:t>Public participation. Consultations with commission staff and public participation are essential to the development of an effective plan. The work plan must outline the timing and extent of public participation. In addition, the commission will hear comment on the plan at a public hearing scheduled after the utility submits its plan for commission review.</w:t>
            </w:r>
          </w:p>
        </w:tc>
        <w:tc>
          <w:tcPr>
            <w:tcW w:w="3960" w:type="dxa"/>
            <w:vAlign w:val="center"/>
          </w:tcPr>
          <w:p w14:paraId="2D9297DD" w14:textId="77777777" w:rsidR="00A95D9B" w:rsidRPr="00A95D9B" w:rsidRDefault="00A95D9B" w:rsidP="00A95D9B">
            <w:pPr>
              <w:pStyle w:val="IRPsanstext"/>
              <w:spacing w:line="240" w:lineRule="exact"/>
              <w:rPr>
                <w:sz w:val="18"/>
                <w:szCs w:val="18"/>
                <w:lang w:val="fr-FR"/>
              </w:rPr>
            </w:pPr>
            <w:r w:rsidRPr="00A95D9B">
              <w:rPr>
                <w:sz w:val="18"/>
                <w:szCs w:val="18"/>
                <w:lang w:val="fr-FR"/>
              </w:rPr>
              <w:t xml:space="preserve">Appendix A, Public Participation </w:t>
            </w:r>
          </w:p>
        </w:tc>
      </w:tr>
      <w:tr w:rsidR="00A95D9B" w:rsidRPr="008E5EB6" w14:paraId="552C7E77" w14:textId="77777777">
        <w:trPr>
          <w:cantSplit/>
          <w:trHeight w:val="1199"/>
        </w:trPr>
        <w:tc>
          <w:tcPr>
            <w:tcW w:w="4680" w:type="dxa"/>
          </w:tcPr>
          <w:p w14:paraId="75C9BF95" w14:textId="77777777" w:rsidR="00A95D9B" w:rsidRPr="00A95D9B" w:rsidRDefault="00A95D9B" w:rsidP="00A95D9B">
            <w:pPr>
              <w:pStyle w:val="IRPsanstext"/>
              <w:spacing w:line="240" w:lineRule="exact"/>
              <w:rPr>
                <w:b/>
                <w:i/>
                <w:sz w:val="18"/>
                <w:szCs w:val="18"/>
              </w:rPr>
            </w:pPr>
            <w:r w:rsidRPr="00A95D9B">
              <w:rPr>
                <w:b/>
                <w:i/>
                <w:sz w:val="18"/>
                <w:szCs w:val="18"/>
              </w:rPr>
              <w:t xml:space="preserve">RCW 19.280.030 (e) </w:t>
            </w:r>
            <w:r w:rsidRPr="00A95D9B">
              <w:rPr>
                <w:sz w:val="18"/>
                <w:szCs w:val="18"/>
              </w:rPr>
              <w:t>An assessment of methods, commercially available technologies, or facilities for integrating renewable resources, and addressing overgeneration events, if applicable to the utility's resource portfolio.</w:t>
            </w:r>
          </w:p>
        </w:tc>
        <w:tc>
          <w:tcPr>
            <w:tcW w:w="3960" w:type="dxa"/>
            <w:vAlign w:val="center"/>
          </w:tcPr>
          <w:p w14:paraId="57C7AA25" w14:textId="77777777" w:rsidR="00A95D9B" w:rsidRPr="00A95D9B" w:rsidRDefault="00A95D9B" w:rsidP="00A95D9B">
            <w:pPr>
              <w:pStyle w:val="IRPsanstext"/>
              <w:spacing w:line="240" w:lineRule="exact"/>
              <w:rPr>
                <w:sz w:val="18"/>
                <w:szCs w:val="18"/>
              </w:rPr>
            </w:pPr>
            <w:r w:rsidRPr="00A95D9B">
              <w:rPr>
                <w:sz w:val="18"/>
                <w:szCs w:val="18"/>
              </w:rPr>
              <w:t>Appendix H, Operational Flexibility</w:t>
            </w:r>
          </w:p>
          <w:p w14:paraId="21D72064" w14:textId="77777777" w:rsidR="004D7581" w:rsidRDefault="004D7581" w:rsidP="00A95D9B">
            <w:pPr>
              <w:pStyle w:val="IRPsanstext"/>
              <w:spacing w:line="240" w:lineRule="exact"/>
              <w:rPr>
                <w:sz w:val="18"/>
                <w:szCs w:val="18"/>
              </w:rPr>
            </w:pPr>
          </w:p>
          <w:p w14:paraId="550252BA" w14:textId="77777777" w:rsidR="00A95D9B" w:rsidRPr="00A95D9B" w:rsidRDefault="00A95D9B" w:rsidP="00A95D9B">
            <w:pPr>
              <w:pStyle w:val="IRPsanstext"/>
              <w:spacing w:line="240" w:lineRule="exact"/>
              <w:rPr>
                <w:sz w:val="18"/>
                <w:szCs w:val="18"/>
                <w:lang w:val="fr-FR"/>
              </w:rPr>
            </w:pPr>
            <w:r w:rsidRPr="00A95D9B">
              <w:rPr>
                <w:sz w:val="18"/>
                <w:szCs w:val="18"/>
              </w:rPr>
              <w:t>Overgeneration events are not applicable to PSE.</w:t>
            </w:r>
          </w:p>
        </w:tc>
      </w:tr>
    </w:tbl>
    <w:p w14:paraId="26FC6D5B" w14:textId="77777777" w:rsidR="00A95D9B" w:rsidRDefault="00A95D9B" w:rsidP="00A95D9B">
      <w:pPr>
        <w:pStyle w:val="IRPFigureSub"/>
        <w:jc w:val="left"/>
      </w:pPr>
    </w:p>
    <w:p w14:paraId="3CFBF288" w14:textId="77777777" w:rsidR="00A95D9B" w:rsidRPr="00B103CB" w:rsidRDefault="00A95D9B" w:rsidP="00A95D9B">
      <w:pPr>
        <w:pStyle w:val="IRPFigureSub"/>
      </w:pPr>
      <w:r>
        <w:t>Figure B-2: Natural Gas Utility Integrated Resource Plan Regulatory Requirements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2"/>
        <w:gridCol w:w="3858"/>
      </w:tblGrid>
      <w:tr w:rsidR="00A95D9B" w:rsidRPr="00B976B0" w14:paraId="38137963" w14:textId="77777777">
        <w:trPr>
          <w:cantSplit/>
          <w:trHeight w:val="348"/>
          <w:tblHeader/>
        </w:trPr>
        <w:tc>
          <w:tcPr>
            <w:tcW w:w="4782" w:type="dxa"/>
            <w:tcBorders>
              <w:bottom w:val="single" w:sz="4" w:space="0" w:color="auto"/>
            </w:tcBorders>
            <w:shd w:val="clear" w:color="auto" w:fill="006A71"/>
            <w:vAlign w:val="center"/>
          </w:tcPr>
          <w:p w14:paraId="28942745" w14:textId="77777777" w:rsidR="00A95D9B" w:rsidRPr="00B976B0" w:rsidRDefault="00A95D9B" w:rsidP="00A95D9B">
            <w:pPr>
              <w:spacing w:line="280" w:lineRule="exact"/>
              <w:jc w:val="center"/>
              <w:rPr>
                <w:rFonts w:ascii="Arial" w:hAnsi="Arial"/>
                <w:b/>
                <w:color w:val="FFFFFF"/>
              </w:rPr>
            </w:pPr>
            <w:r>
              <w:rPr>
                <w:rFonts w:ascii="Arial" w:hAnsi="Arial"/>
                <w:b/>
                <w:color w:val="FFFFFF"/>
              </w:rPr>
              <w:t xml:space="preserve">Statutory or </w:t>
            </w:r>
            <w:r w:rsidRPr="00B976B0">
              <w:rPr>
                <w:rFonts w:ascii="Arial" w:hAnsi="Arial"/>
                <w:b/>
                <w:color w:val="FFFFFF"/>
              </w:rPr>
              <w:t>Regulatory Requirement</w:t>
            </w:r>
          </w:p>
        </w:tc>
        <w:tc>
          <w:tcPr>
            <w:tcW w:w="3858" w:type="dxa"/>
            <w:tcBorders>
              <w:bottom w:val="single" w:sz="4" w:space="0" w:color="auto"/>
            </w:tcBorders>
            <w:shd w:val="clear" w:color="auto" w:fill="006A71"/>
            <w:vAlign w:val="center"/>
          </w:tcPr>
          <w:p w14:paraId="56B35011" w14:textId="77777777" w:rsidR="00A95D9B" w:rsidRPr="00B976B0" w:rsidRDefault="00A95D9B" w:rsidP="00A95D9B">
            <w:pPr>
              <w:spacing w:line="280" w:lineRule="exact"/>
              <w:jc w:val="center"/>
              <w:rPr>
                <w:rFonts w:ascii="Arial" w:hAnsi="Arial"/>
                <w:b/>
                <w:color w:val="FFFFFF"/>
              </w:rPr>
            </w:pPr>
            <w:r w:rsidRPr="00B976B0">
              <w:rPr>
                <w:rFonts w:ascii="Arial" w:hAnsi="Arial"/>
                <w:b/>
                <w:color w:val="FFFFFF"/>
              </w:rPr>
              <w:t>Chapter</w:t>
            </w:r>
            <w:r>
              <w:rPr>
                <w:rFonts w:ascii="Arial" w:hAnsi="Arial"/>
                <w:b/>
                <w:color w:val="FFFFFF"/>
              </w:rPr>
              <w:t xml:space="preserve"> and/or Appendix</w:t>
            </w:r>
          </w:p>
        </w:tc>
      </w:tr>
      <w:tr w:rsidR="00A95D9B" w14:paraId="3E99C718" w14:textId="77777777">
        <w:trPr>
          <w:cantSplit/>
          <w:trHeight w:hRule="exact" w:val="86"/>
          <w:tblHeader/>
        </w:trPr>
        <w:tc>
          <w:tcPr>
            <w:tcW w:w="8640" w:type="dxa"/>
            <w:gridSpan w:val="2"/>
            <w:shd w:val="clear" w:color="auto" w:fill="807F83"/>
          </w:tcPr>
          <w:p w14:paraId="5E24A34E" w14:textId="77777777" w:rsidR="00A95D9B" w:rsidRPr="007673C0" w:rsidRDefault="00A95D9B" w:rsidP="00A95D9B">
            <w:pPr>
              <w:spacing w:after="60" w:line="280" w:lineRule="exact"/>
              <w:rPr>
                <w:rFonts w:ascii="Arial" w:hAnsi="Arial"/>
              </w:rPr>
            </w:pPr>
          </w:p>
        </w:tc>
      </w:tr>
      <w:tr w:rsidR="00A95D9B" w14:paraId="4CB57D46" w14:textId="77777777">
        <w:trPr>
          <w:cantSplit/>
          <w:trHeight w:val="127"/>
        </w:trPr>
        <w:tc>
          <w:tcPr>
            <w:tcW w:w="4782" w:type="dxa"/>
          </w:tcPr>
          <w:p w14:paraId="2C77C2CE" w14:textId="77777777" w:rsidR="00A95D9B" w:rsidRPr="00A95D9B" w:rsidRDefault="00A95D9B" w:rsidP="00A95D9B">
            <w:pPr>
              <w:pStyle w:val="IRPsanstext"/>
              <w:spacing w:line="276" w:lineRule="auto"/>
              <w:rPr>
                <w:sz w:val="18"/>
                <w:szCs w:val="18"/>
              </w:rPr>
            </w:pPr>
            <w:r w:rsidRPr="00A95D9B">
              <w:rPr>
                <w:b/>
                <w:i/>
                <w:sz w:val="18"/>
                <w:szCs w:val="18"/>
              </w:rPr>
              <w:t>WAC 480-90-238 (3) (a)</w:t>
            </w:r>
            <w:r w:rsidRPr="00A95D9B">
              <w:rPr>
                <w:b/>
                <w:sz w:val="18"/>
                <w:szCs w:val="18"/>
              </w:rPr>
              <w:t xml:space="preserve"> </w:t>
            </w:r>
            <w:r w:rsidRPr="00A95D9B">
              <w:rPr>
                <w:sz w:val="18"/>
                <w:szCs w:val="18"/>
              </w:rPr>
              <w:t>A range of forecasts of future natural gas demand in firm and interruptible markets for each customer class that examine the effect of economic forces on the consumption of natural gas and that address changes in the number, type and efficiency of natural gas end-uses.</w:t>
            </w:r>
          </w:p>
        </w:tc>
        <w:tc>
          <w:tcPr>
            <w:tcW w:w="3858" w:type="dxa"/>
            <w:vAlign w:val="center"/>
          </w:tcPr>
          <w:p w14:paraId="09791F92" w14:textId="77777777" w:rsidR="00A95D9B" w:rsidRPr="00A95D9B" w:rsidRDefault="00A95D9B" w:rsidP="00A95D9B">
            <w:pPr>
              <w:pStyle w:val="IRPsanstext"/>
              <w:spacing w:line="276" w:lineRule="auto"/>
              <w:rPr>
                <w:sz w:val="18"/>
                <w:szCs w:val="18"/>
              </w:rPr>
            </w:pPr>
            <w:r w:rsidRPr="00A95D9B">
              <w:rPr>
                <w:sz w:val="18"/>
                <w:szCs w:val="18"/>
              </w:rPr>
              <w:t>Chapter 4, Key Analytical Assumptions</w:t>
            </w:r>
          </w:p>
          <w:p w14:paraId="06BCE980" w14:textId="77777777" w:rsidR="00A95D9B" w:rsidRPr="00A95D9B" w:rsidRDefault="005C1A06" w:rsidP="00A95D9B">
            <w:pPr>
              <w:pStyle w:val="IRPsanstext"/>
              <w:spacing w:line="276" w:lineRule="auto"/>
              <w:rPr>
                <w:sz w:val="18"/>
                <w:szCs w:val="18"/>
              </w:rPr>
            </w:pPr>
            <w:r>
              <w:rPr>
                <w:sz w:val="18"/>
                <w:szCs w:val="18"/>
              </w:rPr>
              <w:t>Chapter 5, Demand Forecast</w:t>
            </w:r>
            <w:r w:rsidR="00F0200A">
              <w:rPr>
                <w:sz w:val="18"/>
                <w:szCs w:val="18"/>
              </w:rPr>
              <w:t>s</w:t>
            </w:r>
          </w:p>
          <w:p w14:paraId="18569597" w14:textId="77777777" w:rsidR="00A95D9B" w:rsidRPr="00A95D9B" w:rsidRDefault="00A95D9B" w:rsidP="00A95D9B">
            <w:pPr>
              <w:pStyle w:val="IRPsanstext"/>
              <w:spacing w:line="276" w:lineRule="auto"/>
              <w:rPr>
                <w:sz w:val="18"/>
                <w:szCs w:val="18"/>
              </w:rPr>
            </w:pPr>
            <w:r w:rsidRPr="00A95D9B">
              <w:rPr>
                <w:sz w:val="18"/>
                <w:szCs w:val="18"/>
              </w:rPr>
              <w:t>Appendix E, Demand Forecast</w:t>
            </w:r>
            <w:r w:rsidR="00F0200A">
              <w:rPr>
                <w:sz w:val="18"/>
                <w:szCs w:val="18"/>
              </w:rPr>
              <w:t>ing Models</w:t>
            </w:r>
          </w:p>
        </w:tc>
      </w:tr>
      <w:tr w:rsidR="00A95D9B" w14:paraId="4E677935" w14:textId="77777777">
        <w:trPr>
          <w:cantSplit/>
          <w:trHeight w:val="127"/>
        </w:trPr>
        <w:tc>
          <w:tcPr>
            <w:tcW w:w="4782" w:type="dxa"/>
          </w:tcPr>
          <w:p w14:paraId="6993C1D7" w14:textId="77777777" w:rsidR="00A95D9B" w:rsidRPr="00A95D9B" w:rsidRDefault="00A95D9B" w:rsidP="00A95D9B">
            <w:pPr>
              <w:pStyle w:val="IRPsanstext"/>
              <w:spacing w:line="276" w:lineRule="auto"/>
              <w:rPr>
                <w:sz w:val="18"/>
                <w:szCs w:val="18"/>
              </w:rPr>
            </w:pPr>
            <w:r w:rsidRPr="00A95D9B">
              <w:rPr>
                <w:b/>
                <w:i/>
                <w:sz w:val="18"/>
                <w:szCs w:val="18"/>
              </w:rPr>
              <w:t>WAC 480-90-238 (3) (b)</w:t>
            </w:r>
            <w:r w:rsidRPr="00A95D9B">
              <w:rPr>
                <w:b/>
                <w:sz w:val="18"/>
                <w:szCs w:val="18"/>
              </w:rPr>
              <w:t xml:space="preserve"> </w:t>
            </w:r>
            <w:r w:rsidRPr="00A95D9B">
              <w:rPr>
                <w:sz w:val="18"/>
                <w:szCs w:val="18"/>
              </w:rPr>
              <w:t>An assessment of commercially available conservation, including load management, as well as an assessment of currently employed and new policies and programs needed to obtain the conservation improvements.</w:t>
            </w:r>
          </w:p>
        </w:tc>
        <w:tc>
          <w:tcPr>
            <w:tcW w:w="3858" w:type="dxa"/>
            <w:vAlign w:val="center"/>
          </w:tcPr>
          <w:p w14:paraId="64804605" w14:textId="77777777" w:rsidR="00A95D9B" w:rsidRPr="00A95D9B" w:rsidRDefault="00A95D9B" w:rsidP="00A95D9B">
            <w:pPr>
              <w:pStyle w:val="IRPsanstext"/>
              <w:spacing w:line="276" w:lineRule="auto"/>
              <w:rPr>
                <w:sz w:val="18"/>
                <w:szCs w:val="18"/>
              </w:rPr>
            </w:pPr>
            <w:r w:rsidRPr="00A95D9B">
              <w:rPr>
                <w:sz w:val="18"/>
                <w:szCs w:val="18"/>
              </w:rPr>
              <w:t>Chapter 7, Gas Analysis</w:t>
            </w:r>
          </w:p>
          <w:p w14:paraId="280B23C1" w14:textId="77777777" w:rsidR="00A95D9B" w:rsidRPr="00A95D9B" w:rsidRDefault="00A95D9B" w:rsidP="004D7581">
            <w:pPr>
              <w:pStyle w:val="IRPsanstext"/>
              <w:spacing w:line="276" w:lineRule="auto"/>
              <w:rPr>
                <w:sz w:val="18"/>
                <w:szCs w:val="18"/>
              </w:rPr>
            </w:pPr>
            <w:r w:rsidRPr="00A95D9B">
              <w:rPr>
                <w:sz w:val="18"/>
                <w:szCs w:val="18"/>
              </w:rPr>
              <w:t xml:space="preserve">Appendix </w:t>
            </w:r>
            <w:r w:rsidR="006A5853">
              <w:rPr>
                <w:sz w:val="18"/>
                <w:szCs w:val="18"/>
              </w:rPr>
              <w:t>J</w:t>
            </w:r>
            <w:r w:rsidRPr="00A95D9B">
              <w:rPr>
                <w:sz w:val="18"/>
                <w:szCs w:val="18"/>
              </w:rPr>
              <w:t xml:space="preserve">, Demand-side Resources </w:t>
            </w:r>
          </w:p>
        </w:tc>
      </w:tr>
      <w:tr w:rsidR="00A95D9B" w14:paraId="0005A24E" w14:textId="77777777">
        <w:trPr>
          <w:cantSplit/>
          <w:trHeight w:val="127"/>
        </w:trPr>
        <w:tc>
          <w:tcPr>
            <w:tcW w:w="4782" w:type="dxa"/>
          </w:tcPr>
          <w:p w14:paraId="72A1B4C7" w14:textId="77777777" w:rsidR="00A95D9B" w:rsidRPr="00A95D9B" w:rsidRDefault="00A95D9B" w:rsidP="00A95D9B">
            <w:pPr>
              <w:pStyle w:val="IRPsanstext"/>
              <w:spacing w:line="276" w:lineRule="auto"/>
              <w:rPr>
                <w:sz w:val="18"/>
                <w:szCs w:val="18"/>
              </w:rPr>
            </w:pPr>
            <w:r w:rsidRPr="00A95D9B">
              <w:rPr>
                <w:b/>
                <w:i/>
                <w:sz w:val="18"/>
                <w:szCs w:val="18"/>
              </w:rPr>
              <w:t>WAC 480-90-238 (3) (c)</w:t>
            </w:r>
            <w:r w:rsidRPr="00A95D9B">
              <w:rPr>
                <w:b/>
                <w:sz w:val="18"/>
                <w:szCs w:val="18"/>
              </w:rPr>
              <w:t xml:space="preserve"> </w:t>
            </w:r>
            <w:r w:rsidRPr="00A95D9B">
              <w:rPr>
                <w:sz w:val="18"/>
                <w:szCs w:val="18"/>
              </w:rPr>
              <w:t>An assessment of conventional and commercially available nonconventional gas supplies.</w:t>
            </w:r>
          </w:p>
        </w:tc>
        <w:tc>
          <w:tcPr>
            <w:tcW w:w="3858" w:type="dxa"/>
            <w:vAlign w:val="center"/>
          </w:tcPr>
          <w:p w14:paraId="40A11DEB" w14:textId="77777777" w:rsidR="00A95D9B" w:rsidRPr="00A95D9B" w:rsidRDefault="00A95D9B" w:rsidP="00A95D9B">
            <w:pPr>
              <w:pStyle w:val="IRPsanstext"/>
              <w:spacing w:line="276" w:lineRule="auto"/>
              <w:rPr>
                <w:sz w:val="18"/>
                <w:szCs w:val="18"/>
              </w:rPr>
            </w:pPr>
            <w:r w:rsidRPr="00A95D9B">
              <w:rPr>
                <w:sz w:val="18"/>
                <w:szCs w:val="18"/>
              </w:rPr>
              <w:t>Chapter 7, Gas Analysis</w:t>
            </w:r>
          </w:p>
        </w:tc>
      </w:tr>
      <w:tr w:rsidR="00A95D9B" w14:paraId="25A192B6" w14:textId="77777777">
        <w:trPr>
          <w:cantSplit/>
          <w:trHeight w:val="494"/>
        </w:trPr>
        <w:tc>
          <w:tcPr>
            <w:tcW w:w="4782" w:type="dxa"/>
          </w:tcPr>
          <w:p w14:paraId="73304D52" w14:textId="77777777" w:rsidR="00A95D9B" w:rsidRPr="00A95D9B" w:rsidRDefault="00A95D9B" w:rsidP="00A95D9B">
            <w:pPr>
              <w:pStyle w:val="IRPsanstext"/>
              <w:spacing w:line="276" w:lineRule="auto"/>
              <w:rPr>
                <w:sz w:val="18"/>
                <w:szCs w:val="18"/>
              </w:rPr>
            </w:pPr>
            <w:r w:rsidRPr="00A95D9B">
              <w:rPr>
                <w:b/>
                <w:i/>
                <w:sz w:val="18"/>
                <w:szCs w:val="18"/>
              </w:rPr>
              <w:lastRenderedPageBreak/>
              <w:t xml:space="preserve">WAC 480-90-238 (3) (d) </w:t>
            </w:r>
            <w:r w:rsidRPr="00A95D9B">
              <w:rPr>
                <w:sz w:val="18"/>
                <w:szCs w:val="18"/>
              </w:rPr>
              <w:t>An assessment of opportunities for using company-owned or contracted storage.</w:t>
            </w:r>
          </w:p>
        </w:tc>
        <w:tc>
          <w:tcPr>
            <w:tcW w:w="3858" w:type="dxa"/>
            <w:vAlign w:val="center"/>
          </w:tcPr>
          <w:p w14:paraId="1F132B78" w14:textId="77777777" w:rsidR="00A95D9B" w:rsidRPr="00A95D9B" w:rsidRDefault="00A95D9B" w:rsidP="00A95D9B">
            <w:pPr>
              <w:pStyle w:val="IRPsanstext"/>
              <w:spacing w:line="276" w:lineRule="auto"/>
              <w:rPr>
                <w:sz w:val="18"/>
                <w:szCs w:val="18"/>
              </w:rPr>
            </w:pPr>
            <w:r w:rsidRPr="00A95D9B">
              <w:rPr>
                <w:sz w:val="18"/>
                <w:szCs w:val="18"/>
              </w:rPr>
              <w:t>Chapter 7, Gas Analysis</w:t>
            </w:r>
          </w:p>
          <w:p w14:paraId="3D77526A" w14:textId="77777777" w:rsidR="00A95D9B" w:rsidRPr="00A95D9B" w:rsidRDefault="00A95D9B" w:rsidP="00A95D9B">
            <w:pPr>
              <w:pStyle w:val="IRPsanstext"/>
              <w:spacing w:line="276" w:lineRule="auto"/>
              <w:rPr>
                <w:sz w:val="18"/>
                <w:szCs w:val="18"/>
              </w:rPr>
            </w:pPr>
            <w:r w:rsidRPr="00A95D9B">
              <w:rPr>
                <w:sz w:val="18"/>
                <w:szCs w:val="18"/>
              </w:rPr>
              <w:t>Appendix O, Gas Analysis</w:t>
            </w:r>
          </w:p>
        </w:tc>
      </w:tr>
      <w:tr w:rsidR="00A95D9B" w14:paraId="6B8B9C3D" w14:textId="77777777">
        <w:trPr>
          <w:cantSplit/>
          <w:trHeight w:val="635"/>
        </w:trPr>
        <w:tc>
          <w:tcPr>
            <w:tcW w:w="4782" w:type="dxa"/>
          </w:tcPr>
          <w:p w14:paraId="428620AA" w14:textId="77777777" w:rsidR="00A95D9B" w:rsidRPr="00A95D9B" w:rsidRDefault="00A95D9B" w:rsidP="00A95D9B">
            <w:pPr>
              <w:pStyle w:val="IRPsanstext"/>
              <w:spacing w:line="276" w:lineRule="auto"/>
              <w:rPr>
                <w:sz w:val="18"/>
                <w:szCs w:val="18"/>
              </w:rPr>
            </w:pPr>
            <w:r w:rsidRPr="00A95D9B">
              <w:rPr>
                <w:b/>
                <w:i/>
                <w:sz w:val="18"/>
                <w:szCs w:val="18"/>
              </w:rPr>
              <w:t>WAC 480-90-238 (3) (e)</w:t>
            </w:r>
            <w:r w:rsidRPr="00A95D9B">
              <w:rPr>
                <w:b/>
                <w:sz w:val="18"/>
                <w:szCs w:val="18"/>
              </w:rPr>
              <w:t xml:space="preserve"> </w:t>
            </w:r>
            <w:r w:rsidRPr="00A95D9B">
              <w:rPr>
                <w:sz w:val="18"/>
                <w:szCs w:val="18"/>
              </w:rPr>
              <w:t>An assessment of pipeline transmission capability and reliability and opportunities for additional pipeline transmission resources.</w:t>
            </w:r>
          </w:p>
        </w:tc>
        <w:tc>
          <w:tcPr>
            <w:tcW w:w="3858" w:type="dxa"/>
            <w:vAlign w:val="center"/>
          </w:tcPr>
          <w:p w14:paraId="2E9FFDB7" w14:textId="77777777" w:rsidR="00A95D9B" w:rsidRPr="00A95D9B" w:rsidRDefault="00A95D9B" w:rsidP="00A95D9B">
            <w:pPr>
              <w:pStyle w:val="IRPsanstext"/>
              <w:spacing w:line="276" w:lineRule="auto"/>
              <w:rPr>
                <w:sz w:val="18"/>
                <w:szCs w:val="18"/>
              </w:rPr>
            </w:pPr>
            <w:r w:rsidRPr="00A95D9B">
              <w:rPr>
                <w:sz w:val="18"/>
                <w:szCs w:val="18"/>
              </w:rPr>
              <w:t>Chapter 7, Gas Analysis</w:t>
            </w:r>
          </w:p>
          <w:p w14:paraId="4AD514CB" w14:textId="77777777" w:rsidR="00A95D9B" w:rsidRPr="00A95D9B" w:rsidRDefault="00A95D9B" w:rsidP="00A95D9B">
            <w:pPr>
              <w:pStyle w:val="IRPsanstext"/>
              <w:spacing w:line="276" w:lineRule="auto"/>
              <w:rPr>
                <w:sz w:val="18"/>
                <w:szCs w:val="18"/>
              </w:rPr>
            </w:pPr>
            <w:r w:rsidRPr="00A95D9B">
              <w:rPr>
                <w:sz w:val="18"/>
                <w:szCs w:val="18"/>
              </w:rPr>
              <w:t>Appendix O, Gas Analysis</w:t>
            </w:r>
          </w:p>
        </w:tc>
      </w:tr>
      <w:tr w:rsidR="00A95D9B" w14:paraId="6F4BE0C7" w14:textId="77777777">
        <w:trPr>
          <w:cantSplit/>
          <w:trHeight w:val="818"/>
        </w:trPr>
        <w:tc>
          <w:tcPr>
            <w:tcW w:w="4782" w:type="dxa"/>
          </w:tcPr>
          <w:p w14:paraId="65F5D0F6" w14:textId="77777777" w:rsidR="00A95D9B" w:rsidRPr="00A95D9B" w:rsidRDefault="00A95D9B" w:rsidP="00A95D9B">
            <w:pPr>
              <w:pStyle w:val="IRPsanstext"/>
              <w:spacing w:line="276" w:lineRule="auto"/>
              <w:rPr>
                <w:sz w:val="18"/>
                <w:szCs w:val="18"/>
              </w:rPr>
            </w:pPr>
            <w:r w:rsidRPr="00A95D9B">
              <w:rPr>
                <w:b/>
                <w:i/>
                <w:sz w:val="18"/>
                <w:szCs w:val="18"/>
              </w:rPr>
              <w:t>WAC 480-90-238 (3) (f)</w:t>
            </w:r>
            <w:r w:rsidRPr="00A95D9B">
              <w:rPr>
                <w:b/>
                <w:sz w:val="18"/>
                <w:szCs w:val="18"/>
              </w:rPr>
              <w:t xml:space="preserve"> </w:t>
            </w:r>
            <w:r w:rsidRPr="00A95D9B">
              <w:rPr>
                <w:sz w:val="18"/>
                <w:szCs w:val="18"/>
              </w:rPr>
              <w:t>A comparative evaluation of the cost of natural gas purchasing strategies, storage options, delivery resources, and improvements in conservation using a consistent method to calculate cost-effectiveness.</w:t>
            </w:r>
          </w:p>
        </w:tc>
        <w:tc>
          <w:tcPr>
            <w:tcW w:w="3858" w:type="dxa"/>
            <w:vAlign w:val="center"/>
          </w:tcPr>
          <w:p w14:paraId="225E5080" w14:textId="77777777" w:rsidR="00A95D9B" w:rsidRPr="00A95D9B" w:rsidRDefault="00A95D9B" w:rsidP="00A95D9B">
            <w:pPr>
              <w:pStyle w:val="IRPsanstext"/>
              <w:spacing w:line="276" w:lineRule="auto"/>
              <w:rPr>
                <w:sz w:val="18"/>
                <w:szCs w:val="18"/>
              </w:rPr>
            </w:pPr>
            <w:r w:rsidRPr="00A95D9B">
              <w:rPr>
                <w:sz w:val="18"/>
                <w:szCs w:val="18"/>
              </w:rPr>
              <w:t>Chapter 7, Gas Analysis</w:t>
            </w:r>
          </w:p>
          <w:p w14:paraId="1742FDE4" w14:textId="77777777" w:rsidR="005C1A06" w:rsidRDefault="00A95D9B" w:rsidP="00A95D9B">
            <w:pPr>
              <w:pStyle w:val="IRPsanstext"/>
              <w:spacing w:line="276" w:lineRule="auto"/>
              <w:rPr>
                <w:sz w:val="18"/>
                <w:szCs w:val="18"/>
              </w:rPr>
            </w:pPr>
            <w:r w:rsidRPr="00A95D9B">
              <w:rPr>
                <w:sz w:val="18"/>
                <w:szCs w:val="18"/>
              </w:rPr>
              <w:t>Appendix O, Gas Analysis</w:t>
            </w:r>
          </w:p>
          <w:p w14:paraId="0012E0EF" w14:textId="77777777" w:rsidR="00A95D9B" w:rsidRPr="00A95D9B" w:rsidRDefault="005C1A06" w:rsidP="004D7581">
            <w:pPr>
              <w:pStyle w:val="IRPsanstext"/>
              <w:spacing w:line="276" w:lineRule="auto"/>
              <w:rPr>
                <w:sz w:val="18"/>
                <w:szCs w:val="18"/>
              </w:rPr>
            </w:pPr>
            <w:r>
              <w:rPr>
                <w:sz w:val="18"/>
                <w:szCs w:val="18"/>
              </w:rPr>
              <w:t xml:space="preserve">Appendix </w:t>
            </w:r>
            <w:r w:rsidR="006A5853">
              <w:rPr>
                <w:sz w:val="18"/>
                <w:szCs w:val="18"/>
              </w:rPr>
              <w:t>J</w:t>
            </w:r>
            <w:r>
              <w:rPr>
                <w:sz w:val="18"/>
                <w:szCs w:val="18"/>
              </w:rPr>
              <w:t xml:space="preserve">, Demand-side Resources </w:t>
            </w:r>
          </w:p>
        </w:tc>
      </w:tr>
      <w:tr w:rsidR="00A95D9B" w14:paraId="7B8727E7" w14:textId="77777777">
        <w:trPr>
          <w:cantSplit/>
          <w:trHeight w:val="1185"/>
        </w:trPr>
        <w:tc>
          <w:tcPr>
            <w:tcW w:w="4782" w:type="dxa"/>
          </w:tcPr>
          <w:p w14:paraId="4CFB15B9" w14:textId="77777777" w:rsidR="00A95D9B" w:rsidRPr="00A95D9B" w:rsidRDefault="00A95D9B" w:rsidP="00A95D9B">
            <w:pPr>
              <w:pStyle w:val="IRPsanstext"/>
              <w:spacing w:line="276" w:lineRule="auto"/>
              <w:rPr>
                <w:b/>
                <w:i/>
                <w:sz w:val="18"/>
                <w:szCs w:val="18"/>
              </w:rPr>
            </w:pPr>
            <w:r w:rsidRPr="00A95D9B">
              <w:rPr>
                <w:b/>
                <w:i/>
                <w:sz w:val="18"/>
                <w:szCs w:val="18"/>
              </w:rPr>
              <w:t xml:space="preserve">WAC 480-90-238 (3) (g) </w:t>
            </w:r>
            <w:r w:rsidRPr="00A95D9B">
              <w:rPr>
                <w:sz w:val="18"/>
                <w:szCs w:val="18"/>
              </w:rPr>
              <w:t>The integration of the demand forecasts and resource evaluations into a long-range (e.g., at least ten years; longer if appropriate to the life of the resources considered) integrated resource plan describing the mix of resources that is designated to meet current and future needs at the lowest reasonable cost to the utility and its ratepayers.</w:t>
            </w:r>
          </w:p>
        </w:tc>
        <w:tc>
          <w:tcPr>
            <w:tcW w:w="3858" w:type="dxa"/>
            <w:vAlign w:val="center"/>
          </w:tcPr>
          <w:p w14:paraId="577D432E" w14:textId="77777777" w:rsidR="00A95D9B" w:rsidRPr="00A95D9B" w:rsidRDefault="00A95D9B" w:rsidP="00F0200A">
            <w:pPr>
              <w:pStyle w:val="IRPsanstext"/>
              <w:spacing w:line="276" w:lineRule="auto"/>
              <w:rPr>
                <w:sz w:val="18"/>
                <w:szCs w:val="18"/>
              </w:rPr>
            </w:pPr>
            <w:r w:rsidRPr="00A95D9B">
              <w:rPr>
                <w:sz w:val="18"/>
                <w:szCs w:val="18"/>
              </w:rPr>
              <w:t>Chapter 2, Resource Plan</w:t>
            </w:r>
            <w:r w:rsidR="00412FCD">
              <w:rPr>
                <w:sz w:val="18"/>
                <w:szCs w:val="18"/>
              </w:rPr>
              <w:t xml:space="preserve"> Decision</w:t>
            </w:r>
            <w:r w:rsidR="00F0200A">
              <w:rPr>
                <w:sz w:val="18"/>
                <w:szCs w:val="18"/>
              </w:rPr>
              <w:t>s</w:t>
            </w:r>
          </w:p>
        </w:tc>
      </w:tr>
      <w:tr w:rsidR="00A95D9B" w14:paraId="4FE970E7" w14:textId="77777777">
        <w:trPr>
          <w:cantSplit/>
          <w:trHeight w:val="818"/>
        </w:trPr>
        <w:tc>
          <w:tcPr>
            <w:tcW w:w="4782" w:type="dxa"/>
          </w:tcPr>
          <w:p w14:paraId="0B12D437" w14:textId="77777777" w:rsidR="00A95D9B" w:rsidRPr="00A95D9B" w:rsidRDefault="00A95D9B" w:rsidP="00A95D9B">
            <w:pPr>
              <w:pStyle w:val="IRPsanstext"/>
              <w:spacing w:line="276" w:lineRule="auto"/>
              <w:rPr>
                <w:b/>
                <w:i/>
                <w:sz w:val="18"/>
                <w:szCs w:val="18"/>
              </w:rPr>
            </w:pPr>
            <w:r w:rsidRPr="00A95D9B">
              <w:rPr>
                <w:b/>
                <w:i/>
                <w:sz w:val="18"/>
                <w:szCs w:val="18"/>
              </w:rPr>
              <w:t xml:space="preserve">WAC 480-90-238 (3) (h) </w:t>
            </w:r>
            <w:r w:rsidRPr="00A95D9B">
              <w:rPr>
                <w:sz w:val="18"/>
                <w:szCs w:val="18"/>
              </w:rPr>
              <w:t>A short-term plan outlining the specific actions to be taken by the utility in implementing the long-range integrated resource plan during the two years following submission.</w:t>
            </w:r>
          </w:p>
        </w:tc>
        <w:tc>
          <w:tcPr>
            <w:tcW w:w="3858" w:type="dxa"/>
            <w:vAlign w:val="center"/>
          </w:tcPr>
          <w:p w14:paraId="6C63E8DE" w14:textId="77777777" w:rsidR="00A95D9B" w:rsidRPr="00A95D9B" w:rsidRDefault="00A95D9B" w:rsidP="00A95D9B">
            <w:pPr>
              <w:pStyle w:val="IRPsanstext"/>
              <w:spacing w:line="276" w:lineRule="auto"/>
              <w:rPr>
                <w:sz w:val="18"/>
                <w:szCs w:val="18"/>
              </w:rPr>
            </w:pPr>
            <w:r w:rsidRPr="00A95D9B">
              <w:rPr>
                <w:sz w:val="18"/>
                <w:szCs w:val="18"/>
              </w:rPr>
              <w:t xml:space="preserve">Chapter 1, Executive Summary </w:t>
            </w:r>
          </w:p>
        </w:tc>
      </w:tr>
      <w:tr w:rsidR="00A95D9B" w14:paraId="39D14402" w14:textId="77777777">
        <w:trPr>
          <w:cantSplit/>
          <w:trHeight w:val="635"/>
        </w:trPr>
        <w:tc>
          <w:tcPr>
            <w:tcW w:w="4782" w:type="dxa"/>
          </w:tcPr>
          <w:p w14:paraId="499D2941" w14:textId="77777777" w:rsidR="00A95D9B" w:rsidRPr="00A95D9B" w:rsidRDefault="00A95D9B" w:rsidP="00A95D9B">
            <w:pPr>
              <w:pStyle w:val="IRPsanstext"/>
              <w:spacing w:line="276" w:lineRule="auto"/>
              <w:rPr>
                <w:b/>
                <w:i/>
                <w:sz w:val="18"/>
                <w:szCs w:val="18"/>
              </w:rPr>
            </w:pPr>
            <w:r w:rsidRPr="00A95D9B">
              <w:rPr>
                <w:b/>
                <w:i/>
                <w:sz w:val="18"/>
                <w:szCs w:val="18"/>
              </w:rPr>
              <w:t>WAC 480-90-238 (3) (i)</w:t>
            </w:r>
            <w:r w:rsidRPr="00A95D9B">
              <w:rPr>
                <w:sz w:val="18"/>
                <w:szCs w:val="18"/>
              </w:rPr>
              <w:t xml:space="preserve"> A report on the utility's progress towards implementing the recommendations contained in its previously filed plan.</w:t>
            </w:r>
          </w:p>
        </w:tc>
        <w:tc>
          <w:tcPr>
            <w:tcW w:w="3858" w:type="dxa"/>
            <w:vAlign w:val="center"/>
          </w:tcPr>
          <w:p w14:paraId="2D448C90" w14:textId="77777777" w:rsidR="00A95D9B" w:rsidRPr="00A95D9B" w:rsidRDefault="00A95D9B" w:rsidP="00A95D9B">
            <w:pPr>
              <w:pStyle w:val="IRPsanstext"/>
              <w:spacing w:line="276" w:lineRule="auto"/>
              <w:rPr>
                <w:sz w:val="18"/>
                <w:szCs w:val="18"/>
              </w:rPr>
            </w:pPr>
            <w:r w:rsidRPr="00A95D9B">
              <w:rPr>
                <w:sz w:val="18"/>
                <w:szCs w:val="18"/>
              </w:rPr>
              <w:t>Appendix B, Legal Requirements and Other Reports</w:t>
            </w:r>
          </w:p>
        </w:tc>
      </w:tr>
      <w:tr w:rsidR="00A95D9B" w14:paraId="69E28D48" w14:textId="77777777">
        <w:trPr>
          <w:cantSplit/>
          <w:trHeight w:val="1537"/>
        </w:trPr>
        <w:tc>
          <w:tcPr>
            <w:tcW w:w="4782" w:type="dxa"/>
          </w:tcPr>
          <w:p w14:paraId="2C2AD672" w14:textId="77777777" w:rsidR="00A95D9B" w:rsidRPr="00A95D9B" w:rsidRDefault="00A95D9B" w:rsidP="00A95D9B">
            <w:pPr>
              <w:pStyle w:val="IRPsanstext"/>
              <w:spacing w:line="276" w:lineRule="auto"/>
              <w:rPr>
                <w:sz w:val="18"/>
                <w:szCs w:val="18"/>
              </w:rPr>
            </w:pPr>
            <w:r w:rsidRPr="00A95D9B">
              <w:rPr>
                <w:b/>
                <w:i/>
                <w:sz w:val="18"/>
                <w:szCs w:val="18"/>
              </w:rPr>
              <w:t xml:space="preserve">WAC 480-90-238 (4) </w:t>
            </w:r>
            <w:r w:rsidRPr="00A95D9B">
              <w:rPr>
                <w:sz w:val="18"/>
                <w:szCs w:val="18"/>
              </w:rPr>
              <w:t>Timing. Unless otherwise ordered by the commission, each natural gas utility must submit a plan within two years after the date on which the previous plan was filed with the commission. Not later than twelve months prior to the due date of a plan, the utility must provide a work plan for informal commission review. The work plan must outline the content of the integrated resource plan to be developed by the utility and the method for assessing potential resources.</w:t>
            </w:r>
          </w:p>
        </w:tc>
        <w:tc>
          <w:tcPr>
            <w:tcW w:w="3858" w:type="dxa"/>
            <w:vAlign w:val="center"/>
          </w:tcPr>
          <w:p w14:paraId="0271A577" w14:textId="77777777" w:rsidR="00A95D9B" w:rsidRPr="00A95D9B" w:rsidRDefault="00A95D9B" w:rsidP="00A95D9B">
            <w:pPr>
              <w:pStyle w:val="IRPsanstext"/>
              <w:spacing w:line="276" w:lineRule="auto"/>
              <w:rPr>
                <w:sz w:val="18"/>
                <w:szCs w:val="18"/>
              </w:rPr>
            </w:pPr>
            <w:r w:rsidRPr="00A95D9B">
              <w:rPr>
                <w:sz w:val="18"/>
                <w:szCs w:val="18"/>
              </w:rPr>
              <w:t>2015 Integrated Resource Plan Work Plan filed with the WUTC May 29, 2014, and Updated Work Plan filed July 31, 2015</w:t>
            </w:r>
          </w:p>
          <w:p w14:paraId="5CE575BC" w14:textId="77777777" w:rsidR="00A95D9B" w:rsidRPr="00A95D9B" w:rsidRDefault="00A95D9B" w:rsidP="00A95D9B">
            <w:pPr>
              <w:pStyle w:val="IRPsanstext"/>
              <w:spacing w:line="276" w:lineRule="auto"/>
              <w:rPr>
                <w:sz w:val="18"/>
                <w:szCs w:val="18"/>
              </w:rPr>
            </w:pPr>
          </w:p>
        </w:tc>
      </w:tr>
      <w:tr w:rsidR="00A95D9B" w:rsidRPr="000836D3" w14:paraId="33E8E458" w14:textId="77777777">
        <w:trPr>
          <w:cantSplit/>
          <w:trHeight w:val="1199"/>
        </w:trPr>
        <w:tc>
          <w:tcPr>
            <w:tcW w:w="4782" w:type="dxa"/>
          </w:tcPr>
          <w:p w14:paraId="3352E7C9" w14:textId="77777777" w:rsidR="00A95D9B" w:rsidRPr="00A95D9B" w:rsidRDefault="00A95D9B" w:rsidP="00A95D9B">
            <w:pPr>
              <w:pStyle w:val="IRPsanstext"/>
              <w:spacing w:line="276" w:lineRule="auto"/>
              <w:rPr>
                <w:b/>
                <w:i/>
                <w:sz w:val="18"/>
                <w:szCs w:val="18"/>
              </w:rPr>
            </w:pPr>
            <w:r w:rsidRPr="00A95D9B">
              <w:rPr>
                <w:b/>
                <w:i/>
                <w:sz w:val="18"/>
                <w:szCs w:val="18"/>
              </w:rPr>
              <w:t xml:space="preserve">WAC 480-90-238 (5) </w:t>
            </w:r>
            <w:r w:rsidRPr="00A95D9B">
              <w:rPr>
                <w:sz w:val="18"/>
                <w:szCs w:val="18"/>
              </w:rPr>
              <w:t>Public participation. Consultations with commission staff and public participation are essential to the development of an effective plan. The work plan must outline the timing and extent of public participation. In addition, the commission will hear comment on the plan at a public hearing scheduled after the utility submits its plan for commission review.</w:t>
            </w:r>
          </w:p>
        </w:tc>
        <w:tc>
          <w:tcPr>
            <w:tcW w:w="3858" w:type="dxa"/>
            <w:vAlign w:val="center"/>
          </w:tcPr>
          <w:p w14:paraId="0E92E1B0" w14:textId="77777777" w:rsidR="00A95D9B" w:rsidRPr="00A95D9B" w:rsidRDefault="00A95D9B" w:rsidP="00A95D9B">
            <w:pPr>
              <w:pStyle w:val="IRPsanstext"/>
              <w:spacing w:line="276" w:lineRule="auto"/>
              <w:rPr>
                <w:sz w:val="18"/>
                <w:szCs w:val="18"/>
                <w:lang w:val="fr-FR"/>
              </w:rPr>
            </w:pPr>
            <w:r w:rsidRPr="00A95D9B">
              <w:rPr>
                <w:sz w:val="18"/>
                <w:szCs w:val="18"/>
                <w:lang w:val="fr-FR"/>
              </w:rPr>
              <w:t xml:space="preserve">Appendix A, Public Participation </w:t>
            </w:r>
          </w:p>
        </w:tc>
      </w:tr>
    </w:tbl>
    <w:p w14:paraId="088CE1C8" w14:textId="77777777" w:rsidR="00A95D9B" w:rsidRDefault="00A95D9B" w:rsidP="00A95D9B">
      <w:pPr>
        <w:pStyle w:val="IRPFigureSub"/>
      </w:pPr>
    </w:p>
    <w:p w14:paraId="1FBE7905" w14:textId="77777777" w:rsidR="00787534" w:rsidRDefault="00A95D9B" w:rsidP="00A95D9B">
      <w:pPr>
        <w:pStyle w:val="IRPsecthead1serif"/>
      </w:pPr>
      <w:r>
        <w:br w:type="page"/>
      </w:r>
    </w:p>
    <w:p w14:paraId="6935739B" w14:textId="77777777" w:rsidR="00A95D9B" w:rsidRPr="00A95D9B" w:rsidRDefault="00A95D9B" w:rsidP="00A95D9B">
      <w:pPr>
        <w:pStyle w:val="IRPsecthead1serif"/>
        <w:rPr>
          <w:b/>
          <w:caps/>
          <w:color w:val="156570"/>
        </w:rPr>
      </w:pPr>
      <w:r w:rsidRPr="00A95D9B">
        <w:rPr>
          <w:b/>
          <w:caps/>
          <w:color w:val="156570"/>
        </w:rPr>
        <w:lastRenderedPageBreak/>
        <w:t>Report on Previous Action Plans</w:t>
      </w:r>
    </w:p>
    <w:p w14:paraId="42A0E364" w14:textId="77777777" w:rsidR="00A95D9B" w:rsidRDefault="00A95D9B" w:rsidP="00A95D9B">
      <w:pPr>
        <w:pStyle w:val="IRPsecthead2sans"/>
      </w:pPr>
    </w:p>
    <w:p w14:paraId="31404440" w14:textId="77777777" w:rsidR="00A95D9B" w:rsidRPr="009D7356" w:rsidRDefault="00A95D9B" w:rsidP="003921A1">
      <w:pPr>
        <w:pStyle w:val="IRPsecthead1serif"/>
      </w:pPr>
      <w:r w:rsidRPr="009D7356">
        <w:t>2013 Electric Resources Action Plan</w:t>
      </w:r>
    </w:p>
    <w:p w14:paraId="09872BB0" w14:textId="77777777" w:rsidR="00A95D9B" w:rsidRDefault="00A95D9B" w:rsidP="00A95D9B">
      <w:pPr>
        <w:pStyle w:val="IRPsanstext"/>
      </w:pPr>
    </w:p>
    <w:p w14:paraId="21A3A9A6" w14:textId="77777777" w:rsidR="00A95D9B" w:rsidRDefault="00A95D9B" w:rsidP="003921A1">
      <w:pPr>
        <w:pStyle w:val="IRPsanstext"/>
      </w:pPr>
      <w:r>
        <w:t xml:space="preserve">Per </w:t>
      </w:r>
      <w:r w:rsidRPr="003921A1">
        <w:t>WAC 480-100-238</w:t>
      </w:r>
      <w:r>
        <w:t xml:space="preserve"> (3) (h), each item from the 2013 IRP electric resources action plan is listed below, along with the progress that has been made in impl</w:t>
      </w:r>
      <w:r w:rsidR="003921A1">
        <w:t>ementing those recommendations.</w:t>
      </w:r>
    </w:p>
    <w:p w14:paraId="1EB00D50" w14:textId="77777777" w:rsidR="003921A1" w:rsidRDefault="003921A1" w:rsidP="003921A1">
      <w:pPr>
        <w:pStyle w:val="IRPsanstext"/>
      </w:pPr>
    </w:p>
    <w:p w14:paraId="62FB7EE4" w14:textId="77777777" w:rsidR="00A95D9B" w:rsidRDefault="00A95D9B" w:rsidP="003921A1">
      <w:pPr>
        <w:pStyle w:val="IRPsanstext"/>
        <w:rPr>
          <w:rFonts w:cs="Arial"/>
        </w:rPr>
      </w:pPr>
      <w:r w:rsidRPr="00A95D9B">
        <w:rPr>
          <w:rFonts w:cs="Arial"/>
          <w:b/>
          <w:color w:val="156570"/>
          <w:sz w:val="28"/>
        </w:rPr>
        <w:t>Electric Demand-side Resources.</w:t>
      </w:r>
      <w:r>
        <w:rPr>
          <w:rFonts w:cs="Arial"/>
        </w:rPr>
        <w:t xml:space="preserve"> </w:t>
      </w:r>
      <w:r w:rsidRPr="00057715">
        <w:rPr>
          <w:rFonts w:cs="Arial"/>
        </w:rPr>
        <w:t xml:space="preserve">Pursue cost-effective demand-side resources based on IRP guidance. Work with external stakeholders in the CRAG process to establish targets and tariff filings, using this IRP as a starting point. Issue </w:t>
      </w:r>
      <w:r>
        <w:rPr>
          <w:rFonts w:cs="Arial"/>
        </w:rPr>
        <w:t>Request for Proposals (</w:t>
      </w:r>
      <w:r w:rsidRPr="00057715">
        <w:rPr>
          <w:rFonts w:cs="Arial"/>
        </w:rPr>
        <w:t>RFPs</w:t>
      </w:r>
      <w:r>
        <w:rPr>
          <w:rFonts w:cs="Arial"/>
        </w:rPr>
        <w:t>)</w:t>
      </w:r>
      <w:r w:rsidRPr="00057715">
        <w:rPr>
          <w:rFonts w:cs="Arial"/>
        </w:rPr>
        <w:t xml:space="preserve"> as appropriate to assist with efficient acquisition of demand-side resources. </w:t>
      </w:r>
    </w:p>
    <w:p w14:paraId="653FDFF2" w14:textId="77777777" w:rsidR="003921A1" w:rsidRDefault="003921A1" w:rsidP="003921A1">
      <w:pPr>
        <w:pStyle w:val="IRPsanstext"/>
        <w:rPr>
          <w:rFonts w:cs="Arial"/>
          <w:b/>
        </w:rPr>
      </w:pPr>
    </w:p>
    <w:p w14:paraId="5E7F2F10" w14:textId="77777777" w:rsidR="00A95D9B" w:rsidRPr="003921A1" w:rsidRDefault="00A95D9B" w:rsidP="003921A1">
      <w:pPr>
        <w:pStyle w:val="IRPsanstext"/>
        <w:ind w:left="720"/>
        <w:rPr>
          <w:rFonts w:cs="Arial"/>
        </w:rPr>
      </w:pPr>
      <w:r w:rsidRPr="003921A1">
        <w:rPr>
          <w:rFonts w:cs="Arial"/>
          <w:b/>
        </w:rPr>
        <w:t xml:space="preserve">PROGRESS </w:t>
      </w:r>
    </w:p>
    <w:p w14:paraId="503D6515" w14:textId="77777777" w:rsidR="00A95D9B" w:rsidRPr="003921A1" w:rsidRDefault="00A95D9B" w:rsidP="003921A1">
      <w:pPr>
        <w:pStyle w:val="IRPsanstext"/>
        <w:ind w:left="720"/>
        <w:rPr>
          <w:rFonts w:cs="Arial"/>
        </w:rPr>
      </w:pPr>
      <w:r w:rsidRPr="00A815FC">
        <w:rPr>
          <w:rFonts w:cs="Arial"/>
        </w:rPr>
        <w:t xml:space="preserve">PSE reviewed the 2013 IRP guidance with its </w:t>
      </w:r>
      <w:r>
        <w:rPr>
          <w:rFonts w:cs="Arial"/>
        </w:rPr>
        <w:t>Conservation Resource Advisory Group (</w:t>
      </w:r>
      <w:r w:rsidRPr="00A815FC">
        <w:rPr>
          <w:rFonts w:cs="Arial"/>
        </w:rPr>
        <w:t>CRAG</w:t>
      </w:r>
      <w:r>
        <w:rPr>
          <w:rFonts w:cs="Arial"/>
        </w:rPr>
        <w:t>)</w:t>
      </w:r>
      <w:r w:rsidRPr="00A815FC">
        <w:rPr>
          <w:rFonts w:cs="Arial"/>
        </w:rPr>
        <w:t xml:space="preserve"> beginning in June 2013.  Over the course of the </w:t>
      </w:r>
      <w:r>
        <w:rPr>
          <w:rFonts w:cs="Arial"/>
        </w:rPr>
        <w:t>following</w:t>
      </w:r>
      <w:r w:rsidRPr="00A815FC">
        <w:rPr>
          <w:rFonts w:cs="Arial"/>
        </w:rPr>
        <w:t xml:space="preserve"> four months, PSE collaborated with the CRAG to develop its 2014-2015 EIA electric </w:t>
      </w:r>
      <w:r>
        <w:rPr>
          <w:rFonts w:cs="Arial"/>
        </w:rPr>
        <w:t xml:space="preserve">demand-side resource </w:t>
      </w:r>
      <w:r w:rsidRPr="00A815FC">
        <w:rPr>
          <w:rFonts w:cs="Arial"/>
        </w:rPr>
        <w:t>target, which was approved by the Commission on December 19, 2013</w:t>
      </w:r>
      <w:r w:rsidRPr="00CB14B7">
        <w:rPr>
          <w:rFonts w:cs="Arial"/>
        </w:rPr>
        <w:t xml:space="preserve">.  PSE issued an “all-comers” Request for Information </w:t>
      </w:r>
      <w:r>
        <w:rPr>
          <w:rFonts w:cs="Arial"/>
        </w:rPr>
        <w:t>for possible new energy e</w:t>
      </w:r>
      <w:r w:rsidRPr="00CB14B7">
        <w:rPr>
          <w:rFonts w:cs="Arial"/>
        </w:rPr>
        <w:t xml:space="preserve">fficiency programs on or about March 15, 2013. An additional RFP for existing and two new programs </w:t>
      </w:r>
      <w:r>
        <w:rPr>
          <w:rFonts w:cs="Arial"/>
        </w:rPr>
        <w:t>was</w:t>
      </w:r>
      <w:r w:rsidRPr="00CB14B7">
        <w:rPr>
          <w:rFonts w:cs="Arial"/>
        </w:rPr>
        <w:t xml:space="preserve"> issued in August 201</w:t>
      </w:r>
      <w:r>
        <w:rPr>
          <w:rFonts w:cs="Arial"/>
        </w:rPr>
        <w:t>3</w:t>
      </w:r>
      <w:r w:rsidRPr="00CB14B7">
        <w:rPr>
          <w:rFonts w:cs="Arial"/>
        </w:rPr>
        <w:t>.  </w:t>
      </w:r>
    </w:p>
    <w:p w14:paraId="5E5BC286" w14:textId="77777777" w:rsidR="003921A1" w:rsidRDefault="003921A1" w:rsidP="003921A1">
      <w:pPr>
        <w:pStyle w:val="IRPsanstext"/>
        <w:ind w:left="720"/>
        <w:rPr>
          <w:rFonts w:cs="Arial"/>
        </w:rPr>
      </w:pPr>
    </w:p>
    <w:p w14:paraId="01427E1A" w14:textId="77777777" w:rsidR="00A95D9B" w:rsidRPr="003921A1" w:rsidRDefault="00A95D9B" w:rsidP="003921A1">
      <w:pPr>
        <w:pStyle w:val="IRPsanstext"/>
        <w:ind w:left="720"/>
        <w:rPr>
          <w:rFonts w:cs="Arial"/>
        </w:rPr>
      </w:pPr>
      <w:r w:rsidRPr="00CB14B7">
        <w:rPr>
          <w:rFonts w:cs="Arial"/>
        </w:rPr>
        <w:t>PSE ensures that the CRAG is engaged in its program development by conducting regular CRAG meetings and providing the CRAG with routine updates in its “CRAG Communications” newsl</w:t>
      </w:r>
      <w:r>
        <w:rPr>
          <w:rFonts w:cs="Arial"/>
        </w:rPr>
        <w:t xml:space="preserve">etters.  Please see Appendix A, </w:t>
      </w:r>
      <w:r w:rsidRPr="00CB14B7">
        <w:rPr>
          <w:rFonts w:cs="Arial"/>
        </w:rPr>
        <w:t>Public Participation</w:t>
      </w:r>
      <w:r>
        <w:rPr>
          <w:rFonts w:cs="Arial"/>
        </w:rPr>
        <w:t>,</w:t>
      </w:r>
      <w:r w:rsidRPr="00CB14B7">
        <w:rPr>
          <w:rFonts w:cs="Arial"/>
        </w:rPr>
        <w:t xml:space="preserve"> for further</w:t>
      </w:r>
      <w:r>
        <w:rPr>
          <w:rFonts w:cs="Arial"/>
        </w:rPr>
        <w:t xml:space="preserve"> information regarding the CRAG.</w:t>
      </w:r>
    </w:p>
    <w:p w14:paraId="6EEC62BD" w14:textId="77777777" w:rsidR="00A95D9B" w:rsidRPr="00DD77F9" w:rsidRDefault="00DD77F9" w:rsidP="00DD77F9">
      <w:pPr>
        <w:pStyle w:val="IRPsanstext"/>
        <w:rPr>
          <w:b/>
          <w:color w:val="156570"/>
          <w:sz w:val="28"/>
        </w:rPr>
      </w:pPr>
      <w:r w:rsidRPr="00DD77F9">
        <w:rPr>
          <w:b/>
          <w:color w:val="156570"/>
        </w:rPr>
        <w:br/>
      </w:r>
      <w:r w:rsidR="00A95D9B" w:rsidRPr="003921A1">
        <w:rPr>
          <w:b/>
          <w:color w:val="156570"/>
          <w:sz w:val="28"/>
        </w:rPr>
        <w:t>Reduce Market Reliance.</w:t>
      </w:r>
      <w:r w:rsidR="00A95D9B">
        <w:t xml:space="preserve"> </w:t>
      </w:r>
      <w:r w:rsidR="00A95D9B" w:rsidRPr="00057715">
        <w:t>Develop a strategy to reduce reliance on market in the intermediate to long-term, including coordination with others in the region as appropriate.  File an update or addendum to the 2013 IRP early in the fourth quarter of 2013 to address concerns about relying on market to meet capacity needs.</w:t>
      </w:r>
    </w:p>
    <w:p w14:paraId="7D94EECF" w14:textId="77777777" w:rsidR="003921A1" w:rsidRPr="00441C35" w:rsidRDefault="00DD77F9" w:rsidP="00441C35">
      <w:pPr>
        <w:rPr>
          <w:rFonts w:ascii="Arial" w:hAnsi="Arial"/>
          <w:b/>
        </w:rPr>
      </w:pPr>
      <w:r>
        <w:rPr>
          <w:b/>
        </w:rPr>
        <w:br w:type="page"/>
      </w:r>
    </w:p>
    <w:p w14:paraId="559A7435" w14:textId="77777777" w:rsidR="003921A1" w:rsidRPr="003921A1" w:rsidRDefault="003921A1" w:rsidP="003921A1">
      <w:pPr>
        <w:pStyle w:val="IRPsanstext"/>
        <w:ind w:left="720"/>
        <w:rPr>
          <w:rFonts w:cs="Arial"/>
          <w:b/>
        </w:rPr>
      </w:pPr>
      <w:r w:rsidRPr="003921A1">
        <w:rPr>
          <w:rFonts w:cs="Arial"/>
          <w:b/>
        </w:rPr>
        <w:lastRenderedPageBreak/>
        <w:t>PROGRESS</w:t>
      </w:r>
    </w:p>
    <w:p w14:paraId="2168FC95" w14:textId="77777777" w:rsidR="00A95D9B" w:rsidRDefault="00A95D9B" w:rsidP="002D611E">
      <w:pPr>
        <w:pStyle w:val="IRPsanstext"/>
        <w:ind w:left="720"/>
        <w:rPr>
          <w:rFonts w:cs="Arial"/>
        </w:rPr>
      </w:pPr>
      <w:r>
        <w:rPr>
          <w:rFonts w:cs="Arial"/>
        </w:rPr>
        <w:t xml:space="preserve">PSE filed an Update to the 2013 IRP on December 31, 2013. The 2013 IRP Update noted that at that time, relying on 1,600 megawatts (MW) of short-term wholesale market capacity to meet peak electric need was reasonable because the region was surplus, and generation to back-fill coal plant retirements could be built with a three-year lead time. PSE also noted that it would continue to monitor and evaluate the issue. Detailed discussion of these examinations can be found in </w:t>
      </w:r>
      <w:r w:rsidR="00AB4298">
        <w:rPr>
          <w:rFonts w:cs="Arial"/>
        </w:rPr>
        <w:t>the</w:t>
      </w:r>
      <w:r w:rsidR="00C14A65">
        <w:rPr>
          <w:rFonts w:cs="Arial"/>
        </w:rPr>
        <w:t xml:space="preserve"> 2015 IRP</w:t>
      </w:r>
      <w:r w:rsidR="00AB4298">
        <w:rPr>
          <w:rFonts w:cs="Arial"/>
        </w:rPr>
        <w:t xml:space="preserve"> in</w:t>
      </w:r>
      <w:r w:rsidR="00C14A65">
        <w:rPr>
          <w:rFonts w:cs="Arial"/>
        </w:rPr>
        <w:t xml:space="preserve"> </w:t>
      </w:r>
      <w:r>
        <w:rPr>
          <w:rFonts w:cs="Arial"/>
        </w:rPr>
        <w:t xml:space="preserve">Appendix G, Wholesale Market Risk, and Chapter 6, Electric Analysis.  </w:t>
      </w:r>
    </w:p>
    <w:p w14:paraId="53AEA61C" w14:textId="77777777" w:rsidR="003921A1" w:rsidRDefault="003921A1" w:rsidP="003921A1">
      <w:pPr>
        <w:pStyle w:val="IRPsanstext"/>
        <w:ind w:left="-2160"/>
        <w:rPr>
          <w:rFonts w:cs="Arial"/>
        </w:rPr>
      </w:pPr>
    </w:p>
    <w:p w14:paraId="6E277309" w14:textId="77777777" w:rsidR="00A95D9B" w:rsidRPr="003921A1" w:rsidRDefault="00A95D9B" w:rsidP="003921A1">
      <w:pPr>
        <w:pStyle w:val="IRPsanstext"/>
        <w:rPr>
          <w:rFonts w:cs="Arial"/>
        </w:rPr>
      </w:pPr>
      <w:r w:rsidRPr="003921A1">
        <w:rPr>
          <w:rFonts w:cs="Arial"/>
          <w:b/>
          <w:color w:val="156570"/>
          <w:sz w:val="28"/>
        </w:rPr>
        <w:t>Resource Acquisition Timeline.</w:t>
      </w:r>
      <w:r w:rsidRPr="00227CC7">
        <w:rPr>
          <w:rFonts w:cs="Arial"/>
          <w:b/>
          <w:color w:val="3366FF"/>
          <w:sz w:val="24"/>
        </w:rPr>
        <w:t xml:space="preserve"> </w:t>
      </w:r>
      <w:r w:rsidRPr="00057715">
        <w:rPr>
          <w:rFonts w:cs="Arial"/>
        </w:rPr>
        <w:t>Ensure that the timeline for resource acquisitions is long enough to accommodate the type of infrastructure development that may be required due to anticipated changes in regional resource adequacy.</w:t>
      </w:r>
    </w:p>
    <w:p w14:paraId="7A750B90" w14:textId="77777777" w:rsidR="003921A1" w:rsidRDefault="003921A1" w:rsidP="003921A1">
      <w:pPr>
        <w:pStyle w:val="IRPsanstext"/>
        <w:rPr>
          <w:rFonts w:cs="Arial"/>
          <w:b/>
        </w:rPr>
      </w:pPr>
    </w:p>
    <w:p w14:paraId="774997B5" w14:textId="77777777" w:rsidR="00A95D9B" w:rsidRPr="00227CC7" w:rsidRDefault="00A95D9B" w:rsidP="003921A1">
      <w:pPr>
        <w:pStyle w:val="IRPsanstext"/>
        <w:ind w:left="720"/>
        <w:rPr>
          <w:rFonts w:cs="Arial"/>
          <w:b/>
        </w:rPr>
      </w:pPr>
      <w:r w:rsidRPr="00227CC7">
        <w:rPr>
          <w:rFonts w:cs="Arial"/>
          <w:b/>
        </w:rPr>
        <w:t>PROGRESS</w:t>
      </w:r>
    </w:p>
    <w:p w14:paraId="5D4DF975" w14:textId="77777777" w:rsidR="00A95D9B" w:rsidRPr="00AC355D" w:rsidRDefault="00C44F5C" w:rsidP="003921A1">
      <w:pPr>
        <w:pStyle w:val="IRPsanstext"/>
        <w:ind w:left="720"/>
        <w:rPr>
          <w:rFonts w:cs="Arial"/>
        </w:rPr>
      </w:pPr>
      <w:r w:rsidRPr="00227A45">
        <w:rPr>
          <w:rFonts w:cs="Arial"/>
        </w:rPr>
        <w:t>Since energy efficiency and demand-response additions appear sufficient to meet incremental capacity need un</w:t>
      </w:r>
      <w:r w:rsidR="00623D77">
        <w:rPr>
          <w:rFonts w:cs="Arial"/>
        </w:rPr>
        <w:t>til 2021 and satisfy WAC 480-107</w:t>
      </w:r>
      <w:r w:rsidRPr="00227A45">
        <w:rPr>
          <w:rFonts w:cs="Arial"/>
        </w:rPr>
        <w:t xml:space="preserve"> requirements, it makes sense to wait for further PSE demand and regional resource adequacy studies before </w:t>
      </w:r>
      <w:r>
        <w:rPr>
          <w:rFonts w:cs="Arial"/>
        </w:rPr>
        <w:t>issuing a Request for Proposals (RFP)</w:t>
      </w:r>
      <w:r w:rsidRPr="00227A45">
        <w:rPr>
          <w:rFonts w:cs="Arial"/>
        </w:rPr>
        <w:t xml:space="preserve">. </w:t>
      </w:r>
      <w:r w:rsidR="00A95D9B" w:rsidRPr="00F52F4D">
        <w:rPr>
          <w:rFonts w:cs="Arial"/>
        </w:rPr>
        <w:t xml:space="preserve">PSE anticipates </w:t>
      </w:r>
      <w:r>
        <w:rPr>
          <w:rFonts w:cs="Arial"/>
        </w:rPr>
        <w:t xml:space="preserve">that when an RFP is issued it will be ahead of </w:t>
      </w:r>
      <w:r w:rsidR="00A95D9B" w:rsidRPr="00F52F4D">
        <w:rPr>
          <w:rFonts w:cs="Arial"/>
        </w:rPr>
        <w:t xml:space="preserve">the three-year window that would require an RFP based on WAC 480-107-015(3). </w:t>
      </w:r>
      <w:r w:rsidR="00A95D9B">
        <w:rPr>
          <w:rFonts w:cs="Arial"/>
        </w:rPr>
        <w:t>This</w:t>
      </w:r>
      <w:r w:rsidR="00A95D9B" w:rsidRPr="00F52F4D">
        <w:rPr>
          <w:rFonts w:cs="Arial"/>
        </w:rPr>
        <w:t xml:space="preserve"> should allow adequate time </w:t>
      </w:r>
      <w:r w:rsidR="00A95D9B">
        <w:rPr>
          <w:rFonts w:cs="Arial"/>
        </w:rPr>
        <w:t>to develop the appropriate</w:t>
      </w:r>
      <w:r w:rsidR="00A95D9B" w:rsidRPr="00F52F4D">
        <w:rPr>
          <w:rFonts w:cs="Arial"/>
        </w:rPr>
        <w:t xml:space="preserve"> infrastructure </w:t>
      </w:r>
      <w:r w:rsidR="00A95D9B">
        <w:rPr>
          <w:rFonts w:cs="Arial"/>
        </w:rPr>
        <w:t>that may be required</w:t>
      </w:r>
      <w:r w:rsidR="00A95D9B" w:rsidRPr="00F52F4D">
        <w:rPr>
          <w:rFonts w:cs="Arial"/>
        </w:rPr>
        <w:t>.</w:t>
      </w:r>
      <w:r w:rsidR="00A95D9B">
        <w:rPr>
          <w:rFonts w:cs="Arial"/>
        </w:rPr>
        <w:t xml:space="preserve"> A step-by-step description of PSE’s RFP process is included in the</w:t>
      </w:r>
      <w:r w:rsidR="00A95D9B" w:rsidRPr="00AC355D">
        <w:rPr>
          <w:rFonts w:cs="Arial"/>
        </w:rPr>
        <w:t xml:space="preserve"> Electric Resource Acquisition section </w:t>
      </w:r>
      <w:r w:rsidR="00A95D9B">
        <w:rPr>
          <w:rFonts w:cs="Arial"/>
        </w:rPr>
        <w:t>of</w:t>
      </w:r>
      <w:r w:rsidR="00A95D9B" w:rsidRPr="00AC355D">
        <w:rPr>
          <w:rFonts w:cs="Arial"/>
        </w:rPr>
        <w:t xml:space="preserve"> Chapter 3, Planning Environment</w:t>
      </w:r>
      <w:r w:rsidR="00A95D9B">
        <w:rPr>
          <w:rFonts w:cs="Arial"/>
        </w:rPr>
        <w:t>.</w:t>
      </w:r>
    </w:p>
    <w:p w14:paraId="1367DD57" w14:textId="77777777" w:rsidR="002D611E" w:rsidRDefault="002D611E" w:rsidP="003921A1">
      <w:pPr>
        <w:pStyle w:val="IRPsanstext"/>
        <w:rPr>
          <w:rFonts w:cs="Arial"/>
          <w:b/>
          <w:color w:val="156570"/>
          <w:sz w:val="28"/>
        </w:rPr>
      </w:pPr>
    </w:p>
    <w:p w14:paraId="12A3124C" w14:textId="77777777" w:rsidR="00A95D9B" w:rsidRPr="00057715" w:rsidRDefault="00A95D9B" w:rsidP="003921A1">
      <w:pPr>
        <w:pStyle w:val="IRPsanstext"/>
        <w:rPr>
          <w:rFonts w:cs="Arial"/>
        </w:rPr>
      </w:pPr>
      <w:r w:rsidRPr="003921A1">
        <w:rPr>
          <w:rFonts w:cs="Arial"/>
          <w:b/>
          <w:color w:val="156570"/>
          <w:sz w:val="28"/>
        </w:rPr>
        <w:t>Gas Storage for Electric Generation.</w:t>
      </w:r>
      <w:r>
        <w:rPr>
          <w:rFonts w:cs="Arial"/>
        </w:rPr>
        <w:t xml:space="preserve"> </w:t>
      </w:r>
      <w:r w:rsidRPr="00057715">
        <w:rPr>
          <w:rFonts w:cs="Arial"/>
        </w:rPr>
        <w:t>Pursue the prudent acquisition of gas storage for generation.</w:t>
      </w:r>
    </w:p>
    <w:p w14:paraId="1501B039" w14:textId="77777777" w:rsidR="00A95D9B" w:rsidRDefault="00A95D9B" w:rsidP="003921A1">
      <w:pPr>
        <w:pStyle w:val="IRPsanstext"/>
        <w:rPr>
          <w:rFonts w:cs="Arial"/>
        </w:rPr>
      </w:pPr>
    </w:p>
    <w:p w14:paraId="7CD24089" w14:textId="77777777" w:rsidR="00A95D9B" w:rsidRPr="00227CC7" w:rsidRDefault="00A95D9B" w:rsidP="003921A1">
      <w:pPr>
        <w:pStyle w:val="IRPsanstext"/>
        <w:ind w:left="720"/>
        <w:rPr>
          <w:rFonts w:cs="Arial"/>
          <w:b/>
        </w:rPr>
      </w:pPr>
      <w:r w:rsidRPr="00227CC7">
        <w:rPr>
          <w:rFonts w:cs="Arial"/>
          <w:b/>
        </w:rPr>
        <w:t>PROGRESS</w:t>
      </w:r>
    </w:p>
    <w:p w14:paraId="2902D310" w14:textId="77777777" w:rsidR="00A95D9B" w:rsidRPr="002D611E" w:rsidRDefault="00A95D9B" w:rsidP="002D611E">
      <w:pPr>
        <w:pStyle w:val="IRPsanstext"/>
        <w:ind w:left="720"/>
        <w:rPr>
          <w:rFonts w:cs="Arial"/>
        </w:rPr>
      </w:pPr>
      <w:r w:rsidRPr="004811D5">
        <w:rPr>
          <w:rFonts w:cs="Arial"/>
        </w:rPr>
        <w:t>PSE is in the process of negotiating for the acquisition of firm storage</w:t>
      </w:r>
      <w:r>
        <w:rPr>
          <w:rFonts w:cs="Arial"/>
        </w:rPr>
        <w:t xml:space="preserve"> for power generating assets</w:t>
      </w:r>
      <w:r w:rsidRPr="004811D5">
        <w:rPr>
          <w:rFonts w:cs="Arial"/>
        </w:rPr>
        <w:t xml:space="preserve"> along with related firm transportation</w:t>
      </w:r>
      <w:r>
        <w:rPr>
          <w:rFonts w:cs="Arial"/>
        </w:rPr>
        <w:t>,</w:t>
      </w:r>
      <w:r w:rsidRPr="004811D5">
        <w:rPr>
          <w:rFonts w:cs="Arial"/>
        </w:rPr>
        <w:t xml:space="preserve"> and </w:t>
      </w:r>
      <w:r>
        <w:rPr>
          <w:rFonts w:cs="Arial"/>
        </w:rPr>
        <w:t xml:space="preserve">we </w:t>
      </w:r>
      <w:r w:rsidRPr="004811D5">
        <w:rPr>
          <w:rFonts w:cs="Arial"/>
        </w:rPr>
        <w:t>expect to complete one or more transactions before the end of 2015.</w:t>
      </w:r>
    </w:p>
    <w:p w14:paraId="6C67DA10" w14:textId="77777777" w:rsidR="003921A1" w:rsidRDefault="003921A1" w:rsidP="003921A1">
      <w:pPr>
        <w:pStyle w:val="IRPsanstext"/>
      </w:pPr>
    </w:p>
    <w:p w14:paraId="67257C11" w14:textId="77777777" w:rsidR="00DD77F9" w:rsidRDefault="00DD77F9" w:rsidP="003921A1">
      <w:pPr>
        <w:pStyle w:val="IRPsanstext"/>
        <w:rPr>
          <w:rFonts w:cs="Arial"/>
          <w:b/>
          <w:color w:val="156570"/>
          <w:sz w:val="28"/>
        </w:rPr>
      </w:pPr>
      <w:r>
        <w:rPr>
          <w:rFonts w:cs="Arial"/>
          <w:b/>
          <w:color w:val="156570"/>
          <w:sz w:val="28"/>
        </w:rPr>
        <w:br/>
      </w:r>
    </w:p>
    <w:p w14:paraId="24157384" w14:textId="77777777" w:rsidR="00DD77F9" w:rsidRDefault="00DD77F9">
      <w:pPr>
        <w:rPr>
          <w:rFonts w:ascii="Arial" w:hAnsi="Arial" w:cs="Arial"/>
          <w:b/>
          <w:color w:val="156570"/>
          <w:sz w:val="28"/>
        </w:rPr>
      </w:pPr>
      <w:r>
        <w:rPr>
          <w:rFonts w:cs="Arial"/>
          <w:b/>
          <w:color w:val="156570"/>
          <w:sz w:val="28"/>
        </w:rPr>
        <w:br w:type="page"/>
      </w:r>
    </w:p>
    <w:p w14:paraId="65FD5289" w14:textId="77777777" w:rsidR="00A95D9B" w:rsidRDefault="00A95D9B" w:rsidP="003921A1">
      <w:pPr>
        <w:pStyle w:val="IRPsanstext"/>
        <w:rPr>
          <w:rFonts w:cs="Arial"/>
        </w:rPr>
      </w:pPr>
      <w:r w:rsidRPr="003921A1">
        <w:rPr>
          <w:rFonts w:cs="Arial"/>
          <w:b/>
          <w:color w:val="156570"/>
          <w:sz w:val="28"/>
        </w:rPr>
        <w:lastRenderedPageBreak/>
        <w:t>Improve IRP Process.</w:t>
      </w:r>
      <w:r>
        <w:rPr>
          <w:rFonts w:cs="Arial"/>
        </w:rPr>
        <w:t xml:space="preserve"> </w:t>
      </w:r>
      <w:r w:rsidRPr="00057715">
        <w:rPr>
          <w:rFonts w:cs="Arial"/>
        </w:rPr>
        <w:t xml:space="preserve">Develop a robust work plan for the 2015 IRP to clarify the roles and expectations of the public participation process and to provide greater transparency regarding PSE’s analytical processes. </w:t>
      </w:r>
    </w:p>
    <w:p w14:paraId="42544BD4" w14:textId="77777777" w:rsidR="00A95D9B" w:rsidRPr="00227CC7" w:rsidRDefault="00A95D9B" w:rsidP="003921A1">
      <w:pPr>
        <w:pStyle w:val="IRPsanstext"/>
        <w:rPr>
          <w:rFonts w:cs="Arial"/>
        </w:rPr>
      </w:pPr>
    </w:p>
    <w:p w14:paraId="36EDD9BC" w14:textId="77777777" w:rsidR="00A95D9B" w:rsidRPr="00227CC7" w:rsidRDefault="00A95D9B" w:rsidP="003921A1">
      <w:pPr>
        <w:pStyle w:val="IRPsanstext"/>
        <w:ind w:left="720"/>
        <w:rPr>
          <w:rFonts w:cs="Arial"/>
          <w:b/>
        </w:rPr>
      </w:pPr>
      <w:r w:rsidRPr="00227CC7">
        <w:rPr>
          <w:rFonts w:cs="Arial"/>
          <w:b/>
        </w:rPr>
        <w:t>PROGRESS</w:t>
      </w:r>
    </w:p>
    <w:p w14:paraId="5DC6D358" w14:textId="77777777" w:rsidR="00A95D9B" w:rsidRDefault="00A95D9B" w:rsidP="003921A1">
      <w:pPr>
        <w:pStyle w:val="IRPsanstext"/>
        <w:ind w:left="720"/>
        <w:rPr>
          <w:rFonts w:cs="Arial"/>
        </w:rPr>
      </w:pPr>
      <w:r>
        <w:rPr>
          <w:rFonts w:cs="Arial"/>
        </w:rPr>
        <w:t xml:space="preserve">On May 29, 2014, PSE filed a Work Plan for the 2015 Integrated Resource Plan which included a timeline, a summary for assessing resources and an outline of the 2015 IRP content.  Throughout the 2015 IRP process, PSE posted meeting notes, handouts and presentations from the IRP Advisory Group (IRPAG) meetings on its website.  Please refer to PSE’s website for a copy of its </w:t>
      </w:r>
      <w:r w:rsidR="00A41D13" w:rsidRPr="00A41D13">
        <w:rPr>
          <w:rFonts w:cs="Arial"/>
        </w:rPr>
        <w:t>2015 IRP Work Plan</w:t>
      </w:r>
      <w:r>
        <w:rPr>
          <w:rFonts w:cs="Arial"/>
        </w:rPr>
        <w:t xml:space="preserve"> and IRPAG information:</w:t>
      </w:r>
    </w:p>
    <w:p w14:paraId="2FA6ACD7" w14:textId="77777777" w:rsidR="00A95D9B" w:rsidRPr="00623D77" w:rsidRDefault="00A95D9B" w:rsidP="003921A1">
      <w:pPr>
        <w:pStyle w:val="IRPsanstext"/>
        <w:ind w:left="720"/>
        <w:rPr>
          <w:w w:val="105"/>
          <w:u w:color="31849B"/>
        </w:rPr>
      </w:pPr>
      <w:r w:rsidRPr="00623D77">
        <w:rPr>
          <w:w w:val="105"/>
          <w:u w:color="31849B"/>
        </w:rPr>
        <w:t>http://pse.com/aboutpse/EnergySup</w:t>
      </w:r>
      <w:r w:rsidR="005623EB" w:rsidRPr="00623D77">
        <w:rPr>
          <w:w w:val="105"/>
          <w:u w:color="31849B"/>
        </w:rPr>
        <w:t>p</w:t>
      </w:r>
      <w:r w:rsidR="00623D77" w:rsidRPr="00623D77">
        <w:rPr>
          <w:w w:val="105"/>
          <w:u w:color="31849B"/>
        </w:rPr>
        <w:t>ly/Pages/Resource-Planning.aspx.</w:t>
      </w:r>
    </w:p>
    <w:p w14:paraId="28416DBA" w14:textId="77777777" w:rsidR="00A95D9B" w:rsidRDefault="00A95D9B" w:rsidP="003921A1">
      <w:pPr>
        <w:pStyle w:val="IRPsanstext"/>
      </w:pPr>
    </w:p>
    <w:p w14:paraId="711B4631" w14:textId="77777777" w:rsidR="00A95D9B" w:rsidRPr="00DD77F9" w:rsidRDefault="00A95D9B" w:rsidP="00DD77F9">
      <w:pPr>
        <w:rPr>
          <w:rFonts w:ascii="Arial" w:hAnsi="Arial"/>
        </w:rPr>
      </w:pPr>
    </w:p>
    <w:p w14:paraId="3E60CCE6" w14:textId="77777777" w:rsidR="00A95D9B" w:rsidRPr="00454890" w:rsidRDefault="00A95D9B" w:rsidP="003921A1">
      <w:pPr>
        <w:pStyle w:val="IRPsecthead1serif"/>
      </w:pPr>
      <w:r>
        <w:t>2013 Gas Resources Action Plan</w:t>
      </w:r>
    </w:p>
    <w:p w14:paraId="22A15A37" w14:textId="77777777" w:rsidR="00A95D9B" w:rsidRDefault="00A95D9B" w:rsidP="00A95D9B">
      <w:pPr>
        <w:pStyle w:val="IRPsanstext"/>
      </w:pPr>
    </w:p>
    <w:p w14:paraId="230EAE79" w14:textId="77777777" w:rsidR="00A95D9B" w:rsidRDefault="00A95D9B" w:rsidP="00A95D9B">
      <w:pPr>
        <w:pStyle w:val="IRPsanstext"/>
      </w:pPr>
      <w:r>
        <w:t xml:space="preserve">Per WAC 480-90-238 (3) (i), each item from  the 2013 IRP gas resources action plan is listed below, along with the progress that has been made in implementing those recommendations.  </w:t>
      </w:r>
    </w:p>
    <w:p w14:paraId="05481E2B" w14:textId="77777777" w:rsidR="00A95D9B" w:rsidRPr="00DA4F42" w:rsidRDefault="00A95D9B" w:rsidP="00A95D9B">
      <w:pPr>
        <w:pStyle w:val="IRPsanstext"/>
      </w:pPr>
    </w:p>
    <w:p w14:paraId="3ABA12AA" w14:textId="77777777" w:rsidR="00A95D9B" w:rsidRDefault="00A95D9B" w:rsidP="00A95D9B">
      <w:pPr>
        <w:pStyle w:val="IRPsanstext"/>
        <w:rPr>
          <w:rFonts w:cs="Arial"/>
        </w:rPr>
      </w:pPr>
      <w:r w:rsidRPr="003921A1">
        <w:rPr>
          <w:rFonts w:cs="Arial"/>
          <w:b/>
          <w:color w:val="156570"/>
          <w:sz w:val="28"/>
        </w:rPr>
        <w:t>Gas Demand-side Resources.</w:t>
      </w:r>
      <w:r>
        <w:rPr>
          <w:rFonts w:cs="Arial"/>
        </w:rPr>
        <w:t xml:space="preserve"> </w:t>
      </w:r>
      <w:r w:rsidRPr="00057715">
        <w:rPr>
          <w:rFonts w:cs="Arial"/>
        </w:rPr>
        <w:t xml:space="preserve">Pursue cost-effective demand-side resources based on IRP guidance. Work with external stakeholders in the CRAG process to establish goals, targets and tariff filings, using this IRP as a starting point. Issue RFPs as appropriate to assist with efficient acquisition of demand-side resources. </w:t>
      </w:r>
    </w:p>
    <w:p w14:paraId="0F6AE2B2" w14:textId="77777777" w:rsidR="00A95D9B" w:rsidRDefault="00A95D9B" w:rsidP="00A95D9B">
      <w:pPr>
        <w:pStyle w:val="IRPsanstext"/>
      </w:pPr>
    </w:p>
    <w:p w14:paraId="12877F76" w14:textId="77777777" w:rsidR="00A95D9B" w:rsidRPr="00227CC7" w:rsidRDefault="00A95D9B" w:rsidP="003921A1">
      <w:pPr>
        <w:pStyle w:val="IRPbullet"/>
        <w:numPr>
          <w:ilvl w:val="0"/>
          <w:numId w:val="0"/>
        </w:numPr>
        <w:spacing w:beforeAutospacing="0" w:afterAutospacing="0"/>
        <w:ind w:left="720"/>
        <w:rPr>
          <w:rFonts w:cs="Arial"/>
          <w:b/>
        </w:rPr>
      </w:pPr>
      <w:r w:rsidRPr="00227CC7">
        <w:rPr>
          <w:rFonts w:cs="Arial"/>
          <w:b/>
        </w:rPr>
        <w:t>PROGRESS</w:t>
      </w:r>
    </w:p>
    <w:p w14:paraId="73319F91" w14:textId="77777777" w:rsidR="00A95D9B" w:rsidRPr="00CB14B7" w:rsidRDefault="00A95D9B" w:rsidP="003921A1">
      <w:pPr>
        <w:pStyle w:val="IRPsanstext"/>
        <w:ind w:left="720"/>
      </w:pPr>
      <w:r w:rsidRPr="00A815FC">
        <w:t xml:space="preserve">PSE reviewed the 2013 IRP guidance with its CRAG beginning in June 2013.  Over the course of the </w:t>
      </w:r>
      <w:r>
        <w:t>following</w:t>
      </w:r>
      <w:r w:rsidRPr="00A815FC">
        <w:t xml:space="preserve"> four months, PSE collaborated with the CRAG to develop its 2014-2015 natural gas goal, which was approved by the Commission on December 19, 2013.  PSE issued an </w:t>
      </w:r>
      <w:r>
        <w:t>“</w:t>
      </w:r>
      <w:r w:rsidRPr="00A815FC">
        <w:t>all-comers</w:t>
      </w:r>
      <w:r w:rsidR="00623D77">
        <w:t>” Request for Information</w:t>
      </w:r>
      <w:r w:rsidRPr="00A815FC">
        <w:t xml:space="preserve"> for possible</w:t>
      </w:r>
      <w:r>
        <w:t xml:space="preserve"> new energy e</w:t>
      </w:r>
      <w:r w:rsidRPr="00A815FC">
        <w:t>fficiency programs on or about March 15, 2013. </w:t>
      </w:r>
      <w:r w:rsidRPr="00CB14B7">
        <w:t xml:space="preserve">An additional RFP for existing and two new programs </w:t>
      </w:r>
      <w:r>
        <w:t>was</w:t>
      </w:r>
      <w:r w:rsidRPr="00CB14B7">
        <w:t xml:space="preserve"> issued in August 201</w:t>
      </w:r>
      <w:r>
        <w:t>3</w:t>
      </w:r>
      <w:r w:rsidRPr="00CB14B7">
        <w:t>.  </w:t>
      </w:r>
    </w:p>
    <w:p w14:paraId="51C36560" w14:textId="77777777" w:rsidR="003921A1" w:rsidRDefault="003921A1" w:rsidP="003921A1">
      <w:pPr>
        <w:pStyle w:val="IRPsanstext"/>
        <w:ind w:left="720"/>
      </w:pPr>
    </w:p>
    <w:p w14:paraId="5014FCB3" w14:textId="77777777" w:rsidR="00A95D9B" w:rsidRDefault="00A95D9B" w:rsidP="002D611E">
      <w:pPr>
        <w:pStyle w:val="IRPsanstext"/>
        <w:ind w:left="720"/>
      </w:pPr>
      <w:r w:rsidRPr="00A815FC">
        <w:t xml:space="preserve">PSE ensures that the CRAG is engaged in its program development by conducting regular CRAG meetings and providing the CRAG with routine updates in its “CRAG Communications” </w:t>
      </w:r>
      <w:r w:rsidRPr="003921A1">
        <w:t>newsletters.</w:t>
      </w:r>
    </w:p>
    <w:p w14:paraId="502F3D49" w14:textId="77777777" w:rsidR="00DD77F9" w:rsidRDefault="00DD77F9">
      <w:pPr>
        <w:rPr>
          <w:rFonts w:ascii="Arial" w:hAnsi="Arial"/>
        </w:rPr>
      </w:pPr>
      <w:r>
        <w:br w:type="page"/>
      </w:r>
    </w:p>
    <w:p w14:paraId="3F4F06B1" w14:textId="77777777" w:rsidR="00A95D9B" w:rsidRPr="003921A1" w:rsidRDefault="00A95D9B" w:rsidP="003921A1">
      <w:pPr>
        <w:pStyle w:val="IRPsanstext"/>
        <w:rPr>
          <w:rFonts w:cs="Arial"/>
        </w:rPr>
      </w:pPr>
      <w:r w:rsidRPr="003921A1">
        <w:rPr>
          <w:rFonts w:cs="Arial"/>
          <w:b/>
          <w:color w:val="156570"/>
          <w:sz w:val="28"/>
          <w:szCs w:val="28"/>
        </w:rPr>
        <w:lastRenderedPageBreak/>
        <w:t>PSE LNG Project.</w:t>
      </w:r>
      <w:r w:rsidRPr="003921A1">
        <w:rPr>
          <w:rFonts w:cs="Arial"/>
        </w:rPr>
        <w:t xml:space="preserve"> Continue working toward developing the potential PSE LNG Project to support gas utility peaking and transportation sector needs. Update and refine cost/resource estimates on expanding the facility’s potential to provide peaking capabilities for the gas utility portfolio as the project proceeds.</w:t>
      </w:r>
    </w:p>
    <w:p w14:paraId="55C080BA" w14:textId="77777777" w:rsidR="00A95D9B" w:rsidRPr="003921A1" w:rsidRDefault="00A95D9B" w:rsidP="003921A1">
      <w:pPr>
        <w:pStyle w:val="IRPsanstext"/>
        <w:rPr>
          <w:rFonts w:eastAsia="Times New Roman" w:cs="Arial"/>
          <w:b/>
          <w:bCs/>
          <w:i/>
          <w:iCs/>
          <w:lang w:eastAsia="en-US"/>
        </w:rPr>
      </w:pPr>
    </w:p>
    <w:p w14:paraId="551743E6" w14:textId="77777777" w:rsidR="00A95D9B" w:rsidRPr="003921A1" w:rsidRDefault="00A95D9B" w:rsidP="00304B8B">
      <w:pPr>
        <w:pStyle w:val="IRPsanstext"/>
        <w:ind w:left="720"/>
        <w:rPr>
          <w:rFonts w:cs="Arial"/>
          <w:b/>
        </w:rPr>
      </w:pPr>
      <w:r w:rsidRPr="003921A1">
        <w:rPr>
          <w:rFonts w:cs="Arial"/>
          <w:b/>
        </w:rPr>
        <w:t>PROGRESS</w:t>
      </w:r>
    </w:p>
    <w:p w14:paraId="7894B0B5" w14:textId="77777777" w:rsidR="00A95D9B" w:rsidRPr="003921A1" w:rsidRDefault="00A95D9B" w:rsidP="00304B8B">
      <w:pPr>
        <w:pStyle w:val="IRPsanstext"/>
        <w:ind w:left="720"/>
        <w:rPr>
          <w:rFonts w:cs="Arial"/>
        </w:rPr>
      </w:pPr>
      <w:r w:rsidRPr="003921A1">
        <w:rPr>
          <w:rFonts w:cs="Arial"/>
        </w:rPr>
        <w:t xml:space="preserve">PSE is in the development phase of the </w:t>
      </w:r>
      <w:r w:rsidR="003C2F92">
        <w:rPr>
          <w:rFonts w:cs="Arial"/>
        </w:rPr>
        <w:t xml:space="preserve">PSE </w:t>
      </w:r>
      <w:r w:rsidRPr="003921A1">
        <w:rPr>
          <w:rFonts w:cs="Arial"/>
        </w:rPr>
        <w:t>LNG project</w:t>
      </w:r>
      <w:r w:rsidR="003C2F92">
        <w:rPr>
          <w:rFonts w:cs="Arial"/>
        </w:rPr>
        <w:t xml:space="preserve"> in </w:t>
      </w:r>
      <w:r w:rsidR="003C2F92" w:rsidRPr="003921A1">
        <w:rPr>
          <w:rFonts w:cs="Arial"/>
        </w:rPr>
        <w:t>Tacoma</w:t>
      </w:r>
      <w:r w:rsidRPr="003921A1">
        <w:rPr>
          <w:rFonts w:cs="Arial"/>
        </w:rPr>
        <w:t>.  A major transportation sector customer has executed long-term agreements.  PSE</w:t>
      </w:r>
      <w:r w:rsidR="005C1A06">
        <w:rPr>
          <w:rFonts w:cs="Arial"/>
        </w:rPr>
        <w:t xml:space="preserve"> expects to have the project in </w:t>
      </w:r>
      <w:r w:rsidRPr="003921A1">
        <w:rPr>
          <w:rFonts w:cs="Arial"/>
        </w:rPr>
        <w:t>service by late 2018.</w:t>
      </w:r>
      <w:r w:rsidR="00C416E2">
        <w:rPr>
          <w:rFonts w:cs="Arial"/>
        </w:rPr>
        <w:t xml:space="preserve"> Please see Chapter 7, Gas Analysis, for additional information.</w:t>
      </w:r>
    </w:p>
    <w:p w14:paraId="7B4C0E01" w14:textId="77777777" w:rsidR="00A95D9B" w:rsidRPr="00DD77F9" w:rsidRDefault="00DD77F9" w:rsidP="00DD77F9">
      <w:pPr>
        <w:pStyle w:val="IRPsanstext"/>
      </w:pPr>
      <w:r w:rsidRPr="00DD77F9">
        <w:rPr>
          <w:b/>
          <w:color w:val="156570"/>
        </w:rPr>
        <w:br/>
      </w:r>
      <w:r w:rsidR="00A95D9B" w:rsidRPr="00304B8B">
        <w:rPr>
          <w:b/>
          <w:color w:val="156570"/>
          <w:sz w:val="28"/>
          <w:szCs w:val="28"/>
        </w:rPr>
        <w:t>Swarr.</w:t>
      </w:r>
      <w:r w:rsidR="00A95D9B" w:rsidRPr="003921A1">
        <w:t xml:space="preserve"> Further analyze the costs and resource issues associated with investing in the Swarr facility to restore its original 30 MDth per day capability.  Decide whether such invest</w:t>
      </w:r>
      <w:r w:rsidR="005C1A06">
        <w:t>ments will provide a safe, cost-</w:t>
      </w:r>
      <w:r w:rsidR="00A95D9B" w:rsidRPr="003921A1">
        <w:t xml:space="preserve">effective resource for meeting the needs of customers.  </w:t>
      </w:r>
    </w:p>
    <w:p w14:paraId="2FC23F1D" w14:textId="77777777" w:rsidR="00A95D9B" w:rsidRPr="003921A1" w:rsidRDefault="00A95D9B" w:rsidP="00DD77F9">
      <w:pPr>
        <w:pStyle w:val="IRPsanstext"/>
        <w:rPr>
          <w:b/>
        </w:rPr>
      </w:pPr>
    </w:p>
    <w:p w14:paraId="49FC1406" w14:textId="77777777" w:rsidR="00A95D9B" w:rsidRPr="003921A1" w:rsidRDefault="00A95D9B" w:rsidP="00304B8B">
      <w:pPr>
        <w:pStyle w:val="IRPsanstext"/>
        <w:ind w:left="720"/>
        <w:rPr>
          <w:rFonts w:cs="Arial"/>
          <w:b/>
        </w:rPr>
      </w:pPr>
      <w:r w:rsidRPr="003921A1">
        <w:rPr>
          <w:rFonts w:cs="Arial"/>
          <w:b/>
        </w:rPr>
        <w:t>PROGRESS</w:t>
      </w:r>
    </w:p>
    <w:p w14:paraId="669917DF" w14:textId="77777777" w:rsidR="00A95D9B" w:rsidRPr="002D611E" w:rsidRDefault="00A95D9B" w:rsidP="002D611E">
      <w:pPr>
        <w:pStyle w:val="IRPsanstext"/>
        <w:ind w:left="720"/>
        <w:rPr>
          <w:rFonts w:cs="Arial"/>
          <w:b/>
        </w:rPr>
      </w:pPr>
      <w:r w:rsidRPr="003921A1">
        <w:rPr>
          <w:rFonts w:cs="Arial"/>
        </w:rPr>
        <w:t>PSE has designed and scheduled an upgrade project that will restore the Swarr facility to safe, reliable service by the fourth quarter of 2016.</w:t>
      </w:r>
    </w:p>
    <w:p w14:paraId="1A35C338" w14:textId="77777777" w:rsidR="00304B8B" w:rsidRPr="003921A1" w:rsidRDefault="00304B8B" w:rsidP="003921A1">
      <w:pPr>
        <w:pStyle w:val="IRPsanstext"/>
      </w:pPr>
    </w:p>
    <w:p w14:paraId="1B8F02D4" w14:textId="77777777" w:rsidR="00A95D9B" w:rsidRPr="003921A1" w:rsidRDefault="00A95D9B" w:rsidP="003921A1">
      <w:pPr>
        <w:pStyle w:val="IRPsanstext"/>
        <w:rPr>
          <w:rFonts w:cs="Arial"/>
        </w:rPr>
      </w:pPr>
      <w:r w:rsidRPr="00304B8B">
        <w:rPr>
          <w:rFonts w:cs="Arial"/>
          <w:b/>
          <w:color w:val="156570"/>
          <w:sz w:val="28"/>
          <w:szCs w:val="28"/>
        </w:rPr>
        <w:t>Pipeline Expansions.</w:t>
      </w:r>
      <w:r w:rsidRPr="003921A1">
        <w:rPr>
          <w:rFonts w:cs="Arial"/>
        </w:rPr>
        <w:t xml:space="preserve"> Continue working with Northwest Natural Gas and Northwest Pipeline </w:t>
      </w:r>
      <w:r w:rsidR="00C14A65">
        <w:rPr>
          <w:rFonts w:cs="Arial"/>
        </w:rPr>
        <w:t xml:space="preserve">(NWP) </w:t>
      </w:r>
      <w:r w:rsidRPr="003921A1">
        <w:rPr>
          <w:rFonts w:cs="Arial"/>
        </w:rPr>
        <w:t xml:space="preserve">on the possibility of participating in an expansion of the Mist storage facility and transportation to PSE’s service territory.  </w:t>
      </w:r>
    </w:p>
    <w:p w14:paraId="586C3D6E" w14:textId="77777777" w:rsidR="00A95D9B" w:rsidRPr="003921A1" w:rsidRDefault="00A95D9B" w:rsidP="003921A1">
      <w:pPr>
        <w:pStyle w:val="IRPsanstext"/>
        <w:rPr>
          <w:rFonts w:cs="Arial"/>
        </w:rPr>
      </w:pPr>
    </w:p>
    <w:p w14:paraId="4B7D8A90" w14:textId="77777777" w:rsidR="00A95D9B" w:rsidRPr="003921A1" w:rsidRDefault="00A95D9B" w:rsidP="00304B8B">
      <w:pPr>
        <w:pStyle w:val="IRPsanstext"/>
        <w:ind w:left="720"/>
        <w:rPr>
          <w:rFonts w:cs="Arial"/>
          <w:b/>
        </w:rPr>
      </w:pPr>
      <w:r w:rsidRPr="003921A1">
        <w:rPr>
          <w:rFonts w:cs="Arial"/>
          <w:b/>
        </w:rPr>
        <w:t>PROGRESS</w:t>
      </w:r>
    </w:p>
    <w:p w14:paraId="2A399BD8" w14:textId="77777777" w:rsidR="00C14A65" w:rsidRPr="003921A1" w:rsidRDefault="00C14A65" w:rsidP="00C14A65">
      <w:pPr>
        <w:pStyle w:val="IRPsanstext"/>
        <w:ind w:left="720"/>
      </w:pPr>
      <w:r>
        <w:t>PSE has continued dialogue with these and other parties in the region.  It has become clear that acquisition of cost-effective firm pipeline capacity from Mist to the PSE gas service area or power plant sites (north-bound) is dependent on the expansion of NWP facilities in the south-bound direction. Such expansion would only be triggered by firm commitments to NWP by other large new customers. PSE is also aware that once an expansion is triggered, other options, including peak-period gas diversions from new customers</w:t>
      </w:r>
      <w:r w:rsidR="00AB4298">
        <w:t>,</w:t>
      </w:r>
      <w:r>
        <w:t xml:space="preserve"> may be possible and will be considered.</w:t>
      </w:r>
      <w:r w:rsidR="00075621" w:rsidRPr="00075621">
        <w:rPr>
          <w:rFonts w:cs="Arial"/>
        </w:rPr>
        <w:t xml:space="preserve"> </w:t>
      </w:r>
      <w:r w:rsidR="00075621">
        <w:rPr>
          <w:rFonts w:cs="Arial"/>
        </w:rPr>
        <w:t>Please see Chapter 7, Gas Analysis, for additional information.</w:t>
      </w:r>
    </w:p>
    <w:p w14:paraId="7F1C65A9" w14:textId="77777777" w:rsidR="00DD77F9" w:rsidRDefault="00DD77F9">
      <w:pPr>
        <w:rPr>
          <w:rFonts w:ascii="Arial" w:hAnsi="Arial" w:cs="Arial"/>
          <w:b/>
          <w:color w:val="3366FF"/>
        </w:rPr>
      </w:pPr>
      <w:r>
        <w:rPr>
          <w:rFonts w:cs="Arial"/>
          <w:b/>
          <w:color w:val="3366FF"/>
        </w:rPr>
        <w:br w:type="page"/>
      </w:r>
    </w:p>
    <w:p w14:paraId="7F750D6F" w14:textId="77777777" w:rsidR="00A95D9B" w:rsidRPr="003921A1" w:rsidRDefault="00A95D9B" w:rsidP="003921A1">
      <w:pPr>
        <w:pStyle w:val="IRPsanstext"/>
        <w:rPr>
          <w:rFonts w:cs="Arial"/>
        </w:rPr>
      </w:pPr>
      <w:r w:rsidRPr="00304B8B">
        <w:rPr>
          <w:rFonts w:cs="Arial"/>
          <w:b/>
          <w:color w:val="156570"/>
          <w:sz w:val="28"/>
          <w:szCs w:val="28"/>
        </w:rPr>
        <w:lastRenderedPageBreak/>
        <w:t>Pipeline Capacity Acquisition.</w:t>
      </w:r>
      <w:r w:rsidRPr="003921A1">
        <w:rPr>
          <w:rFonts w:cs="Arial"/>
          <w:b/>
          <w:color w:val="3366FF"/>
        </w:rPr>
        <w:t xml:space="preserve"> </w:t>
      </w:r>
      <w:r w:rsidRPr="003921A1">
        <w:rPr>
          <w:rFonts w:cs="Arial"/>
        </w:rPr>
        <w:t xml:space="preserve">Remain active in the market to ensure PSE can acquire existing surplus firm pipeline capacity in case the PSE LNG Peaking Project or Swarr opportunities do not move forward. </w:t>
      </w:r>
    </w:p>
    <w:p w14:paraId="48916411" w14:textId="77777777" w:rsidR="00A95D9B" w:rsidRPr="003921A1" w:rsidRDefault="00A95D9B" w:rsidP="003921A1">
      <w:pPr>
        <w:pStyle w:val="IRPsanstext"/>
        <w:rPr>
          <w:rFonts w:cs="Arial"/>
          <w:b/>
        </w:rPr>
      </w:pPr>
    </w:p>
    <w:p w14:paraId="0CB8CD0D" w14:textId="77777777" w:rsidR="00A95D9B" w:rsidRPr="003921A1" w:rsidRDefault="00A95D9B" w:rsidP="00304B8B">
      <w:pPr>
        <w:pStyle w:val="IRPsanstext"/>
        <w:ind w:left="720"/>
        <w:rPr>
          <w:rFonts w:cs="Arial"/>
          <w:b/>
        </w:rPr>
      </w:pPr>
      <w:r w:rsidRPr="003921A1">
        <w:rPr>
          <w:rFonts w:cs="Arial"/>
          <w:b/>
        </w:rPr>
        <w:t>PROGRESS</w:t>
      </w:r>
    </w:p>
    <w:p w14:paraId="289F1C47" w14:textId="77777777" w:rsidR="00A95D9B" w:rsidRPr="003921A1" w:rsidRDefault="00A95D9B" w:rsidP="00304B8B">
      <w:pPr>
        <w:pStyle w:val="IRPsanstext"/>
        <w:ind w:left="720"/>
      </w:pPr>
      <w:r w:rsidRPr="003921A1">
        <w:rPr>
          <w:rFonts w:cs="Arial"/>
        </w:rPr>
        <w:t>PSE continues to monitor the market to be aware of any opportunities</w:t>
      </w:r>
      <w:r w:rsidR="00C14A65" w:rsidRPr="00C14A65">
        <w:rPr>
          <w:rFonts w:cs="Arial"/>
        </w:rPr>
        <w:t xml:space="preserve"> </w:t>
      </w:r>
      <w:r w:rsidR="00C14A65">
        <w:rPr>
          <w:rFonts w:cs="Arial"/>
        </w:rPr>
        <w:t>for both short</w:t>
      </w:r>
      <w:r w:rsidR="00AB4298">
        <w:rPr>
          <w:rFonts w:cs="Arial"/>
        </w:rPr>
        <w:t>-</w:t>
      </w:r>
      <w:r w:rsidR="00C14A65">
        <w:rPr>
          <w:rFonts w:cs="Arial"/>
        </w:rPr>
        <w:t xml:space="preserve"> and long</w:t>
      </w:r>
      <w:r w:rsidR="00AB4298">
        <w:rPr>
          <w:rFonts w:cs="Arial"/>
        </w:rPr>
        <w:t>-</w:t>
      </w:r>
      <w:r w:rsidR="00C14A65">
        <w:rPr>
          <w:rFonts w:cs="Arial"/>
        </w:rPr>
        <w:t>term pipeline capacity</w:t>
      </w:r>
      <w:r w:rsidRPr="003921A1">
        <w:rPr>
          <w:rFonts w:cs="Arial"/>
        </w:rPr>
        <w:t>.</w:t>
      </w:r>
    </w:p>
    <w:p w14:paraId="7B0C9E3D" w14:textId="77777777" w:rsidR="00A95D9B" w:rsidRDefault="00A95D9B" w:rsidP="003921A1">
      <w:pPr>
        <w:pStyle w:val="IRPsanstext"/>
        <w:rPr>
          <w:rFonts w:cs="Arial"/>
        </w:rPr>
      </w:pPr>
    </w:p>
    <w:p w14:paraId="2E1F912F" w14:textId="77777777" w:rsidR="00A95D9B" w:rsidRPr="003921A1" w:rsidRDefault="00A95D9B" w:rsidP="003921A1">
      <w:pPr>
        <w:pStyle w:val="IRPsanstext"/>
        <w:rPr>
          <w:rFonts w:cs="Arial"/>
        </w:rPr>
      </w:pPr>
      <w:r w:rsidRPr="00304B8B">
        <w:rPr>
          <w:rFonts w:cs="Arial"/>
          <w:b/>
          <w:color w:val="156570"/>
          <w:sz w:val="28"/>
          <w:szCs w:val="28"/>
        </w:rPr>
        <w:t>Gas Planning Analytics.</w:t>
      </w:r>
      <w:r w:rsidRPr="003921A1">
        <w:rPr>
          <w:rFonts w:cs="Arial"/>
        </w:rPr>
        <w:t xml:space="preserve"> Complete analysis of whether the gas planning standard should include additional aspects, such as sustained peaking or cold snap metrics. </w:t>
      </w:r>
    </w:p>
    <w:p w14:paraId="0C1177D7" w14:textId="77777777" w:rsidR="00A95D9B" w:rsidRPr="003921A1" w:rsidRDefault="00A95D9B" w:rsidP="003921A1">
      <w:pPr>
        <w:pStyle w:val="IRPsanstext"/>
        <w:rPr>
          <w:rFonts w:cs="Arial"/>
        </w:rPr>
      </w:pPr>
    </w:p>
    <w:p w14:paraId="152F3CB0" w14:textId="77777777" w:rsidR="00A95D9B" w:rsidRPr="003921A1" w:rsidRDefault="00A95D9B" w:rsidP="00304B8B">
      <w:pPr>
        <w:pStyle w:val="IRPsanstext"/>
        <w:ind w:left="720"/>
        <w:rPr>
          <w:rFonts w:cs="Arial"/>
          <w:b/>
        </w:rPr>
      </w:pPr>
      <w:r w:rsidRPr="003921A1">
        <w:rPr>
          <w:rFonts w:cs="Arial"/>
          <w:b/>
        </w:rPr>
        <w:t>PROGRESS</w:t>
      </w:r>
    </w:p>
    <w:p w14:paraId="5037EDA6" w14:textId="77777777" w:rsidR="00A95D9B" w:rsidRPr="003921A1" w:rsidRDefault="00A95D9B" w:rsidP="00304B8B">
      <w:pPr>
        <w:pStyle w:val="IRPsanstext"/>
        <w:ind w:left="720"/>
        <w:rPr>
          <w:rFonts w:cs="Arial"/>
        </w:rPr>
      </w:pPr>
      <w:r w:rsidRPr="003921A1">
        <w:rPr>
          <w:rFonts w:cs="Arial"/>
        </w:rPr>
        <w:t xml:space="preserve">PSE used the peak day design temperature standard in this IRP – as it has in past </w:t>
      </w:r>
      <w:r w:rsidR="005C1A06">
        <w:rPr>
          <w:rFonts w:cs="Arial"/>
        </w:rPr>
        <w:t>IRPs. </w:t>
      </w:r>
      <w:r w:rsidRPr="003921A1">
        <w:rPr>
          <w:rFonts w:cs="Arial"/>
        </w:rPr>
        <w:t>Also, included in this IRP is the impact on available pipeline transportation capacity under various extreme weather conditions.  PSE continues to study the costs and benefits of using a sustained peaking metric and its impact on available gas suppl</w:t>
      </w:r>
      <w:r w:rsidR="005C1A06">
        <w:rPr>
          <w:rFonts w:cs="Arial"/>
        </w:rPr>
        <w:t>y-</w:t>
      </w:r>
      <w:r w:rsidRPr="003921A1">
        <w:rPr>
          <w:rFonts w:cs="Arial"/>
        </w:rPr>
        <w:t>side resources including storage to serve gas sales customers.</w:t>
      </w:r>
    </w:p>
    <w:p w14:paraId="0CA4DE9C" w14:textId="77777777" w:rsidR="00DD77F9" w:rsidRDefault="00DD77F9" w:rsidP="00DD77F9">
      <w:pPr>
        <w:pStyle w:val="IRPsanstext"/>
      </w:pPr>
    </w:p>
    <w:p w14:paraId="2BFCD054" w14:textId="77777777" w:rsidR="00A95D9B" w:rsidRPr="00DD77F9" w:rsidRDefault="00A95D9B" w:rsidP="00DD77F9">
      <w:pPr>
        <w:pStyle w:val="IRPsanstext"/>
      </w:pPr>
      <w:r w:rsidRPr="00DD77F9">
        <w:rPr>
          <w:b/>
          <w:color w:val="156570"/>
          <w:sz w:val="28"/>
          <w:szCs w:val="28"/>
        </w:rPr>
        <w:t>Improve IRP Process.</w:t>
      </w:r>
      <w:r w:rsidRPr="003921A1">
        <w:t xml:space="preserve"> Develop a robust work plan for the 2015 IRP to clarify the roles and expectations of the public participation process and to provide greater transparency regarding PSE’s analytical processes.</w:t>
      </w:r>
    </w:p>
    <w:p w14:paraId="1CD0EF33" w14:textId="77777777" w:rsidR="00A95D9B" w:rsidRPr="003921A1" w:rsidRDefault="00A95D9B" w:rsidP="00DD77F9">
      <w:pPr>
        <w:pStyle w:val="IRPsanstext"/>
      </w:pPr>
    </w:p>
    <w:p w14:paraId="16753259" w14:textId="77777777" w:rsidR="00A95D9B" w:rsidRPr="003921A1" w:rsidRDefault="00A95D9B" w:rsidP="003921A1">
      <w:pPr>
        <w:pStyle w:val="IRPsanstext"/>
        <w:ind w:left="720"/>
        <w:rPr>
          <w:rFonts w:cs="Arial"/>
          <w:b/>
        </w:rPr>
      </w:pPr>
      <w:r w:rsidRPr="003921A1">
        <w:rPr>
          <w:rFonts w:cs="Arial"/>
          <w:b/>
        </w:rPr>
        <w:t>PROGRESS</w:t>
      </w:r>
    </w:p>
    <w:p w14:paraId="29194A5D" w14:textId="77777777" w:rsidR="00A95D9B" w:rsidRPr="003921A1" w:rsidRDefault="00A95D9B" w:rsidP="003921A1">
      <w:pPr>
        <w:pStyle w:val="IRPsanstext"/>
        <w:ind w:left="720"/>
        <w:rPr>
          <w:rFonts w:cs="Arial"/>
        </w:rPr>
      </w:pPr>
      <w:r w:rsidRPr="003921A1">
        <w:rPr>
          <w:rFonts w:cs="Arial"/>
        </w:rPr>
        <w:t xml:space="preserve">On May 29, 2014, PSE filed a Work Plan for the 2015 Integrated Resource Plan which included a timeline, a summary for assessing resources and an outline of the 2015 IRP content.  Throughout the 2015 IRP process, PSE posted meeting notes, handouts and presentations from the IRP Advisory Group meetings on its website.  Please refer to PSE’s website for a copy of its </w:t>
      </w:r>
      <w:r w:rsidR="00A41D13" w:rsidRPr="00A41D13">
        <w:rPr>
          <w:rFonts w:cs="Arial"/>
        </w:rPr>
        <w:t>2015 IRP Work Plan</w:t>
      </w:r>
      <w:r w:rsidRPr="00F3525D">
        <w:rPr>
          <w:rFonts w:cs="Arial"/>
        </w:rPr>
        <w:t xml:space="preserve"> and</w:t>
      </w:r>
      <w:r w:rsidRPr="003921A1">
        <w:rPr>
          <w:rFonts w:cs="Arial"/>
        </w:rPr>
        <w:t xml:space="preserve"> IRPAG information:</w:t>
      </w:r>
    </w:p>
    <w:p w14:paraId="4A4696F2" w14:textId="77777777" w:rsidR="00A95D9B" w:rsidRPr="00623D77" w:rsidRDefault="00A95D9B" w:rsidP="003921A1">
      <w:pPr>
        <w:pStyle w:val="IRPsanstext"/>
        <w:ind w:left="720"/>
        <w:rPr>
          <w:color w:val="000000" w:themeColor="text1"/>
          <w:w w:val="105"/>
          <w:u w:color="31849B"/>
        </w:rPr>
      </w:pPr>
      <w:r w:rsidRPr="00623D77">
        <w:rPr>
          <w:color w:val="000000" w:themeColor="text1"/>
          <w:w w:val="105"/>
          <w:u w:color="31849B"/>
        </w:rPr>
        <w:t xml:space="preserve">http://pse.com/aboutpse/EnergySupply/Pages/Resource-Planning.aspx. </w:t>
      </w:r>
    </w:p>
    <w:p w14:paraId="11198E7E" w14:textId="77777777" w:rsidR="00A95D9B" w:rsidRPr="003921A1" w:rsidRDefault="00A95D9B" w:rsidP="003921A1">
      <w:pPr>
        <w:pStyle w:val="IRPsanstext"/>
      </w:pPr>
    </w:p>
    <w:p w14:paraId="1C7C43AE" w14:textId="77777777" w:rsidR="00787534" w:rsidRDefault="00A95D9B" w:rsidP="00304B8B">
      <w:pPr>
        <w:pStyle w:val="IRPsecthead2sans"/>
      </w:pPr>
      <w:r>
        <w:br w:type="page"/>
      </w:r>
    </w:p>
    <w:p w14:paraId="663D1DC2" w14:textId="77777777" w:rsidR="00A95D9B" w:rsidRPr="009D7356" w:rsidRDefault="00304B8B" w:rsidP="00304B8B">
      <w:pPr>
        <w:pStyle w:val="IRPsecthead2sans"/>
        <w:rPr>
          <w:rFonts w:ascii="Arial Black" w:hAnsi="Arial Black"/>
        </w:rPr>
      </w:pPr>
      <w:r>
        <w:lastRenderedPageBreak/>
        <w:t>OTHER REPORTS</w:t>
      </w:r>
    </w:p>
    <w:p w14:paraId="51AB9A7B" w14:textId="77777777" w:rsidR="00A95D9B" w:rsidRDefault="00A95D9B" w:rsidP="00A95D9B">
      <w:pPr>
        <w:pStyle w:val="IRPsanstext"/>
      </w:pPr>
    </w:p>
    <w:p w14:paraId="3F5235F4" w14:textId="77777777" w:rsidR="00623D77" w:rsidRDefault="00A95D9B" w:rsidP="00304B8B">
      <w:pPr>
        <w:pStyle w:val="IRPsecthead1serif"/>
      </w:pPr>
      <w:r>
        <w:t>Electric Demand-side Resource A</w:t>
      </w:r>
      <w:r w:rsidRPr="009D7356">
        <w:t xml:space="preserve">ssessment: </w:t>
      </w:r>
    </w:p>
    <w:p w14:paraId="4FECA03D" w14:textId="77777777" w:rsidR="00A95D9B" w:rsidRPr="009D7356" w:rsidRDefault="00A95D9B" w:rsidP="00304B8B">
      <w:pPr>
        <w:pStyle w:val="IRPsecthead1serif"/>
      </w:pPr>
      <w:r w:rsidRPr="009D7356">
        <w:t xml:space="preserve">Consistency with Northwest Power </w:t>
      </w:r>
      <w:r w:rsidR="00F3525D">
        <w:t>and Conservation</w:t>
      </w:r>
      <w:r w:rsidRPr="009D7356">
        <w:t xml:space="preserve"> Council Methodology</w:t>
      </w:r>
    </w:p>
    <w:p w14:paraId="43CC32C1" w14:textId="77777777" w:rsidR="00A95D9B" w:rsidRDefault="00A95D9B" w:rsidP="00A95D9B">
      <w:pPr>
        <w:pStyle w:val="IRPsanstext"/>
        <w:rPr>
          <w:rFonts w:eastAsia="Times New Roman"/>
          <w:bCs/>
          <w:szCs w:val="24"/>
          <w:lang w:eastAsia="en-US"/>
        </w:rPr>
      </w:pPr>
    </w:p>
    <w:p w14:paraId="0BC3F3DA" w14:textId="77777777" w:rsidR="00A95D9B" w:rsidRDefault="00A95D9B" w:rsidP="00304B8B">
      <w:pPr>
        <w:pStyle w:val="IRPsanstext"/>
      </w:pPr>
      <w:r>
        <w:t xml:space="preserve">There are no legal requirements for the IRP to address the Northwest Power </w:t>
      </w:r>
      <w:r w:rsidR="00DC2EB4">
        <w:t>and</w:t>
      </w:r>
      <w:r w:rsidR="00F3525D">
        <w:t xml:space="preserve"> Conservation </w:t>
      </w:r>
      <w:r w:rsidR="005C1A06">
        <w:t>Council</w:t>
      </w:r>
      <w:r>
        <w:t xml:space="preserve"> (Council) methodology for assessing demand-side resources. Such comparison, however, may be useful for PSE and stakeholders in implementing sections of WAC 480-109. PSE has worked closely with Council staff on several aspects of our analytical process, including approaches to modeling demand-side resources. We're most grateful for the dialogue, and very much appreciate the opportunity to work with Council staff. WAC 480-109 does not define “methodology.” PSE developed the detailed checklist below to demonstrate that our IRP process is consistent with the Council’s methodology.</w:t>
      </w:r>
      <w:r>
        <w:rPr>
          <w:rStyle w:val="FootnoteReference"/>
          <w:b/>
          <w:bCs/>
          <w:i/>
        </w:rPr>
        <w:footnoteReference w:id="1"/>
      </w:r>
      <w:r>
        <w:t xml:space="preserve"> </w:t>
      </w:r>
      <w:r w:rsidRPr="000F011C">
        <w:t xml:space="preserve">This checklist was </w:t>
      </w:r>
      <w:r>
        <w:t>presented and discussed during the March 18, 2014</w:t>
      </w:r>
      <w:r w:rsidRPr="000F011C">
        <w:t xml:space="preserve"> IRP Advisory Group meeting. </w:t>
      </w:r>
      <w:r w:rsidRPr="00DF2F97">
        <w:t xml:space="preserve">Additional information on consistency with Council methodology can be found in </w:t>
      </w:r>
      <w:r>
        <w:t>the Cadmus report</w:t>
      </w:r>
      <w:r w:rsidRPr="00DF2F97">
        <w:t xml:space="preserve"> attached as Appendix </w:t>
      </w:r>
      <w:r w:rsidR="006A5853">
        <w:t>J</w:t>
      </w:r>
      <w:r>
        <w:t>, Demand-side Resources</w:t>
      </w:r>
      <w:r w:rsidRPr="00DF2F97">
        <w:t>.</w:t>
      </w:r>
    </w:p>
    <w:p w14:paraId="776EAE96" w14:textId="77777777" w:rsidR="00A95D9B" w:rsidRDefault="00A95D9B" w:rsidP="00A95D9B">
      <w:pPr>
        <w:pStyle w:val="IRPFigureSub"/>
      </w:pPr>
    </w:p>
    <w:p w14:paraId="6C2C99C4" w14:textId="77777777" w:rsidR="00A95D9B" w:rsidRPr="00304B8B" w:rsidRDefault="00A95D9B" w:rsidP="00304B8B">
      <w:pPr>
        <w:pStyle w:val="IRPFigureSub"/>
        <w:rPr>
          <w:bCs/>
        </w:rPr>
      </w:pPr>
      <w:r>
        <w:t xml:space="preserve">Figure B-3: </w:t>
      </w:r>
      <w:r>
        <w:rPr>
          <w:bCs/>
        </w:rPr>
        <w:t>Comparison of</w:t>
      </w:r>
      <w:r w:rsidRPr="00FB3BAC">
        <w:rPr>
          <w:bCs/>
        </w:rPr>
        <w:t xml:space="preserve"> </w:t>
      </w:r>
      <w:r>
        <w:rPr>
          <w:bCs/>
        </w:rPr>
        <w:t xml:space="preserve">Demand-side Resource Assessment Methodologies, </w:t>
      </w:r>
      <w:r w:rsidR="00304B8B">
        <w:rPr>
          <w:bCs/>
        </w:rPr>
        <w:br/>
      </w:r>
      <w:r>
        <w:rPr>
          <w:bCs/>
        </w:rPr>
        <w:t xml:space="preserve">PSE and the </w:t>
      </w:r>
      <w:r w:rsidRPr="00FB3BAC">
        <w:rPr>
          <w:bCs/>
        </w:rPr>
        <w:t>N</w:t>
      </w:r>
      <w:r>
        <w:rPr>
          <w:bCs/>
        </w:rPr>
        <w:t>orthwest</w:t>
      </w:r>
      <w:r w:rsidRPr="00FB3BAC">
        <w:rPr>
          <w:bCs/>
        </w:rPr>
        <w:t xml:space="preserve"> Power and Conservation Council</w:t>
      </w:r>
      <w:r>
        <w:rPr>
          <w:bCs/>
        </w:rPr>
        <w:t xml:space="preserve"> </w:t>
      </w:r>
      <w:r w:rsidRPr="00FB3BAC">
        <w:t xml:space="preserve"> </w:t>
      </w:r>
    </w:p>
    <w:p w14:paraId="0613D5FD" w14:textId="77777777" w:rsidR="00A95D9B" w:rsidRDefault="00A95D9B" w:rsidP="00A95D9B">
      <w:pPr>
        <w:pStyle w:val="IRPFigureSub"/>
      </w:pPr>
      <w:r>
        <w:rPr>
          <w:noProof/>
          <w:lang w:eastAsia="en-US"/>
        </w:rPr>
        <w:drawing>
          <wp:anchor distT="0" distB="0" distL="114300" distR="114300" simplePos="0" relativeHeight="251663360" behindDoc="0" locked="0" layoutInCell="1" allowOverlap="1" wp14:anchorId="381F91C0" wp14:editId="2E273C1B">
            <wp:simplePos x="0" y="0"/>
            <wp:positionH relativeFrom="column">
              <wp:posOffset>51435</wp:posOffset>
            </wp:positionH>
            <wp:positionV relativeFrom="paragraph">
              <wp:posOffset>78740</wp:posOffset>
            </wp:positionV>
            <wp:extent cx="5029200" cy="3009900"/>
            <wp:effectExtent l="0" t="0" r="0" b="12700"/>
            <wp:wrapNone/>
            <wp:docPr id="1" name="Picture 1" descr="Macintosh HD:Users:annrhodes:Desktop:appB_fig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nnrhodes:Desktop:appB_figure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3009900"/>
                    </a:xfrm>
                    <a:prstGeom prst="rect">
                      <a:avLst/>
                    </a:prstGeom>
                    <a:noFill/>
                    <a:ln>
                      <a:noFill/>
                    </a:ln>
                  </pic:spPr>
                </pic:pic>
              </a:graphicData>
            </a:graphic>
          </wp:anchor>
        </w:drawing>
      </w:r>
    </w:p>
    <w:p w14:paraId="42050009" w14:textId="77777777" w:rsidR="00A95D9B" w:rsidRDefault="00A95D9B" w:rsidP="00A95D9B">
      <w:pPr>
        <w:pStyle w:val="IRPFigureSub"/>
      </w:pPr>
    </w:p>
    <w:p w14:paraId="54DF2ACA" w14:textId="77777777" w:rsidR="00A95D9B" w:rsidRDefault="00A95D9B" w:rsidP="00A95D9B">
      <w:pPr>
        <w:pStyle w:val="IRPFigureSub"/>
      </w:pPr>
    </w:p>
    <w:p w14:paraId="10797934" w14:textId="77777777" w:rsidR="00A95D9B" w:rsidRDefault="00A95D9B" w:rsidP="00A95D9B">
      <w:pPr>
        <w:pStyle w:val="IRPFigureSub"/>
      </w:pPr>
    </w:p>
    <w:p w14:paraId="1F2B6FFF" w14:textId="77777777" w:rsidR="00A95D9B" w:rsidRDefault="00A95D9B" w:rsidP="00A95D9B">
      <w:pPr>
        <w:pStyle w:val="IRPFigureSub"/>
      </w:pPr>
    </w:p>
    <w:p w14:paraId="607454A3" w14:textId="77777777" w:rsidR="00A95D9B" w:rsidRDefault="00A95D9B" w:rsidP="00A95D9B">
      <w:pPr>
        <w:pStyle w:val="IRPFigureSub"/>
      </w:pPr>
    </w:p>
    <w:p w14:paraId="69DFEA99" w14:textId="77777777" w:rsidR="00A95D9B" w:rsidRDefault="00A95D9B" w:rsidP="00A95D9B">
      <w:pPr>
        <w:pStyle w:val="IRPFigureSub"/>
      </w:pPr>
    </w:p>
    <w:p w14:paraId="4E37D350" w14:textId="77777777" w:rsidR="00A95D9B" w:rsidRDefault="00A95D9B" w:rsidP="00A95D9B">
      <w:pPr>
        <w:pStyle w:val="IRPFigureSub"/>
      </w:pPr>
    </w:p>
    <w:p w14:paraId="4EB274D6" w14:textId="77777777" w:rsidR="00A95D9B" w:rsidRDefault="00A95D9B" w:rsidP="00A95D9B">
      <w:pPr>
        <w:pStyle w:val="IRPFigureSub"/>
      </w:pPr>
    </w:p>
    <w:p w14:paraId="2F39083D" w14:textId="77777777" w:rsidR="00A95D9B" w:rsidRDefault="00A95D9B" w:rsidP="00A95D9B">
      <w:pPr>
        <w:pStyle w:val="IRPFigureSub"/>
      </w:pPr>
    </w:p>
    <w:p w14:paraId="39FDE57A" w14:textId="77777777" w:rsidR="005C1A06" w:rsidRDefault="00A95D9B" w:rsidP="00304B8B">
      <w:pPr>
        <w:pStyle w:val="IRPsecthead1serif"/>
      </w:pPr>
      <w:r>
        <w:br w:type="page"/>
      </w:r>
      <w:r w:rsidRPr="009D7356">
        <w:lastRenderedPageBreak/>
        <w:t xml:space="preserve">Department of Commerce </w:t>
      </w:r>
    </w:p>
    <w:p w14:paraId="5C594093" w14:textId="77777777" w:rsidR="00A95D9B" w:rsidRPr="009D7356" w:rsidRDefault="00A95D9B" w:rsidP="00304B8B">
      <w:pPr>
        <w:pStyle w:val="IRPsecthead1serif"/>
      </w:pPr>
      <w:r w:rsidRPr="009D7356">
        <w:t>Integrated Resource Plan Cover Sheet</w:t>
      </w:r>
    </w:p>
    <w:p w14:paraId="670F3DA3" w14:textId="77777777" w:rsidR="00304B8B" w:rsidRDefault="00304B8B" w:rsidP="00A95D9B">
      <w:pPr>
        <w:pStyle w:val="IRPtitle"/>
        <w:ind w:left="0" w:firstLine="0"/>
        <w:rPr>
          <w:rFonts w:ascii="Arial" w:hAnsi="Arial"/>
          <w:sz w:val="20"/>
          <w:highlight w:val="yellow"/>
        </w:rPr>
      </w:pPr>
    </w:p>
    <w:p w14:paraId="4EBC882E" w14:textId="77777777" w:rsidR="00F409CA" w:rsidRDefault="00A95D9B">
      <w:pPr>
        <w:pStyle w:val="IRPsanstext"/>
      </w:pPr>
      <w:r>
        <w:rPr>
          <w:rFonts w:cs="Arial"/>
          <w:szCs w:val="22"/>
        </w:rPr>
        <w:t>The WUTC is required to provide summary information about the IRPs of investor-owned utilities to the Department of Commerce. Information for the cover sheet is included in Figure B-4, below.</w:t>
      </w:r>
    </w:p>
    <w:p w14:paraId="31C1311E" w14:textId="77777777" w:rsidR="00F60ABF" w:rsidRDefault="00F60ABF" w:rsidP="00A95D9B">
      <w:pPr>
        <w:pStyle w:val="IRPFigureSub"/>
      </w:pPr>
    </w:p>
    <w:p w14:paraId="5B860EA8" w14:textId="77777777" w:rsidR="00A95D9B" w:rsidRDefault="00A95D9B" w:rsidP="00A95D9B">
      <w:pPr>
        <w:pStyle w:val="IRPFigureSub"/>
      </w:pPr>
      <w:r>
        <w:t>Figure B-4: Load-resource Balance Summary</w:t>
      </w:r>
    </w:p>
    <w:p w14:paraId="40ED3D2A" w14:textId="77777777" w:rsidR="00A95D9B" w:rsidRDefault="00A95D9B" w:rsidP="00A95D9B">
      <w:pPr>
        <w:tabs>
          <w:tab w:val="left" w:pos="2160"/>
        </w:tabs>
        <w:rPr>
          <w:rStyle w:val="IRPsanstextChar"/>
          <w:i/>
          <w:szCs w:val="22"/>
        </w:rPr>
      </w:pPr>
    </w:p>
    <w:p w14:paraId="685050F1" w14:textId="77777777" w:rsidR="00A95D9B" w:rsidRPr="006307EF" w:rsidRDefault="00A95D9B" w:rsidP="00441C35">
      <w:pPr>
        <w:tabs>
          <w:tab w:val="left" w:pos="2160"/>
        </w:tabs>
        <w:jc w:val="center"/>
        <w:rPr>
          <w:rStyle w:val="IRPsanstextChar"/>
        </w:rPr>
      </w:pPr>
      <w:r>
        <w:rPr>
          <w:rStyle w:val="IRPsanstextChar"/>
        </w:rPr>
        <w:t>Resource Plan Year:</w:t>
      </w:r>
      <w:r>
        <w:rPr>
          <w:rStyle w:val="IRPsanstextChar"/>
        </w:rPr>
        <w:tab/>
        <w:t xml:space="preserve">           201</w:t>
      </w:r>
      <w:r w:rsidR="006C7A61">
        <w:rPr>
          <w:rStyle w:val="IRPsanstextChar"/>
        </w:rPr>
        <w:t>6</w:t>
      </w:r>
    </w:p>
    <w:p w14:paraId="6C3E21D6" w14:textId="77777777" w:rsidR="00A95D9B" w:rsidRPr="006307EF" w:rsidRDefault="00A95D9B" w:rsidP="00441C35">
      <w:pPr>
        <w:tabs>
          <w:tab w:val="left" w:pos="2160"/>
        </w:tabs>
        <w:jc w:val="center"/>
        <w:rPr>
          <w:rStyle w:val="IRPsanstextChar"/>
        </w:rPr>
      </w:pPr>
      <w:r>
        <w:rPr>
          <w:rStyle w:val="IRPsanstextChar"/>
        </w:rPr>
        <w:t>Base Year Start:</w:t>
      </w:r>
      <w:r>
        <w:rPr>
          <w:rStyle w:val="IRPsanstextChar"/>
        </w:rPr>
        <w:tab/>
        <w:t xml:space="preserve"> 01/01/201</w:t>
      </w:r>
      <w:r w:rsidR="006C7A61">
        <w:rPr>
          <w:rStyle w:val="IRPsanstextChar"/>
        </w:rPr>
        <w:t>6</w:t>
      </w:r>
    </w:p>
    <w:p w14:paraId="26A50B5A" w14:textId="77777777" w:rsidR="00A95D9B" w:rsidRPr="006307EF" w:rsidRDefault="00A95D9B" w:rsidP="00441C35">
      <w:pPr>
        <w:tabs>
          <w:tab w:val="left" w:pos="2160"/>
        </w:tabs>
        <w:jc w:val="center"/>
        <w:rPr>
          <w:rStyle w:val="IRPsanstextChar"/>
        </w:rPr>
      </w:pPr>
      <w:r>
        <w:rPr>
          <w:rStyle w:val="IRPsanstextChar"/>
        </w:rPr>
        <w:t>Base Year End:</w:t>
      </w:r>
      <w:r>
        <w:rPr>
          <w:rStyle w:val="IRPsanstextChar"/>
        </w:rPr>
        <w:tab/>
        <w:t xml:space="preserve"> 12/31/201</w:t>
      </w:r>
      <w:r w:rsidR="006C7A61">
        <w:rPr>
          <w:rStyle w:val="IRPsanstextChar"/>
        </w:rPr>
        <w:t>6</w:t>
      </w:r>
    </w:p>
    <w:p w14:paraId="24B131DF" w14:textId="77777777" w:rsidR="00A95D9B" w:rsidRPr="006307EF" w:rsidRDefault="00A95D9B" w:rsidP="00441C35">
      <w:pPr>
        <w:tabs>
          <w:tab w:val="left" w:pos="2160"/>
        </w:tabs>
        <w:jc w:val="center"/>
        <w:rPr>
          <w:rStyle w:val="IRPsanstextChar"/>
        </w:rPr>
      </w:pPr>
      <w:r>
        <w:rPr>
          <w:rStyle w:val="IRPsanstextChar"/>
        </w:rPr>
        <w:t>Five-year Report Year:</w:t>
      </w:r>
      <w:r>
        <w:rPr>
          <w:rStyle w:val="IRPsanstextChar"/>
        </w:rPr>
        <w:tab/>
        <w:t xml:space="preserve">           20</w:t>
      </w:r>
      <w:r w:rsidR="006C7A61">
        <w:rPr>
          <w:rStyle w:val="IRPsanstextChar"/>
        </w:rPr>
        <w:t>21</w:t>
      </w:r>
    </w:p>
    <w:p w14:paraId="3CD2F800" w14:textId="77777777" w:rsidR="00A95D9B" w:rsidRDefault="00A95D9B" w:rsidP="00441C35">
      <w:pPr>
        <w:tabs>
          <w:tab w:val="left" w:pos="2160"/>
        </w:tabs>
        <w:jc w:val="center"/>
        <w:rPr>
          <w:rStyle w:val="IRPsanstextChar"/>
        </w:rPr>
      </w:pPr>
      <w:r>
        <w:rPr>
          <w:rStyle w:val="IRPsanstextChar"/>
        </w:rPr>
        <w:t>Ten-y</w:t>
      </w:r>
      <w:r w:rsidRPr="006307EF">
        <w:rPr>
          <w:rStyle w:val="IRPsanstextChar"/>
        </w:rPr>
        <w:t>ear Report Year:</w:t>
      </w:r>
      <w:r>
        <w:rPr>
          <w:rStyle w:val="IRPsanstextChar"/>
        </w:rPr>
        <w:tab/>
        <w:t xml:space="preserve">           202</w:t>
      </w:r>
      <w:r w:rsidR="006C7A61">
        <w:rPr>
          <w:rStyle w:val="IRPsanstextChar"/>
        </w:rPr>
        <w:t>6</w:t>
      </w:r>
      <w:bookmarkStart w:id="0" w:name="_GoBack"/>
      <w:bookmarkEnd w:id="0"/>
    </w:p>
    <w:p w14:paraId="0480F67D" w14:textId="77777777" w:rsidR="00A95D9B" w:rsidRDefault="00A95D9B" w:rsidP="00A95D9B">
      <w:pPr>
        <w:tabs>
          <w:tab w:val="left" w:pos="2160"/>
        </w:tabs>
        <w:jc w:val="center"/>
      </w:pPr>
    </w:p>
    <w:tbl>
      <w:tblPr>
        <w:tblpPr w:leftFromText="187" w:rightFromText="187" w:vertAnchor="text" w:horzAnchor="page" w:tblpX="1934" w:tblpY="-51"/>
        <w:tblW w:w="9108" w:type="dxa"/>
        <w:tblLayout w:type="fixed"/>
        <w:tblLook w:val="04A0" w:firstRow="1" w:lastRow="0" w:firstColumn="1" w:lastColumn="0" w:noHBand="0" w:noVBand="1"/>
      </w:tblPr>
      <w:tblGrid>
        <w:gridCol w:w="1998"/>
        <w:gridCol w:w="810"/>
        <w:gridCol w:w="900"/>
        <w:gridCol w:w="744"/>
        <w:gridCol w:w="786"/>
        <w:gridCol w:w="834"/>
        <w:gridCol w:w="745"/>
        <w:gridCol w:w="761"/>
        <w:gridCol w:w="810"/>
        <w:gridCol w:w="90"/>
        <w:gridCol w:w="630"/>
      </w:tblGrid>
      <w:tr w:rsidR="00304B8B" w:rsidRPr="00454890" w14:paraId="3A3BF13F" w14:textId="77777777">
        <w:trPr>
          <w:trHeight w:val="340"/>
        </w:trPr>
        <w:tc>
          <w:tcPr>
            <w:tcW w:w="1998" w:type="dxa"/>
            <w:tcBorders>
              <w:top w:val="single" w:sz="8" w:space="0" w:color="auto"/>
              <w:left w:val="single" w:sz="8" w:space="0" w:color="auto"/>
              <w:bottom w:val="nil"/>
              <w:right w:val="single" w:sz="8" w:space="0" w:color="auto"/>
            </w:tcBorders>
            <w:shd w:val="clear" w:color="000000" w:fill="006A71"/>
            <w:noWrap/>
            <w:vAlign w:val="bottom"/>
          </w:tcPr>
          <w:p w14:paraId="627CCEC2" w14:textId="77777777" w:rsidR="00A95D9B" w:rsidRPr="00454890" w:rsidRDefault="00A95D9B" w:rsidP="006C7A61">
            <w:pPr>
              <w:tabs>
                <w:tab w:val="left" w:pos="3060"/>
              </w:tabs>
              <w:rPr>
                <w:rFonts w:ascii="Arial Narrow" w:hAnsi="Arial Narrow" w:cs="Arial"/>
                <w:b/>
                <w:bCs/>
                <w:i/>
                <w:iCs/>
                <w:color w:val="FFFFFF"/>
                <w:sz w:val="18"/>
                <w:szCs w:val="18"/>
              </w:rPr>
            </w:pPr>
            <w:r w:rsidRPr="00454890">
              <w:rPr>
                <w:rFonts w:ascii="Arial Narrow" w:hAnsi="Arial Narrow" w:cs="Arial"/>
                <w:b/>
                <w:bCs/>
                <w:i/>
                <w:iCs/>
                <w:color w:val="FFFFFF"/>
                <w:sz w:val="18"/>
                <w:szCs w:val="18"/>
              </w:rPr>
              <w:t>Report Years</w:t>
            </w:r>
          </w:p>
        </w:tc>
        <w:tc>
          <w:tcPr>
            <w:tcW w:w="2454" w:type="dxa"/>
            <w:gridSpan w:val="3"/>
            <w:tcBorders>
              <w:top w:val="single" w:sz="8" w:space="0" w:color="auto"/>
              <w:left w:val="single" w:sz="8" w:space="0" w:color="auto"/>
              <w:bottom w:val="nil"/>
              <w:right w:val="single" w:sz="8" w:space="0" w:color="auto"/>
            </w:tcBorders>
            <w:shd w:val="clear" w:color="000000" w:fill="006A71"/>
            <w:noWrap/>
            <w:vAlign w:val="bottom"/>
          </w:tcPr>
          <w:p w14:paraId="6914CEE7" w14:textId="77777777" w:rsidR="00A95D9B" w:rsidRPr="00454890" w:rsidRDefault="00A95D9B" w:rsidP="006C7A61">
            <w:pPr>
              <w:tabs>
                <w:tab w:val="left" w:pos="3060"/>
              </w:tabs>
              <w:jc w:val="center"/>
              <w:rPr>
                <w:rFonts w:ascii="Arial Narrow" w:hAnsi="Arial Narrow"/>
                <w:b/>
                <w:bCs/>
                <w:i/>
                <w:iCs/>
                <w:color w:val="FFFFFF"/>
                <w:sz w:val="18"/>
                <w:szCs w:val="18"/>
              </w:rPr>
            </w:pPr>
            <w:r w:rsidRPr="00454890">
              <w:rPr>
                <w:rFonts w:ascii="Arial Narrow" w:hAnsi="Arial Narrow"/>
                <w:b/>
                <w:bCs/>
                <w:i/>
                <w:iCs/>
                <w:color w:val="FFFFFF"/>
                <w:sz w:val="18"/>
                <w:szCs w:val="18"/>
              </w:rPr>
              <w:t>Base Year</w:t>
            </w:r>
            <w:r w:rsidR="006C7A61">
              <w:rPr>
                <w:rFonts w:ascii="Arial Narrow" w:hAnsi="Arial Narrow"/>
                <w:b/>
                <w:bCs/>
                <w:i/>
                <w:iCs/>
                <w:color w:val="FFFFFF"/>
                <w:sz w:val="18"/>
                <w:szCs w:val="18"/>
              </w:rPr>
              <w:t xml:space="preserve"> = 2016</w:t>
            </w:r>
          </w:p>
        </w:tc>
        <w:tc>
          <w:tcPr>
            <w:tcW w:w="2365" w:type="dxa"/>
            <w:gridSpan w:val="3"/>
            <w:tcBorders>
              <w:top w:val="single" w:sz="8" w:space="0" w:color="auto"/>
              <w:left w:val="single" w:sz="8" w:space="0" w:color="auto"/>
              <w:bottom w:val="nil"/>
              <w:right w:val="single" w:sz="8" w:space="0" w:color="auto"/>
            </w:tcBorders>
            <w:shd w:val="clear" w:color="000000" w:fill="006A71"/>
            <w:noWrap/>
            <w:vAlign w:val="bottom"/>
          </w:tcPr>
          <w:p w14:paraId="5E52595F" w14:textId="77777777" w:rsidR="00A95D9B" w:rsidRPr="00454890" w:rsidRDefault="00A95D9B" w:rsidP="006C7A61">
            <w:pPr>
              <w:tabs>
                <w:tab w:val="left" w:pos="3060"/>
              </w:tabs>
              <w:jc w:val="center"/>
              <w:rPr>
                <w:rFonts w:ascii="Arial Narrow" w:hAnsi="Arial Narrow"/>
                <w:b/>
                <w:bCs/>
                <w:i/>
                <w:iCs/>
                <w:color w:val="FFFFFF"/>
                <w:sz w:val="18"/>
                <w:szCs w:val="18"/>
              </w:rPr>
            </w:pPr>
            <w:r w:rsidRPr="00454890">
              <w:rPr>
                <w:rFonts w:ascii="Arial Narrow" w:hAnsi="Arial Narrow"/>
                <w:b/>
                <w:bCs/>
                <w:i/>
                <w:iCs/>
                <w:color w:val="FFFFFF"/>
                <w:sz w:val="18"/>
                <w:szCs w:val="18"/>
              </w:rPr>
              <w:t>20</w:t>
            </w:r>
            <w:r w:rsidR="006C7A61">
              <w:rPr>
                <w:rFonts w:ascii="Arial Narrow" w:hAnsi="Arial Narrow"/>
                <w:b/>
                <w:bCs/>
                <w:i/>
                <w:iCs/>
                <w:color w:val="FFFFFF"/>
                <w:sz w:val="18"/>
                <w:szCs w:val="18"/>
              </w:rPr>
              <w:t>21</w:t>
            </w:r>
          </w:p>
        </w:tc>
        <w:tc>
          <w:tcPr>
            <w:tcW w:w="2291" w:type="dxa"/>
            <w:gridSpan w:val="4"/>
            <w:tcBorders>
              <w:top w:val="single" w:sz="8" w:space="0" w:color="auto"/>
              <w:left w:val="single" w:sz="8" w:space="0" w:color="auto"/>
              <w:bottom w:val="nil"/>
              <w:right w:val="single" w:sz="8" w:space="0" w:color="auto"/>
            </w:tcBorders>
            <w:shd w:val="clear" w:color="000000" w:fill="006A71"/>
            <w:noWrap/>
            <w:vAlign w:val="bottom"/>
          </w:tcPr>
          <w:p w14:paraId="183B691B" w14:textId="77777777" w:rsidR="00A95D9B" w:rsidRPr="00454890" w:rsidRDefault="00A95D9B" w:rsidP="006C7A61">
            <w:pPr>
              <w:tabs>
                <w:tab w:val="left" w:pos="3060"/>
              </w:tabs>
              <w:jc w:val="center"/>
              <w:rPr>
                <w:rFonts w:ascii="Arial Narrow" w:hAnsi="Arial Narrow"/>
                <w:b/>
                <w:bCs/>
                <w:i/>
                <w:iCs/>
                <w:color w:val="FFFFFF"/>
                <w:sz w:val="18"/>
                <w:szCs w:val="18"/>
              </w:rPr>
            </w:pPr>
            <w:r w:rsidRPr="00454890">
              <w:rPr>
                <w:rFonts w:ascii="Arial Narrow" w:hAnsi="Arial Narrow"/>
                <w:b/>
                <w:bCs/>
                <w:i/>
                <w:iCs/>
                <w:color w:val="FFFFFF"/>
                <w:sz w:val="18"/>
                <w:szCs w:val="18"/>
              </w:rPr>
              <w:t>202</w:t>
            </w:r>
            <w:r w:rsidR="006C7A61">
              <w:rPr>
                <w:rFonts w:ascii="Arial Narrow" w:hAnsi="Arial Narrow"/>
                <w:b/>
                <w:bCs/>
                <w:i/>
                <w:iCs/>
                <w:color w:val="FFFFFF"/>
                <w:sz w:val="18"/>
                <w:szCs w:val="18"/>
              </w:rPr>
              <w:t>6</w:t>
            </w:r>
          </w:p>
        </w:tc>
      </w:tr>
      <w:tr w:rsidR="00304B8B" w:rsidRPr="00787534" w14:paraId="339930FE" w14:textId="77777777">
        <w:trPr>
          <w:trHeight w:val="285"/>
        </w:trPr>
        <w:tc>
          <w:tcPr>
            <w:tcW w:w="1998" w:type="dxa"/>
            <w:tcBorders>
              <w:top w:val="nil"/>
              <w:left w:val="single" w:sz="8" w:space="0" w:color="auto"/>
              <w:bottom w:val="nil"/>
              <w:right w:val="single" w:sz="8" w:space="0" w:color="auto"/>
            </w:tcBorders>
            <w:shd w:val="clear" w:color="000000" w:fill="006A71"/>
            <w:noWrap/>
            <w:vAlign w:val="bottom"/>
          </w:tcPr>
          <w:p w14:paraId="28A2DFD2" w14:textId="77777777" w:rsidR="00A95D9B" w:rsidRPr="005C1A06" w:rsidRDefault="00A95D9B" w:rsidP="006C7A61">
            <w:pPr>
              <w:pStyle w:val="IRPsanstext"/>
              <w:ind w:right="-112"/>
              <w:rPr>
                <w:b/>
                <w:color w:val="FFFFFF" w:themeColor="background1"/>
                <w:sz w:val="16"/>
                <w:szCs w:val="16"/>
              </w:rPr>
            </w:pPr>
            <w:r w:rsidRPr="005C1A06">
              <w:rPr>
                <w:b/>
                <w:color w:val="FFFFFF" w:themeColor="background1"/>
                <w:sz w:val="16"/>
                <w:szCs w:val="16"/>
              </w:rPr>
              <w:t>Period</w:t>
            </w:r>
          </w:p>
        </w:tc>
        <w:tc>
          <w:tcPr>
            <w:tcW w:w="810" w:type="dxa"/>
            <w:tcBorders>
              <w:top w:val="nil"/>
              <w:left w:val="single" w:sz="8" w:space="0" w:color="auto"/>
              <w:bottom w:val="nil"/>
              <w:right w:val="nil"/>
            </w:tcBorders>
            <w:shd w:val="clear" w:color="000000" w:fill="006A71"/>
            <w:noWrap/>
            <w:vAlign w:val="bottom"/>
          </w:tcPr>
          <w:p w14:paraId="0B713E47" w14:textId="77777777" w:rsidR="00A95D9B" w:rsidRPr="005C1A06" w:rsidRDefault="00A95D9B" w:rsidP="006C7A61">
            <w:pPr>
              <w:pStyle w:val="IRPsanstext"/>
              <w:ind w:right="-112"/>
              <w:jc w:val="center"/>
              <w:rPr>
                <w:b/>
                <w:color w:val="FFFFFF" w:themeColor="background1"/>
                <w:sz w:val="16"/>
                <w:szCs w:val="16"/>
              </w:rPr>
            </w:pPr>
            <w:r w:rsidRPr="005C1A06">
              <w:rPr>
                <w:b/>
                <w:color w:val="FFFFFF" w:themeColor="background1"/>
                <w:sz w:val="16"/>
                <w:szCs w:val="16"/>
              </w:rPr>
              <w:t>Winter</w:t>
            </w:r>
          </w:p>
        </w:tc>
        <w:tc>
          <w:tcPr>
            <w:tcW w:w="900" w:type="dxa"/>
            <w:tcBorders>
              <w:top w:val="nil"/>
              <w:left w:val="nil"/>
              <w:bottom w:val="nil"/>
              <w:right w:val="nil"/>
            </w:tcBorders>
            <w:shd w:val="clear" w:color="000000" w:fill="006A71"/>
            <w:noWrap/>
            <w:vAlign w:val="bottom"/>
          </w:tcPr>
          <w:p w14:paraId="126EEC1C" w14:textId="77777777" w:rsidR="00A95D9B" w:rsidRPr="005C1A06" w:rsidRDefault="00A95D9B" w:rsidP="006C7A61">
            <w:pPr>
              <w:pStyle w:val="IRPsanstext"/>
              <w:ind w:right="-112"/>
              <w:jc w:val="center"/>
              <w:rPr>
                <w:b/>
                <w:color w:val="FFFFFF" w:themeColor="background1"/>
                <w:sz w:val="16"/>
                <w:szCs w:val="16"/>
              </w:rPr>
            </w:pPr>
            <w:r w:rsidRPr="005C1A06">
              <w:rPr>
                <w:b/>
                <w:color w:val="FFFFFF" w:themeColor="background1"/>
                <w:sz w:val="16"/>
                <w:szCs w:val="16"/>
              </w:rPr>
              <w:t>Summer</w:t>
            </w:r>
          </w:p>
        </w:tc>
        <w:tc>
          <w:tcPr>
            <w:tcW w:w="744" w:type="dxa"/>
            <w:tcBorders>
              <w:top w:val="nil"/>
              <w:left w:val="nil"/>
              <w:bottom w:val="nil"/>
              <w:right w:val="single" w:sz="8" w:space="0" w:color="auto"/>
            </w:tcBorders>
            <w:shd w:val="clear" w:color="000000" w:fill="006A71"/>
            <w:noWrap/>
            <w:vAlign w:val="bottom"/>
          </w:tcPr>
          <w:p w14:paraId="44649822" w14:textId="77777777" w:rsidR="00A95D9B" w:rsidRPr="005C1A06" w:rsidRDefault="00A95D9B" w:rsidP="006C7A61">
            <w:pPr>
              <w:pStyle w:val="IRPsanstext"/>
              <w:ind w:right="-112"/>
              <w:jc w:val="center"/>
              <w:rPr>
                <w:b/>
                <w:color w:val="FFFFFF" w:themeColor="background1"/>
                <w:sz w:val="16"/>
                <w:szCs w:val="16"/>
              </w:rPr>
            </w:pPr>
            <w:r w:rsidRPr="005C1A06">
              <w:rPr>
                <w:b/>
                <w:color w:val="FFFFFF" w:themeColor="background1"/>
                <w:sz w:val="16"/>
                <w:szCs w:val="16"/>
              </w:rPr>
              <w:t>Annual</w:t>
            </w:r>
          </w:p>
        </w:tc>
        <w:tc>
          <w:tcPr>
            <w:tcW w:w="786" w:type="dxa"/>
            <w:tcBorders>
              <w:top w:val="nil"/>
              <w:left w:val="single" w:sz="8" w:space="0" w:color="auto"/>
              <w:bottom w:val="nil"/>
              <w:right w:val="nil"/>
            </w:tcBorders>
            <w:shd w:val="clear" w:color="000000" w:fill="006A71"/>
            <w:noWrap/>
            <w:vAlign w:val="bottom"/>
          </w:tcPr>
          <w:p w14:paraId="622D1F66" w14:textId="77777777" w:rsidR="00A95D9B" w:rsidRPr="005C1A06" w:rsidRDefault="00A95D9B" w:rsidP="006C7A61">
            <w:pPr>
              <w:pStyle w:val="IRPsanstext"/>
              <w:ind w:right="-112"/>
              <w:jc w:val="center"/>
              <w:rPr>
                <w:b/>
                <w:color w:val="FFFFFF" w:themeColor="background1"/>
                <w:sz w:val="16"/>
                <w:szCs w:val="16"/>
              </w:rPr>
            </w:pPr>
            <w:r w:rsidRPr="005C1A06">
              <w:rPr>
                <w:b/>
                <w:color w:val="FFFFFF" w:themeColor="background1"/>
                <w:sz w:val="16"/>
                <w:szCs w:val="16"/>
              </w:rPr>
              <w:t>Winter</w:t>
            </w:r>
          </w:p>
        </w:tc>
        <w:tc>
          <w:tcPr>
            <w:tcW w:w="834" w:type="dxa"/>
            <w:tcBorders>
              <w:top w:val="nil"/>
              <w:left w:val="nil"/>
              <w:bottom w:val="nil"/>
              <w:right w:val="nil"/>
            </w:tcBorders>
            <w:shd w:val="clear" w:color="000000" w:fill="006A71"/>
            <w:noWrap/>
            <w:vAlign w:val="bottom"/>
          </w:tcPr>
          <w:p w14:paraId="781A7E18" w14:textId="77777777" w:rsidR="00A95D9B" w:rsidRPr="005C1A06" w:rsidRDefault="00A95D9B" w:rsidP="006C7A61">
            <w:pPr>
              <w:pStyle w:val="IRPsanstext"/>
              <w:ind w:right="-112"/>
              <w:jc w:val="center"/>
              <w:rPr>
                <w:b/>
                <w:color w:val="FFFFFF" w:themeColor="background1"/>
                <w:sz w:val="16"/>
                <w:szCs w:val="16"/>
              </w:rPr>
            </w:pPr>
            <w:r w:rsidRPr="005C1A06">
              <w:rPr>
                <w:b/>
                <w:color w:val="FFFFFF" w:themeColor="background1"/>
                <w:sz w:val="16"/>
                <w:szCs w:val="16"/>
              </w:rPr>
              <w:t>Summer</w:t>
            </w:r>
          </w:p>
        </w:tc>
        <w:tc>
          <w:tcPr>
            <w:tcW w:w="745" w:type="dxa"/>
            <w:tcBorders>
              <w:top w:val="nil"/>
              <w:left w:val="nil"/>
              <w:bottom w:val="nil"/>
              <w:right w:val="single" w:sz="8" w:space="0" w:color="auto"/>
            </w:tcBorders>
            <w:shd w:val="clear" w:color="000000" w:fill="006A71"/>
            <w:noWrap/>
            <w:vAlign w:val="bottom"/>
          </w:tcPr>
          <w:p w14:paraId="2B644A18" w14:textId="77777777" w:rsidR="00A95D9B" w:rsidRPr="005C1A06" w:rsidRDefault="00A95D9B" w:rsidP="006C7A61">
            <w:pPr>
              <w:pStyle w:val="IRPsanstext"/>
              <w:ind w:right="-112"/>
              <w:jc w:val="center"/>
              <w:rPr>
                <w:b/>
                <w:color w:val="FFFFFF" w:themeColor="background1"/>
                <w:sz w:val="16"/>
                <w:szCs w:val="16"/>
              </w:rPr>
            </w:pPr>
            <w:r w:rsidRPr="005C1A06">
              <w:rPr>
                <w:b/>
                <w:color w:val="FFFFFF" w:themeColor="background1"/>
                <w:sz w:val="16"/>
                <w:szCs w:val="16"/>
              </w:rPr>
              <w:t>Annual</w:t>
            </w:r>
          </w:p>
        </w:tc>
        <w:tc>
          <w:tcPr>
            <w:tcW w:w="761" w:type="dxa"/>
            <w:tcBorders>
              <w:top w:val="nil"/>
              <w:left w:val="single" w:sz="8" w:space="0" w:color="auto"/>
              <w:bottom w:val="nil"/>
              <w:right w:val="nil"/>
            </w:tcBorders>
            <w:shd w:val="clear" w:color="000000" w:fill="006A71"/>
            <w:noWrap/>
            <w:vAlign w:val="bottom"/>
          </w:tcPr>
          <w:p w14:paraId="417B396F" w14:textId="77777777" w:rsidR="00A95D9B" w:rsidRPr="005C1A06" w:rsidRDefault="00A95D9B" w:rsidP="006C7A61">
            <w:pPr>
              <w:pStyle w:val="IRPsanstext"/>
              <w:ind w:right="-112"/>
              <w:jc w:val="center"/>
              <w:rPr>
                <w:b/>
                <w:color w:val="FFFFFF" w:themeColor="background1"/>
                <w:sz w:val="16"/>
                <w:szCs w:val="16"/>
              </w:rPr>
            </w:pPr>
            <w:r w:rsidRPr="005C1A06">
              <w:rPr>
                <w:b/>
                <w:color w:val="FFFFFF" w:themeColor="background1"/>
                <w:sz w:val="16"/>
                <w:szCs w:val="16"/>
              </w:rPr>
              <w:t>Winter</w:t>
            </w:r>
          </w:p>
        </w:tc>
        <w:tc>
          <w:tcPr>
            <w:tcW w:w="810" w:type="dxa"/>
            <w:tcBorders>
              <w:top w:val="nil"/>
              <w:left w:val="nil"/>
              <w:bottom w:val="nil"/>
              <w:right w:val="nil"/>
            </w:tcBorders>
            <w:shd w:val="clear" w:color="000000" w:fill="006A71"/>
            <w:noWrap/>
            <w:vAlign w:val="bottom"/>
          </w:tcPr>
          <w:p w14:paraId="2F573270" w14:textId="77777777" w:rsidR="00A95D9B" w:rsidRPr="005C1A06" w:rsidRDefault="00A95D9B" w:rsidP="006C7A61">
            <w:pPr>
              <w:pStyle w:val="IRPsanstext"/>
              <w:ind w:right="-112"/>
              <w:jc w:val="center"/>
              <w:rPr>
                <w:b/>
                <w:color w:val="FFFFFF" w:themeColor="background1"/>
                <w:sz w:val="16"/>
                <w:szCs w:val="16"/>
              </w:rPr>
            </w:pPr>
            <w:r w:rsidRPr="005C1A06">
              <w:rPr>
                <w:b/>
                <w:color w:val="FFFFFF" w:themeColor="background1"/>
                <w:sz w:val="16"/>
                <w:szCs w:val="16"/>
              </w:rPr>
              <w:t>Summer</w:t>
            </w:r>
          </w:p>
        </w:tc>
        <w:tc>
          <w:tcPr>
            <w:tcW w:w="720" w:type="dxa"/>
            <w:gridSpan w:val="2"/>
            <w:tcBorders>
              <w:top w:val="nil"/>
              <w:left w:val="nil"/>
              <w:bottom w:val="nil"/>
              <w:right w:val="single" w:sz="8" w:space="0" w:color="auto"/>
            </w:tcBorders>
            <w:shd w:val="clear" w:color="000000" w:fill="006A71"/>
            <w:noWrap/>
            <w:vAlign w:val="bottom"/>
          </w:tcPr>
          <w:p w14:paraId="3F36C7BB" w14:textId="77777777" w:rsidR="00A95D9B" w:rsidRPr="005C1A06" w:rsidRDefault="00A95D9B" w:rsidP="006C7A61">
            <w:pPr>
              <w:pStyle w:val="IRPsanstext"/>
              <w:ind w:right="-112"/>
              <w:jc w:val="center"/>
              <w:rPr>
                <w:b/>
                <w:color w:val="FFFFFF" w:themeColor="background1"/>
                <w:sz w:val="16"/>
                <w:szCs w:val="16"/>
              </w:rPr>
            </w:pPr>
            <w:r w:rsidRPr="005C1A06">
              <w:rPr>
                <w:b/>
                <w:color w:val="FFFFFF" w:themeColor="background1"/>
                <w:sz w:val="16"/>
                <w:szCs w:val="16"/>
              </w:rPr>
              <w:t>Annual</w:t>
            </w:r>
          </w:p>
        </w:tc>
      </w:tr>
      <w:tr w:rsidR="00304B8B" w:rsidRPr="00787534" w14:paraId="529D45CC" w14:textId="77777777">
        <w:trPr>
          <w:trHeight w:val="191"/>
        </w:trPr>
        <w:tc>
          <w:tcPr>
            <w:tcW w:w="1998" w:type="dxa"/>
            <w:tcBorders>
              <w:top w:val="nil"/>
              <w:left w:val="single" w:sz="8" w:space="0" w:color="auto"/>
              <w:right w:val="single" w:sz="8" w:space="0" w:color="auto"/>
            </w:tcBorders>
            <w:shd w:val="clear" w:color="000000" w:fill="006A71"/>
            <w:noWrap/>
            <w:vAlign w:val="bottom"/>
          </w:tcPr>
          <w:p w14:paraId="16F954DF" w14:textId="77777777" w:rsidR="00A95D9B" w:rsidRPr="005C1A06" w:rsidRDefault="00A95D9B" w:rsidP="006C7A61">
            <w:pPr>
              <w:pStyle w:val="IRPsanstext"/>
              <w:ind w:right="-112"/>
              <w:rPr>
                <w:b/>
                <w:color w:val="FFFFFF" w:themeColor="background1"/>
                <w:sz w:val="16"/>
                <w:szCs w:val="16"/>
              </w:rPr>
            </w:pPr>
            <w:r w:rsidRPr="005C1A06">
              <w:rPr>
                <w:b/>
                <w:color w:val="FFFFFF" w:themeColor="background1"/>
                <w:sz w:val="16"/>
                <w:szCs w:val="16"/>
              </w:rPr>
              <w:t>Units</w:t>
            </w:r>
          </w:p>
        </w:tc>
        <w:tc>
          <w:tcPr>
            <w:tcW w:w="810" w:type="dxa"/>
            <w:tcBorders>
              <w:top w:val="nil"/>
              <w:left w:val="single" w:sz="8" w:space="0" w:color="auto"/>
              <w:right w:val="nil"/>
            </w:tcBorders>
            <w:shd w:val="clear" w:color="000000" w:fill="006A71"/>
            <w:noWrap/>
            <w:vAlign w:val="bottom"/>
          </w:tcPr>
          <w:p w14:paraId="7639A542" w14:textId="77777777" w:rsidR="00A95D9B" w:rsidRPr="005C1A06" w:rsidRDefault="00A95D9B" w:rsidP="006C7A61">
            <w:pPr>
              <w:pStyle w:val="IRPsanstext"/>
              <w:ind w:right="-112"/>
              <w:jc w:val="center"/>
              <w:rPr>
                <w:b/>
                <w:color w:val="FFFFFF" w:themeColor="background1"/>
                <w:sz w:val="16"/>
                <w:szCs w:val="16"/>
              </w:rPr>
            </w:pPr>
            <w:r w:rsidRPr="005C1A06">
              <w:rPr>
                <w:b/>
                <w:color w:val="FFFFFF" w:themeColor="background1"/>
                <w:sz w:val="16"/>
                <w:szCs w:val="16"/>
              </w:rPr>
              <w:t>(MW)</w:t>
            </w:r>
          </w:p>
        </w:tc>
        <w:tc>
          <w:tcPr>
            <w:tcW w:w="900" w:type="dxa"/>
            <w:tcBorders>
              <w:top w:val="nil"/>
              <w:left w:val="nil"/>
              <w:right w:val="nil"/>
            </w:tcBorders>
            <w:shd w:val="clear" w:color="000000" w:fill="006A71"/>
            <w:noWrap/>
            <w:vAlign w:val="bottom"/>
          </w:tcPr>
          <w:p w14:paraId="1C85C24D" w14:textId="77777777" w:rsidR="00A95D9B" w:rsidRPr="005C1A06" w:rsidRDefault="00A95D9B" w:rsidP="006C7A61">
            <w:pPr>
              <w:pStyle w:val="IRPsanstext"/>
              <w:ind w:right="-112"/>
              <w:jc w:val="center"/>
              <w:rPr>
                <w:b/>
                <w:color w:val="FFFFFF" w:themeColor="background1"/>
                <w:sz w:val="16"/>
                <w:szCs w:val="16"/>
              </w:rPr>
            </w:pPr>
            <w:r w:rsidRPr="005C1A06">
              <w:rPr>
                <w:b/>
                <w:color w:val="FFFFFF" w:themeColor="background1"/>
                <w:sz w:val="16"/>
                <w:szCs w:val="16"/>
              </w:rPr>
              <w:t>(MW)</w:t>
            </w:r>
          </w:p>
        </w:tc>
        <w:tc>
          <w:tcPr>
            <w:tcW w:w="744" w:type="dxa"/>
            <w:tcBorders>
              <w:top w:val="nil"/>
              <w:left w:val="nil"/>
              <w:right w:val="single" w:sz="8" w:space="0" w:color="auto"/>
            </w:tcBorders>
            <w:shd w:val="clear" w:color="000000" w:fill="006A71"/>
            <w:noWrap/>
            <w:vAlign w:val="bottom"/>
          </w:tcPr>
          <w:p w14:paraId="527BB80C" w14:textId="77777777" w:rsidR="00A95D9B" w:rsidRPr="005C1A06" w:rsidRDefault="00A95D9B" w:rsidP="006C7A61">
            <w:pPr>
              <w:pStyle w:val="IRPsanstext"/>
              <w:ind w:right="-112"/>
              <w:jc w:val="center"/>
              <w:rPr>
                <w:b/>
                <w:color w:val="FFFFFF" w:themeColor="background1"/>
                <w:sz w:val="16"/>
                <w:szCs w:val="16"/>
              </w:rPr>
            </w:pPr>
            <w:r w:rsidRPr="005C1A06">
              <w:rPr>
                <w:b/>
                <w:color w:val="FFFFFF" w:themeColor="background1"/>
                <w:sz w:val="16"/>
                <w:szCs w:val="16"/>
              </w:rPr>
              <w:t>(</w:t>
            </w:r>
            <w:r w:rsidR="00850EB4">
              <w:rPr>
                <w:b/>
                <w:color w:val="FFFFFF" w:themeColor="background1"/>
                <w:sz w:val="16"/>
                <w:szCs w:val="16"/>
              </w:rPr>
              <w:t>a</w:t>
            </w:r>
            <w:r w:rsidRPr="005C1A06">
              <w:rPr>
                <w:b/>
                <w:color w:val="FFFFFF" w:themeColor="background1"/>
                <w:sz w:val="16"/>
                <w:szCs w:val="16"/>
              </w:rPr>
              <w:t>MW)</w:t>
            </w:r>
          </w:p>
        </w:tc>
        <w:tc>
          <w:tcPr>
            <w:tcW w:w="786" w:type="dxa"/>
            <w:tcBorders>
              <w:top w:val="nil"/>
              <w:left w:val="single" w:sz="8" w:space="0" w:color="auto"/>
              <w:right w:val="nil"/>
            </w:tcBorders>
            <w:shd w:val="clear" w:color="000000" w:fill="006A71"/>
            <w:noWrap/>
            <w:vAlign w:val="bottom"/>
          </w:tcPr>
          <w:p w14:paraId="6F508769" w14:textId="77777777" w:rsidR="00A95D9B" w:rsidRPr="005C1A06" w:rsidRDefault="00A95D9B" w:rsidP="006C7A61">
            <w:pPr>
              <w:pStyle w:val="IRPsanstext"/>
              <w:ind w:right="-112"/>
              <w:jc w:val="center"/>
              <w:rPr>
                <w:b/>
                <w:color w:val="FFFFFF" w:themeColor="background1"/>
                <w:sz w:val="16"/>
                <w:szCs w:val="16"/>
              </w:rPr>
            </w:pPr>
            <w:r w:rsidRPr="005C1A06">
              <w:rPr>
                <w:b/>
                <w:color w:val="FFFFFF" w:themeColor="background1"/>
                <w:sz w:val="16"/>
                <w:szCs w:val="16"/>
              </w:rPr>
              <w:t>(MW)</w:t>
            </w:r>
          </w:p>
        </w:tc>
        <w:tc>
          <w:tcPr>
            <w:tcW w:w="834" w:type="dxa"/>
            <w:tcBorders>
              <w:top w:val="nil"/>
              <w:left w:val="nil"/>
              <w:right w:val="nil"/>
            </w:tcBorders>
            <w:shd w:val="clear" w:color="000000" w:fill="006A71"/>
            <w:noWrap/>
            <w:vAlign w:val="bottom"/>
          </w:tcPr>
          <w:p w14:paraId="7F67CC4A" w14:textId="77777777" w:rsidR="00A95D9B" w:rsidRPr="005C1A06" w:rsidRDefault="00A95D9B" w:rsidP="006C7A61">
            <w:pPr>
              <w:pStyle w:val="IRPsanstext"/>
              <w:ind w:right="-112"/>
              <w:jc w:val="center"/>
              <w:rPr>
                <w:b/>
                <w:color w:val="FFFFFF" w:themeColor="background1"/>
                <w:sz w:val="16"/>
                <w:szCs w:val="16"/>
              </w:rPr>
            </w:pPr>
            <w:r w:rsidRPr="005C1A06">
              <w:rPr>
                <w:b/>
                <w:color w:val="FFFFFF" w:themeColor="background1"/>
                <w:sz w:val="16"/>
                <w:szCs w:val="16"/>
              </w:rPr>
              <w:t>(MW)</w:t>
            </w:r>
          </w:p>
        </w:tc>
        <w:tc>
          <w:tcPr>
            <w:tcW w:w="745" w:type="dxa"/>
            <w:tcBorders>
              <w:top w:val="nil"/>
              <w:left w:val="nil"/>
              <w:right w:val="single" w:sz="8" w:space="0" w:color="auto"/>
            </w:tcBorders>
            <w:shd w:val="clear" w:color="000000" w:fill="006A71"/>
            <w:noWrap/>
            <w:vAlign w:val="bottom"/>
          </w:tcPr>
          <w:p w14:paraId="4C152A8B" w14:textId="77777777" w:rsidR="00A95D9B" w:rsidRPr="005C1A06" w:rsidRDefault="00A95D9B" w:rsidP="00850EB4">
            <w:pPr>
              <w:pStyle w:val="IRPsanstext"/>
              <w:ind w:right="-112"/>
              <w:jc w:val="center"/>
              <w:rPr>
                <w:b/>
                <w:color w:val="FFFFFF" w:themeColor="background1"/>
                <w:sz w:val="16"/>
                <w:szCs w:val="16"/>
              </w:rPr>
            </w:pPr>
            <w:r w:rsidRPr="005C1A06">
              <w:rPr>
                <w:b/>
                <w:color w:val="FFFFFF" w:themeColor="background1"/>
                <w:sz w:val="16"/>
                <w:szCs w:val="16"/>
              </w:rPr>
              <w:t>(</w:t>
            </w:r>
            <w:r w:rsidR="00850EB4">
              <w:rPr>
                <w:b/>
                <w:color w:val="FFFFFF" w:themeColor="background1"/>
                <w:sz w:val="16"/>
                <w:szCs w:val="16"/>
              </w:rPr>
              <w:t>a</w:t>
            </w:r>
            <w:r w:rsidRPr="005C1A06">
              <w:rPr>
                <w:b/>
                <w:color w:val="FFFFFF" w:themeColor="background1"/>
                <w:sz w:val="16"/>
                <w:szCs w:val="16"/>
              </w:rPr>
              <w:t>MW)</w:t>
            </w:r>
          </w:p>
        </w:tc>
        <w:tc>
          <w:tcPr>
            <w:tcW w:w="761" w:type="dxa"/>
            <w:tcBorders>
              <w:top w:val="nil"/>
              <w:left w:val="single" w:sz="8" w:space="0" w:color="auto"/>
              <w:right w:val="nil"/>
            </w:tcBorders>
            <w:shd w:val="clear" w:color="000000" w:fill="006A71"/>
            <w:noWrap/>
            <w:vAlign w:val="bottom"/>
          </w:tcPr>
          <w:p w14:paraId="630DF37B" w14:textId="77777777" w:rsidR="00A95D9B" w:rsidRPr="005C1A06" w:rsidRDefault="00A95D9B" w:rsidP="006C7A61">
            <w:pPr>
              <w:pStyle w:val="IRPsanstext"/>
              <w:ind w:right="-112"/>
              <w:jc w:val="center"/>
              <w:rPr>
                <w:b/>
                <w:color w:val="FFFFFF" w:themeColor="background1"/>
                <w:sz w:val="16"/>
                <w:szCs w:val="16"/>
              </w:rPr>
            </w:pPr>
            <w:r w:rsidRPr="005C1A06">
              <w:rPr>
                <w:b/>
                <w:color w:val="FFFFFF" w:themeColor="background1"/>
                <w:sz w:val="16"/>
                <w:szCs w:val="16"/>
              </w:rPr>
              <w:t>(MW)</w:t>
            </w:r>
          </w:p>
        </w:tc>
        <w:tc>
          <w:tcPr>
            <w:tcW w:w="810" w:type="dxa"/>
            <w:tcBorders>
              <w:top w:val="nil"/>
              <w:left w:val="nil"/>
              <w:right w:val="nil"/>
            </w:tcBorders>
            <w:shd w:val="clear" w:color="000000" w:fill="006A71"/>
            <w:noWrap/>
            <w:vAlign w:val="bottom"/>
          </w:tcPr>
          <w:p w14:paraId="29429F7C" w14:textId="77777777" w:rsidR="00A95D9B" w:rsidRPr="005C1A06" w:rsidRDefault="00A95D9B" w:rsidP="006C7A61">
            <w:pPr>
              <w:pStyle w:val="IRPsanstext"/>
              <w:ind w:right="-112"/>
              <w:jc w:val="center"/>
              <w:rPr>
                <w:b/>
                <w:color w:val="FFFFFF" w:themeColor="background1"/>
                <w:sz w:val="16"/>
                <w:szCs w:val="16"/>
              </w:rPr>
            </w:pPr>
            <w:r w:rsidRPr="005C1A06">
              <w:rPr>
                <w:b/>
                <w:color w:val="FFFFFF" w:themeColor="background1"/>
                <w:sz w:val="16"/>
                <w:szCs w:val="16"/>
              </w:rPr>
              <w:t>(MW)</w:t>
            </w:r>
          </w:p>
        </w:tc>
        <w:tc>
          <w:tcPr>
            <w:tcW w:w="720" w:type="dxa"/>
            <w:gridSpan w:val="2"/>
            <w:tcBorders>
              <w:top w:val="nil"/>
              <w:left w:val="nil"/>
              <w:right w:val="single" w:sz="8" w:space="0" w:color="auto"/>
            </w:tcBorders>
            <w:shd w:val="clear" w:color="000000" w:fill="006A71"/>
            <w:noWrap/>
            <w:vAlign w:val="bottom"/>
          </w:tcPr>
          <w:p w14:paraId="7BED1DCD" w14:textId="77777777" w:rsidR="00A95D9B" w:rsidRPr="005C1A06" w:rsidRDefault="00A95D9B" w:rsidP="00850EB4">
            <w:pPr>
              <w:pStyle w:val="IRPsanstext"/>
              <w:ind w:right="-112"/>
              <w:jc w:val="center"/>
              <w:rPr>
                <w:b/>
                <w:color w:val="FFFFFF" w:themeColor="background1"/>
                <w:sz w:val="16"/>
                <w:szCs w:val="16"/>
              </w:rPr>
            </w:pPr>
            <w:r w:rsidRPr="005C1A06">
              <w:rPr>
                <w:b/>
                <w:color w:val="FFFFFF" w:themeColor="background1"/>
                <w:sz w:val="16"/>
                <w:szCs w:val="16"/>
              </w:rPr>
              <w:t>(</w:t>
            </w:r>
            <w:r w:rsidR="00850EB4">
              <w:rPr>
                <w:b/>
                <w:color w:val="FFFFFF" w:themeColor="background1"/>
                <w:sz w:val="16"/>
                <w:szCs w:val="16"/>
              </w:rPr>
              <w:t>a</w:t>
            </w:r>
            <w:r w:rsidRPr="005C1A06">
              <w:rPr>
                <w:b/>
                <w:color w:val="FFFFFF" w:themeColor="background1"/>
                <w:sz w:val="16"/>
                <w:szCs w:val="16"/>
              </w:rPr>
              <w:t>MW)</w:t>
            </w:r>
          </w:p>
        </w:tc>
      </w:tr>
      <w:tr w:rsidR="00304B8B" w:rsidRPr="00454890" w14:paraId="52FF0E69" w14:textId="77777777">
        <w:trPr>
          <w:trHeight w:hRule="exact" w:val="91"/>
        </w:trPr>
        <w:tc>
          <w:tcPr>
            <w:tcW w:w="1998" w:type="dxa"/>
            <w:tcBorders>
              <w:left w:val="single" w:sz="8" w:space="0" w:color="auto"/>
              <w:bottom w:val="single" w:sz="8" w:space="0" w:color="auto"/>
              <w:right w:val="single" w:sz="8" w:space="0" w:color="auto"/>
            </w:tcBorders>
            <w:shd w:val="clear" w:color="000000" w:fill="807F83"/>
            <w:noWrap/>
            <w:vAlign w:val="bottom"/>
          </w:tcPr>
          <w:p w14:paraId="768B748E" w14:textId="77777777" w:rsidR="00A95D9B" w:rsidRPr="00787534" w:rsidRDefault="00A95D9B" w:rsidP="00787534">
            <w:pPr>
              <w:pStyle w:val="IRPsanstext"/>
              <w:ind w:right="-112"/>
              <w:rPr>
                <w:b/>
                <w:sz w:val="16"/>
                <w:szCs w:val="16"/>
              </w:rPr>
            </w:pPr>
          </w:p>
        </w:tc>
        <w:tc>
          <w:tcPr>
            <w:tcW w:w="810" w:type="dxa"/>
            <w:tcBorders>
              <w:left w:val="single" w:sz="8" w:space="0" w:color="auto"/>
              <w:bottom w:val="single" w:sz="8" w:space="0" w:color="auto"/>
              <w:right w:val="nil"/>
            </w:tcBorders>
            <w:shd w:val="clear" w:color="000000" w:fill="807F83"/>
            <w:noWrap/>
            <w:vAlign w:val="bottom"/>
          </w:tcPr>
          <w:p w14:paraId="5F03566F" w14:textId="77777777" w:rsidR="00A95D9B" w:rsidRPr="00787534" w:rsidRDefault="00A95D9B" w:rsidP="00787534">
            <w:pPr>
              <w:pStyle w:val="IRPsanstext"/>
              <w:ind w:right="-112"/>
              <w:rPr>
                <w:sz w:val="16"/>
                <w:szCs w:val="16"/>
              </w:rPr>
            </w:pPr>
          </w:p>
        </w:tc>
        <w:tc>
          <w:tcPr>
            <w:tcW w:w="900" w:type="dxa"/>
            <w:tcBorders>
              <w:left w:val="nil"/>
              <w:bottom w:val="single" w:sz="8" w:space="0" w:color="auto"/>
              <w:right w:val="nil"/>
            </w:tcBorders>
            <w:shd w:val="clear" w:color="000000" w:fill="807F83"/>
            <w:noWrap/>
            <w:vAlign w:val="bottom"/>
          </w:tcPr>
          <w:p w14:paraId="1E17BB11" w14:textId="77777777" w:rsidR="00A95D9B" w:rsidRPr="00787534" w:rsidRDefault="00A95D9B" w:rsidP="00787534">
            <w:pPr>
              <w:pStyle w:val="IRPsanstext"/>
              <w:ind w:right="-112"/>
              <w:rPr>
                <w:sz w:val="16"/>
                <w:szCs w:val="16"/>
              </w:rPr>
            </w:pPr>
          </w:p>
        </w:tc>
        <w:tc>
          <w:tcPr>
            <w:tcW w:w="744" w:type="dxa"/>
            <w:tcBorders>
              <w:left w:val="nil"/>
              <w:bottom w:val="single" w:sz="8" w:space="0" w:color="auto"/>
              <w:right w:val="single" w:sz="8" w:space="0" w:color="auto"/>
            </w:tcBorders>
            <w:shd w:val="clear" w:color="000000" w:fill="807F83"/>
            <w:noWrap/>
            <w:vAlign w:val="bottom"/>
          </w:tcPr>
          <w:p w14:paraId="0F702D62" w14:textId="77777777" w:rsidR="00A95D9B" w:rsidRPr="00787534" w:rsidRDefault="00A95D9B" w:rsidP="00787534">
            <w:pPr>
              <w:pStyle w:val="IRPsanstext"/>
              <w:ind w:right="-112"/>
              <w:rPr>
                <w:sz w:val="16"/>
                <w:szCs w:val="16"/>
              </w:rPr>
            </w:pPr>
          </w:p>
        </w:tc>
        <w:tc>
          <w:tcPr>
            <w:tcW w:w="786" w:type="dxa"/>
            <w:tcBorders>
              <w:left w:val="single" w:sz="8" w:space="0" w:color="auto"/>
              <w:bottom w:val="single" w:sz="8" w:space="0" w:color="auto"/>
              <w:right w:val="nil"/>
            </w:tcBorders>
            <w:shd w:val="clear" w:color="000000" w:fill="807F83"/>
            <w:noWrap/>
            <w:vAlign w:val="bottom"/>
          </w:tcPr>
          <w:p w14:paraId="5D89B089" w14:textId="77777777" w:rsidR="00A95D9B" w:rsidRPr="00787534" w:rsidRDefault="00A95D9B" w:rsidP="00787534">
            <w:pPr>
              <w:pStyle w:val="IRPsanstext"/>
              <w:ind w:right="-112"/>
              <w:rPr>
                <w:sz w:val="16"/>
                <w:szCs w:val="16"/>
              </w:rPr>
            </w:pPr>
          </w:p>
        </w:tc>
        <w:tc>
          <w:tcPr>
            <w:tcW w:w="834" w:type="dxa"/>
            <w:tcBorders>
              <w:left w:val="nil"/>
              <w:bottom w:val="single" w:sz="8" w:space="0" w:color="auto"/>
              <w:right w:val="nil"/>
            </w:tcBorders>
            <w:shd w:val="clear" w:color="000000" w:fill="807F83"/>
            <w:noWrap/>
            <w:vAlign w:val="bottom"/>
          </w:tcPr>
          <w:p w14:paraId="064670DC" w14:textId="77777777" w:rsidR="00A95D9B" w:rsidRPr="00787534" w:rsidRDefault="00A95D9B" w:rsidP="00787534">
            <w:pPr>
              <w:pStyle w:val="IRPsanstext"/>
              <w:ind w:right="-112"/>
              <w:rPr>
                <w:sz w:val="16"/>
                <w:szCs w:val="16"/>
              </w:rPr>
            </w:pPr>
          </w:p>
        </w:tc>
        <w:tc>
          <w:tcPr>
            <w:tcW w:w="745" w:type="dxa"/>
            <w:tcBorders>
              <w:left w:val="nil"/>
              <w:bottom w:val="single" w:sz="8" w:space="0" w:color="auto"/>
              <w:right w:val="single" w:sz="8" w:space="0" w:color="auto"/>
            </w:tcBorders>
            <w:shd w:val="clear" w:color="000000" w:fill="807F83"/>
            <w:noWrap/>
            <w:vAlign w:val="bottom"/>
          </w:tcPr>
          <w:p w14:paraId="5764496A" w14:textId="77777777" w:rsidR="00A95D9B" w:rsidRPr="00787534" w:rsidRDefault="00A95D9B" w:rsidP="00787534">
            <w:pPr>
              <w:pStyle w:val="IRPsanstext"/>
              <w:ind w:right="-112"/>
              <w:rPr>
                <w:sz w:val="16"/>
                <w:szCs w:val="16"/>
              </w:rPr>
            </w:pPr>
          </w:p>
        </w:tc>
        <w:tc>
          <w:tcPr>
            <w:tcW w:w="761" w:type="dxa"/>
            <w:tcBorders>
              <w:left w:val="single" w:sz="8" w:space="0" w:color="auto"/>
              <w:bottom w:val="single" w:sz="8" w:space="0" w:color="auto"/>
              <w:right w:val="nil"/>
            </w:tcBorders>
            <w:shd w:val="clear" w:color="000000" w:fill="807F83"/>
            <w:noWrap/>
            <w:vAlign w:val="bottom"/>
          </w:tcPr>
          <w:p w14:paraId="3D6148C4" w14:textId="77777777" w:rsidR="00A95D9B" w:rsidRPr="00787534" w:rsidRDefault="00A95D9B" w:rsidP="00787534">
            <w:pPr>
              <w:pStyle w:val="IRPsanstext"/>
              <w:ind w:right="-112"/>
              <w:rPr>
                <w:sz w:val="16"/>
                <w:szCs w:val="16"/>
              </w:rPr>
            </w:pPr>
          </w:p>
        </w:tc>
        <w:tc>
          <w:tcPr>
            <w:tcW w:w="900" w:type="dxa"/>
            <w:gridSpan w:val="2"/>
            <w:tcBorders>
              <w:left w:val="nil"/>
              <w:bottom w:val="single" w:sz="8" w:space="0" w:color="auto"/>
              <w:right w:val="nil"/>
            </w:tcBorders>
            <w:shd w:val="clear" w:color="000000" w:fill="807F83"/>
            <w:noWrap/>
            <w:vAlign w:val="bottom"/>
          </w:tcPr>
          <w:p w14:paraId="58315833" w14:textId="77777777" w:rsidR="00A95D9B" w:rsidRPr="00787534" w:rsidRDefault="00A95D9B" w:rsidP="00787534">
            <w:pPr>
              <w:pStyle w:val="IRPsanstext"/>
              <w:ind w:right="-112"/>
              <w:rPr>
                <w:sz w:val="16"/>
                <w:szCs w:val="16"/>
              </w:rPr>
            </w:pPr>
          </w:p>
        </w:tc>
        <w:tc>
          <w:tcPr>
            <w:tcW w:w="630" w:type="dxa"/>
            <w:tcBorders>
              <w:left w:val="nil"/>
              <w:bottom w:val="single" w:sz="8" w:space="0" w:color="auto"/>
              <w:right w:val="single" w:sz="8" w:space="0" w:color="auto"/>
            </w:tcBorders>
            <w:shd w:val="clear" w:color="000000" w:fill="807F83"/>
            <w:noWrap/>
            <w:vAlign w:val="bottom"/>
          </w:tcPr>
          <w:p w14:paraId="781183ED" w14:textId="77777777" w:rsidR="00A95D9B" w:rsidRPr="00787534" w:rsidRDefault="00A95D9B" w:rsidP="00787534">
            <w:pPr>
              <w:pStyle w:val="IRPsanstext"/>
              <w:ind w:right="-112"/>
              <w:rPr>
                <w:sz w:val="16"/>
                <w:szCs w:val="16"/>
              </w:rPr>
            </w:pPr>
          </w:p>
        </w:tc>
      </w:tr>
      <w:tr w:rsidR="00412FCD" w:rsidRPr="00304B8B" w14:paraId="678B6310" w14:textId="77777777">
        <w:trPr>
          <w:trHeight w:val="272"/>
        </w:trPr>
        <w:tc>
          <w:tcPr>
            <w:tcW w:w="1998" w:type="dxa"/>
            <w:tcBorders>
              <w:top w:val="single" w:sz="8" w:space="0" w:color="auto"/>
              <w:left w:val="single" w:sz="8" w:space="0" w:color="auto"/>
              <w:bottom w:val="nil"/>
              <w:right w:val="single" w:sz="8" w:space="0" w:color="auto"/>
            </w:tcBorders>
            <w:shd w:val="clear" w:color="000000" w:fill="FFFFFF"/>
            <w:noWrap/>
            <w:vAlign w:val="bottom"/>
          </w:tcPr>
          <w:p w14:paraId="1DD8C0F7" w14:textId="77777777" w:rsidR="00412FCD" w:rsidRPr="005A1FB5" w:rsidRDefault="00412FCD" w:rsidP="00F07C60">
            <w:pPr>
              <w:rPr>
                <w:rFonts w:ascii="Arial Narrow" w:eastAsia="Times New Roman" w:hAnsi="Arial Narrow" w:cs="Arial"/>
                <w:b/>
                <w:bCs/>
                <w:i/>
                <w:iCs/>
                <w:color w:val="000000"/>
              </w:rPr>
            </w:pPr>
            <w:r w:rsidRPr="005A1FB5">
              <w:rPr>
                <w:rFonts w:ascii="Arial Narrow" w:eastAsia="Times New Roman" w:hAnsi="Arial Narrow" w:cs="Arial"/>
                <w:b/>
                <w:bCs/>
                <w:i/>
                <w:iCs/>
                <w:color w:val="000000"/>
              </w:rPr>
              <w:t>Loads</w:t>
            </w:r>
          </w:p>
        </w:tc>
        <w:tc>
          <w:tcPr>
            <w:tcW w:w="810" w:type="dxa"/>
            <w:tcBorders>
              <w:top w:val="single" w:sz="8" w:space="0" w:color="auto"/>
              <w:left w:val="single" w:sz="8" w:space="0" w:color="auto"/>
              <w:bottom w:val="nil"/>
              <w:right w:val="nil"/>
            </w:tcBorders>
            <w:shd w:val="clear" w:color="000000" w:fill="FFFFFF"/>
            <w:noWrap/>
            <w:vAlign w:val="bottom"/>
          </w:tcPr>
          <w:p w14:paraId="1F6F9003"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4,929</w:t>
            </w:r>
          </w:p>
        </w:tc>
        <w:tc>
          <w:tcPr>
            <w:tcW w:w="900" w:type="dxa"/>
            <w:tcBorders>
              <w:top w:val="single" w:sz="8" w:space="0" w:color="auto"/>
              <w:left w:val="nil"/>
              <w:bottom w:val="nil"/>
              <w:right w:val="nil"/>
            </w:tcBorders>
            <w:shd w:val="clear" w:color="000000" w:fill="FFFFFF"/>
            <w:noWrap/>
            <w:vAlign w:val="bottom"/>
          </w:tcPr>
          <w:p w14:paraId="15F4731F"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3,170</w:t>
            </w:r>
          </w:p>
        </w:tc>
        <w:tc>
          <w:tcPr>
            <w:tcW w:w="744" w:type="dxa"/>
            <w:tcBorders>
              <w:top w:val="single" w:sz="8" w:space="0" w:color="auto"/>
              <w:left w:val="nil"/>
              <w:bottom w:val="nil"/>
              <w:right w:val="single" w:sz="8" w:space="0" w:color="auto"/>
            </w:tcBorders>
            <w:shd w:val="clear" w:color="000000" w:fill="FFFFFF"/>
            <w:noWrap/>
            <w:vAlign w:val="bottom"/>
          </w:tcPr>
          <w:p w14:paraId="5DF1304C"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2,636</w:t>
            </w:r>
          </w:p>
        </w:tc>
        <w:tc>
          <w:tcPr>
            <w:tcW w:w="786" w:type="dxa"/>
            <w:tcBorders>
              <w:top w:val="single" w:sz="8" w:space="0" w:color="auto"/>
              <w:left w:val="single" w:sz="8" w:space="0" w:color="auto"/>
              <w:bottom w:val="nil"/>
              <w:right w:val="nil"/>
            </w:tcBorders>
            <w:shd w:val="clear" w:color="000000" w:fill="FFFFFF"/>
            <w:noWrap/>
            <w:vAlign w:val="bottom"/>
          </w:tcPr>
          <w:p w14:paraId="08D6AAC1"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5,364</w:t>
            </w:r>
          </w:p>
        </w:tc>
        <w:tc>
          <w:tcPr>
            <w:tcW w:w="834" w:type="dxa"/>
            <w:tcBorders>
              <w:top w:val="single" w:sz="8" w:space="0" w:color="auto"/>
              <w:left w:val="nil"/>
              <w:bottom w:val="nil"/>
              <w:right w:val="nil"/>
            </w:tcBorders>
            <w:shd w:val="clear" w:color="000000" w:fill="FFFFFF"/>
            <w:noWrap/>
            <w:vAlign w:val="bottom"/>
          </w:tcPr>
          <w:p w14:paraId="2E616B1B"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3,577</w:t>
            </w:r>
          </w:p>
        </w:tc>
        <w:tc>
          <w:tcPr>
            <w:tcW w:w="745" w:type="dxa"/>
            <w:tcBorders>
              <w:top w:val="single" w:sz="8" w:space="0" w:color="auto"/>
              <w:left w:val="nil"/>
              <w:bottom w:val="nil"/>
              <w:right w:val="single" w:sz="8" w:space="0" w:color="auto"/>
            </w:tcBorders>
            <w:shd w:val="clear" w:color="000000" w:fill="FFFFFF"/>
            <w:noWrap/>
            <w:vAlign w:val="bottom"/>
          </w:tcPr>
          <w:p w14:paraId="6A56BF1A"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2,888</w:t>
            </w:r>
          </w:p>
        </w:tc>
        <w:tc>
          <w:tcPr>
            <w:tcW w:w="761" w:type="dxa"/>
            <w:tcBorders>
              <w:top w:val="single" w:sz="8" w:space="0" w:color="auto"/>
              <w:left w:val="single" w:sz="8" w:space="0" w:color="auto"/>
              <w:bottom w:val="nil"/>
              <w:right w:val="nil"/>
            </w:tcBorders>
            <w:shd w:val="clear" w:color="000000" w:fill="FFFFFF"/>
            <w:noWrap/>
            <w:vAlign w:val="bottom"/>
          </w:tcPr>
          <w:p w14:paraId="1CEE2F8D"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5,784</w:t>
            </w:r>
          </w:p>
        </w:tc>
        <w:tc>
          <w:tcPr>
            <w:tcW w:w="810" w:type="dxa"/>
            <w:tcBorders>
              <w:top w:val="single" w:sz="8" w:space="0" w:color="auto"/>
              <w:left w:val="nil"/>
              <w:bottom w:val="nil"/>
              <w:right w:val="nil"/>
            </w:tcBorders>
            <w:shd w:val="clear" w:color="000000" w:fill="FFFFFF"/>
            <w:noWrap/>
            <w:vAlign w:val="bottom"/>
          </w:tcPr>
          <w:p w14:paraId="78A2E54C"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3,989</w:t>
            </w:r>
          </w:p>
        </w:tc>
        <w:tc>
          <w:tcPr>
            <w:tcW w:w="720" w:type="dxa"/>
            <w:gridSpan w:val="2"/>
            <w:tcBorders>
              <w:top w:val="single" w:sz="8" w:space="0" w:color="auto"/>
              <w:left w:val="nil"/>
              <w:bottom w:val="nil"/>
              <w:right w:val="single" w:sz="8" w:space="0" w:color="auto"/>
            </w:tcBorders>
            <w:shd w:val="clear" w:color="000000" w:fill="FFFFFF"/>
            <w:noWrap/>
            <w:vAlign w:val="bottom"/>
          </w:tcPr>
          <w:p w14:paraId="1C4393D7"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3,136</w:t>
            </w:r>
          </w:p>
        </w:tc>
      </w:tr>
      <w:tr w:rsidR="00412FCD" w:rsidRPr="00304B8B" w14:paraId="2FAB5364" w14:textId="77777777">
        <w:trPr>
          <w:trHeight w:val="272"/>
        </w:trPr>
        <w:tc>
          <w:tcPr>
            <w:tcW w:w="1998" w:type="dxa"/>
            <w:tcBorders>
              <w:top w:val="single" w:sz="8" w:space="0" w:color="auto"/>
              <w:left w:val="single" w:sz="8" w:space="0" w:color="auto"/>
              <w:bottom w:val="single" w:sz="8" w:space="0" w:color="auto"/>
              <w:right w:val="single" w:sz="8" w:space="0" w:color="auto"/>
            </w:tcBorders>
            <w:shd w:val="clear" w:color="000000" w:fill="FFFFFF"/>
            <w:noWrap/>
            <w:vAlign w:val="bottom"/>
          </w:tcPr>
          <w:p w14:paraId="69645359" w14:textId="77777777" w:rsidR="00412FCD" w:rsidRPr="005A1FB5" w:rsidRDefault="00412FCD" w:rsidP="00F07C60">
            <w:pPr>
              <w:rPr>
                <w:rFonts w:ascii="Arial Narrow" w:eastAsia="Times New Roman" w:hAnsi="Arial Narrow" w:cs="Arial"/>
                <w:b/>
                <w:bCs/>
                <w:color w:val="000000"/>
              </w:rPr>
            </w:pPr>
            <w:r w:rsidRPr="005A1FB5">
              <w:rPr>
                <w:rFonts w:ascii="Arial Narrow" w:eastAsia="Times New Roman" w:hAnsi="Arial Narrow" w:cs="Arial"/>
                <w:b/>
                <w:bCs/>
                <w:color w:val="000000"/>
              </w:rPr>
              <w:t>Exports</w:t>
            </w:r>
          </w:p>
        </w:tc>
        <w:tc>
          <w:tcPr>
            <w:tcW w:w="810" w:type="dxa"/>
            <w:tcBorders>
              <w:top w:val="single" w:sz="8" w:space="0" w:color="auto"/>
              <w:left w:val="single" w:sz="8" w:space="0" w:color="auto"/>
              <w:bottom w:val="single" w:sz="8" w:space="0" w:color="auto"/>
              <w:right w:val="nil"/>
            </w:tcBorders>
            <w:shd w:val="clear" w:color="000000" w:fill="FFFFFF"/>
            <w:noWrap/>
            <w:vAlign w:val="bottom"/>
          </w:tcPr>
          <w:p w14:paraId="48DE64CF"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34</w:t>
            </w:r>
          </w:p>
        </w:tc>
        <w:tc>
          <w:tcPr>
            <w:tcW w:w="900" w:type="dxa"/>
            <w:tcBorders>
              <w:top w:val="single" w:sz="8" w:space="0" w:color="auto"/>
              <w:left w:val="nil"/>
              <w:bottom w:val="single" w:sz="8" w:space="0" w:color="auto"/>
              <w:right w:val="nil"/>
            </w:tcBorders>
            <w:shd w:val="clear" w:color="000000" w:fill="FFFFFF"/>
            <w:noWrap/>
            <w:vAlign w:val="bottom"/>
          </w:tcPr>
          <w:p w14:paraId="16CE2D1F"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334</w:t>
            </w:r>
          </w:p>
        </w:tc>
        <w:tc>
          <w:tcPr>
            <w:tcW w:w="744" w:type="dxa"/>
            <w:tcBorders>
              <w:top w:val="single" w:sz="8" w:space="0" w:color="auto"/>
              <w:left w:val="nil"/>
              <w:bottom w:val="single" w:sz="8" w:space="0" w:color="auto"/>
              <w:right w:val="single" w:sz="8" w:space="0" w:color="auto"/>
            </w:tcBorders>
            <w:shd w:val="clear" w:color="000000" w:fill="FFFFFF"/>
            <w:noWrap/>
            <w:vAlign w:val="bottom"/>
          </w:tcPr>
          <w:p w14:paraId="7EA5C285"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69</w:t>
            </w:r>
          </w:p>
        </w:tc>
        <w:tc>
          <w:tcPr>
            <w:tcW w:w="786" w:type="dxa"/>
            <w:tcBorders>
              <w:top w:val="single" w:sz="8" w:space="0" w:color="auto"/>
              <w:left w:val="single" w:sz="8" w:space="0" w:color="auto"/>
              <w:bottom w:val="single" w:sz="8" w:space="0" w:color="auto"/>
              <w:right w:val="nil"/>
            </w:tcBorders>
            <w:shd w:val="clear" w:color="000000" w:fill="FFFFFF"/>
            <w:noWrap/>
            <w:vAlign w:val="bottom"/>
          </w:tcPr>
          <w:p w14:paraId="3824545D"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20</w:t>
            </w:r>
          </w:p>
        </w:tc>
        <w:tc>
          <w:tcPr>
            <w:tcW w:w="834" w:type="dxa"/>
            <w:tcBorders>
              <w:top w:val="single" w:sz="8" w:space="0" w:color="auto"/>
              <w:left w:val="nil"/>
              <w:bottom w:val="single" w:sz="8" w:space="0" w:color="auto"/>
              <w:right w:val="nil"/>
            </w:tcBorders>
            <w:shd w:val="clear" w:color="000000" w:fill="FFFFFF"/>
            <w:noWrap/>
            <w:vAlign w:val="bottom"/>
          </w:tcPr>
          <w:p w14:paraId="64C54AED"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320</w:t>
            </w:r>
          </w:p>
        </w:tc>
        <w:tc>
          <w:tcPr>
            <w:tcW w:w="745" w:type="dxa"/>
            <w:tcBorders>
              <w:top w:val="single" w:sz="8" w:space="0" w:color="auto"/>
              <w:left w:val="nil"/>
              <w:bottom w:val="single" w:sz="8" w:space="0" w:color="auto"/>
              <w:right w:val="single" w:sz="8" w:space="0" w:color="auto"/>
            </w:tcBorders>
            <w:shd w:val="clear" w:color="000000" w:fill="FFFFFF"/>
            <w:noWrap/>
            <w:vAlign w:val="bottom"/>
          </w:tcPr>
          <w:p w14:paraId="7FD84973"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59</w:t>
            </w:r>
          </w:p>
        </w:tc>
        <w:tc>
          <w:tcPr>
            <w:tcW w:w="761" w:type="dxa"/>
            <w:tcBorders>
              <w:top w:val="single" w:sz="8" w:space="0" w:color="auto"/>
              <w:left w:val="single" w:sz="8" w:space="0" w:color="auto"/>
              <w:bottom w:val="single" w:sz="8" w:space="0" w:color="auto"/>
              <w:right w:val="nil"/>
            </w:tcBorders>
            <w:shd w:val="clear" w:color="000000" w:fill="FFFFFF"/>
            <w:noWrap/>
            <w:vAlign w:val="bottom"/>
          </w:tcPr>
          <w:p w14:paraId="2786BB70"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0</w:t>
            </w:r>
          </w:p>
        </w:tc>
        <w:tc>
          <w:tcPr>
            <w:tcW w:w="810" w:type="dxa"/>
            <w:tcBorders>
              <w:top w:val="single" w:sz="8" w:space="0" w:color="auto"/>
              <w:left w:val="nil"/>
              <w:bottom w:val="single" w:sz="8" w:space="0" w:color="auto"/>
              <w:right w:val="nil"/>
            </w:tcBorders>
            <w:shd w:val="clear" w:color="000000" w:fill="FFFFFF"/>
            <w:noWrap/>
            <w:vAlign w:val="bottom"/>
          </w:tcPr>
          <w:p w14:paraId="76D1787F"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300</w:t>
            </w:r>
          </w:p>
        </w:tc>
        <w:tc>
          <w:tcPr>
            <w:tcW w:w="720" w:type="dxa"/>
            <w:gridSpan w:val="2"/>
            <w:tcBorders>
              <w:top w:val="single" w:sz="8" w:space="0" w:color="auto"/>
              <w:left w:val="nil"/>
              <w:bottom w:val="single" w:sz="8" w:space="0" w:color="auto"/>
              <w:right w:val="single" w:sz="8" w:space="0" w:color="auto"/>
            </w:tcBorders>
            <w:shd w:val="clear" w:color="000000" w:fill="FFFFFF"/>
            <w:noWrap/>
            <w:vAlign w:val="bottom"/>
          </w:tcPr>
          <w:p w14:paraId="5D08A4E8"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47</w:t>
            </w:r>
          </w:p>
        </w:tc>
      </w:tr>
      <w:tr w:rsidR="00412FCD" w:rsidRPr="00304B8B" w14:paraId="23BA3801" w14:textId="77777777">
        <w:trPr>
          <w:trHeight w:val="272"/>
        </w:trPr>
        <w:tc>
          <w:tcPr>
            <w:tcW w:w="1998" w:type="dxa"/>
            <w:tcBorders>
              <w:top w:val="nil"/>
              <w:left w:val="single" w:sz="8" w:space="0" w:color="auto"/>
              <w:right w:val="single" w:sz="8" w:space="0" w:color="auto"/>
            </w:tcBorders>
            <w:shd w:val="clear" w:color="000000" w:fill="FFFFFF"/>
            <w:noWrap/>
            <w:vAlign w:val="bottom"/>
          </w:tcPr>
          <w:p w14:paraId="5AAAE783" w14:textId="77777777" w:rsidR="00412FCD" w:rsidRPr="005A1FB5" w:rsidRDefault="00412FCD" w:rsidP="00F07C60">
            <w:pPr>
              <w:rPr>
                <w:rFonts w:ascii="Arial Narrow" w:eastAsia="Times New Roman" w:hAnsi="Arial Narrow" w:cs="Arial"/>
                <w:b/>
                <w:bCs/>
                <w:i/>
                <w:iCs/>
                <w:color w:val="000000"/>
              </w:rPr>
            </w:pPr>
            <w:r w:rsidRPr="005A1FB5">
              <w:rPr>
                <w:rFonts w:ascii="Arial Narrow" w:eastAsia="Times New Roman" w:hAnsi="Arial Narrow" w:cs="Arial"/>
                <w:b/>
                <w:bCs/>
                <w:i/>
                <w:iCs/>
                <w:color w:val="000000"/>
              </w:rPr>
              <w:t>Resources</w:t>
            </w:r>
          </w:p>
        </w:tc>
        <w:tc>
          <w:tcPr>
            <w:tcW w:w="810" w:type="dxa"/>
            <w:tcBorders>
              <w:top w:val="nil"/>
              <w:left w:val="single" w:sz="8" w:space="0" w:color="auto"/>
              <w:right w:val="nil"/>
            </w:tcBorders>
            <w:shd w:val="clear" w:color="000000" w:fill="FFFFFF"/>
            <w:noWrap/>
            <w:vAlign w:val="bottom"/>
          </w:tcPr>
          <w:p w14:paraId="698071AA"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900" w:type="dxa"/>
            <w:tcBorders>
              <w:top w:val="nil"/>
              <w:left w:val="nil"/>
              <w:right w:val="nil"/>
            </w:tcBorders>
            <w:shd w:val="clear" w:color="000000" w:fill="FFFFFF"/>
            <w:noWrap/>
            <w:vAlign w:val="bottom"/>
          </w:tcPr>
          <w:p w14:paraId="7F95883B"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44" w:type="dxa"/>
            <w:tcBorders>
              <w:top w:val="nil"/>
              <w:left w:val="nil"/>
              <w:right w:val="single" w:sz="8" w:space="0" w:color="auto"/>
            </w:tcBorders>
            <w:shd w:val="clear" w:color="000000" w:fill="FFFFFF"/>
            <w:noWrap/>
            <w:vAlign w:val="bottom"/>
          </w:tcPr>
          <w:p w14:paraId="26983AD8"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86" w:type="dxa"/>
            <w:tcBorders>
              <w:top w:val="nil"/>
              <w:left w:val="single" w:sz="8" w:space="0" w:color="auto"/>
              <w:right w:val="nil"/>
            </w:tcBorders>
            <w:shd w:val="clear" w:color="000000" w:fill="FFFFFF"/>
            <w:noWrap/>
            <w:vAlign w:val="bottom"/>
          </w:tcPr>
          <w:p w14:paraId="39162A3D"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834" w:type="dxa"/>
            <w:tcBorders>
              <w:top w:val="nil"/>
              <w:left w:val="nil"/>
              <w:right w:val="nil"/>
            </w:tcBorders>
            <w:shd w:val="clear" w:color="000000" w:fill="FFFFFF"/>
            <w:noWrap/>
            <w:vAlign w:val="bottom"/>
          </w:tcPr>
          <w:p w14:paraId="225F41BA"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45" w:type="dxa"/>
            <w:tcBorders>
              <w:top w:val="nil"/>
              <w:left w:val="nil"/>
              <w:right w:val="single" w:sz="8" w:space="0" w:color="auto"/>
            </w:tcBorders>
            <w:shd w:val="clear" w:color="000000" w:fill="FFFFFF"/>
            <w:noWrap/>
            <w:vAlign w:val="bottom"/>
          </w:tcPr>
          <w:p w14:paraId="3B692EB3"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61" w:type="dxa"/>
            <w:tcBorders>
              <w:top w:val="nil"/>
              <w:left w:val="single" w:sz="8" w:space="0" w:color="auto"/>
              <w:right w:val="nil"/>
            </w:tcBorders>
            <w:shd w:val="clear" w:color="000000" w:fill="FFFFFF"/>
            <w:noWrap/>
            <w:vAlign w:val="bottom"/>
          </w:tcPr>
          <w:p w14:paraId="4D31505C"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810" w:type="dxa"/>
            <w:tcBorders>
              <w:top w:val="nil"/>
              <w:left w:val="nil"/>
              <w:right w:val="nil"/>
            </w:tcBorders>
            <w:shd w:val="clear" w:color="000000" w:fill="FFFFFF"/>
            <w:noWrap/>
            <w:vAlign w:val="bottom"/>
          </w:tcPr>
          <w:p w14:paraId="77E4B043"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20" w:type="dxa"/>
            <w:gridSpan w:val="2"/>
            <w:tcBorders>
              <w:top w:val="nil"/>
              <w:left w:val="nil"/>
              <w:right w:val="single" w:sz="8" w:space="0" w:color="auto"/>
            </w:tcBorders>
            <w:shd w:val="clear" w:color="000000" w:fill="FFFFFF"/>
            <w:noWrap/>
            <w:vAlign w:val="bottom"/>
          </w:tcPr>
          <w:p w14:paraId="1B4AE830"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r>
      <w:tr w:rsidR="00412FCD" w:rsidRPr="00304B8B" w14:paraId="0556E980" w14:textId="77777777">
        <w:trPr>
          <w:trHeight w:val="272"/>
        </w:trPr>
        <w:tc>
          <w:tcPr>
            <w:tcW w:w="1998" w:type="dxa"/>
            <w:tcBorders>
              <w:top w:val="nil"/>
              <w:left w:val="single" w:sz="8" w:space="0" w:color="auto"/>
              <w:bottom w:val="nil"/>
              <w:right w:val="single" w:sz="8" w:space="0" w:color="auto"/>
            </w:tcBorders>
            <w:shd w:val="clear" w:color="000000" w:fill="D6CFCD"/>
            <w:noWrap/>
            <w:vAlign w:val="bottom"/>
          </w:tcPr>
          <w:p w14:paraId="3A034B8A" w14:textId="77777777" w:rsidR="00412FCD" w:rsidRPr="005A1FB5" w:rsidRDefault="00412FCD" w:rsidP="00F07C60">
            <w:pPr>
              <w:rPr>
                <w:rFonts w:ascii="Arial Narrow" w:eastAsia="Times New Roman" w:hAnsi="Arial Narrow" w:cs="Arial"/>
                <w:color w:val="000000"/>
              </w:rPr>
            </w:pPr>
            <w:r w:rsidRPr="005A1FB5">
              <w:rPr>
                <w:rFonts w:ascii="Arial Narrow" w:eastAsia="Times New Roman" w:hAnsi="Arial Narrow" w:cs="Arial"/>
                <w:color w:val="000000"/>
              </w:rPr>
              <w:t>Conservation/Efficiency</w:t>
            </w:r>
          </w:p>
        </w:tc>
        <w:tc>
          <w:tcPr>
            <w:tcW w:w="810" w:type="dxa"/>
            <w:tcBorders>
              <w:top w:val="nil"/>
              <w:left w:val="single" w:sz="8" w:space="0" w:color="auto"/>
              <w:bottom w:val="nil"/>
              <w:right w:val="nil"/>
            </w:tcBorders>
            <w:shd w:val="clear" w:color="000000" w:fill="D6CFCD"/>
            <w:noWrap/>
            <w:vAlign w:val="bottom"/>
          </w:tcPr>
          <w:p w14:paraId="2B75CA6C"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75</w:t>
            </w:r>
          </w:p>
        </w:tc>
        <w:tc>
          <w:tcPr>
            <w:tcW w:w="900" w:type="dxa"/>
            <w:tcBorders>
              <w:top w:val="nil"/>
              <w:left w:val="nil"/>
              <w:bottom w:val="nil"/>
              <w:right w:val="nil"/>
            </w:tcBorders>
            <w:shd w:val="clear" w:color="000000" w:fill="D6CFCD"/>
            <w:noWrap/>
            <w:vAlign w:val="bottom"/>
          </w:tcPr>
          <w:p w14:paraId="60E34A2E"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28</w:t>
            </w:r>
          </w:p>
        </w:tc>
        <w:tc>
          <w:tcPr>
            <w:tcW w:w="744" w:type="dxa"/>
            <w:tcBorders>
              <w:top w:val="nil"/>
              <w:left w:val="nil"/>
              <w:bottom w:val="nil"/>
              <w:right w:val="single" w:sz="8" w:space="0" w:color="auto"/>
            </w:tcBorders>
            <w:shd w:val="clear" w:color="000000" w:fill="D6CFCD"/>
            <w:noWrap/>
            <w:vAlign w:val="bottom"/>
          </w:tcPr>
          <w:p w14:paraId="0AA1A25A"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27</w:t>
            </w:r>
          </w:p>
        </w:tc>
        <w:tc>
          <w:tcPr>
            <w:tcW w:w="786" w:type="dxa"/>
            <w:tcBorders>
              <w:top w:val="nil"/>
              <w:left w:val="single" w:sz="8" w:space="0" w:color="auto"/>
              <w:bottom w:val="nil"/>
              <w:right w:val="nil"/>
            </w:tcBorders>
            <w:shd w:val="clear" w:color="000000" w:fill="D6CFCD"/>
            <w:noWrap/>
            <w:vAlign w:val="bottom"/>
          </w:tcPr>
          <w:p w14:paraId="75DE0FCA" w14:textId="77777777" w:rsidR="00412FCD" w:rsidRPr="005A1FB5" w:rsidRDefault="00412FCD" w:rsidP="00F07C60">
            <w:pPr>
              <w:jc w:val="right"/>
              <w:rPr>
                <w:rFonts w:ascii="Arial Narrow" w:eastAsia="Times New Roman" w:hAnsi="Arial Narrow" w:cs="Arial"/>
              </w:rPr>
            </w:pPr>
            <w:r>
              <w:rPr>
                <w:rFonts w:ascii="Arial Narrow" w:hAnsi="Arial Narrow" w:cs="Arial"/>
              </w:rPr>
              <w:t>411</w:t>
            </w:r>
          </w:p>
        </w:tc>
        <w:tc>
          <w:tcPr>
            <w:tcW w:w="834" w:type="dxa"/>
            <w:tcBorders>
              <w:top w:val="nil"/>
              <w:left w:val="nil"/>
              <w:bottom w:val="nil"/>
              <w:right w:val="nil"/>
            </w:tcBorders>
            <w:shd w:val="clear" w:color="000000" w:fill="D6CFCD"/>
            <w:noWrap/>
            <w:vAlign w:val="bottom"/>
          </w:tcPr>
          <w:p w14:paraId="6310A1F4"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245</w:t>
            </w:r>
          </w:p>
        </w:tc>
        <w:tc>
          <w:tcPr>
            <w:tcW w:w="745" w:type="dxa"/>
            <w:tcBorders>
              <w:top w:val="nil"/>
              <w:left w:val="nil"/>
              <w:bottom w:val="nil"/>
              <w:right w:val="single" w:sz="8" w:space="0" w:color="auto"/>
            </w:tcBorders>
            <w:shd w:val="clear" w:color="000000" w:fill="D6CFCD"/>
            <w:noWrap/>
            <w:vAlign w:val="bottom"/>
          </w:tcPr>
          <w:p w14:paraId="10220B4C"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275</w:t>
            </w:r>
          </w:p>
        </w:tc>
        <w:tc>
          <w:tcPr>
            <w:tcW w:w="761" w:type="dxa"/>
            <w:tcBorders>
              <w:top w:val="nil"/>
              <w:left w:val="single" w:sz="8" w:space="0" w:color="auto"/>
              <w:bottom w:val="nil"/>
              <w:right w:val="nil"/>
            </w:tcBorders>
            <w:shd w:val="clear" w:color="000000" w:fill="D6CFCD"/>
            <w:noWrap/>
            <w:vAlign w:val="bottom"/>
          </w:tcPr>
          <w:p w14:paraId="05182D8B"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669</w:t>
            </w:r>
          </w:p>
        </w:tc>
        <w:tc>
          <w:tcPr>
            <w:tcW w:w="810" w:type="dxa"/>
            <w:tcBorders>
              <w:top w:val="nil"/>
              <w:left w:val="nil"/>
              <w:bottom w:val="nil"/>
              <w:right w:val="nil"/>
            </w:tcBorders>
            <w:shd w:val="clear" w:color="000000" w:fill="D6CFCD"/>
            <w:noWrap/>
            <w:vAlign w:val="bottom"/>
          </w:tcPr>
          <w:p w14:paraId="0B97D330"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431</w:t>
            </w:r>
          </w:p>
        </w:tc>
        <w:tc>
          <w:tcPr>
            <w:tcW w:w="720" w:type="dxa"/>
            <w:gridSpan w:val="2"/>
            <w:tcBorders>
              <w:top w:val="nil"/>
              <w:left w:val="nil"/>
              <w:bottom w:val="nil"/>
              <w:right w:val="single" w:sz="8" w:space="0" w:color="auto"/>
            </w:tcBorders>
            <w:shd w:val="clear" w:color="000000" w:fill="D6CFCD"/>
            <w:noWrap/>
            <w:vAlign w:val="bottom"/>
          </w:tcPr>
          <w:p w14:paraId="5A8D99EC"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470</w:t>
            </w:r>
          </w:p>
        </w:tc>
      </w:tr>
      <w:tr w:rsidR="00412FCD" w:rsidRPr="00304B8B" w14:paraId="3816FFBB" w14:textId="77777777">
        <w:trPr>
          <w:trHeight w:val="272"/>
        </w:trPr>
        <w:tc>
          <w:tcPr>
            <w:tcW w:w="1998" w:type="dxa"/>
            <w:tcBorders>
              <w:top w:val="nil"/>
              <w:left w:val="single" w:sz="8" w:space="0" w:color="auto"/>
              <w:bottom w:val="nil"/>
              <w:right w:val="single" w:sz="8" w:space="0" w:color="auto"/>
            </w:tcBorders>
            <w:shd w:val="clear" w:color="000000" w:fill="FFFFFF"/>
            <w:noWrap/>
            <w:vAlign w:val="bottom"/>
          </w:tcPr>
          <w:p w14:paraId="72488327" w14:textId="77777777" w:rsidR="00412FCD" w:rsidRPr="005A1FB5" w:rsidRDefault="00412FCD" w:rsidP="00F07C60">
            <w:pPr>
              <w:rPr>
                <w:rFonts w:ascii="Arial Narrow" w:eastAsia="Times New Roman" w:hAnsi="Arial Narrow" w:cs="Arial"/>
                <w:color w:val="000000"/>
              </w:rPr>
            </w:pPr>
            <w:r w:rsidRPr="005A1FB5">
              <w:rPr>
                <w:rFonts w:ascii="Arial Narrow" w:eastAsia="Times New Roman" w:hAnsi="Arial Narrow" w:cs="Arial"/>
                <w:color w:val="000000"/>
              </w:rPr>
              <w:t>Demand Response</w:t>
            </w:r>
          </w:p>
        </w:tc>
        <w:tc>
          <w:tcPr>
            <w:tcW w:w="810" w:type="dxa"/>
            <w:tcBorders>
              <w:top w:val="nil"/>
              <w:left w:val="single" w:sz="8" w:space="0" w:color="auto"/>
              <w:bottom w:val="nil"/>
              <w:right w:val="nil"/>
            </w:tcBorders>
            <w:shd w:val="clear" w:color="000000" w:fill="FFFFFF"/>
            <w:noWrap/>
            <w:vAlign w:val="bottom"/>
          </w:tcPr>
          <w:p w14:paraId="62DC5D16"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18</w:t>
            </w:r>
          </w:p>
        </w:tc>
        <w:tc>
          <w:tcPr>
            <w:tcW w:w="900" w:type="dxa"/>
            <w:tcBorders>
              <w:top w:val="nil"/>
              <w:left w:val="nil"/>
              <w:bottom w:val="nil"/>
              <w:right w:val="nil"/>
            </w:tcBorders>
            <w:shd w:val="clear" w:color="000000" w:fill="FFFFFF"/>
            <w:noWrap/>
            <w:vAlign w:val="bottom"/>
          </w:tcPr>
          <w:p w14:paraId="3AEC00D1"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44" w:type="dxa"/>
            <w:tcBorders>
              <w:top w:val="nil"/>
              <w:left w:val="nil"/>
              <w:bottom w:val="nil"/>
              <w:right w:val="single" w:sz="8" w:space="0" w:color="auto"/>
            </w:tcBorders>
            <w:shd w:val="clear" w:color="000000" w:fill="FFFFFF"/>
            <w:noWrap/>
            <w:vAlign w:val="bottom"/>
          </w:tcPr>
          <w:p w14:paraId="0AE81404"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86" w:type="dxa"/>
            <w:tcBorders>
              <w:top w:val="nil"/>
              <w:left w:val="single" w:sz="8" w:space="0" w:color="auto"/>
              <w:bottom w:val="nil"/>
              <w:right w:val="nil"/>
            </w:tcBorders>
            <w:shd w:val="clear" w:color="000000" w:fill="FFFFFF"/>
            <w:noWrap/>
            <w:vAlign w:val="bottom"/>
          </w:tcPr>
          <w:p w14:paraId="045498E0"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121</w:t>
            </w:r>
          </w:p>
        </w:tc>
        <w:tc>
          <w:tcPr>
            <w:tcW w:w="834" w:type="dxa"/>
            <w:tcBorders>
              <w:top w:val="nil"/>
              <w:left w:val="nil"/>
              <w:bottom w:val="nil"/>
              <w:right w:val="nil"/>
            </w:tcBorders>
            <w:shd w:val="clear" w:color="000000" w:fill="FFFFFF"/>
            <w:noWrap/>
            <w:vAlign w:val="bottom"/>
          </w:tcPr>
          <w:p w14:paraId="3C797E6D"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45" w:type="dxa"/>
            <w:tcBorders>
              <w:top w:val="nil"/>
              <w:left w:val="nil"/>
              <w:bottom w:val="nil"/>
              <w:right w:val="single" w:sz="8" w:space="0" w:color="auto"/>
            </w:tcBorders>
            <w:shd w:val="clear" w:color="000000" w:fill="FFFFFF"/>
            <w:noWrap/>
            <w:vAlign w:val="bottom"/>
          </w:tcPr>
          <w:p w14:paraId="1BF3E627"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61" w:type="dxa"/>
            <w:tcBorders>
              <w:top w:val="nil"/>
              <w:left w:val="single" w:sz="8" w:space="0" w:color="auto"/>
              <w:bottom w:val="nil"/>
              <w:right w:val="nil"/>
            </w:tcBorders>
            <w:shd w:val="clear" w:color="000000" w:fill="FFFFFF"/>
            <w:noWrap/>
            <w:vAlign w:val="bottom"/>
          </w:tcPr>
          <w:p w14:paraId="76D135BD"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130</w:t>
            </w:r>
          </w:p>
        </w:tc>
        <w:tc>
          <w:tcPr>
            <w:tcW w:w="810" w:type="dxa"/>
            <w:tcBorders>
              <w:top w:val="nil"/>
              <w:left w:val="nil"/>
              <w:bottom w:val="nil"/>
              <w:right w:val="nil"/>
            </w:tcBorders>
            <w:shd w:val="clear" w:color="000000" w:fill="FFFFFF"/>
            <w:noWrap/>
            <w:vAlign w:val="bottom"/>
          </w:tcPr>
          <w:p w14:paraId="5307901D"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20" w:type="dxa"/>
            <w:gridSpan w:val="2"/>
            <w:tcBorders>
              <w:top w:val="nil"/>
              <w:left w:val="nil"/>
              <w:bottom w:val="nil"/>
              <w:right w:val="single" w:sz="8" w:space="0" w:color="auto"/>
            </w:tcBorders>
            <w:shd w:val="clear" w:color="000000" w:fill="FFFFFF"/>
            <w:noWrap/>
            <w:vAlign w:val="bottom"/>
          </w:tcPr>
          <w:p w14:paraId="64309D7F"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r>
      <w:tr w:rsidR="00412FCD" w:rsidRPr="00304B8B" w14:paraId="591DF484" w14:textId="77777777">
        <w:trPr>
          <w:trHeight w:val="272"/>
        </w:trPr>
        <w:tc>
          <w:tcPr>
            <w:tcW w:w="1998" w:type="dxa"/>
            <w:tcBorders>
              <w:top w:val="nil"/>
              <w:left w:val="single" w:sz="8" w:space="0" w:color="auto"/>
              <w:bottom w:val="nil"/>
              <w:right w:val="single" w:sz="8" w:space="0" w:color="auto"/>
            </w:tcBorders>
            <w:shd w:val="clear" w:color="auto" w:fill="D6CFCD"/>
            <w:noWrap/>
            <w:vAlign w:val="bottom"/>
          </w:tcPr>
          <w:p w14:paraId="655D86AB" w14:textId="77777777" w:rsidR="00412FCD" w:rsidRPr="005A1FB5" w:rsidRDefault="00412FCD" w:rsidP="00F07C60">
            <w:pPr>
              <w:rPr>
                <w:rFonts w:ascii="Arial Narrow" w:eastAsia="Times New Roman" w:hAnsi="Arial Narrow" w:cs="Arial"/>
                <w:color w:val="000000"/>
              </w:rPr>
            </w:pPr>
            <w:r w:rsidRPr="005A1FB5">
              <w:rPr>
                <w:rFonts w:ascii="Arial Narrow" w:eastAsia="Times New Roman" w:hAnsi="Arial Narrow" w:cs="Arial"/>
                <w:color w:val="000000"/>
              </w:rPr>
              <w:t>Cogeneration</w:t>
            </w:r>
          </w:p>
        </w:tc>
        <w:tc>
          <w:tcPr>
            <w:tcW w:w="810" w:type="dxa"/>
            <w:tcBorders>
              <w:top w:val="nil"/>
              <w:left w:val="single" w:sz="8" w:space="0" w:color="auto"/>
              <w:bottom w:val="nil"/>
              <w:right w:val="nil"/>
            </w:tcBorders>
            <w:shd w:val="clear" w:color="auto" w:fill="D6CFCD"/>
            <w:noWrap/>
            <w:vAlign w:val="bottom"/>
          </w:tcPr>
          <w:p w14:paraId="500430E0"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900" w:type="dxa"/>
            <w:tcBorders>
              <w:top w:val="nil"/>
              <w:left w:val="nil"/>
              <w:bottom w:val="nil"/>
              <w:right w:val="nil"/>
            </w:tcBorders>
            <w:shd w:val="clear" w:color="auto" w:fill="D6CFCD"/>
            <w:noWrap/>
            <w:vAlign w:val="bottom"/>
          </w:tcPr>
          <w:p w14:paraId="4BD3EAA6"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44" w:type="dxa"/>
            <w:tcBorders>
              <w:top w:val="nil"/>
              <w:left w:val="nil"/>
              <w:bottom w:val="nil"/>
              <w:right w:val="single" w:sz="8" w:space="0" w:color="auto"/>
            </w:tcBorders>
            <w:shd w:val="clear" w:color="auto" w:fill="D6CFCD"/>
            <w:noWrap/>
            <w:vAlign w:val="bottom"/>
          </w:tcPr>
          <w:p w14:paraId="1BDDC404"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86" w:type="dxa"/>
            <w:tcBorders>
              <w:top w:val="nil"/>
              <w:left w:val="single" w:sz="8" w:space="0" w:color="auto"/>
              <w:bottom w:val="nil"/>
              <w:right w:val="nil"/>
            </w:tcBorders>
            <w:shd w:val="clear" w:color="auto" w:fill="D6CFCD"/>
            <w:noWrap/>
            <w:vAlign w:val="bottom"/>
          </w:tcPr>
          <w:p w14:paraId="25B57B89"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834" w:type="dxa"/>
            <w:tcBorders>
              <w:top w:val="nil"/>
              <w:left w:val="nil"/>
              <w:bottom w:val="nil"/>
              <w:right w:val="nil"/>
            </w:tcBorders>
            <w:shd w:val="clear" w:color="auto" w:fill="D6CFCD"/>
            <w:noWrap/>
            <w:vAlign w:val="bottom"/>
          </w:tcPr>
          <w:p w14:paraId="3E510572"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45" w:type="dxa"/>
            <w:tcBorders>
              <w:top w:val="nil"/>
              <w:left w:val="nil"/>
              <w:bottom w:val="nil"/>
              <w:right w:val="single" w:sz="8" w:space="0" w:color="auto"/>
            </w:tcBorders>
            <w:shd w:val="clear" w:color="auto" w:fill="D6CFCD"/>
            <w:noWrap/>
            <w:vAlign w:val="bottom"/>
          </w:tcPr>
          <w:p w14:paraId="454AB59D"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61" w:type="dxa"/>
            <w:tcBorders>
              <w:top w:val="nil"/>
              <w:left w:val="single" w:sz="8" w:space="0" w:color="auto"/>
              <w:bottom w:val="nil"/>
              <w:right w:val="nil"/>
            </w:tcBorders>
            <w:shd w:val="clear" w:color="auto" w:fill="D6CFCD"/>
            <w:noWrap/>
            <w:vAlign w:val="bottom"/>
          </w:tcPr>
          <w:p w14:paraId="5E2621A6"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810" w:type="dxa"/>
            <w:tcBorders>
              <w:top w:val="nil"/>
              <w:left w:val="nil"/>
              <w:bottom w:val="nil"/>
              <w:right w:val="nil"/>
            </w:tcBorders>
            <w:shd w:val="clear" w:color="auto" w:fill="D6CFCD"/>
            <w:noWrap/>
            <w:vAlign w:val="bottom"/>
          </w:tcPr>
          <w:p w14:paraId="77E5C06F"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20" w:type="dxa"/>
            <w:gridSpan w:val="2"/>
            <w:tcBorders>
              <w:top w:val="nil"/>
              <w:left w:val="nil"/>
              <w:bottom w:val="nil"/>
              <w:right w:val="single" w:sz="8" w:space="0" w:color="auto"/>
            </w:tcBorders>
            <w:shd w:val="clear" w:color="auto" w:fill="D6CFCD"/>
            <w:noWrap/>
            <w:vAlign w:val="bottom"/>
          </w:tcPr>
          <w:p w14:paraId="44144814"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r>
      <w:tr w:rsidR="00412FCD" w:rsidRPr="00304B8B" w14:paraId="3A405A0B" w14:textId="77777777">
        <w:trPr>
          <w:trHeight w:val="272"/>
        </w:trPr>
        <w:tc>
          <w:tcPr>
            <w:tcW w:w="1998" w:type="dxa"/>
            <w:tcBorders>
              <w:top w:val="nil"/>
              <w:left w:val="single" w:sz="8" w:space="0" w:color="auto"/>
              <w:bottom w:val="nil"/>
              <w:right w:val="single" w:sz="8" w:space="0" w:color="auto"/>
            </w:tcBorders>
            <w:shd w:val="clear" w:color="000000" w:fill="FFFFFF"/>
            <w:noWrap/>
            <w:vAlign w:val="bottom"/>
          </w:tcPr>
          <w:p w14:paraId="6D3A5034" w14:textId="77777777" w:rsidR="00412FCD" w:rsidRPr="005A1FB5" w:rsidRDefault="00412FCD" w:rsidP="00F07C60">
            <w:pPr>
              <w:rPr>
                <w:rFonts w:ascii="Arial Narrow" w:eastAsia="Times New Roman" w:hAnsi="Arial Narrow" w:cs="Arial"/>
                <w:color w:val="000000"/>
              </w:rPr>
            </w:pPr>
            <w:r w:rsidRPr="005A1FB5">
              <w:rPr>
                <w:rFonts w:ascii="Arial Narrow" w:eastAsia="Times New Roman" w:hAnsi="Arial Narrow" w:cs="Arial"/>
                <w:color w:val="000000"/>
              </w:rPr>
              <w:t>Hydro</w:t>
            </w:r>
          </w:p>
        </w:tc>
        <w:tc>
          <w:tcPr>
            <w:tcW w:w="810" w:type="dxa"/>
            <w:tcBorders>
              <w:top w:val="nil"/>
              <w:left w:val="single" w:sz="8" w:space="0" w:color="auto"/>
              <w:bottom w:val="nil"/>
              <w:right w:val="nil"/>
            </w:tcBorders>
            <w:shd w:val="clear" w:color="000000" w:fill="FFFFFF"/>
            <w:noWrap/>
            <w:vAlign w:val="bottom"/>
          </w:tcPr>
          <w:p w14:paraId="7123DC70"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897</w:t>
            </w:r>
          </w:p>
        </w:tc>
        <w:tc>
          <w:tcPr>
            <w:tcW w:w="900" w:type="dxa"/>
            <w:tcBorders>
              <w:top w:val="nil"/>
              <w:left w:val="nil"/>
              <w:bottom w:val="nil"/>
              <w:right w:val="nil"/>
            </w:tcBorders>
            <w:shd w:val="clear" w:color="000000" w:fill="FFFFFF"/>
            <w:noWrap/>
            <w:vAlign w:val="bottom"/>
          </w:tcPr>
          <w:p w14:paraId="07CCB724"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781</w:t>
            </w:r>
          </w:p>
        </w:tc>
        <w:tc>
          <w:tcPr>
            <w:tcW w:w="744" w:type="dxa"/>
            <w:tcBorders>
              <w:top w:val="nil"/>
              <w:left w:val="nil"/>
              <w:bottom w:val="nil"/>
              <w:right w:val="single" w:sz="8" w:space="0" w:color="auto"/>
            </w:tcBorders>
            <w:shd w:val="clear" w:color="000000" w:fill="FFFFFF"/>
            <w:noWrap/>
            <w:vAlign w:val="bottom"/>
          </w:tcPr>
          <w:p w14:paraId="539A9CB2"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521</w:t>
            </w:r>
          </w:p>
        </w:tc>
        <w:tc>
          <w:tcPr>
            <w:tcW w:w="786" w:type="dxa"/>
            <w:tcBorders>
              <w:top w:val="nil"/>
              <w:left w:val="single" w:sz="8" w:space="0" w:color="auto"/>
              <w:bottom w:val="nil"/>
              <w:right w:val="nil"/>
            </w:tcBorders>
            <w:shd w:val="clear" w:color="000000" w:fill="FFFFFF"/>
            <w:noWrap/>
            <w:vAlign w:val="bottom"/>
          </w:tcPr>
          <w:p w14:paraId="6D7A307A"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897</w:t>
            </w:r>
          </w:p>
        </w:tc>
        <w:tc>
          <w:tcPr>
            <w:tcW w:w="834" w:type="dxa"/>
            <w:tcBorders>
              <w:top w:val="nil"/>
              <w:left w:val="nil"/>
              <w:bottom w:val="nil"/>
              <w:right w:val="nil"/>
            </w:tcBorders>
            <w:shd w:val="clear" w:color="000000" w:fill="FFFFFF"/>
            <w:noWrap/>
            <w:vAlign w:val="bottom"/>
          </w:tcPr>
          <w:p w14:paraId="03A2B408"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777</w:t>
            </w:r>
          </w:p>
        </w:tc>
        <w:tc>
          <w:tcPr>
            <w:tcW w:w="745" w:type="dxa"/>
            <w:tcBorders>
              <w:top w:val="nil"/>
              <w:left w:val="nil"/>
              <w:bottom w:val="nil"/>
              <w:right w:val="single" w:sz="8" w:space="0" w:color="auto"/>
            </w:tcBorders>
            <w:shd w:val="clear" w:color="000000" w:fill="FFFFFF"/>
            <w:noWrap/>
            <w:vAlign w:val="bottom"/>
          </w:tcPr>
          <w:p w14:paraId="13E14630"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516</w:t>
            </w:r>
          </w:p>
        </w:tc>
        <w:tc>
          <w:tcPr>
            <w:tcW w:w="761" w:type="dxa"/>
            <w:tcBorders>
              <w:top w:val="nil"/>
              <w:left w:val="single" w:sz="8" w:space="0" w:color="auto"/>
              <w:bottom w:val="nil"/>
              <w:right w:val="nil"/>
            </w:tcBorders>
            <w:shd w:val="clear" w:color="000000" w:fill="FFFFFF"/>
            <w:noWrap/>
            <w:vAlign w:val="bottom"/>
          </w:tcPr>
          <w:p w14:paraId="444E6A84"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897</w:t>
            </w:r>
          </w:p>
        </w:tc>
        <w:tc>
          <w:tcPr>
            <w:tcW w:w="810" w:type="dxa"/>
            <w:tcBorders>
              <w:top w:val="nil"/>
              <w:left w:val="nil"/>
              <w:bottom w:val="nil"/>
              <w:right w:val="nil"/>
            </w:tcBorders>
            <w:shd w:val="clear" w:color="000000" w:fill="FFFFFF"/>
            <w:noWrap/>
            <w:vAlign w:val="bottom"/>
          </w:tcPr>
          <w:p w14:paraId="0F5923F2"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777</w:t>
            </w:r>
          </w:p>
        </w:tc>
        <w:tc>
          <w:tcPr>
            <w:tcW w:w="720" w:type="dxa"/>
            <w:gridSpan w:val="2"/>
            <w:tcBorders>
              <w:top w:val="nil"/>
              <w:left w:val="nil"/>
              <w:bottom w:val="nil"/>
              <w:right w:val="single" w:sz="8" w:space="0" w:color="auto"/>
            </w:tcBorders>
            <w:shd w:val="clear" w:color="000000" w:fill="FFFFFF"/>
            <w:noWrap/>
            <w:vAlign w:val="bottom"/>
          </w:tcPr>
          <w:p w14:paraId="69C4B428"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500</w:t>
            </w:r>
          </w:p>
        </w:tc>
      </w:tr>
      <w:tr w:rsidR="00412FCD" w:rsidRPr="00304B8B" w14:paraId="282F7337" w14:textId="77777777">
        <w:trPr>
          <w:trHeight w:val="272"/>
        </w:trPr>
        <w:tc>
          <w:tcPr>
            <w:tcW w:w="1998" w:type="dxa"/>
            <w:tcBorders>
              <w:top w:val="nil"/>
              <w:left w:val="single" w:sz="8" w:space="0" w:color="auto"/>
              <w:bottom w:val="nil"/>
              <w:right w:val="single" w:sz="8" w:space="0" w:color="auto"/>
            </w:tcBorders>
            <w:shd w:val="clear" w:color="auto" w:fill="D6CFCD"/>
            <w:noWrap/>
            <w:vAlign w:val="bottom"/>
          </w:tcPr>
          <w:p w14:paraId="51CB26F8" w14:textId="77777777" w:rsidR="00412FCD" w:rsidRPr="005A1FB5" w:rsidRDefault="00412FCD" w:rsidP="00F07C60">
            <w:pPr>
              <w:rPr>
                <w:rFonts w:ascii="Arial Narrow" w:eastAsia="Times New Roman" w:hAnsi="Arial Narrow" w:cs="Arial"/>
                <w:color w:val="000000"/>
              </w:rPr>
            </w:pPr>
            <w:r w:rsidRPr="005A1FB5">
              <w:rPr>
                <w:rFonts w:ascii="Arial Narrow" w:eastAsia="Times New Roman" w:hAnsi="Arial Narrow" w:cs="Arial"/>
                <w:color w:val="000000"/>
              </w:rPr>
              <w:t>Wind</w:t>
            </w:r>
          </w:p>
        </w:tc>
        <w:tc>
          <w:tcPr>
            <w:tcW w:w="810" w:type="dxa"/>
            <w:tcBorders>
              <w:top w:val="nil"/>
              <w:left w:val="single" w:sz="8" w:space="0" w:color="auto"/>
              <w:bottom w:val="nil"/>
              <w:right w:val="nil"/>
            </w:tcBorders>
            <w:shd w:val="clear" w:color="auto" w:fill="D6CFCD"/>
            <w:noWrap/>
            <w:vAlign w:val="bottom"/>
          </w:tcPr>
          <w:p w14:paraId="79A2E32A"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74</w:t>
            </w:r>
          </w:p>
        </w:tc>
        <w:tc>
          <w:tcPr>
            <w:tcW w:w="900" w:type="dxa"/>
            <w:tcBorders>
              <w:top w:val="nil"/>
              <w:left w:val="nil"/>
              <w:bottom w:val="nil"/>
              <w:right w:val="nil"/>
            </w:tcBorders>
            <w:shd w:val="clear" w:color="auto" w:fill="D6CFCD"/>
            <w:noWrap/>
            <w:vAlign w:val="bottom"/>
          </w:tcPr>
          <w:p w14:paraId="78F1B1BF"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74</w:t>
            </w:r>
          </w:p>
        </w:tc>
        <w:tc>
          <w:tcPr>
            <w:tcW w:w="744" w:type="dxa"/>
            <w:tcBorders>
              <w:top w:val="nil"/>
              <w:left w:val="nil"/>
              <w:bottom w:val="nil"/>
              <w:right w:val="single" w:sz="8" w:space="0" w:color="auto"/>
            </w:tcBorders>
            <w:shd w:val="clear" w:color="auto" w:fill="D6CFCD"/>
            <w:noWrap/>
            <w:vAlign w:val="bottom"/>
          </w:tcPr>
          <w:p w14:paraId="6B3CF760"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251</w:t>
            </w:r>
          </w:p>
        </w:tc>
        <w:tc>
          <w:tcPr>
            <w:tcW w:w="786" w:type="dxa"/>
            <w:tcBorders>
              <w:top w:val="nil"/>
              <w:left w:val="single" w:sz="8" w:space="0" w:color="auto"/>
              <w:bottom w:val="nil"/>
              <w:right w:val="nil"/>
            </w:tcBorders>
            <w:shd w:val="clear" w:color="auto" w:fill="D6CFCD"/>
            <w:noWrap/>
            <w:vAlign w:val="bottom"/>
          </w:tcPr>
          <w:p w14:paraId="1CEB1BFB"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74</w:t>
            </w:r>
          </w:p>
        </w:tc>
        <w:tc>
          <w:tcPr>
            <w:tcW w:w="834" w:type="dxa"/>
            <w:tcBorders>
              <w:top w:val="nil"/>
              <w:left w:val="nil"/>
              <w:bottom w:val="nil"/>
              <w:right w:val="nil"/>
            </w:tcBorders>
            <w:shd w:val="clear" w:color="auto" w:fill="D6CFCD"/>
            <w:noWrap/>
            <w:vAlign w:val="bottom"/>
          </w:tcPr>
          <w:p w14:paraId="029D3AA3"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74</w:t>
            </w:r>
          </w:p>
        </w:tc>
        <w:tc>
          <w:tcPr>
            <w:tcW w:w="745" w:type="dxa"/>
            <w:tcBorders>
              <w:top w:val="nil"/>
              <w:left w:val="nil"/>
              <w:bottom w:val="nil"/>
              <w:right w:val="single" w:sz="8" w:space="0" w:color="auto"/>
            </w:tcBorders>
            <w:shd w:val="clear" w:color="auto" w:fill="D6CFCD"/>
            <w:noWrap/>
            <w:vAlign w:val="bottom"/>
          </w:tcPr>
          <w:p w14:paraId="64DF3982"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251</w:t>
            </w:r>
          </w:p>
        </w:tc>
        <w:tc>
          <w:tcPr>
            <w:tcW w:w="761" w:type="dxa"/>
            <w:tcBorders>
              <w:top w:val="nil"/>
              <w:left w:val="single" w:sz="8" w:space="0" w:color="auto"/>
              <w:bottom w:val="nil"/>
              <w:right w:val="nil"/>
            </w:tcBorders>
            <w:shd w:val="clear" w:color="auto" w:fill="D6CFCD"/>
            <w:noWrap/>
            <w:vAlign w:val="bottom"/>
          </w:tcPr>
          <w:p w14:paraId="62AE1634"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74</w:t>
            </w:r>
          </w:p>
        </w:tc>
        <w:tc>
          <w:tcPr>
            <w:tcW w:w="810" w:type="dxa"/>
            <w:tcBorders>
              <w:top w:val="nil"/>
              <w:left w:val="nil"/>
              <w:bottom w:val="nil"/>
              <w:right w:val="nil"/>
            </w:tcBorders>
            <w:shd w:val="clear" w:color="auto" w:fill="D6CFCD"/>
            <w:noWrap/>
            <w:vAlign w:val="bottom"/>
          </w:tcPr>
          <w:p w14:paraId="4B96C1E6"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74</w:t>
            </w:r>
          </w:p>
        </w:tc>
        <w:tc>
          <w:tcPr>
            <w:tcW w:w="720" w:type="dxa"/>
            <w:gridSpan w:val="2"/>
            <w:tcBorders>
              <w:top w:val="nil"/>
              <w:left w:val="nil"/>
              <w:bottom w:val="nil"/>
              <w:right w:val="single" w:sz="8" w:space="0" w:color="auto"/>
            </w:tcBorders>
            <w:shd w:val="clear" w:color="auto" w:fill="D6CFCD"/>
            <w:noWrap/>
            <w:vAlign w:val="bottom"/>
          </w:tcPr>
          <w:p w14:paraId="71997BCE"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251</w:t>
            </w:r>
          </w:p>
        </w:tc>
      </w:tr>
      <w:tr w:rsidR="00412FCD" w:rsidRPr="00304B8B" w14:paraId="1EA8B109" w14:textId="77777777">
        <w:trPr>
          <w:trHeight w:val="272"/>
        </w:trPr>
        <w:tc>
          <w:tcPr>
            <w:tcW w:w="1998" w:type="dxa"/>
            <w:tcBorders>
              <w:top w:val="nil"/>
              <w:left w:val="single" w:sz="8" w:space="0" w:color="auto"/>
              <w:bottom w:val="nil"/>
              <w:right w:val="single" w:sz="8" w:space="0" w:color="auto"/>
            </w:tcBorders>
            <w:shd w:val="clear" w:color="000000" w:fill="FFFFFF"/>
            <w:noWrap/>
            <w:vAlign w:val="bottom"/>
          </w:tcPr>
          <w:p w14:paraId="3F63D5AE" w14:textId="77777777" w:rsidR="00412FCD" w:rsidRPr="005A1FB5" w:rsidRDefault="00412FCD" w:rsidP="00F07C60">
            <w:pPr>
              <w:rPr>
                <w:rFonts w:ascii="Arial Narrow" w:eastAsia="Times New Roman" w:hAnsi="Arial Narrow" w:cs="Arial"/>
                <w:color w:val="000000"/>
              </w:rPr>
            </w:pPr>
            <w:r w:rsidRPr="005A1FB5">
              <w:rPr>
                <w:rFonts w:ascii="Arial Narrow" w:eastAsia="Times New Roman" w:hAnsi="Arial Narrow" w:cs="Arial"/>
                <w:color w:val="000000"/>
              </w:rPr>
              <w:t>Other Renewables</w:t>
            </w:r>
          </w:p>
        </w:tc>
        <w:tc>
          <w:tcPr>
            <w:tcW w:w="810" w:type="dxa"/>
            <w:tcBorders>
              <w:top w:val="nil"/>
              <w:left w:val="single" w:sz="8" w:space="0" w:color="auto"/>
              <w:bottom w:val="nil"/>
              <w:right w:val="nil"/>
            </w:tcBorders>
            <w:shd w:val="clear" w:color="000000" w:fill="FFFFFF"/>
            <w:noWrap/>
            <w:vAlign w:val="bottom"/>
          </w:tcPr>
          <w:p w14:paraId="74093FBC"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900" w:type="dxa"/>
            <w:tcBorders>
              <w:top w:val="nil"/>
              <w:left w:val="nil"/>
              <w:bottom w:val="nil"/>
              <w:right w:val="nil"/>
            </w:tcBorders>
            <w:shd w:val="clear" w:color="000000" w:fill="FFFFFF"/>
            <w:noWrap/>
            <w:vAlign w:val="bottom"/>
          </w:tcPr>
          <w:p w14:paraId="21DF1319"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44" w:type="dxa"/>
            <w:tcBorders>
              <w:top w:val="nil"/>
              <w:left w:val="nil"/>
              <w:bottom w:val="nil"/>
              <w:right w:val="single" w:sz="8" w:space="0" w:color="auto"/>
            </w:tcBorders>
            <w:shd w:val="clear" w:color="000000" w:fill="FFFFFF"/>
            <w:noWrap/>
            <w:vAlign w:val="bottom"/>
          </w:tcPr>
          <w:p w14:paraId="05EC6D0B"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86" w:type="dxa"/>
            <w:tcBorders>
              <w:top w:val="nil"/>
              <w:left w:val="single" w:sz="8" w:space="0" w:color="auto"/>
              <w:bottom w:val="nil"/>
              <w:right w:val="nil"/>
            </w:tcBorders>
            <w:shd w:val="clear" w:color="000000" w:fill="FFFFFF"/>
            <w:noWrap/>
            <w:vAlign w:val="bottom"/>
          </w:tcPr>
          <w:p w14:paraId="5A1FF2FF"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834" w:type="dxa"/>
            <w:tcBorders>
              <w:top w:val="nil"/>
              <w:left w:val="nil"/>
              <w:bottom w:val="nil"/>
              <w:right w:val="nil"/>
            </w:tcBorders>
            <w:shd w:val="clear" w:color="000000" w:fill="FFFFFF"/>
            <w:noWrap/>
            <w:vAlign w:val="bottom"/>
          </w:tcPr>
          <w:p w14:paraId="16B9FCBA"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45" w:type="dxa"/>
            <w:tcBorders>
              <w:top w:val="nil"/>
              <w:left w:val="nil"/>
              <w:bottom w:val="nil"/>
              <w:right w:val="single" w:sz="8" w:space="0" w:color="auto"/>
            </w:tcBorders>
            <w:shd w:val="clear" w:color="000000" w:fill="FFFFFF"/>
            <w:noWrap/>
            <w:vAlign w:val="bottom"/>
          </w:tcPr>
          <w:p w14:paraId="7821281C"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61" w:type="dxa"/>
            <w:tcBorders>
              <w:top w:val="nil"/>
              <w:left w:val="single" w:sz="8" w:space="0" w:color="auto"/>
              <w:bottom w:val="nil"/>
              <w:right w:val="nil"/>
            </w:tcBorders>
            <w:shd w:val="clear" w:color="000000" w:fill="FFFFFF"/>
            <w:noWrap/>
            <w:vAlign w:val="bottom"/>
          </w:tcPr>
          <w:p w14:paraId="2B0CB162"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810" w:type="dxa"/>
            <w:tcBorders>
              <w:top w:val="nil"/>
              <w:left w:val="nil"/>
              <w:bottom w:val="nil"/>
              <w:right w:val="nil"/>
            </w:tcBorders>
            <w:shd w:val="clear" w:color="000000" w:fill="FFFFFF"/>
            <w:noWrap/>
            <w:vAlign w:val="bottom"/>
          </w:tcPr>
          <w:p w14:paraId="20FDD625"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20" w:type="dxa"/>
            <w:gridSpan w:val="2"/>
            <w:tcBorders>
              <w:top w:val="nil"/>
              <w:left w:val="nil"/>
              <w:bottom w:val="nil"/>
              <w:right w:val="single" w:sz="8" w:space="0" w:color="auto"/>
            </w:tcBorders>
            <w:shd w:val="clear" w:color="000000" w:fill="FFFFFF"/>
            <w:noWrap/>
            <w:vAlign w:val="bottom"/>
          </w:tcPr>
          <w:p w14:paraId="450CFF3D"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r>
      <w:tr w:rsidR="00412FCD" w:rsidRPr="00304B8B" w14:paraId="7AF49251" w14:textId="77777777">
        <w:trPr>
          <w:trHeight w:val="272"/>
        </w:trPr>
        <w:tc>
          <w:tcPr>
            <w:tcW w:w="1998" w:type="dxa"/>
            <w:tcBorders>
              <w:top w:val="nil"/>
              <w:left w:val="single" w:sz="8" w:space="0" w:color="auto"/>
              <w:bottom w:val="nil"/>
              <w:right w:val="single" w:sz="8" w:space="0" w:color="auto"/>
            </w:tcBorders>
            <w:shd w:val="clear" w:color="auto" w:fill="D6CFCD"/>
            <w:noWrap/>
            <w:vAlign w:val="bottom"/>
          </w:tcPr>
          <w:p w14:paraId="489C72FF" w14:textId="77777777" w:rsidR="00412FCD" w:rsidRPr="005A1FB5" w:rsidRDefault="00412FCD" w:rsidP="00F07C60">
            <w:pPr>
              <w:rPr>
                <w:rFonts w:ascii="Arial Narrow" w:eastAsia="Times New Roman" w:hAnsi="Arial Narrow" w:cs="Arial"/>
                <w:color w:val="000000"/>
              </w:rPr>
            </w:pPr>
            <w:r w:rsidRPr="005A1FB5">
              <w:rPr>
                <w:rFonts w:ascii="Arial Narrow" w:eastAsia="Times New Roman" w:hAnsi="Arial Narrow" w:cs="Arial"/>
                <w:color w:val="000000"/>
              </w:rPr>
              <w:t>Thermal - Gas</w:t>
            </w:r>
          </w:p>
        </w:tc>
        <w:tc>
          <w:tcPr>
            <w:tcW w:w="810" w:type="dxa"/>
            <w:tcBorders>
              <w:top w:val="nil"/>
              <w:left w:val="single" w:sz="8" w:space="0" w:color="auto"/>
              <w:bottom w:val="nil"/>
              <w:right w:val="nil"/>
            </w:tcBorders>
            <w:shd w:val="clear" w:color="auto" w:fill="D6CFCD"/>
            <w:noWrap/>
            <w:vAlign w:val="bottom"/>
          </w:tcPr>
          <w:p w14:paraId="34F47A7A"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2,008</w:t>
            </w:r>
          </w:p>
        </w:tc>
        <w:tc>
          <w:tcPr>
            <w:tcW w:w="900" w:type="dxa"/>
            <w:tcBorders>
              <w:top w:val="nil"/>
              <w:left w:val="nil"/>
              <w:bottom w:val="nil"/>
              <w:right w:val="nil"/>
            </w:tcBorders>
            <w:shd w:val="clear" w:color="auto" w:fill="D6CFCD"/>
            <w:noWrap/>
            <w:vAlign w:val="bottom"/>
          </w:tcPr>
          <w:p w14:paraId="220B6BFF"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1,852</w:t>
            </w:r>
          </w:p>
        </w:tc>
        <w:tc>
          <w:tcPr>
            <w:tcW w:w="744" w:type="dxa"/>
            <w:tcBorders>
              <w:top w:val="nil"/>
              <w:left w:val="nil"/>
              <w:bottom w:val="nil"/>
              <w:right w:val="single" w:sz="8" w:space="0" w:color="auto"/>
            </w:tcBorders>
            <w:shd w:val="clear" w:color="auto" w:fill="D6CFCD"/>
            <w:noWrap/>
            <w:vAlign w:val="bottom"/>
          </w:tcPr>
          <w:p w14:paraId="2B3AC8AA"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1,155</w:t>
            </w:r>
          </w:p>
        </w:tc>
        <w:tc>
          <w:tcPr>
            <w:tcW w:w="786" w:type="dxa"/>
            <w:tcBorders>
              <w:top w:val="nil"/>
              <w:left w:val="single" w:sz="8" w:space="0" w:color="auto"/>
              <w:bottom w:val="nil"/>
              <w:right w:val="nil"/>
            </w:tcBorders>
            <w:shd w:val="clear" w:color="auto" w:fill="D6CFCD"/>
            <w:noWrap/>
            <w:vAlign w:val="bottom"/>
          </w:tcPr>
          <w:p w14:paraId="0930EFFD"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2,028</w:t>
            </w:r>
          </w:p>
        </w:tc>
        <w:tc>
          <w:tcPr>
            <w:tcW w:w="834" w:type="dxa"/>
            <w:tcBorders>
              <w:top w:val="nil"/>
              <w:left w:val="nil"/>
              <w:bottom w:val="nil"/>
              <w:right w:val="nil"/>
            </w:tcBorders>
            <w:shd w:val="clear" w:color="auto" w:fill="D6CFCD"/>
            <w:noWrap/>
            <w:vAlign w:val="bottom"/>
          </w:tcPr>
          <w:p w14:paraId="3573624D"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1,852</w:t>
            </w:r>
          </w:p>
        </w:tc>
        <w:tc>
          <w:tcPr>
            <w:tcW w:w="745" w:type="dxa"/>
            <w:tcBorders>
              <w:top w:val="nil"/>
              <w:left w:val="nil"/>
              <w:bottom w:val="nil"/>
              <w:right w:val="single" w:sz="8" w:space="0" w:color="auto"/>
            </w:tcBorders>
            <w:shd w:val="clear" w:color="auto" w:fill="D6CFCD"/>
            <w:noWrap/>
            <w:vAlign w:val="bottom"/>
          </w:tcPr>
          <w:p w14:paraId="268EEFF4"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1,155</w:t>
            </w:r>
          </w:p>
        </w:tc>
        <w:tc>
          <w:tcPr>
            <w:tcW w:w="761" w:type="dxa"/>
            <w:tcBorders>
              <w:top w:val="nil"/>
              <w:left w:val="single" w:sz="8" w:space="0" w:color="auto"/>
              <w:bottom w:val="nil"/>
              <w:right w:val="nil"/>
            </w:tcBorders>
            <w:shd w:val="clear" w:color="auto" w:fill="D6CFCD"/>
            <w:noWrap/>
            <w:vAlign w:val="bottom"/>
          </w:tcPr>
          <w:p w14:paraId="54981E29"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2,028</w:t>
            </w:r>
          </w:p>
        </w:tc>
        <w:tc>
          <w:tcPr>
            <w:tcW w:w="810" w:type="dxa"/>
            <w:tcBorders>
              <w:top w:val="nil"/>
              <w:left w:val="nil"/>
              <w:bottom w:val="nil"/>
              <w:right w:val="nil"/>
            </w:tcBorders>
            <w:shd w:val="clear" w:color="auto" w:fill="D6CFCD"/>
            <w:noWrap/>
            <w:vAlign w:val="bottom"/>
          </w:tcPr>
          <w:p w14:paraId="6AC9DF69"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1,852</w:t>
            </w:r>
          </w:p>
        </w:tc>
        <w:tc>
          <w:tcPr>
            <w:tcW w:w="720" w:type="dxa"/>
            <w:gridSpan w:val="2"/>
            <w:tcBorders>
              <w:top w:val="nil"/>
              <w:left w:val="nil"/>
              <w:bottom w:val="nil"/>
              <w:right w:val="single" w:sz="8" w:space="0" w:color="auto"/>
            </w:tcBorders>
            <w:shd w:val="clear" w:color="auto" w:fill="D6CFCD"/>
            <w:noWrap/>
            <w:vAlign w:val="bottom"/>
          </w:tcPr>
          <w:p w14:paraId="5D8CBB26"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1,155</w:t>
            </w:r>
          </w:p>
        </w:tc>
      </w:tr>
      <w:tr w:rsidR="00412FCD" w:rsidRPr="00304B8B" w14:paraId="16CA15D0" w14:textId="77777777">
        <w:trPr>
          <w:trHeight w:val="272"/>
        </w:trPr>
        <w:tc>
          <w:tcPr>
            <w:tcW w:w="1998" w:type="dxa"/>
            <w:tcBorders>
              <w:top w:val="nil"/>
              <w:left w:val="single" w:sz="8" w:space="0" w:color="auto"/>
              <w:bottom w:val="nil"/>
              <w:right w:val="single" w:sz="8" w:space="0" w:color="auto"/>
            </w:tcBorders>
            <w:shd w:val="clear" w:color="000000" w:fill="FFFFFF"/>
            <w:noWrap/>
            <w:vAlign w:val="bottom"/>
          </w:tcPr>
          <w:p w14:paraId="139E34C0" w14:textId="77777777" w:rsidR="00412FCD" w:rsidRPr="005A1FB5" w:rsidRDefault="00412FCD" w:rsidP="00F07C60">
            <w:pPr>
              <w:rPr>
                <w:rFonts w:ascii="Arial Narrow" w:eastAsia="Times New Roman" w:hAnsi="Arial Narrow" w:cs="Arial"/>
                <w:color w:val="000000"/>
              </w:rPr>
            </w:pPr>
            <w:r w:rsidRPr="005A1FB5">
              <w:rPr>
                <w:rFonts w:ascii="Arial Narrow" w:eastAsia="Times New Roman" w:hAnsi="Arial Narrow" w:cs="Arial"/>
                <w:color w:val="000000"/>
              </w:rPr>
              <w:t>Thermal - Coal</w:t>
            </w:r>
          </w:p>
        </w:tc>
        <w:tc>
          <w:tcPr>
            <w:tcW w:w="810" w:type="dxa"/>
            <w:tcBorders>
              <w:top w:val="nil"/>
              <w:left w:val="single" w:sz="8" w:space="0" w:color="auto"/>
              <w:bottom w:val="nil"/>
              <w:right w:val="nil"/>
            </w:tcBorders>
            <w:shd w:val="clear" w:color="000000" w:fill="FFFFFF"/>
            <w:noWrap/>
            <w:vAlign w:val="bottom"/>
          </w:tcPr>
          <w:p w14:paraId="375A5F06"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592</w:t>
            </w:r>
          </w:p>
        </w:tc>
        <w:tc>
          <w:tcPr>
            <w:tcW w:w="900" w:type="dxa"/>
            <w:tcBorders>
              <w:top w:val="nil"/>
              <w:left w:val="nil"/>
              <w:bottom w:val="nil"/>
              <w:right w:val="nil"/>
            </w:tcBorders>
            <w:shd w:val="clear" w:color="000000" w:fill="FFFFFF"/>
            <w:noWrap/>
            <w:vAlign w:val="bottom"/>
          </w:tcPr>
          <w:p w14:paraId="20FC48A4"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592</w:t>
            </w:r>
          </w:p>
        </w:tc>
        <w:tc>
          <w:tcPr>
            <w:tcW w:w="744" w:type="dxa"/>
            <w:tcBorders>
              <w:top w:val="nil"/>
              <w:left w:val="nil"/>
              <w:bottom w:val="nil"/>
              <w:right w:val="single" w:sz="8" w:space="0" w:color="auto"/>
            </w:tcBorders>
            <w:shd w:val="clear" w:color="000000" w:fill="FFFFFF"/>
            <w:noWrap/>
            <w:vAlign w:val="bottom"/>
          </w:tcPr>
          <w:p w14:paraId="097B7ECB"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575</w:t>
            </w:r>
          </w:p>
        </w:tc>
        <w:tc>
          <w:tcPr>
            <w:tcW w:w="786" w:type="dxa"/>
            <w:tcBorders>
              <w:top w:val="nil"/>
              <w:left w:val="single" w:sz="8" w:space="0" w:color="auto"/>
              <w:bottom w:val="nil"/>
              <w:right w:val="nil"/>
            </w:tcBorders>
            <w:shd w:val="clear" w:color="000000" w:fill="FFFFFF"/>
            <w:noWrap/>
            <w:vAlign w:val="bottom"/>
          </w:tcPr>
          <w:p w14:paraId="61BBE299"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592</w:t>
            </w:r>
          </w:p>
        </w:tc>
        <w:tc>
          <w:tcPr>
            <w:tcW w:w="834" w:type="dxa"/>
            <w:tcBorders>
              <w:top w:val="nil"/>
              <w:left w:val="nil"/>
              <w:bottom w:val="nil"/>
              <w:right w:val="nil"/>
            </w:tcBorders>
            <w:shd w:val="clear" w:color="000000" w:fill="FFFFFF"/>
            <w:noWrap/>
            <w:vAlign w:val="bottom"/>
          </w:tcPr>
          <w:p w14:paraId="7FF0F1E7"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592</w:t>
            </w:r>
          </w:p>
        </w:tc>
        <w:tc>
          <w:tcPr>
            <w:tcW w:w="745" w:type="dxa"/>
            <w:tcBorders>
              <w:top w:val="nil"/>
              <w:left w:val="nil"/>
              <w:bottom w:val="nil"/>
              <w:right w:val="single" w:sz="8" w:space="0" w:color="auto"/>
            </w:tcBorders>
            <w:shd w:val="clear" w:color="000000" w:fill="FFFFFF"/>
            <w:noWrap/>
            <w:vAlign w:val="bottom"/>
          </w:tcPr>
          <w:p w14:paraId="597D2174"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575</w:t>
            </w:r>
          </w:p>
        </w:tc>
        <w:tc>
          <w:tcPr>
            <w:tcW w:w="761" w:type="dxa"/>
            <w:tcBorders>
              <w:top w:val="nil"/>
              <w:left w:val="single" w:sz="8" w:space="0" w:color="auto"/>
              <w:bottom w:val="nil"/>
              <w:right w:val="nil"/>
            </w:tcBorders>
            <w:shd w:val="clear" w:color="000000" w:fill="FFFFFF"/>
            <w:noWrap/>
            <w:vAlign w:val="bottom"/>
          </w:tcPr>
          <w:p w14:paraId="307946C5"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592</w:t>
            </w:r>
          </w:p>
        </w:tc>
        <w:tc>
          <w:tcPr>
            <w:tcW w:w="810" w:type="dxa"/>
            <w:tcBorders>
              <w:top w:val="nil"/>
              <w:left w:val="nil"/>
              <w:bottom w:val="nil"/>
              <w:right w:val="nil"/>
            </w:tcBorders>
            <w:shd w:val="clear" w:color="000000" w:fill="FFFFFF"/>
            <w:noWrap/>
            <w:vAlign w:val="bottom"/>
          </w:tcPr>
          <w:p w14:paraId="379CAF0F"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592</w:t>
            </w:r>
          </w:p>
        </w:tc>
        <w:tc>
          <w:tcPr>
            <w:tcW w:w="720" w:type="dxa"/>
            <w:gridSpan w:val="2"/>
            <w:tcBorders>
              <w:top w:val="nil"/>
              <w:left w:val="nil"/>
              <w:bottom w:val="nil"/>
              <w:right w:val="single" w:sz="8" w:space="0" w:color="auto"/>
            </w:tcBorders>
            <w:shd w:val="clear" w:color="000000" w:fill="FFFFFF"/>
            <w:noWrap/>
            <w:vAlign w:val="bottom"/>
          </w:tcPr>
          <w:p w14:paraId="10F4B4D5"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575</w:t>
            </w:r>
          </w:p>
        </w:tc>
      </w:tr>
      <w:tr w:rsidR="00DC2EB4" w:rsidRPr="00304B8B" w14:paraId="2DF46B46" w14:textId="77777777">
        <w:trPr>
          <w:trHeight w:val="272"/>
        </w:trPr>
        <w:tc>
          <w:tcPr>
            <w:tcW w:w="1998" w:type="dxa"/>
            <w:tcBorders>
              <w:top w:val="nil"/>
              <w:left w:val="single" w:sz="8" w:space="0" w:color="auto"/>
              <w:bottom w:val="nil"/>
              <w:right w:val="single" w:sz="8" w:space="0" w:color="auto"/>
            </w:tcBorders>
            <w:shd w:val="clear" w:color="auto" w:fill="D6CFCD"/>
            <w:noWrap/>
            <w:vAlign w:val="bottom"/>
          </w:tcPr>
          <w:p w14:paraId="61B39C82" w14:textId="77777777" w:rsidR="00412FCD" w:rsidRPr="005A1FB5" w:rsidRDefault="00412FCD" w:rsidP="00F07C60">
            <w:pPr>
              <w:rPr>
                <w:rFonts w:ascii="Arial Narrow" w:eastAsia="Times New Roman" w:hAnsi="Arial Narrow" w:cs="Arial"/>
                <w:color w:val="000000"/>
              </w:rPr>
            </w:pPr>
            <w:r w:rsidRPr="005A1FB5">
              <w:rPr>
                <w:rFonts w:ascii="Arial Narrow" w:eastAsia="Times New Roman" w:hAnsi="Arial Narrow" w:cs="Arial"/>
                <w:color w:val="000000"/>
              </w:rPr>
              <w:t>Long Term: BPA Base Year or Tier 1</w:t>
            </w:r>
          </w:p>
        </w:tc>
        <w:tc>
          <w:tcPr>
            <w:tcW w:w="810" w:type="dxa"/>
            <w:tcBorders>
              <w:top w:val="nil"/>
              <w:left w:val="single" w:sz="8" w:space="0" w:color="auto"/>
              <w:bottom w:val="nil"/>
              <w:right w:val="nil"/>
            </w:tcBorders>
            <w:shd w:val="clear" w:color="auto" w:fill="D6CFCD"/>
            <w:noWrap/>
            <w:vAlign w:val="bottom"/>
          </w:tcPr>
          <w:p w14:paraId="42882029"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900" w:type="dxa"/>
            <w:tcBorders>
              <w:top w:val="nil"/>
              <w:left w:val="nil"/>
              <w:bottom w:val="nil"/>
              <w:right w:val="nil"/>
            </w:tcBorders>
            <w:shd w:val="clear" w:color="auto" w:fill="D6CFCD"/>
            <w:noWrap/>
            <w:vAlign w:val="bottom"/>
          </w:tcPr>
          <w:p w14:paraId="7B46A52D"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44" w:type="dxa"/>
            <w:tcBorders>
              <w:top w:val="nil"/>
              <w:left w:val="nil"/>
              <w:bottom w:val="nil"/>
              <w:right w:val="single" w:sz="8" w:space="0" w:color="auto"/>
            </w:tcBorders>
            <w:shd w:val="clear" w:color="auto" w:fill="D6CFCD"/>
            <w:noWrap/>
            <w:vAlign w:val="bottom"/>
          </w:tcPr>
          <w:p w14:paraId="603B98D8"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86" w:type="dxa"/>
            <w:tcBorders>
              <w:top w:val="nil"/>
              <w:left w:val="single" w:sz="8" w:space="0" w:color="auto"/>
              <w:bottom w:val="nil"/>
              <w:right w:val="nil"/>
            </w:tcBorders>
            <w:shd w:val="clear" w:color="auto" w:fill="D6CFCD"/>
            <w:noWrap/>
            <w:vAlign w:val="bottom"/>
          </w:tcPr>
          <w:p w14:paraId="69638D14"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834" w:type="dxa"/>
            <w:tcBorders>
              <w:top w:val="nil"/>
              <w:left w:val="nil"/>
              <w:bottom w:val="nil"/>
              <w:right w:val="nil"/>
            </w:tcBorders>
            <w:shd w:val="clear" w:color="auto" w:fill="D6CFCD"/>
            <w:noWrap/>
            <w:vAlign w:val="bottom"/>
          </w:tcPr>
          <w:p w14:paraId="2B2826B6"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45" w:type="dxa"/>
            <w:tcBorders>
              <w:top w:val="nil"/>
              <w:left w:val="nil"/>
              <w:bottom w:val="nil"/>
              <w:right w:val="single" w:sz="8" w:space="0" w:color="auto"/>
            </w:tcBorders>
            <w:shd w:val="clear" w:color="auto" w:fill="D6CFCD"/>
            <w:noWrap/>
            <w:vAlign w:val="bottom"/>
          </w:tcPr>
          <w:p w14:paraId="3E61E3EB"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61" w:type="dxa"/>
            <w:tcBorders>
              <w:top w:val="nil"/>
              <w:left w:val="single" w:sz="8" w:space="0" w:color="auto"/>
              <w:bottom w:val="nil"/>
              <w:right w:val="nil"/>
            </w:tcBorders>
            <w:shd w:val="clear" w:color="auto" w:fill="D6CFCD"/>
            <w:noWrap/>
            <w:vAlign w:val="bottom"/>
          </w:tcPr>
          <w:p w14:paraId="4C717301"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810" w:type="dxa"/>
            <w:tcBorders>
              <w:top w:val="nil"/>
              <w:left w:val="nil"/>
              <w:bottom w:val="nil"/>
              <w:right w:val="nil"/>
            </w:tcBorders>
            <w:shd w:val="clear" w:color="auto" w:fill="D6CFCD"/>
            <w:noWrap/>
            <w:vAlign w:val="bottom"/>
          </w:tcPr>
          <w:p w14:paraId="3755D5E4"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20" w:type="dxa"/>
            <w:gridSpan w:val="2"/>
            <w:tcBorders>
              <w:top w:val="nil"/>
              <w:left w:val="nil"/>
              <w:bottom w:val="nil"/>
              <w:right w:val="single" w:sz="8" w:space="0" w:color="auto"/>
            </w:tcBorders>
            <w:shd w:val="clear" w:color="auto" w:fill="D6CFCD"/>
            <w:noWrap/>
            <w:vAlign w:val="bottom"/>
          </w:tcPr>
          <w:p w14:paraId="72FB4E36" w14:textId="77777777" w:rsidR="00412FCD" w:rsidRPr="00304B8B" w:rsidRDefault="00412FCD" w:rsidP="00787534">
            <w:pPr>
              <w:pStyle w:val="IRPsanstext"/>
              <w:tabs>
                <w:tab w:val="left" w:pos="3060"/>
              </w:tabs>
              <w:spacing w:line="276" w:lineRule="auto"/>
              <w:jc w:val="right"/>
              <w:rPr>
                <w:sz w:val="18"/>
                <w:szCs w:val="18"/>
              </w:rPr>
            </w:pPr>
            <w:r>
              <w:rPr>
                <w:rFonts w:ascii="Arial Narrow" w:hAnsi="Arial Narrow" w:cs="Arial"/>
                <w:color w:val="000000"/>
              </w:rPr>
              <w:t> </w:t>
            </w:r>
          </w:p>
        </w:tc>
      </w:tr>
      <w:tr w:rsidR="00412FCD" w:rsidRPr="00304B8B" w14:paraId="234877E8" w14:textId="77777777">
        <w:trPr>
          <w:trHeight w:val="272"/>
        </w:trPr>
        <w:tc>
          <w:tcPr>
            <w:tcW w:w="1998" w:type="dxa"/>
            <w:tcBorders>
              <w:top w:val="nil"/>
              <w:left w:val="single" w:sz="8" w:space="0" w:color="auto"/>
              <w:bottom w:val="nil"/>
              <w:right w:val="single" w:sz="8" w:space="0" w:color="auto"/>
            </w:tcBorders>
            <w:shd w:val="clear" w:color="000000" w:fill="FFFFFF"/>
            <w:noWrap/>
            <w:vAlign w:val="bottom"/>
          </w:tcPr>
          <w:p w14:paraId="14C42770" w14:textId="77777777" w:rsidR="00412FCD" w:rsidRPr="005A1FB5" w:rsidRDefault="00412FCD" w:rsidP="00F07C60">
            <w:pPr>
              <w:rPr>
                <w:rFonts w:ascii="Arial Narrow" w:eastAsia="Times New Roman" w:hAnsi="Arial Narrow" w:cs="Arial"/>
                <w:color w:val="000000"/>
              </w:rPr>
            </w:pPr>
            <w:r w:rsidRPr="005A1FB5">
              <w:rPr>
                <w:rFonts w:ascii="Arial Narrow" w:eastAsia="Times New Roman" w:hAnsi="Arial Narrow" w:cs="Arial"/>
                <w:color w:val="000000"/>
              </w:rPr>
              <w:t>Net Long Term Contracts: Other</w:t>
            </w:r>
          </w:p>
        </w:tc>
        <w:tc>
          <w:tcPr>
            <w:tcW w:w="810" w:type="dxa"/>
            <w:tcBorders>
              <w:top w:val="nil"/>
              <w:left w:val="single" w:sz="8" w:space="0" w:color="auto"/>
              <w:bottom w:val="nil"/>
              <w:right w:val="nil"/>
            </w:tcBorders>
            <w:shd w:val="clear" w:color="000000" w:fill="FFFFFF"/>
            <w:noWrap/>
            <w:vAlign w:val="bottom"/>
          </w:tcPr>
          <w:p w14:paraId="4429A058"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492</w:t>
            </w:r>
          </w:p>
        </w:tc>
        <w:tc>
          <w:tcPr>
            <w:tcW w:w="900" w:type="dxa"/>
            <w:tcBorders>
              <w:top w:val="nil"/>
              <w:left w:val="nil"/>
              <w:bottom w:val="nil"/>
              <w:right w:val="nil"/>
            </w:tcBorders>
            <w:shd w:val="clear" w:color="000000" w:fill="FFFFFF"/>
            <w:noWrap/>
            <w:vAlign w:val="bottom"/>
          </w:tcPr>
          <w:p w14:paraId="0BF933B4"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300</w:t>
            </w:r>
          </w:p>
        </w:tc>
        <w:tc>
          <w:tcPr>
            <w:tcW w:w="744" w:type="dxa"/>
            <w:tcBorders>
              <w:top w:val="nil"/>
              <w:left w:val="nil"/>
              <w:bottom w:val="nil"/>
              <w:right w:val="single" w:sz="8" w:space="0" w:color="auto"/>
            </w:tcBorders>
            <w:shd w:val="clear" w:color="000000" w:fill="FFFFFF"/>
            <w:noWrap/>
            <w:vAlign w:val="bottom"/>
          </w:tcPr>
          <w:p w14:paraId="72412ACC"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358</w:t>
            </w:r>
          </w:p>
        </w:tc>
        <w:tc>
          <w:tcPr>
            <w:tcW w:w="786" w:type="dxa"/>
            <w:tcBorders>
              <w:top w:val="nil"/>
              <w:left w:val="single" w:sz="8" w:space="0" w:color="auto"/>
              <w:bottom w:val="nil"/>
              <w:right w:val="nil"/>
            </w:tcBorders>
            <w:shd w:val="clear" w:color="000000" w:fill="FFFFFF"/>
            <w:noWrap/>
            <w:vAlign w:val="bottom"/>
          </w:tcPr>
          <w:p w14:paraId="4913CCF8"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405</w:t>
            </w:r>
          </w:p>
        </w:tc>
        <w:tc>
          <w:tcPr>
            <w:tcW w:w="834" w:type="dxa"/>
            <w:tcBorders>
              <w:top w:val="nil"/>
              <w:left w:val="nil"/>
              <w:bottom w:val="nil"/>
              <w:right w:val="nil"/>
            </w:tcBorders>
            <w:shd w:val="clear" w:color="000000" w:fill="FFFFFF"/>
            <w:noWrap/>
            <w:vAlign w:val="bottom"/>
          </w:tcPr>
          <w:p w14:paraId="17AB1F7C"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395</w:t>
            </w:r>
          </w:p>
        </w:tc>
        <w:tc>
          <w:tcPr>
            <w:tcW w:w="745" w:type="dxa"/>
            <w:tcBorders>
              <w:top w:val="nil"/>
              <w:left w:val="nil"/>
              <w:bottom w:val="nil"/>
              <w:right w:val="single" w:sz="8" w:space="0" w:color="auto"/>
            </w:tcBorders>
            <w:shd w:val="clear" w:color="000000" w:fill="FFFFFF"/>
            <w:noWrap/>
            <w:vAlign w:val="bottom"/>
          </w:tcPr>
          <w:p w14:paraId="1AE3A646"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408</w:t>
            </w:r>
          </w:p>
        </w:tc>
        <w:tc>
          <w:tcPr>
            <w:tcW w:w="761" w:type="dxa"/>
            <w:tcBorders>
              <w:top w:val="nil"/>
              <w:left w:val="single" w:sz="8" w:space="0" w:color="auto"/>
              <w:bottom w:val="nil"/>
              <w:right w:val="nil"/>
            </w:tcBorders>
            <w:shd w:val="clear" w:color="000000" w:fill="FFFFFF"/>
            <w:noWrap/>
            <w:vAlign w:val="bottom"/>
          </w:tcPr>
          <w:p w14:paraId="2A6E972F"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15</w:t>
            </w:r>
          </w:p>
        </w:tc>
        <w:tc>
          <w:tcPr>
            <w:tcW w:w="810" w:type="dxa"/>
            <w:tcBorders>
              <w:top w:val="nil"/>
              <w:left w:val="nil"/>
              <w:bottom w:val="nil"/>
              <w:right w:val="nil"/>
            </w:tcBorders>
            <w:shd w:val="clear" w:color="000000" w:fill="FFFFFF"/>
            <w:noWrap/>
            <w:vAlign w:val="bottom"/>
          </w:tcPr>
          <w:p w14:paraId="6FAAB20D"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4</w:t>
            </w:r>
          </w:p>
        </w:tc>
        <w:tc>
          <w:tcPr>
            <w:tcW w:w="720" w:type="dxa"/>
            <w:gridSpan w:val="2"/>
            <w:tcBorders>
              <w:top w:val="nil"/>
              <w:left w:val="nil"/>
              <w:bottom w:val="nil"/>
              <w:right w:val="single" w:sz="8" w:space="0" w:color="auto"/>
            </w:tcBorders>
            <w:shd w:val="clear" w:color="000000" w:fill="FFFFFF"/>
            <w:noWrap/>
            <w:vAlign w:val="bottom"/>
          </w:tcPr>
          <w:p w14:paraId="027D7D9C"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w:t>
            </w:r>
          </w:p>
        </w:tc>
      </w:tr>
      <w:tr w:rsidR="00412FCD" w:rsidRPr="00304B8B" w14:paraId="36D8D596" w14:textId="77777777">
        <w:trPr>
          <w:trHeight w:val="272"/>
        </w:trPr>
        <w:tc>
          <w:tcPr>
            <w:tcW w:w="1998" w:type="dxa"/>
            <w:tcBorders>
              <w:top w:val="nil"/>
              <w:left w:val="single" w:sz="8" w:space="0" w:color="auto"/>
              <w:bottom w:val="nil"/>
              <w:right w:val="single" w:sz="8" w:space="0" w:color="auto"/>
            </w:tcBorders>
            <w:shd w:val="clear" w:color="auto" w:fill="D6CFCD"/>
            <w:noWrap/>
            <w:vAlign w:val="bottom"/>
          </w:tcPr>
          <w:p w14:paraId="2E2CB588" w14:textId="77777777" w:rsidR="00412FCD" w:rsidRPr="005A1FB5" w:rsidRDefault="00412FCD" w:rsidP="00F07C60">
            <w:pPr>
              <w:rPr>
                <w:rFonts w:ascii="Arial Narrow" w:eastAsia="Times New Roman" w:hAnsi="Arial Narrow" w:cs="Arial"/>
                <w:color w:val="000000"/>
              </w:rPr>
            </w:pPr>
            <w:r w:rsidRPr="005A1FB5">
              <w:rPr>
                <w:rFonts w:ascii="Arial Narrow" w:eastAsia="Times New Roman" w:hAnsi="Arial Narrow" w:cs="Arial"/>
                <w:color w:val="000000"/>
              </w:rPr>
              <w:t>Net Short Term Contracts</w:t>
            </w:r>
          </w:p>
        </w:tc>
        <w:tc>
          <w:tcPr>
            <w:tcW w:w="810" w:type="dxa"/>
            <w:tcBorders>
              <w:top w:val="nil"/>
              <w:left w:val="single" w:sz="8" w:space="0" w:color="auto"/>
              <w:bottom w:val="nil"/>
              <w:right w:val="nil"/>
            </w:tcBorders>
            <w:shd w:val="clear" w:color="auto" w:fill="D6CFCD"/>
            <w:noWrap/>
            <w:vAlign w:val="bottom"/>
          </w:tcPr>
          <w:p w14:paraId="043D005F"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1,686</w:t>
            </w:r>
          </w:p>
        </w:tc>
        <w:tc>
          <w:tcPr>
            <w:tcW w:w="900" w:type="dxa"/>
            <w:tcBorders>
              <w:top w:val="nil"/>
              <w:left w:val="nil"/>
              <w:bottom w:val="nil"/>
              <w:right w:val="nil"/>
            </w:tcBorders>
            <w:shd w:val="clear" w:color="auto" w:fill="D6CFCD"/>
            <w:noWrap/>
            <w:vAlign w:val="bottom"/>
          </w:tcPr>
          <w:p w14:paraId="3343E772"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1,762</w:t>
            </w:r>
          </w:p>
        </w:tc>
        <w:tc>
          <w:tcPr>
            <w:tcW w:w="744" w:type="dxa"/>
            <w:tcBorders>
              <w:top w:val="nil"/>
              <w:left w:val="nil"/>
              <w:bottom w:val="nil"/>
              <w:right w:val="single" w:sz="8" w:space="0" w:color="auto"/>
            </w:tcBorders>
            <w:shd w:val="clear" w:color="auto" w:fill="D6CFCD"/>
            <w:noWrap/>
            <w:vAlign w:val="bottom"/>
          </w:tcPr>
          <w:p w14:paraId="4F12DD53"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86" w:type="dxa"/>
            <w:tcBorders>
              <w:top w:val="nil"/>
              <w:left w:val="single" w:sz="8" w:space="0" w:color="auto"/>
              <w:bottom w:val="nil"/>
              <w:right w:val="nil"/>
            </w:tcBorders>
            <w:shd w:val="clear" w:color="auto" w:fill="D6CFCD"/>
            <w:noWrap/>
            <w:vAlign w:val="bottom"/>
          </w:tcPr>
          <w:p w14:paraId="21C19BFC"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1,201</w:t>
            </w:r>
          </w:p>
        </w:tc>
        <w:tc>
          <w:tcPr>
            <w:tcW w:w="834" w:type="dxa"/>
            <w:tcBorders>
              <w:top w:val="nil"/>
              <w:left w:val="nil"/>
              <w:bottom w:val="nil"/>
              <w:right w:val="nil"/>
            </w:tcBorders>
            <w:shd w:val="clear" w:color="auto" w:fill="D6CFCD"/>
            <w:noWrap/>
            <w:vAlign w:val="bottom"/>
          </w:tcPr>
          <w:p w14:paraId="1B89DC6E"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1,398</w:t>
            </w:r>
          </w:p>
        </w:tc>
        <w:tc>
          <w:tcPr>
            <w:tcW w:w="745" w:type="dxa"/>
            <w:tcBorders>
              <w:top w:val="nil"/>
              <w:left w:val="nil"/>
              <w:bottom w:val="nil"/>
              <w:right w:val="single" w:sz="8" w:space="0" w:color="auto"/>
            </w:tcBorders>
            <w:shd w:val="clear" w:color="auto" w:fill="D6CFCD"/>
            <w:noWrap/>
            <w:vAlign w:val="bottom"/>
          </w:tcPr>
          <w:p w14:paraId="12DA1F30"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61" w:type="dxa"/>
            <w:tcBorders>
              <w:top w:val="nil"/>
              <w:left w:val="single" w:sz="8" w:space="0" w:color="auto"/>
              <w:bottom w:val="nil"/>
              <w:right w:val="nil"/>
            </w:tcBorders>
            <w:shd w:val="clear" w:color="auto" w:fill="D6CFCD"/>
            <w:noWrap/>
            <w:vAlign w:val="bottom"/>
          </w:tcPr>
          <w:p w14:paraId="54EB22E4"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1,190</w:t>
            </w:r>
          </w:p>
        </w:tc>
        <w:tc>
          <w:tcPr>
            <w:tcW w:w="810" w:type="dxa"/>
            <w:tcBorders>
              <w:top w:val="nil"/>
              <w:left w:val="nil"/>
              <w:bottom w:val="nil"/>
              <w:right w:val="nil"/>
            </w:tcBorders>
            <w:shd w:val="clear" w:color="auto" w:fill="D6CFCD"/>
            <w:noWrap/>
            <w:vAlign w:val="bottom"/>
          </w:tcPr>
          <w:p w14:paraId="5BA67658"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1,384</w:t>
            </w:r>
          </w:p>
        </w:tc>
        <w:tc>
          <w:tcPr>
            <w:tcW w:w="720" w:type="dxa"/>
            <w:gridSpan w:val="2"/>
            <w:tcBorders>
              <w:top w:val="nil"/>
              <w:left w:val="nil"/>
              <w:bottom w:val="nil"/>
              <w:right w:val="single" w:sz="8" w:space="0" w:color="auto"/>
            </w:tcBorders>
            <w:shd w:val="clear" w:color="auto" w:fill="D6CFCD"/>
            <w:noWrap/>
            <w:vAlign w:val="bottom"/>
          </w:tcPr>
          <w:p w14:paraId="1C16EEEE"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r>
      <w:tr w:rsidR="00412FCD" w:rsidRPr="00304B8B" w14:paraId="6F37C204" w14:textId="77777777">
        <w:trPr>
          <w:trHeight w:val="272"/>
        </w:trPr>
        <w:tc>
          <w:tcPr>
            <w:tcW w:w="1998" w:type="dxa"/>
            <w:tcBorders>
              <w:top w:val="nil"/>
              <w:left w:val="single" w:sz="8" w:space="0" w:color="auto"/>
              <w:bottom w:val="nil"/>
              <w:right w:val="single" w:sz="8" w:space="0" w:color="auto"/>
            </w:tcBorders>
            <w:shd w:val="clear" w:color="000000" w:fill="FFFFFF"/>
            <w:noWrap/>
            <w:vAlign w:val="bottom"/>
          </w:tcPr>
          <w:p w14:paraId="3786AD04" w14:textId="77777777" w:rsidR="00412FCD" w:rsidRPr="005A1FB5" w:rsidRDefault="00412FCD" w:rsidP="00F07C60">
            <w:pPr>
              <w:rPr>
                <w:rFonts w:ascii="Arial Narrow" w:eastAsia="Times New Roman" w:hAnsi="Arial Narrow" w:cs="Arial"/>
                <w:color w:val="000000"/>
              </w:rPr>
            </w:pPr>
            <w:r w:rsidRPr="005A1FB5">
              <w:rPr>
                <w:rFonts w:ascii="Arial Narrow" w:eastAsia="Times New Roman" w:hAnsi="Arial Narrow" w:cs="Arial"/>
                <w:color w:val="000000"/>
              </w:rPr>
              <w:t>Other</w:t>
            </w:r>
          </w:p>
        </w:tc>
        <w:tc>
          <w:tcPr>
            <w:tcW w:w="810" w:type="dxa"/>
            <w:tcBorders>
              <w:top w:val="nil"/>
              <w:left w:val="single" w:sz="8" w:space="0" w:color="auto"/>
              <w:bottom w:val="nil"/>
              <w:right w:val="nil"/>
            </w:tcBorders>
            <w:shd w:val="clear" w:color="000000" w:fill="FFFFFF"/>
            <w:noWrap/>
            <w:vAlign w:val="bottom"/>
          </w:tcPr>
          <w:p w14:paraId="44A83DE8"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900" w:type="dxa"/>
            <w:tcBorders>
              <w:top w:val="nil"/>
              <w:left w:val="nil"/>
              <w:bottom w:val="nil"/>
              <w:right w:val="nil"/>
            </w:tcBorders>
            <w:shd w:val="clear" w:color="000000" w:fill="FFFFFF"/>
            <w:noWrap/>
            <w:vAlign w:val="bottom"/>
          </w:tcPr>
          <w:p w14:paraId="055BC3C1"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44" w:type="dxa"/>
            <w:tcBorders>
              <w:top w:val="nil"/>
              <w:left w:val="nil"/>
              <w:bottom w:val="nil"/>
              <w:right w:val="single" w:sz="8" w:space="0" w:color="auto"/>
            </w:tcBorders>
            <w:shd w:val="clear" w:color="000000" w:fill="FFFFFF"/>
            <w:noWrap/>
            <w:vAlign w:val="bottom"/>
          </w:tcPr>
          <w:p w14:paraId="2C7167C1"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86" w:type="dxa"/>
            <w:tcBorders>
              <w:top w:val="nil"/>
              <w:left w:val="single" w:sz="8" w:space="0" w:color="auto"/>
              <w:bottom w:val="nil"/>
              <w:right w:val="nil"/>
            </w:tcBorders>
            <w:shd w:val="clear" w:color="000000" w:fill="FFFFFF"/>
            <w:noWrap/>
            <w:vAlign w:val="bottom"/>
          </w:tcPr>
          <w:p w14:paraId="15A62A23"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834" w:type="dxa"/>
            <w:tcBorders>
              <w:top w:val="nil"/>
              <w:left w:val="nil"/>
              <w:bottom w:val="nil"/>
              <w:right w:val="nil"/>
            </w:tcBorders>
            <w:shd w:val="clear" w:color="000000" w:fill="FFFFFF"/>
            <w:noWrap/>
            <w:vAlign w:val="bottom"/>
          </w:tcPr>
          <w:p w14:paraId="22AB3E15"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45" w:type="dxa"/>
            <w:tcBorders>
              <w:top w:val="nil"/>
              <w:left w:val="nil"/>
              <w:bottom w:val="nil"/>
              <w:right w:val="single" w:sz="8" w:space="0" w:color="auto"/>
            </w:tcBorders>
            <w:shd w:val="clear" w:color="000000" w:fill="FFFFFF"/>
            <w:noWrap/>
            <w:vAlign w:val="bottom"/>
          </w:tcPr>
          <w:p w14:paraId="1E797C67"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61" w:type="dxa"/>
            <w:tcBorders>
              <w:top w:val="nil"/>
              <w:left w:val="single" w:sz="8" w:space="0" w:color="auto"/>
              <w:bottom w:val="nil"/>
              <w:right w:val="nil"/>
            </w:tcBorders>
            <w:shd w:val="clear" w:color="000000" w:fill="FFFFFF"/>
            <w:noWrap/>
            <w:vAlign w:val="bottom"/>
          </w:tcPr>
          <w:p w14:paraId="35A64DEA"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810" w:type="dxa"/>
            <w:tcBorders>
              <w:top w:val="nil"/>
              <w:left w:val="nil"/>
              <w:bottom w:val="nil"/>
              <w:right w:val="nil"/>
            </w:tcBorders>
            <w:shd w:val="clear" w:color="000000" w:fill="FFFFFF"/>
            <w:noWrap/>
            <w:vAlign w:val="bottom"/>
          </w:tcPr>
          <w:p w14:paraId="4807E352"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c>
          <w:tcPr>
            <w:tcW w:w="720" w:type="dxa"/>
            <w:gridSpan w:val="2"/>
            <w:tcBorders>
              <w:top w:val="nil"/>
              <w:left w:val="nil"/>
              <w:bottom w:val="nil"/>
              <w:right w:val="single" w:sz="8" w:space="0" w:color="auto"/>
            </w:tcBorders>
            <w:shd w:val="clear" w:color="000000" w:fill="FFFFFF"/>
            <w:noWrap/>
            <w:vAlign w:val="bottom"/>
          </w:tcPr>
          <w:p w14:paraId="71A8AE68"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 </w:t>
            </w:r>
          </w:p>
        </w:tc>
      </w:tr>
      <w:tr w:rsidR="00412FCD" w:rsidRPr="00304B8B" w14:paraId="206DF986" w14:textId="77777777">
        <w:trPr>
          <w:trHeight w:val="272"/>
        </w:trPr>
        <w:tc>
          <w:tcPr>
            <w:tcW w:w="1998" w:type="dxa"/>
            <w:tcBorders>
              <w:top w:val="nil"/>
              <w:left w:val="single" w:sz="8" w:space="0" w:color="auto"/>
              <w:bottom w:val="nil"/>
              <w:right w:val="single" w:sz="8" w:space="0" w:color="auto"/>
            </w:tcBorders>
            <w:shd w:val="clear" w:color="auto" w:fill="D6CFCD"/>
            <w:noWrap/>
            <w:vAlign w:val="bottom"/>
          </w:tcPr>
          <w:p w14:paraId="491B0592" w14:textId="77777777" w:rsidR="00412FCD" w:rsidRPr="005A1FB5" w:rsidRDefault="00412FCD" w:rsidP="00F07C60">
            <w:pPr>
              <w:rPr>
                <w:rFonts w:ascii="Arial Narrow" w:eastAsia="Times New Roman" w:hAnsi="Arial Narrow" w:cs="Arial"/>
                <w:color w:val="000000"/>
              </w:rPr>
            </w:pPr>
            <w:r w:rsidRPr="005A1FB5">
              <w:rPr>
                <w:rFonts w:ascii="Arial Narrow" w:eastAsia="Times New Roman" w:hAnsi="Arial Narrow" w:cs="Arial"/>
                <w:color w:val="000000"/>
              </w:rPr>
              <w:t>Imports</w:t>
            </w:r>
          </w:p>
        </w:tc>
        <w:tc>
          <w:tcPr>
            <w:tcW w:w="810" w:type="dxa"/>
            <w:tcBorders>
              <w:top w:val="nil"/>
              <w:left w:val="single" w:sz="8" w:space="0" w:color="auto"/>
              <w:bottom w:val="nil"/>
              <w:right w:val="nil"/>
            </w:tcBorders>
            <w:shd w:val="clear" w:color="auto" w:fill="D6CFCD"/>
            <w:noWrap/>
            <w:vAlign w:val="bottom"/>
          </w:tcPr>
          <w:p w14:paraId="2CB17E18"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308</w:t>
            </w:r>
          </w:p>
        </w:tc>
        <w:tc>
          <w:tcPr>
            <w:tcW w:w="900" w:type="dxa"/>
            <w:tcBorders>
              <w:top w:val="nil"/>
              <w:left w:val="nil"/>
              <w:bottom w:val="nil"/>
              <w:right w:val="nil"/>
            </w:tcBorders>
            <w:shd w:val="clear" w:color="auto" w:fill="D6CFCD"/>
            <w:noWrap/>
            <w:vAlign w:val="bottom"/>
          </w:tcPr>
          <w:p w14:paraId="303F2035"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8</w:t>
            </w:r>
          </w:p>
        </w:tc>
        <w:tc>
          <w:tcPr>
            <w:tcW w:w="744" w:type="dxa"/>
            <w:tcBorders>
              <w:top w:val="nil"/>
              <w:left w:val="nil"/>
              <w:bottom w:val="nil"/>
              <w:right w:val="single" w:sz="8" w:space="0" w:color="auto"/>
            </w:tcBorders>
            <w:shd w:val="clear" w:color="auto" w:fill="D6CFCD"/>
            <w:noWrap/>
            <w:vAlign w:val="bottom"/>
          </w:tcPr>
          <w:p w14:paraId="00C361A8"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50</w:t>
            </w:r>
          </w:p>
        </w:tc>
        <w:tc>
          <w:tcPr>
            <w:tcW w:w="786" w:type="dxa"/>
            <w:tcBorders>
              <w:top w:val="nil"/>
              <w:left w:val="single" w:sz="8" w:space="0" w:color="auto"/>
              <w:bottom w:val="nil"/>
              <w:right w:val="nil"/>
            </w:tcBorders>
            <w:shd w:val="clear" w:color="auto" w:fill="D6CFCD"/>
            <w:noWrap/>
            <w:vAlign w:val="bottom"/>
          </w:tcPr>
          <w:p w14:paraId="628619AF"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308</w:t>
            </w:r>
          </w:p>
        </w:tc>
        <w:tc>
          <w:tcPr>
            <w:tcW w:w="834" w:type="dxa"/>
            <w:tcBorders>
              <w:top w:val="nil"/>
              <w:left w:val="nil"/>
              <w:bottom w:val="nil"/>
              <w:right w:val="nil"/>
            </w:tcBorders>
            <w:shd w:val="clear" w:color="auto" w:fill="D6CFCD"/>
            <w:noWrap/>
            <w:vAlign w:val="bottom"/>
          </w:tcPr>
          <w:p w14:paraId="4D943C7F" w14:textId="77777777" w:rsidR="00412FCD" w:rsidRPr="005A1FB5" w:rsidRDefault="00412FCD" w:rsidP="00A042BD">
            <w:pPr>
              <w:jc w:val="right"/>
              <w:rPr>
                <w:rFonts w:ascii="Arial Narrow" w:eastAsia="Times New Roman" w:hAnsi="Arial Narrow" w:cs="Arial"/>
                <w:color w:val="000000"/>
              </w:rPr>
            </w:pPr>
            <w:r>
              <w:rPr>
                <w:rFonts w:ascii="Arial Narrow" w:hAnsi="Arial Narrow" w:cs="Arial"/>
                <w:color w:val="000000"/>
              </w:rPr>
              <w:t>8</w:t>
            </w:r>
          </w:p>
        </w:tc>
        <w:tc>
          <w:tcPr>
            <w:tcW w:w="745" w:type="dxa"/>
            <w:tcBorders>
              <w:top w:val="nil"/>
              <w:left w:val="nil"/>
              <w:bottom w:val="nil"/>
              <w:right w:val="single" w:sz="8" w:space="0" w:color="auto"/>
            </w:tcBorders>
            <w:shd w:val="clear" w:color="auto" w:fill="D6CFCD"/>
            <w:noWrap/>
            <w:vAlign w:val="bottom"/>
          </w:tcPr>
          <w:p w14:paraId="4AE1A4FC"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47</w:t>
            </w:r>
          </w:p>
        </w:tc>
        <w:tc>
          <w:tcPr>
            <w:tcW w:w="761" w:type="dxa"/>
            <w:tcBorders>
              <w:top w:val="nil"/>
              <w:left w:val="single" w:sz="8" w:space="0" w:color="auto"/>
              <w:bottom w:val="nil"/>
              <w:right w:val="nil"/>
            </w:tcBorders>
            <w:shd w:val="clear" w:color="auto" w:fill="D6CFCD"/>
            <w:noWrap/>
            <w:vAlign w:val="bottom"/>
          </w:tcPr>
          <w:p w14:paraId="4D833103"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308</w:t>
            </w:r>
          </w:p>
        </w:tc>
        <w:tc>
          <w:tcPr>
            <w:tcW w:w="810" w:type="dxa"/>
            <w:tcBorders>
              <w:top w:val="nil"/>
              <w:left w:val="nil"/>
              <w:bottom w:val="nil"/>
              <w:right w:val="nil"/>
            </w:tcBorders>
            <w:shd w:val="clear" w:color="auto" w:fill="D6CFCD"/>
            <w:noWrap/>
            <w:vAlign w:val="bottom"/>
          </w:tcPr>
          <w:p w14:paraId="3CFC1549"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8</w:t>
            </w:r>
          </w:p>
        </w:tc>
        <w:tc>
          <w:tcPr>
            <w:tcW w:w="720" w:type="dxa"/>
            <w:gridSpan w:val="2"/>
            <w:tcBorders>
              <w:top w:val="nil"/>
              <w:left w:val="nil"/>
              <w:bottom w:val="nil"/>
              <w:right w:val="single" w:sz="8" w:space="0" w:color="auto"/>
            </w:tcBorders>
            <w:shd w:val="clear" w:color="auto" w:fill="D6CFCD"/>
            <w:noWrap/>
            <w:vAlign w:val="bottom"/>
          </w:tcPr>
          <w:p w14:paraId="2DC95927"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47</w:t>
            </w:r>
          </w:p>
        </w:tc>
      </w:tr>
      <w:tr w:rsidR="00412FCD" w:rsidRPr="00304B8B" w14:paraId="45B829C8" w14:textId="77777777">
        <w:trPr>
          <w:trHeight w:val="272"/>
        </w:trPr>
        <w:tc>
          <w:tcPr>
            <w:tcW w:w="1998" w:type="dxa"/>
            <w:tcBorders>
              <w:top w:val="single" w:sz="8" w:space="0" w:color="auto"/>
              <w:left w:val="single" w:sz="8" w:space="0" w:color="auto"/>
              <w:bottom w:val="single" w:sz="8" w:space="0" w:color="auto"/>
              <w:right w:val="single" w:sz="8" w:space="0" w:color="auto"/>
            </w:tcBorders>
            <w:shd w:val="clear" w:color="000000" w:fill="FFFFFF"/>
            <w:noWrap/>
            <w:vAlign w:val="bottom"/>
          </w:tcPr>
          <w:p w14:paraId="360A40AE" w14:textId="77777777" w:rsidR="00412FCD" w:rsidRPr="005A1FB5" w:rsidRDefault="00412FCD" w:rsidP="00F07C60">
            <w:pPr>
              <w:rPr>
                <w:rFonts w:ascii="Arial Narrow" w:eastAsia="Times New Roman" w:hAnsi="Arial Narrow" w:cs="Arial"/>
                <w:b/>
                <w:bCs/>
                <w:color w:val="000000"/>
              </w:rPr>
            </w:pPr>
            <w:r w:rsidRPr="005A1FB5">
              <w:rPr>
                <w:rFonts w:ascii="Arial Narrow" w:eastAsia="Times New Roman" w:hAnsi="Arial Narrow" w:cs="Arial"/>
                <w:b/>
                <w:bCs/>
                <w:color w:val="000000"/>
              </w:rPr>
              <w:t>Total Resources</w:t>
            </w:r>
            <w:r>
              <w:rPr>
                <w:rFonts w:ascii="Arial Narrow" w:eastAsia="Times New Roman" w:hAnsi="Arial Narrow" w:cs="Arial"/>
                <w:b/>
                <w:bCs/>
                <w:color w:val="000000"/>
              </w:rPr>
              <w:t>, net of Exports</w:t>
            </w:r>
          </w:p>
        </w:tc>
        <w:tc>
          <w:tcPr>
            <w:tcW w:w="810" w:type="dxa"/>
            <w:tcBorders>
              <w:top w:val="single" w:sz="8" w:space="0" w:color="auto"/>
              <w:left w:val="single" w:sz="8" w:space="0" w:color="auto"/>
              <w:bottom w:val="single" w:sz="8" w:space="0" w:color="auto"/>
              <w:right w:val="nil"/>
            </w:tcBorders>
            <w:shd w:val="clear" w:color="000000" w:fill="FFFFFF"/>
            <w:noWrap/>
            <w:vAlign w:val="bottom"/>
          </w:tcPr>
          <w:p w14:paraId="42601320"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6,115</w:t>
            </w:r>
          </w:p>
        </w:tc>
        <w:tc>
          <w:tcPr>
            <w:tcW w:w="900" w:type="dxa"/>
            <w:tcBorders>
              <w:top w:val="single" w:sz="8" w:space="0" w:color="auto"/>
              <w:left w:val="nil"/>
              <w:bottom w:val="single" w:sz="8" w:space="0" w:color="auto"/>
              <w:right w:val="nil"/>
            </w:tcBorders>
            <w:shd w:val="clear" w:color="000000" w:fill="FFFFFF"/>
            <w:noWrap/>
            <w:vAlign w:val="bottom"/>
          </w:tcPr>
          <w:p w14:paraId="7ACA8A23"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5,061</w:t>
            </w:r>
          </w:p>
        </w:tc>
        <w:tc>
          <w:tcPr>
            <w:tcW w:w="744" w:type="dxa"/>
            <w:tcBorders>
              <w:top w:val="single" w:sz="8" w:space="0" w:color="auto"/>
              <w:left w:val="nil"/>
              <w:bottom w:val="single" w:sz="8" w:space="0" w:color="auto"/>
              <w:right w:val="single" w:sz="8" w:space="0" w:color="auto"/>
            </w:tcBorders>
            <w:shd w:val="clear" w:color="000000" w:fill="FFFFFF"/>
            <w:noWrap/>
            <w:vAlign w:val="bottom"/>
          </w:tcPr>
          <w:p w14:paraId="472266E9"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2,868</w:t>
            </w:r>
          </w:p>
        </w:tc>
        <w:tc>
          <w:tcPr>
            <w:tcW w:w="786" w:type="dxa"/>
            <w:tcBorders>
              <w:top w:val="single" w:sz="8" w:space="0" w:color="auto"/>
              <w:left w:val="single" w:sz="8" w:space="0" w:color="auto"/>
              <w:bottom w:val="single" w:sz="8" w:space="0" w:color="auto"/>
              <w:right w:val="nil"/>
            </w:tcBorders>
            <w:shd w:val="clear" w:color="000000" w:fill="FFFFFF"/>
            <w:noWrap/>
            <w:vAlign w:val="bottom"/>
          </w:tcPr>
          <w:p w14:paraId="0DD2DEC6"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6,016</w:t>
            </w:r>
          </w:p>
        </w:tc>
        <w:tc>
          <w:tcPr>
            <w:tcW w:w="834" w:type="dxa"/>
            <w:tcBorders>
              <w:top w:val="single" w:sz="8" w:space="0" w:color="auto"/>
              <w:left w:val="nil"/>
              <w:bottom w:val="single" w:sz="8" w:space="0" w:color="auto"/>
              <w:right w:val="nil"/>
            </w:tcBorders>
            <w:shd w:val="clear" w:color="000000" w:fill="FFFFFF"/>
            <w:noWrap/>
            <w:vAlign w:val="bottom"/>
          </w:tcPr>
          <w:p w14:paraId="6DB91B82"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5,020</w:t>
            </w:r>
          </w:p>
        </w:tc>
        <w:tc>
          <w:tcPr>
            <w:tcW w:w="745" w:type="dxa"/>
            <w:tcBorders>
              <w:top w:val="single" w:sz="8" w:space="0" w:color="auto"/>
              <w:left w:val="nil"/>
              <w:bottom w:val="single" w:sz="8" w:space="0" w:color="auto"/>
              <w:right w:val="single" w:sz="8" w:space="0" w:color="auto"/>
            </w:tcBorders>
            <w:shd w:val="clear" w:color="000000" w:fill="FFFFFF"/>
            <w:noWrap/>
            <w:vAlign w:val="bottom"/>
          </w:tcPr>
          <w:p w14:paraId="7161324D"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3,169</w:t>
            </w:r>
          </w:p>
        </w:tc>
        <w:tc>
          <w:tcPr>
            <w:tcW w:w="761" w:type="dxa"/>
            <w:tcBorders>
              <w:top w:val="single" w:sz="8" w:space="0" w:color="auto"/>
              <w:left w:val="single" w:sz="8" w:space="0" w:color="auto"/>
              <w:bottom w:val="single" w:sz="8" w:space="0" w:color="auto"/>
              <w:right w:val="nil"/>
            </w:tcBorders>
            <w:shd w:val="clear" w:color="000000" w:fill="FFFFFF"/>
            <w:noWrap/>
            <w:vAlign w:val="bottom"/>
          </w:tcPr>
          <w:p w14:paraId="38D3995A"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5,903</w:t>
            </w:r>
          </w:p>
        </w:tc>
        <w:tc>
          <w:tcPr>
            <w:tcW w:w="810" w:type="dxa"/>
            <w:tcBorders>
              <w:top w:val="single" w:sz="8" w:space="0" w:color="auto"/>
              <w:left w:val="nil"/>
              <w:bottom w:val="single" w:sz="8" w:space="0" w:color="auto"/>
              <w:right w:val="nil"/>
            </w:tcBorders>
            <w:shd w:val="clear" w:color="000000" w:fill="FFFFFF"/>
            <w:noWrap/>
            <w:vAlign w:val="bottom"/>
          </w:tcPr>
          <w:p w14:paraId="28AEE265"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4,822</w:t>
            </w:r>
          </w:p>
        </w:tc>
        <w:tc>
          <w:tcPr>
            <w:tcW w:w="720" w:type="dxa"/>
            <w:gridSpan w:val="2"/>
            <w:tcBorders>
              <w:top w:val="single" w:sz="8" w:space="0" w:color="auto"/>
              <w:left w:val="nil"/>
              <w:bottom w:val="single" w:sz="8" w:space="0" w:color="auto"/>
              <w:right w:val="single" w:sz="8" w:space="0" w:color="auto"/>
            </w:tcBorders>
            <w:shd w:val="clear" w:color="000000" w:fill="FFFFFF"/>
            <w:noWrap/>
            <w:vAlign w:val="bottom"/>
          </w:tcPr>
          <w:p w14:paraId="58300838" w14:textId="77777777" w:rsidR="00412FCD" w:rsidRPr="005A1FB5" w:rsidRDefault="00412FCD" w:rsidP="00F07C60">
            <w:pPr>
              <w:jc w:val="right"/>
              <w:rPr>
                <w:rFonts w:ascii="Arial Narrow" w:eastAsia="Times New Roman" w:hAnsi="Arial Narrow" w:cs="Arial"/>
                <w:color w:val="000000"/>
              </w:rPr>
            </w:pPr>
            <w:r>
              <w:rPr>
                <w:rFonts w:ascii="Arial Narrow" w:hAnsi="Arial Narrow" w:cs="Arial"/>
                <w:color w:val="000000"/>
              </w:rPr>
              <w:t>2,957</w:t>
            </w:r>
          </w:p>
        </w:tc>
      </w:tr>
      <w:tr w:rsidR="00412FCD" w:rsidRPr="00304B8B" w14:paraId="6BC4245F" w14:textId="77777777">
        <w:trPr>
          <w:trHeight w:val="272"/>
        </w:trPr>
        <w:tc>
          <w:tcPr>
            <w:tcW w:w="1998" w:type="dxa"/>
            <w:tcBorders>
              <w:top w:val="nil"/>
              <w:left w:val="single" w:sz="8" w:space="0" w:color="auto"/>
              <w:bottom w:val="single" w:sz="8" w:space="0" w:color="auto"/>
              <w:right w:val="single" w:sz="8" w:space="0" w:color="auto"/>
            </w:tcBorders>
            <w:shd w:val="clear" w:color="000000" w:fill="FFFFFF"/>
            <w:noWrap/>
            <w:vAlign w:val="bottom"/>
          </w:tcPr>
          <w:p w14:paraId="4527A48A" w14:textId="77777777" w:rsidR="00412FCD" w:rsidRPr="005A1FB5" w:rsidRDefault="00412FCD" w:rsidP="00F07C60">
            <w:pPr>
              <w:rPr>
                <w:rFonts w:ascii="Arial Narrow" w:eastAsia="Times New Roman" w:hAnsi="Arial Narrow" w:cs="Arial"/>
                <w:b/>
                <w:bCs/>
                <w:color w:val="000000"/>
              </w:rPr>
            </w:pPr>
            <w:r w:rsidRPr="005A1FB5">
              <w:rPr>
                <w:rFonts w:ascii="Arial Narrow" w:eastAsia="Times New Roman" w:hAnsi="Arial Narrow" w:cs="Arial"/>
                <w:b/>
                <w:bCs/>
                <w:color w:val="000000"/>
              </w:rPr>
              <w:t>Load Resource Balance</w:t>
            </w:r>
            <w:r>
              <w:rPr>
                <w:rFonts w:ascii="Arial Narrow" w:eastAsia="Times New Roman" w:hAnsi="Arial Narrow" w:cs="Arial"/>
                <w:b/>
                <w:bCs/>
                <w:color w:val="000000"/>
              </w:rPr>
              <w:t xml:space="preserve"> (Surplus) / Deficit</w:t>
            </w:r>
          </w:p>
        </w:tc>
        <w:tc>
          <w:tcPr>
            <w:tcW w:w="810" w:type="dxa"/>
            <w:tcBorders>
              <w:top w:val="nil"/>
              <w:left w:val="single" w:sz="8" w:space="0" w:color="auto"/>
              <w:bottom w:val="single" w:sz="8" w:space="0" w:color="auto"/>
              <w:right w:val="nil"/>
            </w:tcBorders>
            <w:shd w:val="clear" w:color="000000" w:fill="FFFFFF"/>
            <w:noWrap/>
            <w:vAlign w:val="bottom"/>
          </w:tcPr>
          <w:p w14:paraId="1CE01588" w14:textId="77777777" w:rsidR="00412FCD" w:rsidRDefault="00412FCD">
            <w:pPr>
              <w:jc w:val="right"/>
              <w:rPr>
                <w:rFonts w:ascii="Arial Narrow" w:hAnsi="Arial Narrow" w:cs="Arial"/>
                <w:color w:val="000000"/>
              </w:rPr>
            </w:pPr>
            <w:r>
              <w:rPr>
                <w:rFonts w:ascii="Arial Narrow" w:hAnsi="Arial Narrow" w:cs="Arial"/>
                <w:color w:val="000000"/>
              </w:rPr>
              <w:t>(1,186)</w:t>
            </w:r>
          </w:p>
        </w:tc>
        <w:tc>
          <w:tcPr>
            <w:tcW w:w="900" w:type="dxa"/>
            <w:tcBorders>
              <w:top w:val="nil"/>
              <w:left w:val="nil"/>
              <w:bottom w:val="single" w:sz="8" w:space="0" w:color="auto"/>
              <w:right w:val="nil"/>
            </w:tcBorders>
            <w:shd w:val="clear" w:color="000000" w:fill="FFFFFF"/>
            <w:noWrap/>
            <w:vAlign w:val="bottom"/>
          </w:tcPr>
          <w:p w14:paraId="5BA6BC40" w14:textId="77777777" w:rsidR="00412FCD" w:rsidRDefault="00412FCD">
            <w:pPr>
              <w:jc w:val="right"/>
              <w:rPr>
                <w:rFonts w:ascii="Arial Narrow" w:hAnsi="Arial Narrow" w:cs="Arial"/>
                <w:color w:val="000000"/>
              </w:rPr>
            </w:pPr>
            <w:r>
              <w:rPr>
                <w:rFonts w:ascii="Arial Narrow" w:hAnsi="Arial Narrow" w:cs="Arial"/>
                <w:color w:val="000000"/>
              </w:rPr>
              <w:t>(1,891)</w:t>
            </w:r>
          </w:p>
        </w:tc>
        <w:tc>
          <w:tcPr>
            <w:tcW w:w="744" w:type="dxa"/>
            <w:tcBorders>
              <w:top w:val="nil"/>
              <w:left w:val="nil"/>
              <w:bottom w:val="single" w:sz="8" w:space="0" w:color="auto"/>
              <w:right w:val="single" w:sz="8" w:space="0" w:color="auto"/>
            </w:tcBorders>
            <w:shd w:val="clear" w:color="000000" w:fill="FFFFFF"/>
            <w:noWrap/>
            <w:vAlign w:val="bottom"/>
          </w:tcPr>
          <w:p w14:paraId="2690C5C8" w14:textId="77777777" w:rsidR="00412FCD" w:rsidRDefault="00412FCD">
            <w:pPr>
              <w:jc w:val="right"/>
              <w:rPr>
                <w:rFonts w:ascii="Arial Narrow" w:hAnsi="Arial Narrow" w:cs="Arial"/>
                <w:color w:val="000000"/>
              </w:rPr>
            </w:pPr>
            <w:r>
              <w:rPr>
                <w:rFonts w:ascii="Arial Narrow" w:hAnsi="Arial Narrow" w:cs="Arial"/>
                <w:color w:val="000000"/>
              </w:rPr>
              <w:t>(231)</w:t>
            </w:r>
          </w:p>
        </w:tc>
        <w:tc>
          <w:tcPr>
            <w:tcW w:w="786" w:type="dxa"/>
            <w:tcBorders>
              <w:top w:val="nil"/>
              <w:left w:val="single" w:sz="8" w:space="0" w:color="auto"/>
              <w:bottom w:val="single" w:sz="8" w:space="0" w:color="auto"/>
              <w:right w:val="nil"/>
            </w:tcBorders>
            <w:shd w:val="clear" w:color="000000" w:fill="FFFFFF"/>
            <w:noWrap/>
            <w:vAlign w:val="bottom"/>
          </w:tcPr>
          <w:p w14:paraId="1B005E07" w14:textId="77777777" w:rsidR="00412FCD" w:rsidRDefault="00412FCD">
            <w:pPr>
              <w:jc w:val="right"/>
              <w:rPr>
                <w:rFonts w:ascii="Arial Narrow" w:hAnsi="Arial Narrow" w:cs="Arial"/>
                <w:color w:val="000000"/>
              </w:rPr>
            </w:pPr>
            <w:r>
              <w:rPr>
                <w:rFonts w:ascii="Arial Narrow" w:hAnsi="Arial Narrow" w:cs="Arial"/>
                <w:color w:val="000000"/>
              </w:rPr>
              <w:t>(653)</w:t>
            </w:r>
          </w:p>
        </w:tc>
        <w:tc>
          <w:tcPr>
            <w:tcW w:w="834" w:type="dxa"/>
            <w:tcBorders>
              <w:top w:val="nil"/>
              <w:left w:val="nil"/>
              <w:bottom w:val="single" w:sz="8" w:space="0" w:color="auto"/>
              <w:right w:val="nil"/>
            </w:tcBorders>
            <w:shd w:val="clear" w:color="000000" w:fill="FFFFFF"/>
            <w:noWrap/>
            <w:vAlign w:val="bottom"/>
          </w:tcPr>
          <w:p w14:paraId="7823FA3F" w14:textId="77777777" w:rsidR="00412FCD" w:rsidRDefault="00412FCD">
            <w:pPr>
              <w:jc w:val="right"/>
              <w:rPr>
                <w:rFonts w:ascii="Arial Narrow" w:hAnsi="Arial Narrow" w:cs="Arial"/>
                <w:color w:val="000000"/>
              </w:rPr>
            </w:pPr>
            <w:r>
              <w:rPr>
                <w:rFonts w:ascii="Arial Narrow" w:hAnsi="Arial Narrow" w:cs="Arial"/>
                <w:color w:val="000000"/>
              </w:rPr>
              <w:t>(1,443)</w:t>
            </w:r>
          </w:p>
        </w:tc>
        <w:tc>
          <w:tcPr>
            <w:tcW w:w="745" w:type="dxa"/>
            <w:tcBorders>
              <w:top w:val="nil"/>
              <w:left w:val="nil"/>
              <w:bottom w:val="single" w:sz="8" w:space="0" w:color="auto"/>
              <w:right w:val="single" w:sz="8" w:space="0" w:color="auto"/>
            </w:tcBorders>
            <w:shd w:val="clear" w:color="000000" w:fill="FFFFFF"/>
            <w:noWrap/>
            <w:vAlign w:val="bottom"/>
          </w:tcPr>
          <w:p w14:paraId="17443C93" w14:textId="77777777" w:rsidR="00412FCD" w:rsidRDefault="00412FCD">
            <w:pPr>
              <w:jc w:val="right"/>
              <w:rPr>
                <w:rFonts w:ascii="Arial Narrow" w:hAnsi="Arial Narrow" w:cs="Arial"/>
                <w:color w:val="000000"/>
              </w:rPr>
            </w:pPr>
            <w:r>
              <w:rPr>
                <w:rFonts w:ascii="Arial Narrow" w:hAnsi="Arial Narrow" w:cs="Arial"/>
                <w:color w:val="000000"/>
              </w:rPr>
              <w:t>(281)</w:t>
            </w:r>
          </w:p>
        </w:tc>
        <w:tc>
          <w:tcPr>
            <w:tcW w:w="761" w:type="dxa"/>
            <w:tcBorders>
              <w:top w:val="nil"/>
              <w:left w:val="single" w:sz="8" w:space="0" w:color="auto"/>
              <w:bottom w:val="single" w:sz="8" w:space="0" w:color="auto"/>
              <w:right w:val="nil"/>
            </w:tcBorders>
            <w:shd w:val="clear" w:color="000000" w:fill="FFFFFF"/>
            <w:noWrap/>
            <w:vAlign w:val="bottom"/>
          </w:tcPr>
          <w:p w14:paraId="2FD48648" w14:textId="77777777" w:rsidR="00412FCD" w:rsidRDefault="00412FCD">
            <w:pPr>
              <w:jc w:val="right"/>
              <w:rPr>
                <w:rFonts w:ascii="Arial Narrow" w:hAnsi="Arial Narrow" w:cs="Arial"/>
                <w:color w:val="000000"/>
              </w:rPr>
            </w:pPr>
            <w:r>
              <w:rPr>
                <w:rFonts w:ascii="Arial Narrow" w:hAnsi="Arial Narrow" w:cs="Arial"/>
                <w:color w:val="000000"/>
              </w:rPr>
              <w:t>(118)</w:t>
            </w:r>
          </w:p>
        </w:tc>
        <w:tc>
          <w:tcPr>
            <w:tcW w:w="810" w:type="dxa"/>
            <w:tcBorders>
              <w:top w:val="nil"/>
              <w:left w:val="nil"/>
              <w:bottom w:val="single" w:sz="8" w:space="0" w:color="auto"/>
              <w:right w:val="nil"/>
            </w:tcBorders>
            <w:shd w:val="clear" w:color="000000" w:fill="FFFFFF"/>
            <w:noWrap/>
            <w:vAlign w:val="bottom"/>
          </w:tcPr>
          <w:p w14:paraId="07303873" w14:textId="77777777" w:rsidR="00412FCD" w:rsidRDefault="00412FCD">
            <w:pPr>
              <w:jc w:val="right"/>
              <w:rPr>
                <w:rFonts w:ascii="Arial Narrow" w:hAnsi="Arial Narrow" w:cs="Arial"/>
                <w:color w:val="000000"/>
              </w:rPr>
            </w:pPr>
            <w:r>
              <w:rPr>
                <w:rFonts w:ascii="Arial Narrow" w:hAnsi="Arial Narrow" w:cs="Arial"/>
                <w:color w:val="000000"/>
              </w:rPr>
              <w:t>(833)</w:t>
            </w:r>
          </w:p>
        </w:tc>
        <w:tc>
          <w:tcPr>
            <w:tcW w:w="720" w:type="dxa"/>
            <w:gridSpan w:val="2"/>
            <w:tcBorders>
              <w:top w:val="nil"/>
              <w:left w:val="nil"/>
              <w:bottom w:val="single" w:sz="8" w:space="0" w:color="auto"/>
              <w:right w:val="single" w:sz="8" w:space="0" w:color="auto"/>
            </w:tcBorders>
            <w:shd w:val="clear" w:color="000000" w:fill="FFFFFF"/>
            <w:noWrap/>
            <w:vAlign w:val="bottom"/>
          </w:tcPr>
          <w:p w14:paraId="5FF24168" w14:textId="77777777" w:rsidR="00412FCD" w:rsidRDefault="00412FCD">
            <w:pPr>
              <w:jc w:val="right"/>
              <w:rPr>
                <w:rFonts w:ascii="Arial Narrow" w:hAnsi="Arial Narrow" w:cs="Arial"/>
                <w:color w:val="000000"/>
              </w:rPr>
            </w:pPr>
            <w:r>
              <w:rPr>
                <w:rFonts w:ascii="Arial Narrow" w:hAnsi="Arial Narrow" w:cs="Arial"/>
                <w:color w:val="000000"/>
              </w:rPr>
              <w:t xml:space="preserve">179 </w:t>
            </w:r>
          </w:p>
        </w:tc>
      </w:tr>
    </w:tbl>
    <w:p w14:paraId="5EB43870" w14:textId="77777777" w:rsidR="00A95D9B" w:rsidRDefault="00A95D9B" w:rsidP="00A95D9B">
      <w:pPr>
        <w:rPr>
          <w:rFonts w:eastAsiaTheme="minorEastAsia"/>
        </w:rPr>
      </w:pPr>
    </w:p>
    <w:p w14:paraId="42E5F821" w14:textId="77777777" w:rsidR="00E65DEE" w:rsidRDefault="00E65DEE" w:rsidP="00A95D9B">
      <w:pPr>
        <w:pStyle w:val="IRPsanstext"/>
      </w:pPr>
    </w:p>
    <w:sectPr w:rsidR="00E65DEE" w:rsidSect="000E4936">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D4162" w14:textId="77777777" w:rsidR="005C1A06" w:rsidRDefault="005C1A06" w:rsidP="00601E72">
      <w:r>
        <w:separator/>
      </w:r>
    </w:p>
  </w:endnote>
  <w:endnote w:type="continuationSeparator" w:id="0">
    <w:p w14:paraId="3CD93374" w14:textId="77777777" w:rsidR="005C1A06" w:rsidRDefault="005C1A06" w:rsidP="0060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Garamond">
    <w:altName w:val="Athelas Bold Italic"/>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latino">
    <w:altName w:val="Book Antiqua"/>
    <w:panose1 w:val="02000500000000000000"/>
    <w:charset w:val="00"/>
    <w:family w:val="auto"/>
    <w:pitch w:val="variable"/>
    <w:sig w:usb0="A00002FF" w:usb1="7800205A" w:usb2="14600000" w:usb3="00000000" w:csb0="00000193" w:csb1="00000000"/>
  </w:font>
  <w:font w:name="Cambria">
    <w:altName w:val="Times New Roman"/>
    <w:panose1 w:val="02040503050406030204"/>
    <w:charset w:val="00"/>
    <w:family w:val="roman"/>
    <w:notTrueType/>
    <w:pitch w:val="default"/>
  </w:font>
  <w:font w:name="Arial Black">
    <w:panose1 w:val="020B0A040201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2EFF0" w14:textId="77777777" w:rsidR="005C1A06" w:rsidRPr="00257A69" w:rsidRDefault="005C1A06" w:rsidP="0020632A">
    <w:pPr>
      <w:pStyle w:val="Footer"/>
      <w:framePr w:wrap="around" w:vAnchor="text" w:hAnchor="margin" w:xAlign="center" w:y="1"/>
      <w:rPr>
        <w:rStyle w:val="PageNumber"/>
      </w:rPr>
    </w:pPr>
    <w:r>
      <w:rPr>
        <w:rStyle w:val="PageNumber"/>
        <w:rFonts w:ascii="Palatino" w:hAnsi="Palatino"/>
        <w:i/>
      </w:rPr>
      <w:t>B</w:t>
    </w:r>
    <w:r w:rsidRPr="00257A69">
      <w:rPr>
        <w:rStyle w:val="PageNumber"/>
        <w:rFonts w:ascii="Palatino" w:hAnsi="Palatino"/>
        <w:i/>
      </w:rPr>
      <w:t xml:space="preserve"> - </w:t>
    </w:r>
    <w:r w:rsidR="002C0570" w:rsidRPr="00257A69">
      <w:rPr>
        <w:rStyle w:val="PageNumber"/>
        <w:rFonts w:ascii="Palatino" w:hAnsi="Palatino"/>
        <w:i/>
      </w:rPr>
      <w:fldChar w:fldCharType="begin"/>
    </w:r>
    <w:r w:rsidRPr="00257A69">
      <w:rPr>
        <w:rStyle w:val="PageNumber"/>
        <w:rFonts w:ascii="Palatino" w:hAnsi="Palatino"/>
        <w:i/>
      </w:rPr>
      <w:instrText xml:space="preserve">PAGE  </w:instrText>
    </w:r>
    <w:r w:rsidR="002C0570" w:rsidRPr="00257A69">
      <w:rPr>
        <w:rStyle w:val="PageNumber"/>
        <w:rFonts w:ascii="Palatino" w:hAnsi="Palatino"/>
        <w:i/>
      </w:rPr>
      <w:fldChar w:fldCharType="separate"/>
    </w:r>
    <w:r w:rsidR="00441C35">
      <w:rPr>
        <w:rStyle w:val="PageNumber"/>
        <w:rFonts w:ascii="Palatino" w:hAnsi="Palatino"/>
        <w:i/>
        <w:noProof/>
      </w:rPr>
      <w:t>11</w:t>
    </w:r>
    <w:r w:rsidR="002C0570" w:rsidRPr="00257A69">
      <w:rPr>
        <w:rStyle w:val="PageNumber"/>
        <w:rFonts w:ascii="Palatino" w:hAnsi="Palatino"/>
        <w:i/>
      </w:rPr>
      <w:fldChar w:fldCharType="end"/>
    </w:r>
  </w:p>
  <w:p w14:paraId="35FB83BC" w14:textId="77777777" w:rsidR="005C1A06" w:rsidRPr="00EC049C" w:rsidRDefault="00A71D0B" w:rsidP="00EC049C">
    <w:pPr>
      <w:pStyle w:val="Footer"/>
      <w:jc w:val="right"/>
      <w:rPr>
        <w:rFonts w:ascii="Palatino" w:hAnsi="Palatino"/>
        <w:i/>
        <w:color w:val="006C71"/>
      </w:rPr>
    </w:pPr>
    <w:r>
      <w:rPr>
        <w:i/>
        <w:noProof/>
        <w:color w:val="006C71"/>
        <w:lang w:eastAsia="en-US"/>
      </w:rPr>
      <mc:AlternateContent>
        <mc:Choice Requires="wps">
          <w:drawing>
            <wp:anchor distT="0" distB="0" distL="114300" distR="114300" simplePos="0" relativeHeight="251661312" behindDoc="0" locked="0" layoutInCell="1" allowOverlap="1" wp14:anchorId="38336323" wp14:editId="266F085D">
              <wp:simplePos x="0" y="0"/>
              <wp:positionH relativeFrom="column">
                <wp:posOffset>5080635</wp:posOffset>
              </wp:positionH>
              <wp:positionV relativeFrom="paragraph">
                <wp:posOffset>9262110</wp:posOffset>
              </wp:positionV>
              <wp:extent cx="2171700" cy="22733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22733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BBC38D4" w14:textId="77777777" w:rsidR="005C1A06" w:rsidRDefault="005C1A06" w:rsidP="00EC049C">
                          <w:r w:rsidRPr="00A075A9">
                            <w:rPr>
                              <w:rFonts w:ascii="Palatino" w:eastAsiaTheme="minorEastAsia" w:hAnsi="Palatino" w:cs="Arial"/>
                              <w:i/>
                              <w:color w:val="156570"/>
                            </w:rPr>
                            <w:t>PSE IRP</w:t>
                          </w:r>
                          <w:r>
                            <w:rPr>
                              <w:rFonts w:ascii="Palatino" w:eastAsiaTheme="minorEastAsia" w:hAnsi="Palatino" w:cs="Arial"/>
                              <w:i/>
                              <w:color w:val="156570"/>
                            </w:rPr>
                            <w:t xml:space="preserve"> DRAFT, JULY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8" type="#_x0000_t202" style="position:absolute;left:0;text-align:left;margin-left:400.05pt;margin-top:729.3pt;width:171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" filled="f" stroked="f">
              <v:path arrowok="t"/>
              <v:textbox>
                <w:txbxContent>
                  <w:p w14:paraId="5BBC38D4" w14:textId="77777777" w:rsidR="005C1A06" w:rsidRDefault="005C1A06" w:rsidP="00EC049C">
                    <w:r w:rsidRPr="00A075A9">
                      <w:rPr>
                        <w:rFonts w:ascii="Palatino" w:eastAsiaTheme="minorEastAsia" w:hAnsi="Palatino" w:cs="Arial"/>
                        <w:i/>
                        <w:color w:val="156570"/>
                      </w:rPr>
                      <w:t>PSE IRP</w:t>
                    </w:r>
                    <w:r>
                      <w:rPr>
                        <w:rFonts w:ascii="Palatino" w:eastAsiaTheme="minorEastAsia" w:hAnsi="Palatino" w:cs="Arial"/>
                        <w:i/>
                        <w:color w:val="156570"/>
                      </w:rPr>
                      <w:t xml:space="preserve"> DRAFT, JULY 2015</w:t>
                    </w:r>
                  </w:p>
                </w:txbxContent>
              </v:textbox>
            </v:shape>
          </w:pict>
        </mc:Fallback>
      </mc:AlternateContent>
    </w:r>
    <w:r w:rsidR="00091AB3">
      <w:rPr>
        <w:i/>
        <w:noProof/>
        <w:color w:val="006C71"/>
        <w:lang w:eastAsia="en-US"/>
      </w:rPr>
      <w:t>2015 PSE IRP</w:t>
    </w:r>
  </w:p>
  <w:p w14:paraId="0CF989F5" w14:textId="77777777" w:rsidR="005C1A06" w:rsidRPr="0020632A" w:rsidRDefault="005C1A06" w:rsidP="0020632A">
    <w:pPr>
      <w:pStyle w:val="Footer"/>
      <w:jc w:val="center"/>
      <w:rPr>
        <w:rFonts w:ascii="Palatino" w:hAnsi="Palatino"/>
      </w:rPr>
    </w:pPr>
  </w:p>
  <w:p w14:paraId="5C2E3A7E" w14:textId="77777777" w:rsidR="005C1A06" w:rsidRDefault="005C1A0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9AAFB" w14:textId="77777777" w:rsidR="005C1A06" w:rsidRDefault="005C1A06" w:rsidP="00601E72">
      <w:r>
        <w:separator/>
      </w:r>
    </w:p>
  </w:footnote>
  <w:footnote w:type="continuationSeparator" w:id="0">
    <w:p w14:paraId="4FA7C5F1" w14:textId="77777777" w:rsidR="005C1A06" w:rsidRDefault="005C1A06" w:rsidP="00601E72">
      <w:r>
        <w:continuationSeparator/>
      </w:r>
    </w:p>
  </w:footnote>
  <w:footnote w:id="1">
    <w:p w14:paraId="0CA098AD" w14:textId="77777777" w:rsidR="005C1A06" w:rsidRPr="00304B8B" w:rsidRDefault="005C1A06" w:rsidP="00A95D9B">
      <w:pPr>
        <w:pStyle w:val="IRPfooter"/>
        <w:rPr>
          <w:color w:val="000000" w:themeColor="text1"/>
          <w:sz w:val="18"/>
          <w:szCs w:val="18"/>
        </w:rPr>
      </w:pPr>
      <w:r w:rsidRPr="00304B8B">
        <w:rPr>
          <w:rStyle w:val="FootnoteReference"/>
          <w:color w:val="000000" w:themeColor="text1"/>
          <w:sz w:val="18"/>
          <w:szCs w:val="18"/>
          <w:vertAlign w:val="baseline"/>
        </w:rPr>
        <w:footnoteRef/>
      </w:r>
      <w:r>
        <w:rPr>
          <w:color w:val="000000" w:themeColor="text1"/>
          <w:sz w:val="18"/>
          <w:szCs w:val="18"/>
        </w:rPr>
        <w:t xml:space="preserve"> / </w:t>
      </w:r>
      <w:r w:rsidRPr="00304B8B">
        <w:rPr>
          <w:color w:val="000000" w:themeColor="text1"/>
          <w:sz w:val="18"/>
          <w:szCs w:val="18"/>
        </w:rPr>
        <w:t xml:space="preserve">References in Figure B-3 refer to the Council’s assessment of its methodology, found at: </w:t>
      </w:r>
      <w:r w:rsidRPr="005C1A06">
        <w:rPr>
          <w:rStyle w:val="Hyperlink"/>
          <w:color w:val="000000" w:themeColor="text1"/>
          <w:sz w:val="18"/>
          <w:szCs w:val="18"/>
          <w:u w:val="none"/>
        </w:rPr>
        <w:t>http://www.nwcouncil.org/energy/powerplan/6/supplycurves/I937/default.htm</w:t>
      </w:r>
    </w:p>
    <w:p w14:paraId="080DE3DE" w14:textId="77777777" w:rsidR="005C1A06" w:rsidRDefault="005C1A06" w:rsidP="00A95D9B">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009F7" w14:textId="77777777" w:rsidR="005C1A06" w:rsidRDefault="005C1A06">
    <w:pPr>
      <w:pStyle w:val="Header"/>
    </w:pPr>
    <w:r>
      <w:rPr>
        <w:noProof/>
        <w:lang w:eastAsia="en-US"/>
      </w:rPr>
      <w:drawing>
        <wp:inline distT="0" distB="0" distL="0" distR="0" wp14:anchorId="035F4ED0" wp14:editId="7A5F3A6E">
          <wp:extent cx="548640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dktealgrey.png"/>
                  <pic:cNvPicPr/>
                </pic:nvPicPr>
                <pic:blipFill>
                  <a:blip r:embed="rId1">
                    <a:extLst>
                      <a:ext uri="{28A0092B-C50C-407E-A947-70E740481C1C}">
                        <a14:useLocalDpi xmlns:a14="http://schemas.microsoft.com/office/drawing/2010/main" val="0"/>
                      </a:ext>
                    </a:extLst>
                  </a:blip>
                  <a:stretch>
                    <a:fillRect/>
                  </a:stretch>
                </pic:blipFill>
                <pic:spPr>
                  <a:xfrm>
                    <a:off x="0" y="0"/>
                    <a:ext cx="5486400" cy="438150"/>
                  </a:xfrm>
                  <a:prstGeom prst="rect">
                    <a:avLst/>
                  </a:prstGeom>
                </pic:spPr>
              </pic:pic>
            </a:graphicData>
          </a:graphic>
        </wp:inline>
      </w:drawing>
    </w:r>
    <w:r w:rsidR="00A71D0B">
      <w:rPr>
        <w:noProof/>
        <w:lang w:eastAsia="en-US"/>
      </w:rPr>
      <mc:AlternateContent>
        <mc:Choice Requires="wps">
          <w:drawing>
            <wp:anchor distT="0" distB="0" distL="114300" distR="114300" simplePos="0" relativeHeight="251659264" behindDoc="0" locked="0" layoutInCell="1" allowOverlap="1" wp14:anchorId="325188FF" wp14:editId="7D015C00">
              <wp:simplePos x="0" y="0"/>
              <wp:positionH relativeFrom="column">
                <wp:posOffset>51435</wp:posOffset>
              </wp:positionH>
              <wp:positionV relativeFrom="paragraph">
                <wp:posOffset>2540</wp:posOffset>
              </wp:positionV>
              <wp:extent cx="4343400" cy="457200"/>
              <wp:effectExtent l="0" t="0" r="0" b="0"/>
              <wp:wrapThrough wrapText="bothSides">
                <wp:wrapPolygon edited="0">
                  <wp:start x="126" y="1200"/>
                  <wp:lineTo x="126" y="19200"/>
                  <wp:lineTo x="21347" y="19200"/>
                  <wp:lineTo x="21347" y="1200"/>
                  <wp:lineTo x="126" y="1200"/>
                </wp:wrapPolygon>
              </wp:wrapThrough>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E16C" w14:textId="77777777" w:rsidR="005C1A06" w:rsidRPr="00C15534" w:rsidRDefault="005C1A06" w:rsidP="00B14DE4">
                          <w:pPr>
                            <w:pStyle w:val="irpsubsanstext16"/>
                          </w:pPr>
                          <w:r>
                            <w:t>Appendix B: Legal Requirements</w:t>
                          </w:r>
                        </w:p>
                        <w:p w14:paraId="6E7DCE8A" w14:textId="77777777" w:rsidR="005C1A06" w:rsidRDefault="005C1A06" w:rsidP="00C15534">
                          <w:pPr>
                            <w:spacing w:line="480" w:lineRule="auto"/>
                          </w:pPr>
                        </w:p>
                        <w:p w14:paraId="6B6969F5" w14:textId="77777777" w:rsidR="005C1A06" w:rsidRPr="00C15534" w:rsidRDefault="005C1A06" w:rsidP="00C15534">
                          <w:pPr>
                            <w:spacing w:line="480" w:lineRule="auto"/>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4.05pt;margin-top:.2pt;width:34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" filled="f" stroked="f">
              <v:textbox inset=",7.2pt,,7.2pt">
                <w:txbxContent>
                  <w:p w14:paraId="6BBDE16C" w14:textId="77777777" w:rsidR="005C1A06" w:rsidRPr="00C15534" w:rsidRDefault="005C1A06" w:rsidP="00B14DE4">
                    <w:pPr>
                      <w:pStyle w:val="irpsubsanstext16"/>
                    </w:pPr>
                    <w:r>
                      <w:t>Appendix B: Legal Requirements</w:t>
                    </w:r>
                  </w:p>
                  <w:p w14:paraId="6E7DCE8A" w14:textId="77777777" w:rsidR="005C1A06" w:rsidRDefault="005C1A06" w:rsidP="00C15534">
                    <w:pPr>
                      <w:spacing w:line="480" w:lineRule="auto"/>
                    </w:pPr>
                  </w:p>
                  <w:p w14:paraId="6B6969F5" w14:textId="77777777" w:rsidR="005C1A06" w:rsidRPr="00C15534" w:rsidRDefault="005C1A06" w:rsidP="00C15534">
                    <w:pPr>
                      <w:spacing w:line="480" w:lineRule="auto"/>
                    </w:pPr>
                  </w:p>
                </w:txbxContent>
              </v:textbox>
              <w10:wrap type="through"/>
            </v:shape>
          </w:pict>
        </mc:Fallback>
      </mc:AlternateContent>
    </w:r>
  </w:p>
  <w:p w14:paraId="3CCB0F17" w14:textId="77777777" w:rsidR="005C1A06" w:rsidRPr="00441C35" w:rsidRDefault="005C1A06">
    <w:pPr>
      <w:rPr>
        <w:sz w:val="32"/>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C2C"/>
    <w:multiLevelType w:val="hybridMultilevel"/>
    <w:tmpl w:val="594E98D6"/>
    <w:lvl w:ilvl="0" w:tplc="4AD08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1B4138"/>
    <w:multiLevelType w:val="hybridMultilevel"/>
    <w:tmpl w:val="63F4FA06"/>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07487E3F"/>
    <w:multiLevelType w:val="hybridMultilevel"/>
    <w:tmpl w:val="FF4E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C71B57"/>
    <w:multiLevelType w:val="hybridMultilevel"/>
    <w:tmpl w:val="23F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E1BDD"/>
    <w:multiLevelType w:val="hybridMultilevel"/>
    <w:tmpl w:val="5382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419CD"/>
    <w:multiLevelType w:val="hybridMultilevel"/>
    <w:tmpl w:val="F8EAB05A"/>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B1669"/>
    <w:multiLevelType w:val="hybridMultilevel"/>
    <w:tmpl w:val="023E57D8"/>
    <w:lvl w:ilvl="0" w:tplc="C65ACF4A">
      <w:start w:val="1"/>
      <w:numFmt w:val="bullet"/>
      <w:pStyle w:val="IRP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7">
    <w:nsid w:val="2CC6680E"/>
    <w:multiLevelType w:val="hybridMultilevel"/>
    <w:tmpl w:val="3B909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E3713E"/>
    <w:multiLevelType w:val="hybridMultilevel"/>
    <w:tmpl w:val="66B6DFDA"/>
    <w:lvl w:ilvl="0" w:tplc="3FA2A3C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620F41"/>
    <w:multiLevelType w:val="hybridMultilevel"/>
    <w:tmpl w:val="D4EA8DD2"/>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5D816406"/>
    <w:multiLevelType w:val="hybridMultilevel"/>
    <w:tmpl w:val="E75C4CFE"/>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61CC1183"/>
    <w:multiLevelType w:val="hybridMultilevel"/>
    <w:tmpl w:val="E4D42896"/>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B6340D"/>
    <w:multiLevelType w:val="hybridMultilevel"/>
    <w:tmpl w:val="048E148A"/>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6D855739"/>
    <w:multiLevelType w:val="hybridMultilevel"/>
    <w:tmpl w:val="C21A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3E46DC"/>
    <w:multiLevelType w:val="hybridMultilevel"/>
    <w:tmpl w:val="55343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7E861EA"/>
    <w:multiLevelType w:val="hybridMultilevel"/>
    <w:tmpl w:val="E0DCD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487382"/>
    <w:multiLevelType w:val="hybridMultilevel"/>
    <w:tmpl w:val="23F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D62718"/>
    <w:multiLevelType w:val="hybridMultilevel"/>
    <w:tmpl w:val="FE8E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3526EF"/>
    <w:multiLevelType w:val="hybridMultilevel"/>
    <w:tmpl w:val="B64A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9"/>
  </w:num>
  <w:num w:numId="5">
    <w:abstractNumId w:val="16"/>
  </w:num>
  <w:num w:numId="6">
    <w:abstractNumId w:val="1"/>
  </w:num>
  <w:num w:numId="7">
    <w:abstractNumId w:val="12"/>
  </w:num>
  <w:num w:numId="8">
    <w:abstractNumId w:val="18"/>
  </w:num>
  <w:num w:numId="9">
    <w:abstractNumId w:val="13"/>
  </w:num>
  <w:num w:numId="10">
    <w:abstractNumId w:val="11"/>
  </w:num>
  <w:num w:numId="11">
    <w:abstractNumId w:val="3"/>
  </w:num>
  <w:num w:numId="12">
    <w:abstractNumId w:val="0"/>
  </w:num>
  <w:num w:numId="13">
    <w:abstractNumId w:val="7"/>
  </w:num>
  <w:num w:numId="14">
    <w:abstractNumId w:val="8"/>
  </w:num>
  <w:num w:numId="15">
    <w:abstractNumId w:val="5"/>
  </w:num>
  <w:num w:numId="16">
    <w:abstractNumId w:val="14"/>
  </w:num>
  <w:num w:numId="17">
    <w:abstractNumId w:val="17"/>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hdrShapeDefaults>
    <o:shapedefaults v:ext="edit" spidmax="2458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72"/>
    <w:rsid w:val="00006A0C"/>
    <w:rsid w:val="000174F8"/>
    <w:rsid w:val="00044CBE"/>
    <w:rsid w:val="00045148"/>
    <w:rsid w:val="0004560C"/>
    <w:rsid w:val="00075621"/>
    <w:rsid w:val="00076770"/>
    <w:rsid w:val="00083597"/>
    <w:rsid w:val="0009155C"/>
    <w:rsid w:val="00091AB3"/>
    <w:rsid w:val="000B5E5E"/>
    <w:rsid w:val="000C3120"/>
    <w:rsid w:val="000E4936"/>
    <w:rsid w:val="00104CD7"/>
    <w:rsid w:val="00105BAF"/>
    <w:rsid w:val="0011773E"/>
    <w:rsid w:val="00122021"/>
    <w:rsid w:val="00132609"/>
    <w:rsid w:val="001701CA"/>
    <w:rsid w:val="00184FA7"/>
    <w:rsid w:val="001B5F2B"/>
    <w:rsid w:val="001D052C"/>
    <w:rsid w:val="001D628F"/>
    <w:rsid w:val="0020632A"/>
    <w:rsid w:val="00224FE9"/>
    <w:rsid w:val="00234579"/>
    <w:rsid w:val="00242095"/>
    <w:rsid w:val="00255AA2"/>
    <w:rsid w:val="00261F11"/>
    <w:rsid w:val="00293A4E"/>
    <w:rsid w:val="002B5631"/>
    <w:rsid w:val="002C0570"/>
    <w:rsid w:val="002C1ECE"/>
    <w:rsid w:val="002D611E"/>
    <w:rsid w:val="002F77B4"/>
    <w:rsid w:val="00304B8B"/>
    <w:rsid w:val="00382146"/>
    <w:rsid w:val="003921A1"/>
    <w:rsid w:val="003C2F92"/>
    <w:rsid w:val="003D0E06"/>
    <w:rsid w:val="003E0A9E"/>
    <w:rsid w:val="003E5E14"/>
    <w:rsid w:val="00412FCD"/>
    <w:rsid w:val="0043547A"/>
    <w:rsid w:val="00440047"/>
    <w:rsid w:val="00441C35"/>
    <w:rsid w:val="0044601D"/>
    <w:rsid w:val="0045045D"/>
    <w:rsid w:val="00463946"/>
    <w:rsid w:val="004A6361"/>
    <w:rsid w:val="004D4FE0"/>
    <w:rsid w:val="004D7581"/>
    <w:rsid w:val="004F1E5A"/>
    <w:rsid w:val="00521E04"/>
    <w:rsid w:val="00525E4A"/>
    <w:rsid w:val="00555205"/>
    <w:rsid w:val="005623EB"/>
    <w:rsid w:val="00571E09"/>
    <w:rsid w:val="005C1A06"/>
    <w:rsid w:val="005C1A58"/>
    <w:rsid w:val="005D07CB"/>
    <w:rsid w:val="005F721A"/>
    <w:rsid w:val="00601E72"/>
    <w:rsid w:val="00623D77"/>
    <w:rsid w:val="0063113C"/>
    <w:rsid w:val="00637124"/>
    <w:rsid w:val="0064774D"/>
    <w:rsid w:val="006747FB"/>
    <w:rsid w:val="00681421"/>
    <w:rsid w:val="00687D29"/>
    <w:rsid w:val="00694DA4"/>
    <w:rsid w:val="006A5853"/>
    <w:rsid w:val="006C7A61"/>
    <w:rsid w:val="00700484"/>
    <w:rsid w:val="007247D3"/>
    <w:rsid w:val="007703DB"/>
    <w:rsid w:val="00776977"/>
    <w:rsid w:val="00785A65"/>
    <w:rsid w:val="00787534"/>
    <w:rsid w:val="007B70ED"/>
    <w:rsid w:val="007B77F0"/>
    <w:rsid w:val="007C4304"/>
    <w:rsid w:val="007E49E8"/>
    <w:rsid w:val="00833BEA"/>
    <w:rsid w:val="008507B6"/>
    <w:rsid w:val="00850EB4"/>
    <w:rsid w:val="00890504"/>
    <w:rsid w:val="00890FDA"/>
    <w:rsid w:val="0089210A"/>
    <w:rsid w:val="008D302A"/>
    <w:rsid w:val="008D524C"/>
    <w:rsid w:val="008F00A7"/>
    <w:rsid w:val="00902629"/>
    <w:rsid w:val="009179E5"/>
    <w:rsid w:val="00932A4D"/>
    <w:rsid w:val="0096438B"/>
    <w:rsid w:val="0097287B"/>
    <w:rsid w:val="009B66A7"/>
    <w:rsid w:val="009D009B"/>
    <w:rsid w:val="00A042BD"/>
    <w:rsid w:val="00A157B1"/>
    <w:rsid w:val="00A2200C"/>
    <w:rsid w:val="00A41D13"/>
    <w:rsid w:val="00A42BDB"/>
    <w:rsid w:val="00A47D61"/>
    <w:rsid w:val="00A71D0B"/>
    <w:rsid w:val="00A95D9B"/>
    <w:rsid w:val="00AB4298"/>
    <w:rsid w:val="00AE5F37"/>
    <w:rsid w:val="00AF5574"/>
    <w:rsid w:val="00B04CAF"/>
    <w:rsid w:val="00B12366"/>
    <w:rsid w:val="00B14DE4"/>
    <w:rsid w:val="00B20679"/>
    <w:rsid w:val="00B72944"/>
    <w:rsid w:val="00B82F6C"/>
    <w:rsid w:val="00BB606C"/>
    <w:rsid w:val="00BB7420"/>
    <w:rsid w:val="00BC105C"/>
    <w:rsid w:val="00BF45F8"/>
    <w:rsid w:val="00BF46A9"/>
    <w:rsid w:val="00C12FBA"/>
    <w:rsid w:val="00C14A65"/>
    <w:rsid w:val="00C15534"/>
    <w:rsid w:val="00C416E2"/>
    <w:rsid w:val="00C44F5C"/>
    <w:rsid w:val="00C566EF"/>
    <w:rsid w:val="00C63386"/>
    <w:rsid w:val="00C93084"/>
    <w:rsid w:val="00CD638B"/>
    <w:rsid w:val="00CE2F5B"/>
    <w:rsid w:val="00D153C0"/>
    <w:rsid w:val="00D222C6"/>
    <w:rsid w:val="00D476E4"/>
    <w:rsid w:val="00D91A6D"/>
    <w:rsid w:val="00DC2EB4"/>
    <w:rsid w:val="00DD77F9"/>
    <w:rsid w:val="00DF4E36"/>
    <w:rsid w:val="00E16024"/>
    <w:rsid w:val="00E16F2D"/>
    <w:rsid w:val="00E23051"/>
    <w:rsid w:val="00E573B5"/>
    <w:rsid w:val="00E65DEE"/>
    <w:rsid w:val="00E87BB5"/>
    <w:rsid w:val="00E976FB"/>
    <w:rsid w:val="00E97EB7"/>
    <w:rsid w:val="00EB04CD"/>
    <w:rsid w:val="00EC049C"/>
    <w:rsid w:val="00ED056D"/>
    <w:rsid w:val="00ED74D5"/>
    <w:rsid w:val="00F0200A"/>
    <w:rsid w:val="00F133C9"/>
    <w:rsid w:val="00F3525D"/>
    <w:rsid w:val="00F35EE8"/>
    <w:rsid w:val="00F409CA"/>
    <w:rsid w:val="00F563A8"/>
    <w:rsid w:val="00F60ABF"/>
    <w:rsid w:val="00F6750D"/>
    <w:rsid w:val="00FC2D8A"/>
    <w:rsid w:val="00FF1B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82"/>
    <o:shapelayout v:ext="edit">
      <o:idmap v:ext="edit" data="1"/>
    </o:shapelayout>
  </w:shapeDefaults>
  <w:doNotEmbedSmartTags/>
  <w:decimalSymbol w:val="."/>
  <w:listSeparator w:val=","/>
  <w14:docId w14:val="3FD3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1337BF"/>
    <w:rPr>
      <w:rFonts w:ascii="Lucida Grande" w:hAnsi="Lucida Grande" w:cs="Lucida Grande"/>
      <w:sz w:val="18"/>
      <w:szCs w:val="18"/>
    </w:rPr>
  </w:style>
  <w:style w:type="character" w:customStyle="1" w:styleId="BalloonTextChar0">
    <w:name w:val="Balloon Text Char"/>
    <w:basedOn w:val="DefaultParagraphFont"/>
    <w:uiPriority w:val="99"/>
    <w:semiHidden/>
    <w:rsid w:val="001337BF"/>
    <w:rPr>
      <w:rFonts w:ascii="Lucida Grande" w:hAnsi="Lucida Grande" w:cs="Lucida Grande"/>
      <w:sz w:val="18"/>
      <w:szCs w:val="18"/>
    </w:rPr>
  </w:style>
  <w:style w:type="character" w:customStyle="1" w:styleId="BalloonTextChar2">
    <w:name w:val="Balloon Text Char"/>
    <w:basedOn w:val="DefaultParagraphFont"/>
    <w:uiPriority w:val="99"/>
    <w:semiHidden/>
    <w:rsid w:val="002B1B33"/>
    <w:rPr>
      <w:rFonts w:ascii="Lucida Grande" w:hAnsi="Lucida Grande" w:cs="Lucida Grande"/>
      <w:sz w:val="18"/>
      <w:szCs w:val="18"/>
    </w:rPr>
  </w:style>
  <w:style w:type="character" w:customStyle="1" w:styleId="BalloonTextChar3">
    <w:name w:val="Balloon Text Char"/>
    <w:basedOn w:val="DefaultParagraphFont"/>
    <w:uiPriority w:val="99"/>
    <w:semiHidden/>
    <w:rsid w:val="00E73382"/>
    <w:rPr>
      <w:rFonts w:ascii="Lucida Grande" w:hAnsi="Lucida Grande"/>
      <w:sz w:val="18"/>
      <w:szCs w:val="18"/>
    </w:rPr>
  </w:style>
  <w:style w:type="character" w:customStyle="1" w:styleId="BalloonTextChar4">
    <w:name w:val="Balloon Text Char"/>
    <w:basedOn w:val="DefaultParagraphFont"/>
    <w:uiPriority w:val="99"/>
    <w:semiHidden/>
    <w:rsid w:val="00E73382"/>
    <w:rPr>
      <w:rFonts w:ascii="Lucida Grande" w:hAnsi="Lucida Grande"/>
      <w:sz w:val="18"/>
      <w:szCs w:val="18"/>
    </w:rPr>
  </w:style>
  <w:style w:type="character" w:customStyle="1" w:styleId="BalloonTextChar5">
    <w:name w:val="Balloon Text Char"/>
    <w:basedOn w:val="DefaultParagraphFont"/>
    <w:uiPriority w:val="99"/>
    <w:semiHidden/>
    <w:rsid w:val="00E73382"/>
    <w:rPr>
      <w:rFonts w:ascii="Lucida Grande" w:hAnsi="Lucida Grande"/>
      <w:sz w:val="18"/>
      <w:szCs w:val="18"/>
    </w:rPr>
  </w:style>
  <w:style w:type="character" w:customStyle="1" w:styleId="BalloonTextChar6">
    <w:name w:val="Balloon Text Char"/>
    <w:basedOn w:val="DefaultParagraphFont"/>
    <w:uiPriority w:val="99"/>
    <w:semiHidden/>
    <w:rsid w:val="00E73382"/>
    <w:rPr>
      <w:rFonts w:ascii="Lucida Grande" w:hAnsi="Lucida Grande"/>
      <w:sz w:val="18"/>
      <w:szCs w:val="18"/>
    </w:rPr>
  </w:style>
  <w:style w:type="paragraph" w:customStyle="1" w:styleId="IRPsanstext">
    <w:name w:val="IRPsanstext"/>
    <w:basedOn w:val="Normal"/>
    <w:link w:val="IRPsanstextChar1"/>
    <w:rsid w:val="00601E72"/>
    <w:pPr>
      <w:spacing w:line="320" w:lineRule="exact"/>
    </w:pPr>
    <w:rPr>
      <w:rFonts w:ascii="Arial" w:hAnsi="Arial"/>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character" w:customStyle="1" w:styleId="IRPsanstextChar1">
    <w:name w:val="IRPsanstext Char1"/>
    <w:link w:val="IRPsanstext"/>
    <w:locked/>
    <w:rsid w:val="00601E72"/>
    <w:rPr>
      <w:rFonts w:ascii="Arial" w:eastAsia="MS Mincho" w:hAnsi="Arial"/>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B14DE4"/>
    <w:pPr>
      <w:spacing w:after="120" w:line="480" w:lineRule="auto"/>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qFormat/>
    <w:rsid w:val="005D07CB"/>
    <w:pPr>
      <w:spacing w:after="120"/>
      <w:jc w:val="center"/>
    </w:pPr>
    <w:rPr>
      <w:i/>
      <w:szCs w:val="22"/>
    </w:rPr>
  </w:style>
  <w:style w:type="character" w:customStyle="1" w:styleId="IRPFigureSubChar">
    <w:name w:val="IRPFigureSub Char"/>
    <w:link w:val="IRPFigureSub"/>
    <w:rsid w:val="005D07CB"/>
    <w:rPr>
      <w:rFonts w:ascii="Arial" w:eastAsia="MS Mincho" w:hAnsi="Arial"/>
      <w:i/>
      <w:szCs w:val="22"/>
    </w:rPr>
  </w:style>
  <w:style w:type="paragraph" w:customStyle="1" w:styleId="IRPbullet">
    <w:name w:val="IRPbullet"/>
    <w:basedOn w:val="Normal"/>
    <w:uiPriority w:val="99"/>
    <w:rsid w:val="00B12366"/>
    <w:pPr>
      <w:numPr>
        <w:numId w:val="1"/>
      </w:numPr>
      <w:spacing w:beforeAutospacing="1" w:afterAutospacing="1" w:line="360" w:lineRule="auto"/>
    </w:pPr>
    <w:rPr>
      <w:rFonts w:ascii="Arial" w:hAnsi="Arial"/>
    </w:rPr>
  </w:style>
  <w:style w:type="paragraph" w:customStyle="1" w:styleId="IRPfooter">
    <w:name w:val="IRPfooter"/>
    <w:basedOn w:val="Footer"/>
    <w:link w:val="IRPfooterChar"/>
    <w:rsid w:val="00B12366"/>
    <w:rPr>
      <w:rFonts w:ascii="Palatino" w:hAnsi="Palatino"/>
      <w:i/>
      <w:szCs w:val="24"/>
    </w:rPr>
  </w:style>
  <w:style w:type="paragraph" w:customStyle="1" w:styleId="IRPtitle">
    <w:name w:val="IRPtitle"/>
    <w:basedOn w:val="Normal"/>
    <w:uiPriority w:val="99"/>
    <w:rsid w:val="00B12366"/>
    <w:pPr>
      <w:ind w:left="576" w:hanging="576"/>
    </w:pPr>
    <w:rPr>
      <w:rFonts w:ascii="Palatino" w:hAnsi="Palatino"/>
      <w:sz w:val="40"/>
      <w:szCs w:val="24"/>
    </w:rPr>
  </w:style>
  <w:style w:type="character" w:styleId="FootnoteReference">
    <w:name w:val="footnote reference"/>
    <w:basedOn w:val="DefaultParagraphFont"/>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rsid w:val="00C12FBA"/>
    <w:rPr>
      <w:rFonts w:ascii="Garamond" w:eastAsia="Garamond" w:hAnsi="Garamond"/>
      <w:lang w:eastAsia="en-US"/>
    </w:rPr>
  </w:style>
  <w:style w:type="character" w:customStyle="1" w:styleId="FootnoteTextChar">
    <w:name w:val="Footnote Text Char"/>
    <w:basedOn w:val="DefaultParagraphFont"/>
    <w:link w:val="FootnoteText"/>
    <w:rsid w:val="00C12FBA"/>
    <w:rPr>
      <w:rFonts w:ascii="Garamond" w:eastAsia="Garamond" w:hAnsi="Garamond"/>
      <w:lang w:eastAsia="en-US"/>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1"/>
    <w:qFormat/>
    <w:rsid w:val="00890FDA"/>
    <w:pPr>
      <w:widowControl w:val="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F46A9"/>
    <w:rPr>
      <w:color w:val="0000FF" w:themeColor="hyperlink"/>
      <w:u w:val="single"/>
    </w:rPr>
  </w:style>
  <w:style w:type="character" w:styleId="FollowedHyperlink">
    <w:name w:val="FollowedHyperlink"/>
    <w:basedOn w:val="DefaultParagraphFont"/>
    <w:uiPriority w:val="99"/>
    <w:semiHidden/>
    <w:unhideWhenUsed/>
    <w:rsid w:val="00BB606C"/>
    <w:rPr>
      <w:color w:val="800080" w:themeColor="followedHyperlink"/>
      <w:u w:val="single"/>
    </w:rPr>
  </w:style>
  <w:style w:type="table" w:styleId="TableGrid">
    <w:name w:val="Table Grid"/>
    <w:basedOn w:val="TableNormal"/>
    <w:uiPriority w:val="59"/>
    <w:rsid w:val="00E65DEE"/>
    <w:pPr>
      <w:widowControl w:val="0"/>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RPsanstextChar">
    <w:name w:val="IRPsanstext Char"/>
    <w:rsid w:val="00A95D9B"/>
    <w:rPr>
      <w:rFonts w:ascii="Arial" w:eastAsia="MS Mincho" w:hAnsi="Arial"/>
      <w:lang w:val="en-US" w:eastAsia="ja-JP"/>
    </w:rPr>
  </w:style>
  <w:style w:type="paragraph" w:customStyle="1" w:styleId="irpsub10">
    <w:name w:val="irpsub1"/>
    <w:basedOn w:val="Normal"/>
    <w:rsid w:val="00A95D9B"/>
    <w:pPr>
      <w:spacing w:before="100" w:beforeAutospacing="1" w:after="100" w:afterAutospacing="1"/>
    </w:pPr>
    <w:rPr>
      <w:rFonts w:ascii="Arial" w:eastAsia="Times New Roman" w:hAnsi="Arial" w:cs="Arial"/>
      <w:b/>
      <w:bCs/>
      <w:i/>
      <w:iCs/>
      <w:sz w:val="28"/>
      <w:szCs w:val="24"/>
      <w:lang w:eastAsia="en-US"/>
    </w:rPr>
  </w:style>
  <w:style w:type="character" w:customStyle="1" w:styleId="IRPfooterChar">
    <w:name w:val="IRPfooter Char"/>
    <w:basedOn w:val="FooterChar"/>
    <w:link w:val="IRPfooter"/>
    <w:rsid w:val="00A95D9B"/>
    <w:rPr>
      <w:rFonts w:ascii="Palatino" w:eastAsia="MS Mincho" w:hAnsi="Palatino"/>
      <w:i/>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1337BF"/>
    <w:rPr>
      <w:rFonts w:ascii="Lucida Grande" w:hAnsi="Lucida Grande" w:cs="Lucida Grande"/>
      <w:sz w:val="18"/>
      <w:szCs w:val="18"/>
    </w:rPr>
  </w:style>
  <w:style w:type="character" w:customStyle="1" w:styleId="BalloonTextChar0">
    <w:name w:val="Balloon Text Char"/>
    <w:basedOn w:val="DefaultParagraphFont"/>
    <w:uiPriority w:val="99"/>
    <w:semiHidden/>
    <w:rsid w:val="001337BF"/>
    <w:rPr>
      <w:rFonts w:ascii="Lucida Grande" w:hAnsi="Lucida Grande" w:cs="Lucida Grande"/>
      <w:sz w:val="18"/>
      <w:szCs w:val="18"/>
    </w:rPr>
  </w:style>
  <w:style w:type="character" w:customStyle="1" w:styleId="BalloonTextChar2">
    <w:name w:val="Balloon Text Char"/>
    <w:basedOn w:val="DefaultParagraphFont"/>
    <w:uiPriority w:val="99"/>
    <w:semiHidden/>
    <w:rsid w:val="002B1B33"/>
    <w:rPr>
      <w:rFonts w:ascii="Lucida Grande" w:hAnsi="Lucida Grande" w:cs="Lucida Grande"/>
      <w:sz w:val="18"/>
      <w:szCs w:val="18"/>
    </w:rPr>
  </w:style>
  <w:style w:type="character" w:customStyle="1" w:styleId="BalloonTextChar3">
    <w:name w:val="Balloon Text Char"/>
    <w:basedOn w:val="DefaultParagraphFont"/>
    <w:uiPriority w:val="99"/>
    <w:semiHidden/>
    <w:rsid w:val="00E73382"/>
    <w:rPr>
      <w:rFonts w:ascii="Lucida Grande" w:hAnsi="Lucida Grande"/>
      <w:sz w:val="18"/>
      <w:szCs w:val="18"/>
    </w:rPr>
  </w:style>
  <w:style w:type="character" w:customStyle="1" w:styleId="BalloonTextChar4">
    <w:name w:val="Balloon Text Char"/>
    <w:basedOn w:val="DefaultParagraphFont"/>
    <w:uiPriority w:val="99"/>
    <w:semiHidden/>
    <w:rsid w:val="00E73382"/>
    <w:rPr>
      <w:rFonts w:ascii="Lucida Grande" w:hAnsi="Lucida Grande"/>
      <w:sz w:val="18"/>
      <w:szCs w:val="18"/>
    </w:rPr>
  </w:style>
  <w:style w:type="character" w:customStyle="1" w:styleId="BalloonTextChar5">
    <w:name w:val="Balloon Text Char"/>
    <w:basedOn w:val="DefaultParagraphFont"/>
    <w:uiPriority w:val="99"/>
    <w:semiHidden/>
    <w:rsid w:val="00E73382"/>
    <w:rPr>
      <w:rFonts w:ascii="Lucida Grande" w:hAnsi="Lucida Grande"/>
      <w:sz w:val="18"/>
      <w:szCs w:val="18"/>
    </w:rPr>
  </w:style>
  <w:style w:type="character" w:customStyle="1" w:styleId="BalloonTextChar6">
    <w:name w:val="Balloon Text Char"/>
    <w:basedOn w:val="DefaultParagraphFont"/>
    <w:uiPriority w:val="99"/>
    <w:semiHidden/>
    <w:rsid w:val="00E73382"/>
    <w:rPr>
      <w:rFonts w:ascii="Lucida Grande" w:hAnsi="Lucida Grande"/>
      <w:sz w:val="18"/>
      <w:szCs w:val="18"/>
    </w:rPr>
  </w:style>
  <w:style w:type="paragraph" w:customStyle="1" w:styleId="IRPsanstext">
    <w:name w:val="IRPsanstext"/>
    <w:basedOn w:val="Normal"/>
    <w:link w:val="IRPsanstextChar1"/>
    <w:rsid w:val="00601E72"/>
    <w:pPr>
      <w:spacing w:line="320" w:lineRule="exact"/>
    </w:pPr>
    <w:rPr>
      <w:rFonts w:ascii="Arial" w:hAnsi="Arial"/>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character" w:customStyle="1" w:styleId="IRPsanstextChar1">
    <w:name w:val="IRPsanstext Char1"/>
    <w:link w:val="IRPsanstext"/>
    <w:locked/>
    <w:rsid w:val="00601E72"/>
    <w:rPr>
      <w:rFonts w:ascii="Arial" w:eastAsia="MS Mincho" w:hAnsi="Arial"/>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B14DE4"/>
    <w:pPr>
      <w:spacing w:after="120" w:line="480" w:lineRule="auto"/>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qFormat/>
    <w:rsid w:val="005D07CB"/>
    <w:pPr>
      <w:spacing w:after="120"/>
      <w:jc w:val="center"/>
    </w:pPr>
    <w:rPr>
      <w:i/>
      <w:szCs w:val="22"/>
    </w:rPr>
  </w:style>
  <w:style w:type="character" w:customStyle="1" w:styleId="IRPFigureSubChar">
    <w:name w:val="IRPFigureSub Char"/>
    <w:link w:val="IRPFigureSub"/>
    <w:rsid w:val="005D07CB"/>
    <w:rPr>
      <w:rFonts w:ascii="Arial" w:eastAsia="MS Mincho" w:hAnsi="Arial"/>
      <w:i/>
      <w:szCs w:val="22"/>
    </w:rPr>
  </w:style>
  <w:style w:type="paragraph" w:customStyle="1" w:styleId="IRPbullet">
    <w:name w:val="IRPbullet"/>
    <w:basedOn w:val="Normal"/>
    <w:uiPriority w:val="99"/>
    <w:rsid w:val="00B12366"/>
    <w:pPr>
      <w:numPr>
        <w:numId w:val="1"/>
      </w:numPr>
      <w:spacing w:beforeAutospacing="1" w:afterAutospacing="1" w:line="360" w:lineRule="auto"/>
    </w:pPr>
    <w:rPr>
      <w:rFonts w:ascii="Arial" w:hAnsi="Arial"/>
    </w:rPr>
  </w:style>
  <w:style w:type="paragraph" w:customStyle="1" w:styleId="IRPfooter">
    <w:name w:val="IRPfooter"/>
    <w:basedOn w:val="Footer"/>
    <w:link w:val="IRPfooterChar"/>
    <w:rsid w:val="00B12366"/>
    <w:rPr>
      <w:rFonts w:ascii="Palatino" w:hAnsi="Palatino"/>
      <w:i/>
      <w:szCs w:val="24"/>
    </w:rPr>
  </w:style>
  <w:style w:type="paragraph" w:customStyle="1" w:styleId="IRPtitle">
    <w:name w:val="IRPtitle"/>
    <w:basedOn w:val="Normal"/>
    <w:uiPriority w:val="99"/>
    <w:rsid w:val="00B12366"/>
    <w:pPr>
      <w:ind w:left="576" w:hanging="576"/>
    </w:pPr>
    <w:rPr>
      <w:rFonts w:ascii="Palatino" w:hAnsi="Palatino"/>
      <w:sz w:val="40"/>
      <w:szCs w:val="24"/>
    </w:rPr>
  </w:style>
  <w:style w:type="character" w:styleId="FootnoteReference">
    <w:name w:val="footnote reference"/>
    <w:basedOn w:val="DefaultParagraphFont"/>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rsid w:val="00C12FBA"/>
    <w:rPr>
      <w:rFonts w:ascii="Garamond" w:eastAsia="Garamond" w:hAnsi="Garamond"/>
      <w:lang w:eastAsia="en-US"/>
    </w:rPr>
  </w:style>
  <w:style w:type="character" w:customStyle="1" w:styleId="FootnoteTextChar">
    <w:name w:val="Footnote Text Char"/>
    <w:basedOn w:val="DefaultParagraphFont"/>
    <w:link w:val="FootnoteText"/>
    <w:rsid w:val="00C12FBA"/>
    <w:rPr>
      <w:rFonts w:ascii="Garamond" w:eastAsia="Garamond" w:hAnsi="Garamond"/>
      <w:lang w:eastAsia="en-US"/>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1"/>
    <w:qFormat/>
    <w:rsid w:val="00890FDA"/>
    <w:pPr>
      <w:widowControl w:val="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F46A9"/>
    <w:rPr>
      <w:color w:val="0000FF" w:themeColor="hyperlink"/>
      <w:u w:val="single"/>
    </w:rPr>
  </w:style>
  <w:style w:type="character" w:styleId="FollowedHyperlink">
    <w:name w:val="FollowedHyperlink"/>
    <w:basedOn w:val="DefaultParagraphFont"/>
    <w:uiPriority w:val="99"/>
    <w:semiHidden/>
    <w:unhideWhenUsed/>
    <w:rsid w:val="00BB606C"/>
    <w:rPr>
      <w:color w:val="800080" w:themeColor="followedHyperlink"/>
      <w:u w:val="single"/>
    </w:rPr>
  </w:style>
  <w:style w:type="table" w:styleId="TableGrid">
    <w:name w:val="Table Grid"/>
    <w:basedOn w:val="TableNormal"/>
    <w:uiPriority w:val="59"/>
    <w:rsid w:val="00E65DEE"/>
    <w:pPr>
      <w:widowControl w:val="0"/>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RPsanstextChar">
    <w:name w:val="IRPsanstext Char"/>
    <w:rsid w:val="00A95D9B"/>
    <w:rPr>
      <w:rFonts w:ascii="Arial" w:eastAsia="MS Mincho" w:hAnsi="Arial"/>
      <w:lang w:val="en-US" w:eastAsia="ja-JP"/>
    </w:rPr>
  </w:style>
  <w:style w:type="paragraph" w:customStyle="1" w:styleId="irpsub10">
    <w:name w:val="irpsub1"/>
    <w:basedOn w:val="Normal"/>
    <w:rsid w:val="00A95D9B"/>
    <w:pPr>
      <w:spacing w:before="100" w:beforeAutospacing="1" w:after="100" w:afterAutospacing="1"/>
    </w:pPr>
    <w:rPr>
      <w:rFonts w:ascii="Arial" w:eastAsia="Times New Roman" w:hAnsi="Arial" w:cs="Arial"/>
      <w:b/>
      <w:bCs/>
      <w:i/>
      <w:iCs/>
      <w:sz w:val="28"/>
      <w:szCs w:val="24"/>
      <w:lang w:eastAsia="en-US"/>
    </w:rPr>
  </w:style>
  <w:style w:type="character" w:customStyle="1" w:styleId="IRPfooterChar">
    <w:name w:val="IRPfooter Char"/>
    <w:basedOn w:val="FooterChar"/>
    <w:link w:val="IRPfooter"/>
    <w:rsid w:val="00A95D9B"/>
    <w:rPr>
      <w:rFonts w:ascii="Palatino" w:eastAsia="MS Mincho" w:hAnsi="Palatino"/>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8D355C9-94F4-4E1E-B4BE-05C2660D433F}"/>
</file>

<file path=customXml/itemProps2.xml><?xml version="1.0" encoding="utf-8"?>
<ds:datastoreItem xmlns:ds="http://schemas.openxmlformats.org/officeDocument/2006/customXml" ds:itemID="{83035143-2568-42B7-B4F3-C8906ED33350}"/>
</file>

<file path=customXml/itemProps3.xml><?xml version="1.0" encoding="utf-8"?>
<ds:datastoreItem xmlns:ds="http://schemas.openxmlformats.org/officeDocument/2006/customXml" ds:itemID="{876EB3D9-D63E-4944-8461-BA5BF18F3D7F}"/>
</file>

<file path=customXml/itemProps4.xml><?xml version="1.0" encoding="utf-8"?>
<ds:datastoreItem xmlns:ds="http://schemas.openxmlformats.org/officeDocument/2006/customXml" ds:itemID="{EA048929-8B7B-144C-AED6-2D92367617F6}"/>
</file>

<file path=customXml/itemProps5.xml><?xml version="1.0" encoding="utf-8"?>
<ds:datastoreItem xmlns:ds="http://schemas.openxmlformats.org/officeDocument/2006/customXml" ds:itemID="{0534EDAA-CE56-448F-AEDA-1E76B4E64C93}"/>
</file>

<file path=docProps/app.xml><?xml version="1.0" encoding="utf-8"?>
<Properties xmlns="http://schemas.openxmlformats.org/officeDocument/2006/extended-properties" xmlns:vt="http://schemas.openxmlformats.org/officeDocument/2006/docPropsVTypes">
  <Template>Normal.dotm</Template>
  <TotalTime>3</TotalTime>
  <Pages>11</Pages>
  <Words>3025</Words>
  <Characters>17248</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 User</dc:creator>
  <cp:lastModifiedBy>Ann Rhodes</cp:lastModifiedBy>
  <cp:revision>3</cp:revision>
  <cp:lastPrinted>2015-09-15T21:15:00Z</cp:lastPrinted>
  <dcterms:created xsi:type="dcterms:W3CDTF">2015-10-28T19:17:00Z</dcterms:created>
  <dcterms:modified xsi:type="dcterms:W3CDTF">2015-10-28T19:19:00Z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