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FD" w:rsidRPr="009277B8" w:rsidRDefault="008A6368" w:rsidP="00590852">
      <w:pPr>
        <w:jc w:val="center"/>
        <w:rPr>
          <w:rFonts w:ascii="Times New Roman" w:hAnsi="Times New Roman" w:cs="Times New Roman"/>
          <w:b/>
          <w:sz w:val="24"/>
          <w:szCs w:val="24"/>
        </w:rPr>
      </w:pPr>
      <w:r w:rsidRPr="009277B8">
        <w:rPr>
          <w:rFonts w:ascii="Times New Roman" w:hAnsi="Times New Roman" w:cs="Times New Roman"/>
          <w:b/>
          <w:sz w:val="24"/>
          <w:szCs w:val="24"/>
        </w:rPr>
        <w:t>UTC Comment form for Energy Independence Act Rulemaking, WAC 480-109</w:t>
      </w:r>
      <w:r w:rsidR="00101011" w:rsidRPr="009277B8">
        <w:rPr>
          <w:rFonts w:ascii="Times New Roman" w:hAnsi="Times New Roman" w:cs="Times New Roman"/>
          <w:b/>
          <w:sz w:val="24"/>
          <w:szCs w:val="24"/>
        </w:rPr>
        <w:t xml:space="preserve">, Docket </w:t>
      </w:r>
      <w:r w:rsidR="00C656B7" w:rsidRPr="009277B8">
        <w:rPr>
          <w:rFonts w:ascii="Times New Roman" w:hAnsi="Times New Roman" w:cs="Times New Roman"/>
          <w:b/>
          <w:sz w:val="24"/>
          <w:szCs w:val="24"/>
        </w:rPr>
        <w:t>UE-</w:t>
      </w:r>
      <w:r w:rsidR="00101011" w:rsidRPr="009277B8">
        <w:rPr>
          <w:rFonts w:ascii="Times New Roman" w:hAnsi="Times New Roman" w:cs="Times New Roman"/>
          <w:b/>
          <w:sz w:val="24"/>
          <w:szCs w:val="24"/>
        </w:rPr>
        <w:t>131723</w:t>
      </w:r>
    </w:p>
    <w:p w:rsidR="002C039A" w:rsidRPr="009277B8" w:rsidRDefault="00101011" w:rsidP="00101011">
      <w:pPr>
        <w:rPr>
          <w:rFonts w:ascii="Times New Roman" w:hAnsi="Times New Roman" w:cs="Times New Roman"/>
          <w:b/>
          <w:u w:val="single"/>
        </w:rPr>
      </w:pPr>
      <w:r w:rsidRPr="009277B8">
        <w:rPr>
          <w:rFonts w:ascii="Times New Roman" w:hAnsi="Times New Roman" w:cs="Times New Roman"/>
          <w:u w:val="single"/>
        </w:rPr>
        <w:t>S</w:t>
      </w:r>
      <w:r w:rsidR="00C656B7" w:rsidRPr="009277B8">
        <w:rPr>
          <w:rFonts w:ascii="Times New Roman" w:hAnsi="Times New Roman" w:cs="Times New Roman"/>
          <w:u w:val="single"/>
        </w:rPr>
        <w:t>ubmit this form</w:t>
      </w:r>
      <w:r w:rsidR="009F6B32" w:rsidRPr="009277B8">
        <w:rPr>
          <w:rFonts w:ascii="Times New Roman" w:hAnsi="Times New Roman" w:cs="Times New Roman"/>
          <w:u w:val="single"/>
        </w:rPr>
        <w:t xml:space="preserve"> by </w:t>
      </w:r>
      <w:r w:rsidRPr="009277B8">
        <w:rPr>
          <w:rFonts w:ascii="Times New Roman" w:hAnsi="Times New Roman" w:cs="Times New Roman"/>
          <w:u w:val="single"/>
        </w:rPr>
        <w:t xml:space="preserve">5 PM </w:t>
      </w:r>
      <w:r w:rsidR="004403CE" w:rsidRPr="009277B8">
        <w:rPr>
          <w:rFonts w:ascii="Times New Roman" w:hAnsi="Times New Roman" w:cs="Times New Roman"/>
          <w:u w:val="single"/>
        </w:rPr>
        <w:t>Friday</w:t>
      </w:r>
      <w:r w:rsidR="00590852" w:rsidRPr="009277B8">
        <w:rPr>
          <w:rFonts w:ascii="Times New Roman" w:hAnsi="Times New Roman" w:cs="Times New Roman"/>
          <w:u w:val="single"/>
        </w:rPr>
        <w:t xml:space="preserve">, </w:t>
      </w:r>
      <w:r w:rsidR="004403CE" w:rsidRPr="009277B8">
        <w:rPr>
          <w:rFonts w:ascii="Times New Roman" w:hAnsi="Times New Roman" w:cs="Times New Roman"/>
          <w:u w:val="single"/>
        </w:rPr>
        <w:t>May 9, 2014</w:t>
      </w:r>
      <w:r w:rsidR="009F6B32" w:rsidRPr="009277B8">
        <w:rPr>
          <w:rFonts w:ascii="Times New Roman" w:hAnsi="Times New Roman" w:cs="Times New Roman"/>
          <w:u w:val="single"/>
        </w:rPr>
        <w:t xml:space="preserve"> </w:t>
      </w:r>
      <w:r w:rsidRPr="009277B8">
        <w:rPr>
          <w:rFonts w:ascii="Times New Roman" w:hAnsi="Times New Roman" w:cs="Times New Roman"/>
          <w:u w:val="single"/>
        </w:rPr>
        <w:t xml:space="preserve">via the Commission’s Web portal at </w:t>
      </w:r>
      <w:hyperlink r:id="rId8" w:history="1">
        <w:r w:rsidRPr="009277B8">
          <w:rPr>
            <w:rStyle w:val="Hyperlink"/>
            <w:rFonts w:ascii="Times New Roman" w:hAnsi="Times New Roman" w:cs="Times New Roman"/>
          </w:rPr>
          <w:t>www.utc.wa.gov/e-filing</w:t>
        </w:r>
      </w:hyperlink>
      <w:r w:rsidRPr="009277B8">
        <w:rPr>
          <w:rFonts w:ascii="Times New Roman" w:hAnsi="Times New Roman" w:cs="Times New Roman"/>
          <w:u w:val="single"/>
        </w:rPr>
        <w:t xml:space="preserve"> or by e-mail to </w:t>
      </w:r>
      <w:hyperlink r:id="rId9" w:history="1">
        <w:r w:rsidR="008353FD" w:rsidRPr="009277B8">
          <w:rPr>
            <w:rStyle w:val="Hyperlink"/>
            <w:rFonts w:ascii="Times New Roman" w:hAnsi="Times New Roman" w:cs="Times New Roman"/>
            <w:b/>
          </w:rPr>
          <w:t>records@utc.wa.gov</w:t>
        </w:r>
      </w:hyperlink>
      <w:r w:rsidR="009F6B32" w:rsidRPr="009277B8">
        <w:rPr>
          <w:rFonts w:ascii="Times New Roman" w:hAnsi="Times New Roman" w:cs="Times New Roman"/>
          <w:b/>
          <w:u w:val="single"/>
        </w:rPr>
        <w:t>.</w:t>
      </w:r>
    </w:p>
    <w:p w:rsidR="008A6368" w:rsidRPr="009277B8" w:rsidRDefault="008A6368" w:rsidP="00AD3312">
      <w:pPr>
        <w:rPr>
          <w:rFonts w:ascii="Times New Roman" w:hAnsi="Times New Roman" w:cs="Times New Roman"/>
          <w:sz w:val="24"/>
          <w:szCs w:val="24"/>
        </w:rPr>
      </w:pPr>
    </w:p>
    <w:p w:rsidR="00373517" w:rsidRPr="009277B8" w:rsidRDefault="008A6368" w:rsidP="008A6368">
      <w:pPr>
        <w:rPr>
          <w:rFonts w:ascii="Times New Roman" w:hAnsi="Times New Roman" w:cs="Times New Roman"/>
          <w:sz w:val="24"/>
          <w:szCs w:val="24"/>
        </w:rPr>
      </w:pPr>
      <w:r w:rsidRPr="009277B8">
        <w:rPr>
          <w:rFonts w:ascii="Times New Roman" w:hAnsi="Times New Roman" w:cs="Times New Roman"/>
          <w:sz w:val="24"/>
          <w:szCs w:val="24"/>
        </w:rPr>
        <w:t xml:space="preserve">Comments on behalf of:  </w:t>
      </w:r>
      <w:r w:rsidRPr="009277B8">
        <w:rPr>
          <w:rFonts w:ascii="Times New Roman" w:hAnsi="Times New Roman" w:cs="Times New Roman"/>
          <w:sz w:val="24"/>
          <w:szCs w:val="24"/>
          <w:u w:val="single"/>
        </w:rPr>
        <w:t>_</w:t>
      </w:r>
      <w:r w:rsidR="00856F72" w:rsidRPr="009277B8">
        <w:rPr>
          <w:rFonts w:ascii="Times New Roman" w:hAnsi="Times New Roman" w:cs="Times New Roman"/>
          <w:sz w:val="24"/>
          <w:szCs w:val="24"/>
          <w:u w:val="single"/>
        </w:rPr>
        <w:t>Avista</w:t>
      </w:r>
      <w:r w:rsidR="00F1566A">
        <w:rPr>
          <w:rFonts w:ascii="Times New Roman" w:hAnsi="Times New Roman" w:cs="Times New Roman"/>
          <w:sz w:val="24"/>
          <w:szCs w:val="24"/>
          <w:u w:val="single"/>
        </w:rPr>
        <w:t xml:space="preserve"> Corporation</w:t>
      </w:r>
      <w:r w:rsidRPr="009277B8">
        <w:rPr>
          <w:rFonts w:ascii="Times New Roman" w:hAnsi="Times New Roman" w:cs="Times New Roman"/>
          <w:sz w:val="24"/>
          <w:szCs w:val="24"/>
          <w:u w:val="single"/>
        </w:rPr>
        <w:t>__</w:t>
      </w:r>
      <w:proofErr w:type="gramStart"/>
      <w:r w:rsidR="00590852" w:rsidRPr="009277B8">
        <w:rPr>
          <w:rFonts w:ascii="Times New Roman" w:hAnsi="Times New Roman" w:cs="Times New Roman"/>
          <w:sz w:val="24"/>
          <w:szCs w:val="24"/>
          <w:u w:val="single"/>
        </w:rPr>
        <w:t>_</w:t>
      </w:r>
      <w:r w:rsidRPr="009277B8">
        <w:rPr>
          <w:rFonts w:ascii="Times New Roman" w:hAnsi="Times New Roman" w:cs="Times New Roman"/>
          <w:sz w:val="24"/>
          <w:szCs w:val="24"/>
        </w:rPr>
        <w:t xml:space="preserve">  </w:t>
      </w:r>
      <w:r w:rsidR="00590852" w:rsidRPr="009277B8">
        <w:rPr>
          <w:rFonts w:ascii="Times New Roman" w:hAnsi="Times New Roman" w:cs="Times New Roman"/>
          <w:sz w:val="24"/>
          <w:szCs w:val="24"/>
        </w:rPr>
        <w:t>Commenter</w:t>
      </w:r>
      <w:proofErr w:type="gramEnd"/>
      <w:r w:rsidRPr="009277B8">
        <w:rPr>
          <w:rFonts w:ascii="Times New Roman" w:hAnsi="Times New Roman" w:cs="Times New Roman"/>
          <w:sz w:val="24"/>
          <w:szCs w:val="24"/>
        </w:rPr>
        <w:t xml:space="preserve">:  </w:t>
      </w:r>
      <w:r w:rsidR="00856F72" w:rsidRPr="009277B8">
        <w:rPr>
          <w:rFonts w:ascii="Times New Roman" w:hAnsi="Times New Roman" w:cs="Times New Roman"/>
          <w:sz w:val="24"/>
          <w:szCs w:val="24"/>
          <w:u w:val="single"/>
        </w:rPr>
        <w:t>Linda Gervais</w:t>
      </w:r>
      <w:r w:rsidR="005C5A94" w:rsidRPr="009277B8">
        <w:rPr>
          <w:rFonts w:ascii="Times New Roman" w:hAnsi="Times New Roman" w:cs="Times New Roman"/>
          <w:sz w:val="24"/>
          <w:szCs w:val="24"/>
          <w:u w:val="single"/>
        </w:rPr>
        <w:t>_</w:t>
      </w:r>
      <w:r w:rsidR="005C5A94" w:rsidRPr="009277B8">
        <w:rPr>
          <w:rFonts w:ascii="Times New Roman" w:hAnsi="Times New Roman" w:cs="Times New Roman"/>
          <w:sz w:val="24"/>
          <w:szCs w:val="24"/>
        </w:rPr>
        <w:t xml:space="preserve">   E-mail: </w:t>
      </w:r>
      <w:r w:rsidR="00856F72" w:rsidRPr="009277B8">
        <w:rPr>
          <w:rFonts w:ascii="Times New Roman" w:hAnsi="Times New Roman" w:cs="Times New Roman"/>
          <w:sz w:val="24"/>
          <w:szCs w:val="24"/>
          <w:u w:val="single"/>
        </w:rPr>
        <w:t>linda.gervais@avistacorp.com</w:t>
      </w:r>
      <w:r w:rsidR="005C5A94" w:rsidRPr="009277B8">
        <w:rPr>
          <w:rFonts w:ascii="Times New Roman" w:hAnsi="Times New Roman" w:cs="Times New Roman"/>
          <w:sz w:val="24"/>
          <w:szCs w:val="24"/>
        </w:rPr>
        <w:t xml:space="preserve">  </w:t>
      </w:r>
      <w:r w:rsidR="00F27025" w:rsidRPr="009277B8">
        <w:rPr>
          <w:rFonts w:ascii="Times New Roman" w:hAnsi="Times New Roman" w:cs="Times New Roman"/>
          <w:sz w:val="24"/>
          <w:szCs w:val="24"/>
        </w:rPr>
        <w:t xml:space="preserve">  Phone: </w:t>
      </w:r>
      <w:r w:rsidR="00F27025" w:rsidRPr="009277B8">
        <w:rPr>
          <w:rFonts w:ascii="Times New Roman" w:hAnsi="Times New Roman" w:cs="Times New Roman"/>
          <w:sz w:val="24"/>
          <w:szCs w:val="24"/>
          <w:u w:val="single"/>
        </w:rPr>
        <w:t>509-495-4975</w:t>
      </w:r>
    </w:p>
    <w:p w:rsidR="009F6B32" w:rsidRPr="009277B8" w:rsidRDefault="00373517" w:rsidP="00373517">
      <w:pPr>
        <w:ind w:left="2160"/>
        <w:rPr>
          <w:rFonts w:ascii="Times New Roman" w:hAnsi="Times New Roman" w:cs="Times New Roman"/>
          <w:sz w:val="24"/>
          <w:szCs w:val="24"/>
        </w:rPr>
      </w:pPr>
      <w:r w:rsidRPr="009277B8">
        <w:rPr>
          <w:rFonts w:ascii="Times New Roman" w:hAnsi="Times New Roman" w:cs="Times New Roman"/>
          <w:b/>
          <w:i/>
          <w:sz w:val="20"/>
          <w:szCs w:val="20"/>
        </w:rPr>
        <w:t>Name of Organization or “self”</w:t>
      </w:r>
      <w:r w:rsidRPr="009277B8">
        <w:rPr>
          <w:rFonts w:ascii="Times New Roman" w:hAnsi="Times New Roman" w:cs="Times New Roman"/>
          <w:b/>
          <w:i/>
          <w:sz w:val="20"/>
          <w:szCs w:val="20"/>
        </w:rPr>
        <w:tab/>
      </w:r>
      <w:r w:rsidRPr="009277B8">
        <w:rPr>
          <w:rFonts w:ascii="Times New Roman" w:hAnsi="Times New Roman" w:cs="Times New Roman"/>
          <w:b/>
          <w:i/>
          <w:sz w:val="20"/>
          <w:szCs w:val="20"/>
        </w:rPr>
        <w:tab/>
      </w:r>
      <w:r w:rsidRPr="009277B8">
        <w:rPr>
          <w:rFonts w:ascii="Times New Roman" w:hAnsi="Times New Roman" w:cs="Times New Roman"/>
          <w:b/>
          <w:i/>
          <w:sz w:val="20"/>
          <w:szCs w:val="20"/>
        </w:rPr>
        <w:tab/>
      </w:r>
      <w:r w:rsidRPr="009277B8">
        <w:rPr>
          <w:rFonts w:ascii="Times New Roman" w:hAnsi="Times New Roman" w:cs="Times New Roman"/>
          <w:b/>
          <w:i/>
          <w:sz w:val="20"/>
          <w:szCs w:val="20"/>
        </w:rPr>
        <w:tab/>
      </w:r>
      <w:r w:rsidRPr="009277B8">
        <w:rPr>
          <w:rFonts w:ascii="Times New Roman" w:hAnsi="Times New Roman" w:cs="Times New Roman"/>
          <w:b/>
          <w:i/>
          <w:sz w:val="20"/>
          <w:szCs w:val="20"/>
        </w:rPr>
        <w:tab/>
      </w:r>
      <w:r w:rsidR="00856F72" w:rsidRPr="009277B8">
        <w:rPr>
          <w:rFonts w:ascii="Times New Roman" w:hAnsi="Times New Roman" w:cs="Times New Roman"/>
          <w:b/>
          <w:i/>
          <w:sz w:val="20"/>
          <w:szCs w:val="20"/>
        </w:rPr>
        <w:tab/>
      </w:r>
      <w:r w:rsidR="00856F72" w:rsidRPr="009277B8">
        <w:rPr>
          <w:rFonts w:ascii="Times New Roman" w:hAnsi="Times New Roman" w:cs="Times New Roman"/>
          <w:b/>
          <w:i/>
          <w:sz w:val="20"/>
          <w:szCs w:val="20"/>
        </w:rPr>
        <w:tab/>
      </w:r>
      <w:r w:rsidR="00856F72" w:rsidRPr="009277B8">
        <w:rPr>
          <w:rFonts w:ascii="Times New Roman" w:hAnsi="Times New Roman" w:cs="Times New Roman"/>
          <w:b/>
          <w:i/>
          <w:sz w:val="20"/>
          <w:szCs w:val="20"/>
        </w:rPr>
        <w:tab/>
      </w:r>
      <w:r w:rsidR="00856F72" w:rsidRPr="009277B8">
        <w:rPr>
          <w:rFonts w:ascii="Times New Roman" w:hAnsi="Times New Roman" w:cs="Times New Roman"/>
          <w:b/>
          <w:i/>
          <w:sz w:val="20"/>
          <w:szCs w:val="20"/>
        </w:rPr>
        <w:tab/>
      </w:r>
    </w:p>
    <w:p w:rsidR="00590852" w:rsidRPr="009277B8" w:rsidRDefault="008A6368" w:rsidP="00590852">
      <w:pPr>
        <w:spacing w:after="120"/>
        <w:rPr>
          <w:rFonts w:ascii="Times New Roman" w:hAnsi="Times New Roman" w:cs="Times New Roman"/>
          <w:b/>
          <w:i/>
          <w:sz w:val="20"/>
          <w:szCs w:val="20"/>
        </w:rPr>
      </w:pPr>
      <w:r w:rsidRPr="009277B8">
        <w:rPr>
          <w:rFonts w:ascii="Times New Roman" w:hAnsi="Times New Roman" w:cs="Times New Roman"/>
          <w:sz w:val="24"/>
          <w:szCs w:val="24"/>
        </w:rPr>
        <w:tab/>
      </w:r>
      <w:r w:rsidRPr="009277B8">
        <w:rPr>
          <w:rFonts w:ascii="Times New Roman" w:hAnsi="Times New Roman" w:cs="Times New Roman"/>
          <w:sz w:val="24"/>
          <w:szCs w:val="24"/>
        </w:rPr>
        <w:tab/>
      </w:r>
      <w:r w:rsidRPr="009277B8">
        <w:rPr>
          <w:rFonts w:ascii="Times New Roman" w:hAnsi="Times New Roman" w:cs="Times New Roman"/>
          <w:sz w:val="24"/>
          <w:szCs w:val="24"/>
        </w:rPr>
        <w:tab/>
        <w:t xml:space="preserve">  </w:t>
      </w:r>
      <w:r w:rsidR="00101011" w:rsidRPr="009277B8">
        <w:rPr>
          <w:rFonts w:ascii="Times New Roman" w:hAnsi="Times New Roman" w:cs="Times New Roman"/>
          <w:sz w:val="24"/>
          <w:szCs w:val="24"/>
        </w:rPr>
        <w:t xml:space="preserve">  </w:t>
      </w:r>
      <w:r w:rsidRPr="009277B8">
        <w:rPr>
          <w:rFonts w:ascii="Times New Roman" w:hAnsi="Times New Roman" w:cs="Times New Roman"/>
          <w:sz w:val="24"/>
          <w:szCs w:val="24"/>
        </w:rPr>
        <w:t xml:space="preserve"> </w:t>
      </w:r>
    </w:p>
    <w:p w:rsidR="00373517" w:rsidRPr="009277B8" w:rsidRDefault="008353FD" w:rsidP="00590852">
      <w:pPr>
        <w:spacing w:after="120"/>
        <w:rPr>
          <w:rFonts w:ascii="Times New Roman" w:hAnsi="Times New Roman" w:cs="Times New Roman"/>
        </w:rPr>
      </w:pPr>
      <w:r w:rsidRPr="009277B8">
        <w:rPr>
          <w:rFonts w:ascii="Times New Roman" w:hAnsi="Times New Roman" w:cs="Times New Roman"/>
        </w:rPr>
        <w:t>In the first column</w:t>
      </w:r>
      <w:r w:rsidR="005C5A94" w:rsidRPr="009277B8">
        <w:rPr>
          <w:rFonts w:ascii="Times New Roman" w:hAnsi="Times New Roman" w:cs="Times New Roman"/>
        </w:rPr>
        <w:t>,</w:t>
      </w:r>
      <w:r w:rsidRPr="009277B8">
        <w:rPr>
          <w:rFonts w:ascii="Times New Roman" w:hAnsi="Times New Roman" w:cs="Times New Roman"/>
        </w:rPr>
        <w:t xml:space="preserve"> fill </w:t>
      </w:r>
      <w:r w:rsidR="00590852" w:rsidRPr="009277B8">
        <w:rPr>
          <w:rFonts w:ascii="Times New Roman" w:hAnsi="Times New Roman" w:cs="Times New Roman"/>
        </w:rPr>
        <w:t>in the section</w:t>
      </w:r>
      <w:r w:rsidR="00101011" w:rsidRPr="009277B8">
        <w:rPr>
          <w:rFonts w:ascii="Times New Roman" w:hAnsi="Times New Roman" w:cs="Times New Roman"/>
        </w:rPr>
        <w:t xml:space="preserve"> or subsection</w:t>
      </w:r>
      <w:r w:rsidR="00590852" w:rsidRPr="009277B8">
        <w:rPr>
          <w:rFonts w:ascii="Times New Roman" w:hAnsi="Times New Roman" w:cs="Times New Roman"/>
        </w:rPr>
        <w:t xml:space="preserve"> of</w:t>
      </w:r>
      <w:r w:rsidR="00101011" w:rsidRPr="009277B8">
        <w:rPr>
          <w:rFonts w:ascii="Times New Roman" w:hAnsi="Times New Roman" w:cs="Times New Roman"/>
        </w:rPr>
        <w:t xml:space="preserve"> interest in the rule</w:t>
      </w:r>
      <w:r w:rsidRPr="009277B8">
        <w:rPr>
          <w:rFonts w:ascii="Times New Roman" w:hAnsi="Times New Roman" w:cs="Times New Roman"/>
        </w:rPr>
        <w:t xml:space="preserve">.  </w:t>
      </w:r>
      <w:r w:rsidR="00590852" w:rsidRPr="009277B8">
        <w:rPr>
          <w:rFonts w:ascii="Times New Roman" w:hAnsi="Times New Roman" w:cs="Times New Roman"/>
        </w:rPr>
        <w:t xml:space="preserve">In </w:t>
      </w:r>
      <w:r w:rsidR="005C5A94" w:rsidRPr="009277B8">
        <w:rPr>
          <w:rFonts w:ascii="Times New Roman" w:hAnsi="Times New Roman" w:cs="Times New Roman"/>
        </w:rPr>
        <w:t xml:space="preserve">the </w:t>
      </w:r>
      <w:r w:rsidR="00590852" w:rsidRPr="009277B8">
        <w:rPr>
          <w:rFonts w:ascii="Times New Roman" w:hAnsi="Times New Roman" w:cs="Times New Roman"/>
        </w:rPr>
        <w:t>next columns</w:t>
      </w:r>
      <w:r w:rsidRPr="009277B8">
        <w:rPr>
          <w:rFonts w:ascii="Times New Roman" w:hAnsi="Times New Roman" w:cs="Times New Roman"/>
        </w:rPr>
        <w:t xml:space="preserve"> provide the specific text, proposal for change, and rationale.</w:t>
      </w:r>
    </w:p>
    <w:p w:rsidR="004403CE" w:rsidRPr="009277B8" w:rsidRDefault="004403CE" w:rsidP="00590852">
      <w:pPr>
        <w:spacing w:after="120"/>
        <w:rPr>
          <w:rFonts w:ascii="Times New Roman" w:hAnsi="Times New Roman" w:cs="Times New Roman"/>
        </w:rPr>
      </w:pPr>
    </w:p>
    <w:p w:rsidR="00EC0900" w:rsidRDefault="00366AE0" w:rsidP="00EC0900">
      <w:pPr>
        <w:spacing w:after="120"/>
        <w:rPr>
          <w:rFonts w:ascii="Times New Roman" w:hAnsi="Times New Roman" w:cs="Times New Roman"/>
        </w:rPr>
      </w:pPr>
      <w:r w:rsidRPr="009277B8">
        <w:rPr>
          <w:rFonts w:ascii="Times New Roman" w:hAnsi="Times New Roman" w:cs="Times New Roman"/>
        </w:rPr>
        <w:t>Utility</w:t>
      </w:r>
      <w:r w:rsidR="00B60DB9" w:rsidRPr="009277B8">
        <w:rPr>
          <w:rFonts w:ascii="Times New Roman" w:hAnsi="Times New Roman" w:cs="Times New Roman"/>
        </w:rPr>
        <w:t xml:space="preserve"> general comment</w:t>
      </w:r>
      <w:r w:rsidR="000011E9" w:rsidRPr="009277B8">
        <w:rPr>
          <w:rFonts w:ascii="Times New Roman" w:hAnsi="Times New Roman" w:cs="Times New Roman"/>
        </w:rPr>
        <w:t>:</w:t>
      </w:r>
    </w:p>
    <w:p w:rsidR="00F1566A" w:rsidRDefault="00F1566A" w:rsidP="00F1566A">
      <w:pPr>
        <w:pStyle w:val="Default"/>
        <w:spacing w:line="360" w:lineRule="auto"/>
        <w:jc w:val="both"/>
      </w:pPr>
      <w:r>
        <w:t>Avista Corporation dba Avista Utilities</w:t>
      </w:r>
      <w:r w:rsidRPr="0066295E">
        <w:t xml:space="preserve"> (</w:t>
      </w:r>
      <w:r>
        <w:t>Avista</w:t>
      </w:r>
      <w:r w:rsidRPr="0066295E">
        <w:t xml:space="preserve"> or Company) submits the following comments in accordance with the Washington Utilities and Transportation Commission’s (Commission) Notice of Opportunity to </w:t>
      </w:r>
      <w:r>
        <w:t>Submit</w:t>
      </w:r>
      <w:r w:rsidRPr="0066295E">
        <w:t xml:space="preserve"> Written Comments</w:t>
      </w:r>
      <w:r>
        <w:t xml:space="preserve"> (Notice) issued in Docket UE-131723 on April 9, 2014</w:t>
      </w:r>
      <w:r w:rsidRPr="0066295E">
        <w:t>.</w:t>
      </w:r>
      <w:r>
        <w:t xml:space="preserve"> If you have any questions regarding the Company’s response to the Energy Efficiency section, please contact Bruce Folsom at 509-495-8706. If you have questions regarding the Company’s response to the Renewable Portfolio Standards section, please contact Clint Kalich at 509-495-4532.</w:t>
      </w:r>
    </w:p>
    <w:p w:rsidR="00F1566A" w:rsidRDefault="00F1566A" w:rsidP="00F1566A">
      <w:pPr>
        <w:spacing w:after="120"/>
        <w:jc w:val="both"/>
        <w:rPr>
          <w:rFonts w:ascii="Times New Roman" w:hAnsi="Times New Roman" w:cs="Times New Roman"/>
          <w:sz w:val="24"/>
          <w:szCs w:val="24"/>
        </w:rPr>
      </w:pPr>
      <w:r w:rsidRPr="00F1566A">
        <w:rPr>
          <w:rFonts w:ascii="Times New Roman" w:hAnsi="Times New Roman" w:cs="Times New Roman"/>
          <w:sz w:val="24"/>
          <w:szCs w:val="24"/>
        </w:rPr>
        <w:t xml:space="preserve">The Company </w:t>
      </w:r>
      <w:r>
        <w:rPr>
          <w:rFonts w:ascii="Times New Roman" w:hAnsi="Times New Roman" w:cs="Times New Roman"/>
          <w:sz w:val="24"/>
          <w:szCs w:val="24"/>
        </w:rPr>
        <w:t xml:space="preserve">generally </w:t>
      </w:r>
      <w:r w:rsidRPr="00F1566A">
        <w:rPr>
          <w:rFonts w:ascii="Times New Roman" w:hAnsi="Times New Roman" w:cs="Times New Roman"/>
          <w:sz w:val="24"/>
          <w:szCs w:val="24"/>
        </w:rPr>
        <w:t xml:space="preserve">supports the draft rules </w:t>
      </w:r>
      <w:r>
        <w:rPr>
          <w:rFonts w:ascii="Times New Roman" w:hAnsi="Times New Roman" w:cs="Times New Roman"/>
          <w:sz w:val="24"/>
          <w:szCs w:val="24"/>
        </w:rPr>
        <w:t>in WAC 480-109</w:t>
      </w:r>
      <w:r w:rsidRPr="00F1566A">
        <w:rPr>
          <w:rFonts w:ascii="Times New Roman" w:hAnsi="Times New Roman" w:cs="Times New Roman"/>
          <w:sz w:val="24"/>
          <w:szCs w:val="24"/>
        </w:rPr>
        <w:t xml:space="preserve"> that have been developed by the Commission Staff with the following </w:t>
      </w:r>
      <w:r>
        <w:rPr>
          <w:rFonts w:ascii="Times New Roman" w:hAnsi="Times New Roman" w:cs="Times New Roman"/>
          <w:sz w:val="24"/>
          <w:szCs w:val="24"/>
        </w:rPr>
        <w:t>proposed changes</w:t>
      </w:r>
      <w:r w:rsidRPr="00F1566A">
        <w:rPr>
          <w:rFonts w:ascii="Times New Roman" w:hAnsi="Times New Roman" w:cs="Times New Roman"/>
          <w:sz w:val="24"/>
          <w:szCs w:val="24"/>
        </w:rPr>
        <w:t>:</w:t>
      </w:r>
    </w:p>
    <w:p w:rsidR="00F1566A" w:rsidRDefault="00F1566A" w:rsidP="00590852">
      <w:pPr>
        <w:spacing w:after="120"/>
        <w:rPr>
          <w:rFonts w:ascii="Times New Roman" w:hAnsi="Times New Roman" w:cs="Times New Roman"/>
          <w:sz w:val="24"/>
          <w:szCs w:val="24"/>
        </w:rPr>
      </w:pPr>
    </w:p>
    <w:p w:rsidR="00AC724D" w:rsidRPr="009277B8" w:rsidRDefault="00AC724D" w:rsidP="00590852">
      <w:pPr>
        <w:spacing w:after="120"/>
        <w:rPr>
          <w:rFonts w:ascii="Times New Roman" w:hAnsi="Times New Roman" w:cs="Times New Roman"/>
          <w:sz w:val="24"/>
          <w:szCs w:val="24"/>
        </w:rPr>
      </w:pPr>
      <w:r w:rsidRPr="009277B8">
        <w:rPr>
          <w:rFonts w:ascii="Times New Roman" w:hAnsi="Times New Roman" w:cs="Times New Roman"/>
          <w:sz w:val="24"/>
          <w:szCs w:val="24"/>
        </w:rPr>
        <w:br w:type="page"/>
      </w:r>
    </w:p>
    <w:p w:rsidR="00EB0A98" w:rsidRPr="009277B8" w:rsidRDefault="00EB0A98" w:rsidP="00590852">
      <w:pPr>
        <w:spacing w:after="120"/>
        <w:rPr>
          <w:rFonts w:ascii="Times New Roman" w:hAnsi="Times New Roman" w:cs="Times New Roman"/>
        </w:rPr>
      </w:pPr>
    </w:p>
    <w:p w:rsidR="008A6368" w:rsidRPr="009277B8" w:rsidRDefault="008A6368" w:rsidP="00AD3312">
      <w:pPr>
        <w:rPr>
          <w:rFonts w:ascii="Times New Roman" w:hAnsi="Times New Roman" w:cs="Times New Roman"/>
          <w:sz w:val="24"/>
          <w:szCs w:val="24"/>
        </w:rPr>
      </w:pPr>
    </w:p>
    <w:tbl>
      <w:tblPr>
        <w:tblStyle w:val="TableGrid"/>
        <w:tblW w:w="0" w:type="auto"/>
        <w:tblLook w:val="04A0"/>
      </w:tblPr>
      <w:tblGrid>
        <w:gridCol w:w="1908"/>
        <w:gridCol w:w="3510"/>
        <w:gridCol w:w="3780"/>
        <w:gridCol w:w="4590"/>
      </w:tblGrid>
      <w:tr w:rsidR="008A6368" w:rsidRPr="009277B8" w:rsidTr="00BF4D51">
        <w:trPr>
          <w:cantSplit/>
        </w:trPr>
        <w:tc>
          <w:tcPr>
            <w:tcW w:w="1908" w:type="dxa"/>
          </w:tcPr>
          <w:p w:rsidR="008A6368" w:rsidRPr="009277B8" w:rsidRDefault="00856F72" w:rsidP="0006580D">
            <w:pPr>
              <w:rPr>
                <w:rFonts w:ascii="Times New Roman" w:hAnsi="Times New Roman" w:cs="Times New Roman"/>
                <w:sz w:val="24"/>
                <w:szCs w:val="24"/>
              </w:rPr>
            </w:pPr>
            <w:r w:rsidRPr="009277B8">
              <w:rPr>
                <w:rFonts w:ascii="Times New Roman" w:hAnsi="Times New Roman" w:cs="Times New Roman"/>
                <w:sz w:val="24"/>
                <w:szCs w:val="24"/>
              </w:rPr>
              <w:t>Comment 1</w:t>
            </w:r>
            <w:r w:rsidR="008353FD" w:rsidRPr="009277B8">
              <w:rPr>
                <w:rFonts w:ascii="Times New Roman" w:hAnsi="Times New Roman" w:cs="Times New Roman"/>
                <w:sz w:val="24"/>
                <w:szCs w:val="24"/>
              </w:rPr>
              <w:t xml:space="preserve"> </w:t>
            </w:r>
          </w:p>
        </w:tc>
        <w:tc>
          <w:tcPr>
            <w:tcW w:w="3510" w:type="dxa"/>
          </w:tcPr>
          <w:p w:rsidR="008A6368" w:rsidRPr="009277B8" w:rsidRDefault="008A6368" w:rsidP="0006580D">
            <w:pPr>
              <w:rPr>
                <w:rFonts w:ascii="Times New Roman" w:hAnsi="Times New Roman" w:cs="Times New Roman"/>
                <w:sz w:val="24"/>
                <w:szCs w:val="24"/>
              </w:rPr>
            </w:pPr>
            <w:r w:rsidRPr="009277B8">
              <w:rPr>
                <w:rFonts w:ascii="Times New Roman" w:hAnsi="Times New Roman" w:cs="Times New Roman"/>
                <w:sz w:val="24"/>
                <w:szCs w:val="24"/>
              </w:rPr>
              <w:t>Current Text</w:t>
            </w:r>
          </w:p>
        </w:tc>
        <w:tc>
          <w:tcPr>
            <w:tcW w:w="3780" w:type="dxa"/>
          </w:tcPr>
          <w:p w:rsidR="008A6368" w:rsidRPr="009277B8" w:rsidRDefault="008A6368" w:rsidP="0006580D">
            <w:pPr>
              <w:rPr>
                <w:rFonts w:ascii="Times New Roman" w:hAnsi="Times New Roman" w:cs="Times New Roman"/>
                <w:sz w:val="24"/>
                <w:szCs w:val="24"/>
              </w:rPr>
            </w:pPr>
            <w:r w:rsidRPr="009277B8">
              <w:rPr>
                <w:rFonts w:ascii="Times New Roman" w:hAnsi="Times New Roman" w:cs="Times New Roman"/>
                <w:sz w:val="24"/>
                <w:szCs w:val="24"/>
              </w:rPr>
              <w:t>Proposed Text</w:t>
            </w:r>
          </w:p>
        </w:tc>
        <w:tc>
          <w:tcPr>
            <w:tcW w:w="4590" w:type="dxa"/>
          </w:tcPr>
          <w:p w:rsidR="008A6368" w:rsidRPr="009277B8" w:rsidRDefault="008A6368" w:rsidP="0006580D">
            <w:pPr>
              <w:rPr>
                <w:rFonts w:ascii="Times New Roman" w:hAnsi="Times New Roman" w:cs="Times New Roman"/>
                <w:sz w:val="24"/>
                <w:szCs w:val="24"/>
              </w:rPr>
            </w:pPr>
            <w:r w:rsidRPr="009277B8">
              <w:rPr>
                <w:rFonts w:ascii="Times New Roman" w:hAnsi="Times New Roman" w:cs="Times New Roman"/>
                <w:sz w:val="24"/>
                <w:szCs w:val="24"/>
              </w:rPr>
              <w:t>Rationale for proposed change</w:t>
            </w:r>
          </w:p>
        </w:tc>
      </w:tr>
      <w:tr w:rsidR="008A6368" w:rsidRPr="009277B8" w:rsidTr="009277B8">
        <w:trPr>
          <w:cantSplit/>
          <w:trHeight w:val="2483"/>
        </w:trPr>
        <w:tc>
          <w:tcPr>
            <w:tcW w:w="1908" w:type="dxa"/>
          </w:tcPr>
          <w:p w:rsidR="008A6368" w:rsidRPr="009277B8" w:rsidRDefault="004B371D" w:rsidP="00BF4D51">
            <w:pPr>
              <w:rPr>
                <w:rFonts w:ascii="Times New Roman" w:hAnsi="Times New Roman" w:cs="Times New Roman"/>
                <w:sz w:val="24"/>
                <w:szCs w:val="24"/>
              </w:rPr>
            </w:pPr>
            <w:r w:rsidRPr="009277B8">
              <w:rPr>
                <w:rFonts w:ascii="Times New Roman" w:hAnsi="Times New Roman" w:cs="Times New Roman"/>
                <w:sz w:val="24"/>
                <w:szCs w:val="24"/>
              </w:rPr>
              <w:t>Regarding WAC 480-109-</w:t>
            </w:r>
            <w:r w:rsidR="00200153" w:rsidRPr="009277B8">
              <w:rPr>
                <w:rFonts w:ascii="Times New Roman" w:hAnsi="Times New Roman" w:cs="Times New Roman"/>
                <w:sz w:val="24"/>
                <w:szCs w:val="24"/>
              </w:rPr>
              <w:t>0</w:t>
            </w:r>
            <w:r w:rsidR="00D76CC5" w:rsidRPr="009277B8">
              <w:rPr>
                <w:rFonts w:ascii="Times New Roman" w:hAnsi="Times New Roman" w:cs="Times New Roman"/>
                <w:sz w:val="24"/>
                <w:szCs w:val="24"/>
              </w:rPr>
              <w:t>10(4)(a)(ii)</w:t>
            </w:r>
          </w:p>
        </w:tc>
        <w:tc>
          <w:tcPr>
            <w:tcW w:w="3510" w:type="dxa"/>
          </w:tcPr>
          <w:p w:rsidR="006779CD" w:rsidRPr="009277B8" w:rsidRDefault="00D76CC5" w:rsidP="00D76CC5">
            <w:pPr>
              <w:autoSpaceDE w:val="0"/>
              <w:autoSpaceDN w:val="0"/>
              <w:adjustRightInd w:val="0"/>
              <w:rPr>
                <w:rFonts w:ascii="Times New Roman" w:hAnsi="Times New Roman" w:cs="Times New Roman"/>
                <w:sz w:val="24"/>
                <w:szCs w:val="24"/>
              </w:rPr>
            </w:pPr>
            <w:r w:rsidRPr="009277B8">
              <w:rPr>
                <w:rFonts w:ascii="Times New Roman" w:hAnsi="Times New Roman" w:cs="Times New Roman"/>
                <w:sz w:val="24"/>
                <w:szCs w:val="24"/>
              </w:rPr>
              <w:t xml:space="preserve">(ii) </w:t>
            </w:r>
            <w:r w:rsidRPr="009277B8">
              <w:rPr>
                <w:rFonts w:ascii="Times New Roman" w:hAnsi="Times New Roman" w:cs="Times New Roman"/>
                <w:b/>
                <w:bCs/>
                <w:sz w:val="24"/>
                <w:szCs w:val="24"/>
              </w:rPr>
              <w:t xml:space="preserve">Develop portfolio. </w:t>
            </w:r>
            <w:r w:rsidRPr="009277B8">
              <w:rPr>
                <w:rFonts w:ascii="Times New Roman" w:hAnsi="Times New Roman" w:cs="Times New Roman"/>
                <w:sz w:val="24"/>
                <w:szCs w:val="24"/>
              </w:rPr>
              <w:t>Develop a conservation portfolio that includes all available, cost-effective, reliable, and feasible potential, as well as pilot programs that are not yet proven to be cost-effective.</w:t>
            </w:r>
          </w:p>
        </w:tc>
        <w:tc>
          <w:tcPr>
            <w:tcW w:w="3780" w:type="dxa"/>
          </w:tcPr>
          <w:p w:rsidR="008A6368" w:rsidRPr="009277B8" w:rsidRDefault="00D76CC5" w:rsidP="00882783">
            <w:pPr>
              <w:rPr>
                <w:rFonts w:ascii="Times New Roman" w:hAnsi="Times New Roman" w:cs="Times New Roman"/>
                <w:sz w:val="24"/>
                <w:szCs w:val="24"/>
                <w:u w:val="single"/>
              </w:rPr>
            </w:pPr>
            <w:r w:rsidRPr="009277B8">
              <w:rPr>
                <w:rFonts w:ascii="Times New Roman" w:hAnsi="Times New Roman" w:cs="Times New Roman"/>
                <w:sz w:val="24"/>
                <w:szCs w:val="24"/>
              </w:rPr>
              <w:t xml:space="preserve">(ii) </w:t>
            </w:r>
            <w:r w:rsidRPr="009277B8">
              <w:rPr>
                <w:rFonts w:ascii="Times New Roman" w:hAnsi="Times New Roman" w:cs="Times New Roman"/>
                <w:b/>
                <w:bCs/>
                <w:sz w:val="24"/>
                <w:szCs w:val="24"/>
              </w:rPr>
              <w:t xml:space="preserve">Develop portfolio. </w:t>
            </w:r>
            <w:r w:rsidRPr="009277B8">
              <w:rPr>
                <w:rFonts w:ascii="Times New Roman" w:hAnsi="Times New Roman" w:cs="Times New Roman"/>
                <w:sz w:val="24"/>
                <w:szCs w:val="24"/>
              </w:rPr>
              <w:t xml:space="preserve">Develop a conservation portfolio that includes all available, cost-effective, reliable, and feasible potential, as well as </w:t>
            </w:r>
            <w:r w:rsidRPr="00BD7727">
              <w:rPr>
                <w:rFonts w:ascii="Times New Roman" w:hAnsi="Times New Roman" w:cs="Times New Roman"/>
                <w:color w:val="FF0000"/>
                <w:sz w:val="24"/>
                <w:szCs w:val="24"/>
                <w:u w:val="single"/>
              </w:rPr>
              <w:t>consider</w:t>
            </w:r>
            <w:r w:rsidRPr="009277B8">
              <w:rPr>
                <w:rFonts w:ascii="Times New Roman" w:hAnsi="Times New Roman" w:cs="Times New Roman"/>
                <w:sz w:val="24"/>
                <w:szCs w:val="24"/>
              </w:rPr>
              <w:t xml:space="preserve"> pilot programs that are not yet proven to be cost-effective </w:t>
            </w:r>
            <w:r w:rsidRPr="00BD7727">
              <w:rPr>
                <w:rFonts w:ascii="Times New Roman" w:hAnsi="Times New Roman" w:cs="Times New Roman"/>
                <w:color w:val="FF0000"/>
                <w:sz w:val="24"/>
                <w:szCs w:val="24"/>
                <w:u w:val="single"/>
              </w:rPr>
              <w:t>for which costs are not evaluated under cost-effectiveness tests</w:t>
            </w:r>
          </w:p>
        </w:tc>
        <w:tc>
          <w:tcPr>
            <w:tcW w:w="4590" w:type="dxa"/>
          </w:tcPr>
          <w:p w:rsidR="008A6368" w:rsidRPr="009277B8" w:rsidRDefault="00D76CC5" w:rsidP="00E63874">
            <w:pPr>
              <w:rPr>
                <w:rFonts w:ascii="Times New Roman" w:hAnsi="Times New Roman" w:cs="Times New Roman"/>
                <w:sz w:val="24"/>
                <w:szCs w:val="24"/>
              </w:rPr>
            </w:pPr>
            <w:r w:rsidRPr="009277B8">
              <w:rPr>
                <w:rFonts w:ascii="Times New Roman" w:hAnsi="Times New Roman" w:cs="Times New Roman"/>
                <w:sz w:val="24"/>
                <w:szCs w:val="24"/>
              </w:rPr>
              <w:t xml:space="preserve">The current text would require </w:t>
            </w:r>
            <w:r w:rsidR="00F27025" w:rsidRPr="009277B8">
              <w:rPr>
                <w:rFonts w:ascii="Times New Roman" w:hAnsi="Times New Roman" w:cs="Times New Roman"/>
                <w:sz w:val="24"/>
                <w:szCs w:val="24"/>
              </w:rPr>
              <w:t>a company to always have</w:t>
            </w:r>
            <w:r w:rsidRPr="009277B8">
              <w:rPr>
                <w:rFonts w:ascii="Times New Roman" w:hAnsi="Times New Roman" w:cs="Times New Roman"/>
                <w:sz w:val="24"/>
                <w:szCs w:val="24"/>
              </w:rPr>
              <w:t xml:space="preserve"> a pilot program in-progress regardless of function or need and would degrade the portfolio’s cost-effectiveness.</w:t>
            </w:r>
          </w:p>
          <w:p w:rsidR="00BC1BC7" w:rsidRPr="009277B8" w:rsidRDefault="00BC1BC7" w:rsidP="00E63874">
            <w:pPr>
              <w:rPr>
                <w:rFonts w:ascii="Times New Roman" w:hAnsi="Times New Roman" w:cs="Times New Roman"/>
                <w:sz w:val="24"/>
                <w:szCs w:val="24"/>
              </w:rPr>
            </w:pPr>
          </w:p>
        </w:tc>
      </w:tr>
    </w:tbl>
    <w:p w:rsidR="008A6368" w:rsidRPr="009277B8" w:rsidRDefault="008A6368" w:rsidP="00AD3312">
      <w:pPr>
        <w:rPr>
          <w:rFonts w:ascii="Times New Roman" w:hAnsi="Times New Roman" w:cs="Times New Roman"/>
          <w:sz w:val="24"/>
          <w:szCs w:val="24"/>
        </w:rPr>
      </w:pPr>
    </w:p>
    <w:tbl>
      <w:tblPr>
        <w:tblStyle w:val="TableGrid"/>
        <w:tblW w:w="0" w:type="auto"/>
        <w:tblLook w:val="04A0"/>
      </w:tblPr>
      <w:tblGrid>
        <w:gridCol w:w="1908"/>
        <w:gridCol w:w="3510"/>
        <w:gridCol w:w="3780"/>
        <w:gridCol w:w="4590"/>
      </w:tblGrid>
      <w:tr w:rsidR="009F6B32" w:rsidRPr="009277B8" w:rsidTr="00BF4D51">
        <w:trPr>
          <w:cantSplit/>
        </w:trPr>
        <w:tc>
          <w:tcPr>
            <w:tcW w:w="1908" w:type="dxa"/>
          </w:tcPr>
          <w:p w:rsidR="009F6B32" w:rsidRPr="009277B8" w:rsidRDefault="00E33F41" w:rsidP="0006580D">
            <w:pPr>
              <w:rPr>
                <w:rFonts w:ascii="Times New Roman" w:hAnsi="Times New Roman" w:cs="Times New Roman"/>
                <w:sz w:val="24"/>
                <w:szCs w:val="24"/>
              </w:rPr>
            </w:pPr>
            <w:r w:rsidRPr="009277B8">
              <w:rPr>
                <w:rFonts w:ascii="Times New Roman" w:hAnsi="Times New Roman" w:cs="Times New Roman"/>
                <w:sz w:val="24"/>
                <w:szCs w:val="24"/>
              </w:rPr>
              <w:br w:type="page"/>
            </w:r>
            <w:r w:rsidR="008353FD" w:rsidRPr="009277B8">
              <w:rPr>
                <w:rFonts w:ascii="Times New Roman" w:hAnsi="Times New Roman" w:cs="Times New Roman"/>
                <w:sz w:val="24"/>
                <w:szCs w:val="24"/>
              </w:rPr>
              <w:t>C</w:t>
            </w:r>
            <w:r w:rsidR="00856F72" w:rsidRPr="009277B8">
              <w:rPr>
                <w:rFonts w:ascii="Times New Roman" w:hAnsi="Times New Roman" w:cs="Times New Roman"/>
                <w:sz w:val="24"/>
                <w:szCs w:val="24"/>
              </w:rPr>
              <w:t>omment 2</w:t>
            </w:r>
            <w:r w:rsidR="004B371D" w:rsidRPr="009277B8">
              <w:rPr>
                <w:rFonts w:ascii="Times New Roman" w:hAnsi="Times New Roman" w:cs="Times New Roman"/>
                <w:sz w:val="24"/>
                <w:szCs w:val="24"/>
              </w:rPr>
              <w:t xml:space="preserve"> </w:t>
            </w:r>
          </w:p>
        </w:tc>
        <w:tc>
          <w:tcPr>
            <w:tcW w:w="3510" w:type="dxa"/>
          </w:tcPr>
          <w:p w:rsidR="009F6B32" w:rsidRPr="009277B8" w:rsidRDefault="009F6B32" w:rsidP="0006580D">
            <w:pPr>
              <w:rPr>
                <w:rFonts w:ascii="Times New Roman" w:hAnsi="Times New Roman" w:cs="Times New Roman"/>
                <w:sz w:val="24"/>
                <w:szCs w:val="24"/>
              </w:rPr>
            </w:pPr>
            <w:r w:rsidRPr="009277B8">
              <w:rPr>
                <w:rFonts w:ascii="Times New Roman" w:hAnsi="Times New Roman" w:cs="Times New Roman"/>
                <w:sz w:val="24"/>
                <w:szCs w:val="24"/>
              </w:rPr>
              <w:t>Current Text</w:t>
            </w:r>
          </w:p>
        </w:tc>
        <w:tc>
          <w:tcPr>
            <w:tcW w:w="3780" w:type="dxa"/>
          </w:tcPr>
          <w:p w:rsidR="009F6B32" w:rsidRPr="009277B8" w:rsidRDefault="009F6B32" w:rsidP="0006580D">
            <w:pPr>
              <w:rPr>
                <w:rFonts w:ascii="Times New Roman" w:hAnsi="Times New Roman" w:cs="Times New Roman"/>
                <w:sz w:val="24"/>
                <w:szCs w:val="24"/>
              </w:rPr>
            </w:pPr>
            <w:r w:rsidRPr="009277B8">
              <w:rPr>
                <w:rFonts w:ascii="Times New Roman" w:hAnsi="Times New Roman" w:cs="Times New Roman"/>
                <w:sz w:val="24"/>
                <w:szCs w:val="24"/>
              </w:rPr>
              <w:t>Proposed Text</w:t>
            </w:r>
          </w:p>
        </w:tc>
        <w:tc>
          <w:tcPr>
            <w:tcW w:w="4590" w:type="dxa"/>
          </w:tcPr>
          <w:p w:rsidR="009F6B32" w:rsidRPr="009277B8" w:rsidRDefault="009F6B32" w:rsidP="0006580D">
            <w:pPr>
              <w:rPr>
                <w:rFonts w:ascii="Times New Roman" w:hAnsi="Times New Roman" w:cs="Times New Roman"/>
                <w:sz w:val="24"/>
                <w:szCs w:val="24"/>
              </w:rPr>
            </w:pPr>
            <w:r w:rsidRPr="009277B8">
              <w:rPr>
                <w:rFonts w:ascii="Times New Roman" w:hAnsi="Times New Roman" w:cs="Times New Roman"/>
                <w:sz w:val="24"/>
                <w:szCs w:val="24"/>
              </w:rPr>
              <w:t>Rationale for proposed change</w:t>
            </w:r>
          </w:p>
        </w:tc>
      </w:tr>
      <w:tr w:rsidR="009F6B32" w:rsidRPr="009277B8" w:rsidTr="009277B8">
        <w:trPr>
          <w:cantSplit/>
          <w:trHeight w:val="1835"/>
        </w:trPr>
        <w:tc>
          <w:tcPr>
            <w:tcW w:w="1908" w:type="dxa"/>
          </w:tcPr>
          <w:p w:rsidR="009F6B32" w:rsidRPr="009277B8" w:rsidRDefault="00D76CC5" w:rsidP="00BF4D51">
            <w:pPr>
              <w:rPr>
                <w:rFonts w:ascii="Times New Roman" w:hAnsi="Times New Roman" w:cs="Times New Roman"/>
                <w:sz w:val="24"/>
                <w:szCs w:val="24"/>
              </w:rPr>
            </w:pPr>
            <w:r w:rsidRPr="009277B8">
              <w:rPr>
                <w:rFonts w:ascii="Times New Roman" w:hAnsi="Times New Roman" w:cs="Times New Roman"/>
                <w:sz w:val="24"/>
                <w:szCs w:val="24"/>
              </w:rPr>
              <w:t>Regarding WAC 480-109-010(4)(a)(ii)(B)</w:t>
            </w:r>
          </w:p>
        </w:tc>
        <w:tc>
          <w:tcPr>
            <w:tcW w:w="3510" w:type="dxa"/>
          </w:tcPr>
          <w:p w:rsidR="009F6B32" w:rsidRPr="009277B8" w:rsidRDefault="00D76CC5" w:rsidP="00D76CC5">
            <w:pPr>
              <w:autoSpaceDE w:val="0"/>
              <w:autoSpaceDN w:val="0"/>
              <w:adjustRightInd w:val="0"/>
              <w:rPr>
                <w:rFonts w:ascii="Times New Roman" w:hAnsi="Times New Roman" w:cs="Times New Roman"/>
                <w:sz w:val="24"/>
                <w:szCs w:val="24"/>
              </w:rPr>
            </w:pPr>
            <w:r w:rsidRPr="009277B8">
              <w:rPr>
                <w:rFonts w:ascii="Times New Roman" w:hAnsi="Times New Roman" w:cs="Times New Roman"/>
                <w:sz w:val="24"/>
                <w:szCs w:val="24"/>
              </w:rPr>
              <w:t xml:space="preserve">(B) A utility’s conservation portfolio must contain programs that are not included in the biennial conservation target and are available, cost-effective, reliable, and feasible. </w:t>
            </w:r>
          </w:p>
        </w:tc>
        <w:tc>
          <w:tcPr>
            <w:tcW w:w="3780" w:type="dxa"/>
          </w:tcPr>
          <w:p w:rsidR="009F6B32" w:rsidRPr="009277B8" w:rsidRDefault="00B12E23" w:rsidP="00D76CC5">
            <w:pPr>
              <w:pStyle w:val="PlainText"/>
              <w:rPr>
                <w:rFonts w:ascii="Times New Roman" w:hAnsi="Times New Roman" w:cs="Times New Roman"/>
                <w:sz w:val="24"/>
                <w:szCs w:val="24"/>
              </w:rPr>
            </w:pPr>
            <w:r w:rsidRPr="009277B8">
              <w:rPr>
                <w:rFonts w:ascii="Times New Roman" w:hAnsi="Times New Roman" w:cs="Times New Roman"/>
                <w:sz w:val="24"/>
                <w:szCs w:val="24"/>
              </w:rPr>
              <w:t xml:space="preserve">(B) A utility’s conservation portfolio </w:t>
            </w:r>
            <w:proofErr w:type="gramStart"/>
            <w:r w:rsidRPr="00B12E23">
              <w:rPr>
                <w:rFonts w:ascii="Times New Roman" w:hAnsi="Times New Roman" w:cs="Times New Roman"/>
                <w:strike/>
                <w:sz w:val="24"/>
                <w:szCs w:val="24"/>
              </w:rPr>
              <w:t>must</w:t>
            </w:r>
            <w:r>
              <w:rPr>
                <w:rFonts w:ascii="Times New Roman" w:hAnsi="Times New Roman" w:cs="Times New Roman"/>
                <w:strike/>
                <w:sz w:val="24"/>
                <w:szCs w:val="24"/>
              </w:rPr>
              <w:t xml:space="preserve"> </w:t>
            </w:r>
            <w:r w:rsidRPr="009277B8">
              <w:rPr>
                <w:rFonts w:ascii="Times New Roman" w:hAnsi="Times New Roman" w:cs="Times New Roman"/>
                <w:sz w:val="24"/>
                <w:szCs w:val="24"/>
              </w:rPr>
              <w:t xml:space="preserve"> </w:t>
            </w:r>
            <w:r>
              <w:rPr>
                <w:rFonts w:ascii="Times New Roman" w:hAnsi="Times New Roman" w:cs="Times New Roman"/>
                <w:color w:val="FF0000"/>
                <w:sz w:val="24"/>
                <w:szCs w:val="24"/>
                <w:u w:val="single"/>
              </w:rPr>
              <w:t>may</w:t>
            </w:r>
            <w:proofErr w:type="gramEnd"/>
            <w:r>
              <w:rPr>
                <w:rFonts w:ascii="Times New Roman" w:hAnsi="Times New Roman" w:cs="Times New Roman"/>
                <w:color w:val="FF0000"/>
                <w:sz w:val="24"/>
                <w:szCs w:val="24"/>
                <w:u w:val="single"/>
              </w:rPr>
              <w:t xml:space="preserve"> </w:t>
            </w:r>
            <w:r w:rsidRPr="009277B8">
              <w:rPr>
                <w:rFonts w:ascii="Times New Roman" w:hAnsi="Times New Roman" w:cs="Times New Roman"/>
                <w:sz w:val="24"/>
                <w:szCs w:val="24"/>
              </w:rPr>
              <w:t>contain programs that are not included in the biennial conservation target and are available, cost-effective, reliable, and feasible.</w:t>
            </w:r>
          </w:p>
        </w:tc>
        <w:tc>
          <w:tcPr>
            <w:tcW w:w="4590" w:type="dxa"/>
          </w:tcPr>
          <w:p w:rsidR="00FD396C" w:rsidRPr="009277B8" w:rsidRDefault="0022233A" w:rsidP="00356C8A">
            <w:pPr>
              <w:rPr>
                <w:rFonts w:ascii="Times New Roman" w:hAnsi="Times New Roman" w:cs="Times New Roman"/>
                <w:sz w:val="24"/>
                <w:szCs w:val="24"/>
              </w:rPr>
            </w:pPr>
            <w:r w:rsidRPr="009277B8">
              <w:rPr>
                <w:rFonts w:ascii="Times New Roman" w:hAnsi="Times New Roman" w:cs="Times New Roman"/>
                <w:sz w:val="24"/>
                <w:szCs w:val="24"/>
              </w:rPr>
              <w:t>F</w:t>
            </w:r>
            <w:r w:rsidR="00D76CC5" w:rsidRPr="009277B8">
              <w:rPr>
                <w:rFonts w:ascii="Times New Roman" w:hAnsi="Times New Roman" w:cs="Times New Roman"/>
                <w:sz w:val="24"/>
                <w:szCs w:val="24"/>
              </w:rPr>
              <w:t xml:space="preserve">or clarity and future reference, </w:t>
            </w:r>
            <w:r w:rsidRPr="009277B8">
              <w:rPr>
                <w:rFonts w:ascii="Times New Roman" w:hAnsi="Times New Roman" w:cs="Times New Roman"/>
                <w:sz w:val="24"/>
                <w:szCs w:val="24"/>
              </w:rPr>
              <w:t xml:space="preserve">this would assume that </w:t>
            </w:r>
            <w:r w:rsidR="00CA701C" w:rsidRPr="009277B8">
              <w:rPr>
                <w:rFonts w:ascii="Times New Roman" w:hAnsi="Times New Roman" w:cs="Times New Roman"/>
                <w:sz w:val="24"/>
                <w:szCs w:val="24"/>
              </w:rPr>
              <w:t>“</w:t>
            </w:r>
            <w:r w:rsidRPr="009277B8">
              <w:rPr>
                <w:rFonts w:ascii="Times New Roman" w:hAnsi="Times New Roman" w:cs="Times New Roman"/>
                <w:sz w:val="24"/>
                <w:szCs w:val="24"/>
              </w:rPr>
              <w:t>must</w:t>
            </w:r>
            <w:r w:rsidR="00CA701C" w:rsidRPr="009277B8">
              <w:rPr>
                <w:rFonts w:ascii="Times New Roman" w:hAnsi="Times New Roman" w:cs="Times New Roman"/>
                <w:sz w:val="24"/>
                <w:szCs w:val="24"/>
              </w:rPr>
              <w:t>”</w:t>
            </w:r>
            <w:r w:rsidRPr="009277B8">
              <w:rPr>
                <w:rFonts w:ascii="Times New Roman" w:hAnsi="Times New Roman" w:cs="Times New Roman"/>
                <w:sz w:val="24"/>
                <w:szCs w:val="24"/>
              </w:rPr>
              <w:t xml:space="preserve"> means </w:t>
            </w:r>
            <w:r w:rsidR="00D76CC5" w:rsidRPr="009277B8">
              <w:rPr>
                <w:rFonts w:ascii="Times New Roman" w:hAnsi="Times New Roman" w:cs="Times New Roman"/>
                <w:sz w:val="24"/>
                <w:szCs w:val="24"/>
              </w:rPr>
              <w:t xml:space="preserve">compliance </w:t>
            </w:r>
            <w:r w:rsidR="00CA701C" w:rsidRPr="009277B8">
              <w:rPr>
                <w:rFonts w:ascii="Times New Roman" w:hAnsi="Times New Roman" w:cs="Times New Roman"/>
                <w:sz w:val="24"/>
                <w:szCs w:val="24"/>
              </w:rPr>
              <w:t xml:space="preserve">may be </w:t>
            </w:r>
            <w:r w:rsidR="00D76CC5" w:rsidRPr="009277B8">
              <w:rPr>
                <w:rFonts w:ascii="Times New Roman" w:hAnsi="Times New Roman" w:cs="Times New Roman"/>
                <w:sz w:val="24"/>
                <w:szCs w:val="24"/>
              </w:rPr>
              <w:t>met through working with a regional entity such as the Northwest Energy Efficiency Alliance</w:t>
            </w:r>
            <w:r w:rsidR="00F27025" w:rsidRPr="009277B8">
              <w:rPr>
                <w:rFonts w:ascii="Times New Roman" w:hAnsi="Times New Roman" w:cs="Times New Roman"/>
                <w:sz w:val="24"/>
                <w:szCs w:val="24"/>
              </w:rPr>
              <w:t>.</w:t>
            </w:r>
            <w:r w:rsidR="00D76CC5" w:rsidRPr="009277B8">
              <w:rPr>
                <w:rFonts w:ascii="Times New Roman" w:hAnsi="Times New Roman" w:cs="Times New Roman"/>
                <w:sz w:val="24"/>
                <w:szCs w:val="24"/>
              </w:rPr>
              <w:t xml:space="preserve"> </w:t>
            </w:r>
          </w:p>
          <w:p w:rsidR="00BC1BC7" w:rsidRPr="009277B8" w:rsidRDefault="00BC1BC7" w:rsidP="00E33F41">
            <w:pPr>
              <w:rPr>
                <w:rFonts w:ascii="Times New Roman" w:hAnsi="Times New Roman" w:cs="Times New Roman"/>
                <w:sz w:val="24"/>
                <w:szCs w:val="24"/>
              </w:rPr>
            </w:pPr>
          </w:p>
        </w:tc>
      </w:tr>
    </w:tbl>
    <w:p w:rsidR="009F6B32" w:rsidRPr="009277B8" w:rsidRDefault="009F6B32" w:rsidP="009F6B32">
      <w:pPr>
        <w:rPr>
          <w:rFonts w:ascii="Times New Roman" w:hAnsi="Times New Roman" w:cs="Times New Roman"/>
          <w:sz w:val="24"/>
          <w:szCs w:val="24"/>
        </w:rPr>
      </w:pPr>
    </w:p>
    <w:tbl>
      <w:tblPr>
        <w:tblStyle w:val="TableGrid"/>
        <w:tblW w:w="0" w:type="auto"/>
        <w:tblLook w:val="04A0"/>
      </w:tblPr>
      <w:tblGrid>
        <w:gridCol w:w="1908"/>
        <w:gridCol w:w="3510"/>
        <w:gridCol w:w="3780"/>
        <w:gridCol w:w="4590"/>
      </w:tblGrid>
      <w:tr w:rsidR="009F6B32" w:rsidRPr="009277B8" w:rsidTr="00BF4D51">
        <w:trPr>
          <w:cantSplit/>
        </w:trPr>
        <w:tc>
          <w:tcPr>
            <w:tcW w:w="1908" w:type="dxa"/>
          </w:tcPr>
          <w:p w:rsidR="009F6B32" w:rsidRPr="009277B8" w:rsidRDefault="008353FD" w:rsidP="0006580D">
            <w:pPr>
              <w:rPr>
                <w:rFonts w:ascii="Times New Roman" w:hAnsi="Times New Roman" w:cs="Times New Roman"/>
                <w:sz w:val="24"/>
                <w:szCs w:val="24"/>
              </w:rPr>
            </w:pPr>
            <w:r w:rsidRPr="009277B8">
              <w:rPr>
                <w:rFonts w:ascii="Times New Roman" w:hAnsi="Times New Roman" w:cs="Times New Roman"/>
                <w:sz w:val="24"/>
                <w:szCs w:val="24"/>
              </w:rPr>
              <w:t xml:space="preserve">Comment </w:t>
            </w:r>
            <w:r w:rsidR="00856F72" w:rsidRPr="009277B8">
              <w:rPr>
                <w:rFonts w:ascii="Times New Roman" w:hAnsi="Times New Roman" w:cs="Times New Roman"/>
                <w:sz w:val="24"/>
                <w:szCs w:val="24"/>
              </w:rPr>
              <w:t>3</w:t>
            </w:r>
          </w:p>
        </w:tc>
        <w:tc>
          <w:tcPr>
            <w:tcW w:w="3510" w:type="dxa"/>
          </w:tcPr>
          <w:p w:rsidR="009F6B32" w:rsidRPr="009277B8" w:rsidRDefault="009F6B32" w:rsidP="0006580D">
            <w:pPr>
              <w:rPr>
                <w:rFonts w:ascii="Times New Roman" w:hAnsi="Times New Roman" w:cs="Times New Roman"/>
                <w:sz w:val="24"/>
                <w:szCs w:val="24"/>
              </w:rPr>
            </w:pPr>
            <w:r w:rsidRPr="009277B8">
              <w:rPr>
                <w:rFonts w:ascii="Times New Roman" w:hAnsi="Times New Roman" w:cs="Times New Roman"/>
                <w:sz w:val="24"/>
                <w:szCs w:val="24"/>
              </w:rPr>
              <w:t>Current Text</w:t>
            </w:r>
          </w:p>
        </w:tc>
        <w:tc>
          <w:tcPr>
            <w:tcW w:w="3780" w:type="dxa"/>
          </w:tcPr>
          <w:p w:rsidR="009F6B32" w:rsidRPr="009277B8" w:rsidRDefault="009F6B32" w:rsidP="0006580D">
            <w:pPr>
              <w:rPr>
                <w:rFonts w:ascii="Times New Roman" w:hAnsi="Times New Roman" w:cs="Times New Roman"/>
                <w:sz w:val="24"/>
                <w:szCs w:val="24"/>
              </w:rPr>
            </w:pPr>
            <w:r w:rsidRPr="009277B8">
              <w:rPr>
                <w:rFonts w:ascii="Times New Roman" w:hAnsi="Times New Roman" w:cs="Times New Roman"/>
                <w:sz w:val="24"/>
                <w:szCs w:val="24"/>
              </w:rPr>
              <w:t>Proposed Text</w:t>
            </w:r>
          </w:p>
        </w:tc>
        <w:tc>
          <w:tcPr>
            <w:tcW w:w="4590" w:type="dxa"/>
          </w:tcPr>
          <w:p w:rsidR="009F6B32" w:rsidRPr="009277B8" w:rsidRDefault="009F6B32" w:rsidP="0006580D">
            <w:pPr>
              <w:rPr>
                <w:rFonts w:ascii="Times New Roman" w:hAnsi="Times New Roman" w:cs="Times New Roman"/>
                <w:sz w:val="24"/>
                <w:szCs w:val="24"/>
              </w:rPr>
            </w:pPr>
            <w:r w:rsidRPr="009277B8">
              <w:rPr>
                <w:rFonts w:ascii="Times New Roman" w:hAnsi="Times New Roman" w:cs="Times New Roman"/>
                <w:sz w:val="24"/>
                <w:szCs w:val="24"/>
              </w:rPr>
              <w:t>Rationale for proposed change</w:t>
            </w:r>
          </w:p>
        </w:tc>
      </w:tr>
      <w:tr w:rsidR="00FD2858" w:rsidRPr="009277B8" w:rsidTr="009277B8">
        <w:trPr>
          <w:cantSplit/>
          <w:trHeight w:val="2942"/>
        </w:trPr>
        <w:tc>
          <w:tcPr>
            <w:tcW w:w="1908" w:type="dxa"/>
          </w:tcPr>
          <w:p w:rsidR="00FD2858" w:rsidRPr="009277B8" w:rsidRDefault="000072A5" w:rsidP="000072A5">
            <w:pPr>
              <w:rPr>
                <w:rFonts w:ascii="Times New Roman" w:hAnsi="Times New Roman" w:cs="Times New Roman"/>
                <w:sz w:val="20"/>
                <w:szCs w:val="20"/>
              </w:rPr>
            </w:pPr>
            <w:r w:rsidRPr="009277B8">
              <w:rPr>
                <w:rFonts w:ascii="Times New Roman" w:hAnsi="Times New Roman" w:cs="Times New Roman"/>
                <w:sz w:val="24"/>
                <w:szCs w:val="24"/>
              </w:rPr>
              <w:t>Regarding WAC 480-109-010(4)(a)(iii)</w:t>
            </w:r>
          </w:p>
        </w:tc>
        <w:tc>
          <w:tcPr>
            <w:tcW w:w="3510" w:type="dxa"/>
          </w:tcPr>
          <w:p w:rsidR="000072A5" w:rsidRPr="009277B8" w:rsidRDefault="000072A5" w:rsidP="000072A5">
            <w:pPr>
              <w:autoSpaceDE w:val="0"/>
              <w:autoSpaceDN w:val="0"/>
              <w:adjustRightInd w:val="0"/>
              <w:rPr>
                <w:rFonts w:ascii="Times New Roman" w:hAnsi="Times New Roman" w:cs="Times New Roman"/>
                <w:sz w:val="24"/>
                <w:szCs w:val="24"/>
              </w:rPr>
            </w:pPr>
            <w:r w:rsidRPr="009277B8">
              <w:rPr>
                <w:rFonts w:ascii="Times New Roman" w:hAnsi="Times New Roman" w:cs="Times New Roman"/>
                <w:b/>
                <w:bCs/>
                <w:sz w:val="24"/>
                <w:szCs w:val="24"/>
              </w:rPr>
              <w:t xml:space="preserve">Implement programs. </w:t>
            </w:r>
            <w:r w:rsidRPr="009277B8">
              <w:rPr>
                <w:rFonts w:ascii="Times New Roman" w:hAnsi="Times New Roman" w:cs="Times New Roman"/>
                <w:sz w:val="24"/>
                <w:szCs w:val="24"/>
              </w:rPr>
              <w:t>Implement conservation programs identified in the portfolio to the extent the programs remain cost-effective, reliable, and feasible.</w:t>
            </w:r>
          </w:p>
          <w:p w:rsidR="00FD2858" w:rsidRPr="009277B8" w:rsidRDefault="000072A5" w:rsidP="000072A5">
            <w:pPr>
              <w:autoSpaceDE w:val="0"/>
              <w:autoSpaceDN w:val="0"/>
              <w:adjustRightInd w:val="0"/>
              <w:rPr>
                <w:rFonts w:ascii="Times New Roman" w:hAnsi="Times New Roman" w:cs="Times New Roman"/>
                <w:sz w:val="24"/>
                <w:szCs w:val="24"/>
              </w:rPr>
            </w:pPr>
            <w:r w:rsidRPr="009277B8">
              <w:rPr>
                <w:rFonts w:ascii="Times New Roman" w:hAnsi="Times New Roman" w:cs="Times New Roman"/>
                <w:sz w:val="24"/>
                <w:szCs w:val="24"/>
              </w:rPr>
              <w:t>Implementation methods shall not unnecessarily restrict the uptake of conservation and shall be designed to maximize the practical uptake of conservation.</w:t>
            </w:r>
          </w:p>
        </w:tc>
        <w:tc>
          <w:tcPr>
            <w:tcW w:w="3780" w:type="dxa"/>
          </w:tcPr>
          <w:p w:rsidR="001C0FEC" w:rsidRPr="001C0FEC" w:rsidRDefault="001C0FEC" w:rsidP="001C0FEC">
            <w:pPr>
              <w:autoSpaceDE w:val="0"/>
              <w:autoSpaceDN w:val="0"/>
              <w:adjustRightInd w:val="0"/>
              <w:rPr>
                <w:rFonts w:ascii="Times New Roman" w:hAnsi="Times New Roman" w:cs="Times New Roman"/>
                <w:strike/>
                <w:sz w:val="24"/>
                <w:szCs w:val="24"/>
              </w:rPr>
            </w:pPr>
            <w:r w:rsidRPr="001C0FEC">
              <w:rPr>
                <w:rFonts w:ascii="Times New Roman" w:hAnsi="Times New Roman" w:cs="Times New Roman"/>
                <w:b/>
                <w:bCs/>
                <w:strike/>
                <w:sz w:val="24"/>
                <w:szCs w:val="24"/>
              </w:rPr>
              <w:t xml:space="preserve">Implement programs. </w:t>
            </w:r>
            <w:r w:rsidRPr="001C0FEC">
              <w:rPr>
                <w:rFonts w:ascii="Times New Roman" w:hAnsi="Times New Roman" w:cs="Times New Roman"/>
                <w:strike/>
                <w:sz w:val="24"/>
                <w:szCs w:val="24"/>
              </w:rPr>
              <w:t>Implement conservation programs identified in the portfolio to the extent the programs remain cost-effective, reliable, and feasible.</w:t>
            </w:r>
          </w:p>
          <w:p w:rsidR="000072A5" w:rsidRPr="001C0FEC" w:rsidRDefault="001C0FEC" w:rsidP="001C0FEC">
            <w:pPr>
              <w:autoSpaceDE w:val="0"/>
              <w:autoSpaceDN w:val="0"/>
              <w:adjustRightInd w:val="0"/>
              <w:rPr>
                <w:rFonts w:ascii="Times New Roman" w:hAnsi="Times New Roman" w:cs="Times New Roman"/>
                <w:strike/>
                <w:sz w:val="24"/>
                <w:szCs w:val="24"/>
              </w:rPr>
            </w:pPr>
            <w:r w:rsidRPr="001C0FEC">
              <w:rPr>
                <w:rFonts w:ascii="Times New Roman" w:hAnsi="Times New Roman" w:cs="Times New Roman"/>
                <w:strike/>
                <w:sz w:val="24"/>
                <w:szCs w:val="24"/>
              </w:rPr>
              <w:t>Implementation methods shall not unnecessarily restrict the uptake of conservation and shall be designed to maximize the practical uptake of conservation.</w:t>
            </w:r>
          </w:p>
        </w:tc>
        <w:tc>
          <w:tcPr>
            <w:tcW w:w="4590" w:type="dxa"/>
          </w:tcPr>
          <w:p w:rsidR="000072A5" w:rsidRPr="009277B8" w:rsidRDefault="000072A5" w:rsidP="000072A5">
            <w:pPr>
              <w:pStyle w:val="NoSpacing"/>
              <w:rPr>
                <w:rFonts w:ascii="Times New Roman" w:hAnsi="Times New Roman" w:cs="Times New Roman"/>
                <w:sz w:val="24"/>
                <w:szCs w:val="24"/>
              </w:rPr>
            </w:pPr>
            <w:r w:rsidRPr="009277B8">
              <w:rPr>
                <w:rFonts w:ascii="Times New Roman" w:hAnsi="Times New Roman" w:cs="Times New Roman"/>
                <w:sz w:val="24"/>
                <w:szCs w:val="24"/>
              </w:rPr>
              <w:t xml:space="preserve">This section </w:t>
            </w:r>
            <w:r w:rsidR="00CA701C" w:rsidRPr="009277B8">
              <w:rPr>
                <w:rFonts w:ascii="Times New Roman" w:hAnsi="Times New Roman" w:cs="Times New Roman"/>
                <w:sz w:val="24"/>
                <w:szCs w:val="24"/>
              </w:rPr>
              <w:t>is not needed to implement the EIA. The lack of clarity in the current text creates concern about how to assure compliance</w:t>
            </w:r>
            <w:r w:rsidR="00B12E23">
              <w:rPr>
                <w:rFonts w:ascii="Times New Roman" w:hAnsi="Times New Roman" w:cs="Times New Roman"/>
                <w:sz w:val="24"/>
                <w:szCs w:val="24"/>
              </w:rPr>
              <w:t>.</w:t>
            </w:r>
          </w:p>
          <w:p w:rsidR="00BC1BC7" w:rsidRPr="009277B8" w:rsidRDefault="00BC1BC7" w:rsidP="000072A5">
            <w:pPr>
              <w:rPr>
                <w:rFonts w:ascii="Times New Roman" w:hAnsi="Times New Roman" w:cs="Times New Roman"/>
                <w:sz w:val="24"/>
                <w:szCs w:val="24"/>
              </w:rPr>
            </w:pPr>
          </w:p>
        </w:tc>
      </w:tr>
    </w:tbl>
    <w:p w:rsidR="009F6B32" w:rsidRPr="009277B8" w:rsidRDefault="009F6B32" w:rsidP="009F6B32">
      <w:pPr>
        <w:rPr>
          <w:rFonts w:ascii="Times New Roman" w:hAnsi="Times New Roman" w:cs="Times New Roman"/>
          <w:sz w:val="24"/>
          <w:szCs w:val="24"/>
        </w:rPr>
      </w:pPr>
    </w:p>
    <w:p w:rsidR="009F6B32" w:rsidRDefault="009F6B32" w:rsidP="00AD3312">
      <w:pPr>
        <w:rPr>
          <w:rFonts w:ascii="Times New Roman" w:hAnsi="Times New Roman" w:cs="Times New Roman"/>
          <w:sz w:val="24"/>
          <w:szCs w:val="24"/>
        </w:rPr>
      </w:pPr>
    </w:p>
    <w:p w:rsidR="009277B8" w:rsidRDefault="009277B8" w:rsidP="00AD3312">
      <w:pPr>
        <w:rPr>
          <w:rFonts w:ascii="Times New Roman" w:hAnsi="Times New Roman" w:cs="Times New Roman"/>
          <w:sz w:val="24"/>
          <w:szCs w:val="24"/>
        </w:rPr>
      </w:pPr>
    </w:p>
    <w:p w:rsidR="009277B8" w:rsidRDefault="009277B8" w:rsidP="00AD3312">
      <w:pPr>
        <w:rPr>
          <w:rFonts w:ascii="Times New Roman" w:hAnsi="Times New Roman" w:cs="Times New Roman"/>
          <w:sz w:val="24"/>
          <w:szCs w:val="24"/>
        </w:rPr>
      </w:pPr>
    </w:p>
    <w:p w:rsidR="009277B8" w:rsidRPr="009277B8" w:rsidRDefault="009277B8" w:rsidP="00AD3312">
      <w:pPr>
        <w:rPr>
          <w:rFonts w:ascii="Times New Roman" w:hAnsi="Times New Roman" w:cs="Times New Roman"/>
          <w:sz w:val="24"/>
          <w:szCs w:val="24"/>
        </w:rPr>
      </w:pPr>
    </w:p>
    <w:tbl>
      <w:tblPr>
        <w:tblStyle w:val="TableGrid"/>
        <w:tblW w:w="0" w:type="auto"/>
        <w:tblLook w:val="04A0"/>
      </w:tblPr>
      <w:tblGrid>
        <w:gridCol w:w="1908"/>
        <w:gridCol w:w="3510"/>
        <w:gridCol w:w="3780"/>
        <w:gridCol w:w="4590"/>
      </w:tblGrid>
      <w:tr w:rsidR="009F6B32" w:rsidRPr="009277B8" w:rsidTr="00BF4D51">
        <w:trPr>
          <w:cantSplit/>
        </w:trPr>
        <w:tc>
          <w:tcPr>
            <w:tcW w:w="1908" w:type="dxa"/>
          </w:tcPr>
          <w:p w:rsidR="009F6B32" w:rsidRPr="009277B8" w:rsidRDefault="008353FD" w:rsidP="0006580D">
            <w:pPr>
              <w:rPr>
                <w:rFonts w:ascii="Times New Roman" w:hAnsi="Times New Roman" w:cs="Times New Roman"/>
                <w:sz w:val="24"/>
                <w:szCs w:val="24"/>
              </w:rPr>
            </w:pPr>
            <w:r w:rsidRPr="009277B8">
              <w:rPr>
                <w:rFonts w:ascii="Times New Roman" w:hAnsi="Times New Roman" w:cs="Times New Roman"/>
                <w:sz w:val="24"/>
                <w:szCs w:val="24"/>
              </w:rPr>
              <w:t xml:space="preserve">Comment </w:t>
            </w:r>
            <w:r w:rsidR="00856F72" w:rsidRPr="009277B8">
              <w:rPr>
                <w:rFonts w:ascii="Times New Roman" w:hAnsi="Times New Roman" w:cs="Times New Roman"/>
                <w:sz w:val="24"/>
                <w:szCs w:val="24"/>
              </w:rPr>
              <w:t>4</w:t>
            </w:r>
          </w:p>
        </w:tc>
        <w:tc>
          <w:tcPr>
            <w:tcW w:w="3510" w:type="dxa"/>
          </w:tcPr>
          <w:p w:rsidR="009F6B32" w:rsidRPr="009277B8" w:rsidRDefault="009F6B32" w:rsidP="0006580D">
            <w:pPr>
              <w:rPr>
                <w:rFonts w:ascii="Times New Roman" w:hAnsi="Times New Roman" w:cs="Times New Roman"/>
                <w:sz w:val="24"/>
                <w:szCs w:val="24"/>
              </w:rPr>
            </w:pPr>
            <w:r w:rsidRPr="009277B8">
              <w:rPr>
                <w:rFonts w:ascii="Times New Roman" w:hAnsi="Times New Roman" w:cs="Times New Roman"/>
                <w:sz w:val="24"/>
                <w:szCs w:val="24"/>
              </w:rPr>
              <w:t>Current Text</w:t>
            </w:r>
          </w:p>
        </w:tc>
        <w:tc>
          <w:tcPr>
            <w:tcW w:w="3780" w:type="dxa"/>
          </w:tcPr>
          <w:p w:rsidR="009F6B32" w:rsidRPr="009277B8" w:rsidRDefault="009F6B32" w:rsidP="0006580D">
            <w:pPr>
              <w:rPr>
                <w:rFonts w:ascii="Times New Roman" w:hAnsi="Times New Roman" w:cs="Times New Roman"/>
                <w:sz w:val="24"/>
                <w:szCs w:val="24"/>
              </w:rPr>
            </w:pPr>
            <w:r w:rsidRPr="009277B8">
              <w:rPr>
                <w:rFonts w:ascii="Times New Roman" w:hAnsi="Times New Roman" w:cs="Times New Roman"/>
                <w:sz w:val="24"/>
                <w:szCs w:val="24"/>
              </w:rPr>
              <w:t>Proposed Text</w:t>
            </w:r>
          </w:p>
        </w:tc>
        <w:tc>
          <w:tcPr>
            <w:tcW w:w="4590" w:type="dxa"/>
          </w:tcPr>
          <w:p w:rsidR="009F6B32" w:rsidRPr="009277B8" w:rsidRDefault="009F6B32" w:rsidP="0006580D">
            <w:pPr>
              <w:rPr>
                <w:rFonts w:ascii="Times New Roman" w:hAnsi="Times New Roman" w:cs="Times New Roman"/>
                <w:sz w:val="24"/>
                <w:szCs w:val="24"/>
              </w:rPr>
            </w:pPr>
            <w:r w:rsidRPr="009277B8">
              <w:rPr>
                <w:rFonts w:ascii="Times New Roman" w:hAnsi="Times New Roman" w:cs="Times New Roman"/>
                <w:sz w:val="24"/>
                <w:szCs w:val="24"/>
              </w:rPr>
              <w:t>Rationale for proposed change</w:t>
            </w:r>
          </w:p>
        </w:tc>
      </w:tr>
      <w:tr w:rsidR="000072A5" w:rsidRPr="009277B8" w:rsidTr="009277B8">
        <w:trPr>
          <w:cantSplit/>
          <w:trHeight w:val="1835"/>
        </w:trPr>
        <w:tc>
          <w:tcPr>
            <w:tcW w:w="1908" w:type="dxa"/>
          </w:tcPr>
          <w:p w:rsidR="000072A5" w:rsidRPr="009277B8" w:rsidRDefault="000072A5" w:rsidP="000072A5">
            <w:pPr>
              <w:rPr>
                <w:rFonts w:ascii="Times New Roman" w:hAnsi="Times New Roman" w:cs="Times New Roman"/>
                <w:sz w:val="20"/>
                <w:szCs w:val="20"/>
              </w:rPr>
            </w:pPr>
            <w:r w:rsidRPr="009277B8">
              <w:rPr>
                <w:rFonts w:ascii="Times New Roman" w:hAnsi="Times New Roman" w:cs="Times New Roman"/>
                <w:sz w:val="24"/>
                <w:szCs w:val="24"/>
              </w:rPr>
              <w:t>Regarding WAC 480-109-010(4)(a)(iii)(A)</w:t>
            </w:r>
          </w:p>
        </w:tc>
        <w:tc>
          <w:tcPr>
            <w:tcW w:w="3510" w:type="dxa"/>
          </w:tcPr>
          <w:p w:rsidR="000072A5" w:rsidRPr="009277B8" w:rsidRDefault="004552C8" w:rsidP="004552C8">
            <w:pPr>
              <w:pStyle w:val="NoSpacing"/>
              <w:rPr>
                <w:rFonts w:ascii="Times New Roman" w:hAnsi="Times New Roman" w:cs="Times New Roman"/>
                <w:sz w:val="24"/>
                <w:szCs w:val="24"/>
              </w:rPr>
            </w:pPr>
            <w:r w:rsidRPr="009277B8">
              <w:rPr>
                <w:rFonts w:ascii="Times New Roman" w:hAnsi="Times New Roman" w:cs="Times New Roman"/>
                <w:sz w:val="24"/>
                <w:szCs w:val="24"/>
              </w:rPr>
              <w:t>providing market-moving incentives and rebates,</w:t>
            </w:r>
          </w:p>
        </w:tc>
        <w:tc>
          <w:tcPr>
            <w:tcW w:w="3780" w:type="dxa"/>
          </w:tcPr>
          <w:p w:rsidR="000072A5" w:rsidRPr="009277B8" w:rsidRDefault="001C0FEC" w:rsidP="003F4CD8">
            <w:pPr>
              <w:pStyle w:val="NoSpacing"/>
              <w:rPr>
                <w:rFonts w:ascii="Times New Roman" w:hAnsi="Times New Roman" w:cs="Times New Roman"/>
                <w:sz w:val="24"/>
                <w:szCs w:val="24"/>
              </w:rPr>
            </w:pPr>
            <w:r w:rsidRPr="001C0FEC">
              <w:rPr>
                <w:rFonts w:ascii="Times New Roman" w:hAnsi="Times New Roman" w:cs="Times New Roman"/>
                <w:strike/>
                <w:sz w:val="24"/>
                <w:szCs w:val="24"/>
              </w:rPr>
              <w:t>providing market-moving incentives and rebates</w:t>
            </w:r>
            <w:r w:rsidR="004552C8" w:rsidRPr="009277B8">
              <w:rPr>
                <w:rFonts w:ascii="Times New Roman" w:hAnsi="Times New Roman" w:cs="Times New Roman"/>
                <w:sz w:val="24"/>
                <w:szCs w:val="24"/>
              </w:rPr>
              <w:t xml:space="preserve"> </w:t>
            </w:r>
          </w:p>
        </w:tc>
        <w:tc>
          <w:tcPr>
            <w:tcW w:w="4590" w:type="dxa"/>
          </w:tcPr>
          <w:p w:rsidR="000072A5" w:rsidRPr="009277B8" w:rsidRDefault="003F4CD8" w:rsidP="004552C8">
            <w:pPr>
              <w:pStyle w:val="NoSpacing"/>
              <w:rPr>
                <w:rFonts w:ascii="Times New Roman" w:hAnsi="Times New Roman" w:cs="Times New Roman"/>
                <w:sz w:val="24"/>
                <w:szCs w:val="24"/>
              </w:rPr>
            </w:pPr>
            <w:r>
              <w:rPr>
                <w:rFonts w:ascii="Times New Roman" w:hAnsi="Times New Roman" w:cs="Times New Roman"/>
                <w:sz w:val="24"/>
                <w:szCs w:val="24"/>
              </w:rPr>
              <w:t>D</w:t>
            </w:r>
            <w:r w:rsidRPr="009277B8">
              <w:rPr>
                <w:rFonts w:ascii="Times New Roman" w:hAnsi="Times New Roman" w:cs="Times New Roman"/>
                <w:sz w:val="24"/>
                <w:szCs w:val="24"/>
              </w:rPr>
              <w:t xml:space="preserve">efine </w:t>
            </w:r>
            <w:r>
              <w:rPr>
                <w:rFonts w:ascii="Times New Roman" w:hAnsi="Times New Roman" w:cs="Times New Roman"/>
                <w:sz w:val="24"/>
                <w:szCs w:val="24"/>
              </w:rPr>
              <w:t>“</w:t>
            </w:r>
            <w:r w:rsidRPr="009277B8">
              <w:rPr>
                <w:rFonts w:ascii="Times New Roman" w:hAnsi="Times New Roman" w:cs="Times New Roman"/>
                <w:sz w:val="24"/>
                <w:szCs w:val="24"/>
              </w:rPr>
              <w:t>market moving</w:t>
            </w:r>
            <w:r>
              <w:rPr>
                <w:rFonts w:ascii="Times New Roman" w:hAnsi="Times New Roman" w:cs="Times New Roman"/>
                <w:sz w:val="24"/>
                <w:szCs w:val="24"/>
              </w:rPr>
              <w:t>”</w:t>
            </w:r>
            <w:r w:rsidRPr="009277B8">
              <w:rPr>
                <w:rFonts w:ascii="Times New Roman" w:hAnsi="Times New Roman" w:cs="Times New Roman"/>
                <w:sz w:val="24"/>
                <w:szCs w:val="24"/>
              </w:rPr>
              <w:t xml:space="preserve"> in WAC 480-109-007 and add "participation in a regional market transformation organization satisfies this requirement”</w:t>
            </w:r>
            <w:r>
              <w:rPr>
                <w:rFonts w:ascii="Times New Roman" w:hAnsi="Times New Roman" w:cs="Times New Roman"/>
                <w:sz w:val="24"/>
                <w:szCs w:val="24"/>
              </w:rPr>
              <w:t xml:space="preserve"> </w:t>
            </w:r>
            <w:r w:rsidR="004552C8" w:rsidRPr="009277B8">
              <w:rPr>
                <w:rFonts w:ascii="Times New Roman" w:hAnsi="Times New Roman" w:cs="Times New Roman"/>
                <w:sz w:val="24"/>
                <w:szCs w:val="24"/>
              </w:rPr>
              <w:t>The lack of clarity in the current text creates concern about how to assure compliance</w:t>
            </w:r>
            <w:r w:rsidR="00CA701C" w:rsidRPr="009277B8">
              <w:rPr>
                <w:rFonts w:ascii="Times New Roman" w:hAnsi="Times New Roman" w:cs="Times New Roman"/>
                <w:sz w:val="24"/>
                <w:szCs w:val="24"/>
              </w:rPr>
              <w:t>.</w:t>
            </w:r>
          </w:p>
        </w:tc>
      </w:tr>
    </w:tbl>
    <w:p w:rsidR="009277B8" w:rsidRDefault="009277B8" w:rsidP="009F6B32">
      <w:pPr>
        <w:rPr>
          <w:rFonts w:ascii="Times New Roman" w:hAnsi="Times New Roman" w:cs="Times New Roman"/>
          <w:sz w:val="24"/>
          <w:szCs w:val="24"/>
        </w:rPr>
      </w:pPr>
    </w:p>
    <w:tbl>
      <w:tblPr>
        <w:tblStyle w:val="TableGrid"/>
        <w:tblW w:w="0" w:type="auto"/>
        <w:tblLook w:val="04A0"/>
      </w:tblPr>
      <w:tblGrid>
        <w:gridCol w:w="1803"/>
        <w:gridCol w:w="3510"/>
        <w:gridCol w:w="3780"/>
        <w:gridCol w:w="4590"/>
      </w:tblGrid>
      <w:tr w:rsidR="009F6B32" w:rsidRPr="009277B8" w:rsidTr="009277B8">
        <w:trPr>
          <w:cantSplit/>
        </w:trPr>
        <w:tc>
          <w:tcPr>
            <w:tcW w:w="1803" w:type="dxa"/>
          </w:tcPr>
          <w:p w:rsidR="009F6B32" w:rsidRPr="009277B8" w:rsidRDefault="008353FD" w:rsidP="0006580D">
            <w:pPr>
              <w:rPr>
                <w:rFonts w:ascii="Times New Roman" w:hAnsi="Times New Roman" w:cs="Times New Roman"/>
                <w:sz w:val="24"/>
                <w:szCs w:val="24"/>
              </w:rPr>
            </w:pPr>
            <w:r w:rsidRPr="009277B8">
              <w:rPr>
                <w:rFonts w:ascii="Times New Roman" w:hAnsi="Times New Roman" w:cs="Times New Roman"/>
                <w:sz w:val="24"/>
                <w:szCs w:val="24"/>
              </w:rPr>
              <w:t xml:space="preserve">Comment </w:t>
            </w:r>
            <w:r w:rsidR="00856F72" w:rsidRPr="009277B8">
              <w:rPr>
                <w:rFonts w:ascii="Times New Roman" w:hAnsi="Times New Roman" w:cs="Times New Roman"/>
                <w:sz w:val="24"/>
                <w:szCs w:val="24"/>
              </w:rPr>
              <w:t>5</w:t>
            </w:r>
          </w:p>
        </w:tc>
        <w:tc>
          <w:tcPr>
            <w:tcW w:w="3510" w:type="dxa"/>
          </w:tcPr>
          <w:p w:rsidR="009F6B32" w:rsidRPr="009277B8" w:rsidRDefault="009F6B32" w:rsidP="0006580D">
            <w:pPr>
              <w:rPr>
                <w:rFonts w:ascii="Times New Roman" w:hAnsi="Times New Roman" w:cs="Times New Roman"/>
                <w:sz w:val="24"/>
                <w:szCs w:val="24"/>
              </w:rPr>
            </w:pPr>
            <w:r w:rsidRPr="009277B8">
              <w:rPr>
                <w:rFonts w:ascii="Times New Roman" w:hAnsi="Times New Roman" w:cs="Times New Roman"/>
                <w:sz w:val="24"/>
                <w:szCs w:val="24"/>
              </w:rPr>
              <w:t>Current Text</w:t>
            </w:r>
          </w:p>
        </w:tc>
        <w:tc>
          <w:tcPr>
            <w:tcW w:w="3780" w:type="dxa"/>
          </w:tcPr>
          <w:p w:rsidR="009F6B32" w:rsidRPr="009277B8" w:rsidRDefault="009F6B32" w:rsidP="0006580D">
            <w:pPr>
              <w:rPr>
                <w:rFonts w:ascii="Times New Roman" w:hAnsi="Times New Roman" w:cs="Times New Roman"/>
                <w:sz w:val="24"/>
                <w:szCs w:val="24"/>
              </w:rPr>
            </w:pPr>
            <w:r w:rsidRPr="009277B8">
              <w:rPr>
                <w:rFonts w:ascii="Times New Roman" w:hAnsi="Times New Roman" w:cs="Times New Roman"/>
                <w:sz w:val="24"/>
                <w:szCs w:val="24"/>
              </w:rPr>
              <w:t>Proposed Text</w:t>
            </w:r>
          </w:p>
        </w:tc>
        <w:tc>
          <w:tcPr>
            <w:tcW w:w="4590" w:type="dxa"/>
          </w:tcPr>
          <w:p w:rsidR="009F6B32" w:rsidRPr="009277B8" w:rsidRDefault="009F6B32" w:rsidP="0006580D">
            <w:pPr>
              <w:rPr>
                <w:rFonts w:ascii="Times New Roman" w:hAnsi="Times New Roman" w:cs="Times New Roman"/>
                <w:sz w:val="24"/>
                <w:szCs w:val="24"/>
              </w:rPr>
            </w:pPr>
            <w:r w:rsidRPr="009277B8">
              <w:rPr>
                <w:rFonts w:ascii="Times New Roman" w:hAnsi="Times New Roman" w:cs="Times New Roman"/>
                <w:sz w:val="24"/>
                <w:szCs w:val="24"/>
              </w:rPr>
              <w:t>Rationale for proposed change</w:t>
            </w:r>
          </w:p>
        </w:tc>
      </w:tr>
      <w:tr w:rsidR="009F6B32" w:rsidRPr="009277B8" w:rsidTr="009277B8">
        <w:trPr>
          <w:cantSplit/>
          <w:trHeight w:val="962"/>
        </w:trPr>
        <w:tc>
          <w:tcPr>
            <w:tcW w:w="1803" w:type="dxa"/>
          </w:tcPr>
          <w:p w:rsidR="009F6B32" w:rsidRPr="009277B8" w:rsidRDefault="004552C8" w:rsidP="004B371D">
            <w:pPr>
              <w:rPr>
                <w:rFonts w:ascii="Times New Roman" w:hAnsi="Times New Roman" w:cs="Times New Roman"/>
                <w:sz w:val="24"/>
                <w:szCs w:val="24"/>
              </w:rPr>
            </w:pPr>
            <w:r w:rsidRPr="009277B8">
              <w:rPr>
                <w:rFonts w:ascii="Times New Roman" w:hAnsi="Times New Roman" w:cs="Times New Roman"/>
                <w:sz w:val="24"/>
                <w:szCs w:val="24"/>
              </w:rPr>
              <w:t>Regard</w:t>
            </w:r>
            <w:r w:rsidR="00F54911" w:rsidRPr="009277B8">
              <w:rPr>
                <w:rFonts w:ascii="Times New Roman" w:hAnsi="Times New Roman" w:cs="Times New Roman"/>
                <w:sz w:val="24"/>
                <w:szCs w:val="24"/>
              </w:rPr>
              <w:t>ing WAC 480-109-010(4)(a)(iii)(B</w:t>
            </w:r>
            <w:r w:rsidRPr="009277B8">
              <w:rPr>
                <w:rFonts w:ascii="Times New Roman" w:hAnsi="Times New Roman" w:cs="Times New Roman"/>
                <w:sz w:val="24"/>
                <w:szCs w:val="24"/>
              </w:rPr>
              <w:t>)</w:t>
            </w:r>
          </w:p>
        </w:tc>
        <w:tc>
          <w:tcPr>
            <w:tcW w:w="3510" w:type="dxa"/>
          </w:tcPr>
          <w:p w:rsidR="002E1CAF" w:rsidRPr="009277B8" w:rsidRDefault="00F54911" w:rsidP="0006580D">
            <w:pPr>
              <w:rPr>
                <w:rFonts w:ascii="Times New Roman" w:hAnsi="Times New Roman" w:cs="Times New Roman"/>
                <w:sz w:val="24"/>
                <w:szCs w:val="24"/>
              </w:rPr>
            </w:pPr>
            <w:r w:rsidRPr="009277B8">
              <w:rPr>
                <w:rFonts w:ascii="Times New Roman" w:hAnsi="Times New Roman" w:cs="Times New Roman"/>
                <w:sz w:val="24"/>
                <w:szCs w:val="24"/>
              </w:rPr>
              <w:t>evaluating the effectiveness of conservation program advertising,</w:t>
            </w:r>
          </w:p>
        </w:tc>
        <w:tc>
          <w:tcPr>
            <w:tcW w:w="3780" w:type="dxa"/>
          </w:tcPr>
          <w:p w:rsidR="000B4C13" w:rsidRPr="001C0FEC" w:rsidRDefault="001C0FEC" w:rsidP="00D04E5A">
            <w:pPr>
              <w:rPr>
                <w:rFonts w:ascii="Times New Roman" w:hAnsi="Times New Roman" w:cs="Times New Roman"/>
                <w:strike/>
                <w:sz w:val="24"/>
                <w:szCs w:val="24"/>
              </w:rPr>
            </w:pPr>
            <w:r w:rsidRPr="001C0FEC">
              <w:rPr>
                <w:rFonts w:ascii="Times New Roman" w:hAnsi="Times New Roman" w:cs="Times New Roman"/>
                <w:strike/>
                <w:sz w:val="24"/>
                <w:szCs w:val="24"/>
              </w:rPr>
              <w:t>evaluating the effectiveness of conservation program advertising,</w:t>
            </w:r>
          </w:p>
        </w:tc>
        <w:tc>
          <w:tcPr>
            <w:tcW w:w="4590" w:type="dxa"/>
          </w:tcPr>
          <w:p w:rsidR="000B4C13" w:rsidRPr="009277B8" w:rsidRDefault="00F54911" w:rsidP="00D04E5A">
            <w:pPr>
              <w:rPr>
                <w:rFonts w:ascii="Times New Roman" w:hAnsi="Times New Roman" w:cs="Times New Roman"/>
                <w:sz w:val="24"/>
                <w:szCs w:val="24"/>
              </w:rPr>
            </w:pPr>
            <w:r w:rsidRPr="009277B8">
              <w:rPr>
                <w:rFonts w:ascii="Times New Roman" w:hAnsi="Times New Roman" w:cs="Times New Roman"/>
                <w:sz w:val="24"/>
                <w:szCs w:val="24"/>
              </w:rPr>
              <w:t>The compliance requirement for this section is not clear (i.e., how and at what cost and benefit).</w:t>
            </w:r>
          </w:p>
          <w:p w:rsidR="00D04E5A" w:rsidRPr="009277B8" w:rsidRDefault="00D04E5A" w:rsidP="00D04E5A">
            <w:pPr>
              <w:rPr>
                <w:rFonts w:ascii="Times New Roman" w:hAnsi="Times New Roman" w:cs="Times New Roman"/>
                <w:sz w:val="24"/>
                <w:szCs w:val="24"/>
              </w:rPr>
            </w:pPr>
          </w:p>
          <w:p w:rsidR="00D04E5A" w:rsidRPr="009277B8" w:rsidRDefault="00D04E5A" w:rsidP="00D04E5A">
            <w:pPr>
              <w:rPr>
                <w:rFonts w:ascii="Times New Roman" w:hAnsi="Times New Roman" w:cs="Times New Roman"/>
                <w:sz w:val="24"/>
                <w:szCs w:val="24"/>
              </w:rPr>
            </w:pPr>
          </w:p>
        </w:tc>
      </w:tr>
    </w:tbl>
    <w:p w:rsidR="009F6B32" w:rsidRPr="009277B8" w:rsidRDefault="009F6B32" w:rsidP="009F6B32">
      <w:pPr>
        <w:rPr>
          <w:rFonts w:ascii="Times New Roman" w:hAnsi="Times New Roman" w:cs="Times New Roman"/>
          <w:sz w:val="24"/>
          <w:szCs w:val="24"/>
        </w:rPr>
      </w:pPr>
    </w:p>
    <w:tbl>
      <w:tblPr>
        <w:tblStyle w:val="TableGrid"/>
        <w:tblW w:w="13698" w:type="dxa"/>
        <w:tblLook w:val="04A0"/>
      </w:tblPr>
      <w:tblGrid>
        <w:gridCol w:w="1816"/>
        <w:gridCol w:w="3512"/>
        <w:gridCol w:w="3780"/>
        <w:gridCol w:w="4590"/>
      </w:tblGrid>
      <w:tr w:rsidR="004B371D" w:rsidRPr="009277B8" w:rsidTr="00CA701C">
        <w:trPr>
          <w:cantSplit/>
        </w:trPr>
        <w:tc>
          <w:tcPr>
            <w:tcW w:w="1816" w:type="dxa"/>
          </w:tcPr>
          <w:p w:rsidR="004B371D" w:rsidRPr="009277B8" w:rsidRDefault="004B371D" w:rsidP="004B371D">
            <w:pPr>
              <w:rPr>
                <w:rFonts w:ascii="Times New Roman" w:hAnsi="Times New Roman" w:cs="Times New Roman"/>
                <w:sz w:val="24"/>
                <w:szCs w:val="24"/>
              </w:rPr>
            </w:pPr>
            <w:r w:rsidRPr="009277B8">
              <w:rPr>
                <w:rFonts w:ascii="Times New Roman" w:hAnsi="Times New Roman" w:cs="Times New Roman"/>
                <w:sz w:val="24"/>
                <w:szCs w:val="24"/>
              </w:rPr>
              <w:t xml:space="preserve">Comment </w:t>
            </w:r>
            <w:r w:rsidR="00856F72" w:rsidRPr="009277B8">
              <w:rPr>
                <w:rFonts w:ascii="Times New Roman" w:hAnsi="Times New Roman" w:cs="Times New Roman"/>
                <w:sz w:val="24"/>
                <w:szCs w:val="24"/>
              </w:rPr>
              <w:t>6</w:t>
            </w:r>
          </w:p>
        </w:tc>
        <w:tc>
          <w:tcPr>
            <w:tcW w:w="3512" w:type="dxa"/>
          </w:tcPr>
          <w:p w:rsidR="004B371D" w:rsidRPr="009277B8" w:rsidRDefault="004B371D" w:rsidP="0006580D">
            <w:pPr>
              <w:rPr>
                <w:rFonts w:ascii="Times New Roman" w:hAnsi="Times New Roman" w:cs="Times New Roman"/>
                <w:sz w:val="24"/>
                <w:szCs w:val="24"/>
              </w:rPr>
            </w:pPr>
            <w:r w:rsidRPr="009277B8">
              <w:rPr>
                <w:rFonts w:ascii="Times New Roman" w:hAnsi="Times New Roman" w:cs="Times New Roman"/>
                <w:sz w:val="24"/>
                <w:szCs w:val="24"/>
              </w:rPr>
              <w:t>Current Text</w:t>
            </w:r>
          </w:p>
        </w:tc>
        <w:tc>
          <w:tcPr>
            <w:tcW w:w="3780" w:type="dxa"/>
          </w:tcPr>
          <w:p w:rsidR="004B371D" w:rsidRPr="009277B8" w:rsidRDefault="004B371D" w:rsidP="0006580D">
            <w:pPr>
              <w:rPr>
                <w:rFonts w:ascii="Times New Roman" w:hAnsi="Times New Roman" w:cs="Times New Roman"/>
                <w:sz w:val="24"/>
                <w:szCs w:val="24"/>
              </w:rPr>
            </w:pPr>
            <w:r w:rsidRPr="009277B8">
              <w:rPr>
                <w:rFonts w:ascii="Times New Roman" w:hAnsi="Times New Roman" w:cs="Times New Roman"/>
                <w:sz w:val="24"/>
                <w:szCs w:val="24"/>
              </w:rPr>
              <w:t>Proposed Text</w:t>
            </w:r>
          </w:p>
        </w:tc>
        <w:tc>
          <w:tcPr>
            <w:tcW w:w="4590" w:type="dxa"/>
          </w:tcPr>
          <w:p w:rsidR="004B371D" w:rsidRPr="009277B8" w:rsidRDefault="004B371D" w:rsidP="0006580D">
            <w:pPr>
              <w:rPr>
                <w:rFonts w:ascii="Times New Roman" w:hAnsi="Times New Roman" w:cs="Times New Roman"/>
                <w:sz w:val="24"/>
                <w:szCs w:val="24"/>
              </w:rPr>
            </w:pPr>
            <w:r w:rsidRPr="009277B8">
              <w:rPr>
                <w:rFonts w:ascii="Times New Roman" w:hAnsi="Times New Roman" w:cs="Times New Roman"/>
                <w:sz w:val="24"/>
                <w:szCs w:val="24"/>
              </w:rPr>
              <w:t>Rationale for proposed change</w:t>
            </w:r>
          </w:p>
        </w:tc>
      </w:tr>
      <w:tr w:rsidR="004B371D" w:rsidRPr="009277B8" w:rsidTr="009277B8">
        <w:trPr>
          <w:cantSplit/>
          <w:trHeight w:val="1142"/>
        </w:trPr>
        <w:tc>
          <w:tcPr>
            <w:tcW w:w="1816" w:type="dxa"/>
          </w:tcPr>
          <w:p w:rsidR="00324A1E" w:rsidRPr="009277B8" w:rsidRDefault="004552C8" w:rsidP="00BF4D51">
            <w:pPr>
              <w:rPr>
                <w:rFonts w:ascii="Times New Roman" w:hAnsi="Times New Roman" w:cs="Times New Roman"/>
                <w:sz w:val="20"/>
                <w:szCs w:val="20"/>
              </w:rPr>
            </w:pPr>
            <w:r w:rsidRPr="009277B8">
              <w:rPr>
                <w:rFonts w:ascii="Times New Roman" w:hAnsi="Times New Roman" w:cs="Times New Roman"/>
                <w:sz w:val="24"/>
                <w:szCs w:val="24"/>
              </w:rPr>
              <w:t>Regard</w:t>
            </w:r>
            <w:r w:rsidR="00F54911" w:rsidRPr="009277B8">
              <w:rPr>
                <w:rFonts w:ascii="Times New Roman" w:hAnsi="Times New Roman" w:cs="Times New Roman"/>
                <w:sz w:val="24"/>
                <w:szCs w:val="24"/>
              </w:rPr>
              <w:t>ing WAC 480-109-010(4)(a)(iii)(D</w:t>
            </w:r>
            <w:r w:rsidRPr="009277B8">
              <w:rPr>
                <w:rFonts w:ascii="Times New Roman" w:hAnsi="Times New Roman" w:cs="Times New Roman"/>
                <w:sz w:val="24"/>
                <w:szCs w:val="24"/>
              </w:rPr>
              <w:t>)</w:t>
            </w:r>
          </w:p>
        </w:tc>
        <w:tc>
          <w:tcPr>
            <w:tcW w:w="3512" w:type="dxa"/>
          </w:tcPr>
          <w:p w:rsidR="00AA772D" w:rsidRPr="009277B8" w:rsidRDefault="00F54911" w:rsidP="0006580D">
            <w:pPr>
              <w:rPr>
                <w:rFonts w:ascii="Times New Roman" w:hAnsi="Times New Roman" w:cs="Times New Roman"/>
                <w:sz w:val="20"/>
                <w:szCs w:val="20"/>
              </w:rPr>
            </w:pPr>
            <w:r w:rsidRPr="009277B8">
              <w:rPr>
                <w:rFonts w:ascii="Times New Roman" w:hAnsi="Times New Roman" w:cs="Times New Roman"/>
                <w:sz w:val="24"/>
                <w:szCs w:val="24"/>
              </w:rPr>
              <w:t>implementing pilot projects,</w:t>
            </w:r>
          </w:p>
        </w:tc>
        <w:tc>
          <w:tcPr>
            <w:tcW w:w="3780" w:type="dxa"/>
          </w:tcPr>
          <w:p w:rsidR="00AA772D" w:rsidRPr="009277B8" w:rsidRDefault="00F54911" w:rsidP="001C0FEC">
            <w:pPr>
              <w:rPr>
                <w:rFonts w:ascii="Times New Roman" w:hAnsi="Times New Roman" w:cs="Times New Roman"/>
                <w:sz w:val="24"/>
                <w:szCs w:val="24"/>
              </w:rPr>
            </w:pPr>
            <w:r w:rsidRPr="00BD7727">
              <w:rPr>
                <w:rFonts w:ascii="Times New Roman" w:hAnsi="Times New Roman" w:cs="Times New Roman"/>
                <w:color w:val="FF0000"/>
                <w:sz w:val="24"/>
                <w:szCs w:val="24"/>
                <w:u w:val="single"/>
              </w:rPr>
              <w:t>consider</w:t>
            </w:r>
            <w:r w:rsidRPr="009277B8">
              <w:rPr>
                <w:rFonts w:ascii="Times New Roman" w:hAnsi="Times New Roman" w:cs="Times New Roman"/>
                <w:sz w:val="24"/>
                <w:szCs w:val="24"/>
              </w:rPr>
              <w:t xml:space="preserve"> implementing pilot projects,</w:t>
            </w:r>
          </w:p>
        </w:tc>
        <w:tc>
          <w:tcPr>
            <w:tcW w:w="4590" w:type="dxa"/>
          </w:tcPr>
          <w:p w:rsidR="003B215B" w:rsidRPr="009277B8" w:rsidRDefault="00F54911" w:rsidP="00875CA1">
            <w:pPr>
              <w:rPr>
                <w:rFonts w:ascii="Times New Roman" w:hAnsi="Times New Roman" w:cs="Times New Roman"/>
                <w:sz w:val="24"/>
                <w:szCs w:val="24"/>
              </w:rPr>
            </w:pPr>
            <w:r w:rsidRPr="009277B8">
              <w:rPr>
                <w:rFonts w:ascii="Times New Roman" w:hAnsi="Times New Roman" w:cs="Times New Roman"/>
                <w:sz w:val="24"/>
                <w:szCs w:val="24"/>
              </w:rPr>
              <w:t>A literal reading of the current text is that each IOU must always have at least one pilot in progress regardless of purpose, cost, and benefit.</w:t>
            </w:r>
          </w:p>
        </w:tc>
      </w:tr>
    </w:tbl>
    <w:p w:rsidR="004B371D" w:rsidRPr="009277B8" w:rsidRDefault="004B371D" w:rsidP="004B371D">
      <w:pPr>
        <w:rPr>
          <w:rFonts w:ascii="Times New Roman" w:hAnsi="Times New Roman" w:cs="Times New Roman"/>
          <w:sz w:val="24"/>
          <w:szCs w:val="24"/>
        </w:rPr>
      </w:pPr>
    </w:p>
    <w:tbl>
      <w:tblPr>
        <w:tblStyle w:val="TableGrid"/>
        <w:tblW w:w="0" w:type="auto"/>
        <w:tblLook w:val="04A0"/>
      </w:tblPr>
      <w:tblGrid>
        <w:gridCol w:w="1908"/>
        <w:gridCol w:w="3510"/>
        <w:gridCol w:w="3780"/>
        <w:gridCol w:w="4590"/>
      </w:tblGrid>
      <w:tr w:rsidR="00830CC3" w:rsidRPr="009277B8" w:rsidTr="00242C3B">
        <w:trPr>
          <w:cantSplit/>
        </w:trPr>
        <w:tc>
          <w:tcPr>
            <w:tcW w:w="1908" w:type="dxa"/>
          </w:tcPr>
          <w:p w:rsidR="00830CC3" w:rsidRPr="009277B8" w:rsidRDefault="00BE04C1" w:rsidP="00242C3B">
            <w:pPr>
              <w:rPr>
                <w:rFonts w:ascii="Times New Roman" w:hAnsi="Times New Roman" w:cs="Times New Roman"/>
                <w:sz w:val="24"/>
                <w:szCs w:val="24"/>
              </w:rPr>
            </w:pPr>
            <w:r w:rsidRPr="009277B8">
              <w:rPr>
                <w:rFonts w:ascii="Times New Roman" w:hAnsi="Times New Roman" w:cs="Times New Roman"/>
                <w:sz w:val="24"/>
                <w:szCs w:val="24"/>
              </w:rPr>
              <w:t xml:space="preserve">Comment </w:t>
            </w:r>
            <w:r w:rsidR="00856F72" w:rsidRPr="009277B8">
              <w:rPr>
                <w:rFonts w:ascii="Times New Roman" w:hAnsi="Times New Roman" w:cs="Times New Roman"/>
                <w:sz w:val="24"/>
                <w:szCs w:val="24"/>
              </w:rPr>
              <w:t>7</w:t>
            </w:r>
          </w:p>
        </w:tc>
        <w:tc>
          <w:tcPr>
            <w:tcW w:w="3510" w:type="dxa"/>
          </w:tcPr>
          <w:p w:rsidR="00830CC3" w:rsidRPr="009277B8" w:rsidRDefault="00830CC3" w:rsidP="00242C3B">
            <w:pPr>
              <w:rPr>
                <w:rFonts w:ascii="Times New Roman" w:hAnsi="Times New Roman" w:cs="Times New Roman"/>
                <w:sz w:val="24"/>
                <w:szCs w:val="24"/>
              </w:rPr>
            </w:pPr>
            <w:r w:rsidRPr="009277B8">
              <w:rPr>
                <w:rFonts w:ascii="Times New Roman" w:hAnsi="Times New Roman" w:cs="Times New Roman"/>
                <w:sz w:val="24"/>
                <w:szCs w:val="24"/>
              </w:rPr>
              <w:t>Current Text</w:t>
            </w:r>
          </w:p>
        </w:tc>
        <w:tc>
          <w:tcPr>
            <w:tcW w:w="3780" w:type="dxa"/>
          </w:tcPr>
          <w:p w:rsidR="00830CC3" w:rsidRPr="009277B8" w:rsidRDefault="00830CC3" w:rsidP="00242C3B">
            <w:pPr>
              <w:rPr>
                <w:rFonts w:ascii="Times New Roman" w:hAnsi="Times New Roman" w:cs="Times New Roman"/>
                <w:sz w:val="24"/>
                <w:szCs w:val="24"/>
              </w:rPr>
            </w:pPr>
            <w:r w:rsidRPr="009277B8">
              <w:rPr>
                <w:rFonts w:ascii="Times New Roman" w:hAnsi="Times New Roman" w:cs="Times New Roman"/>
                <w:sz w:val="24"/>
                <w:szCs w:val="24"/>
              </w:rPr>
              <w:t>Proposed Text</w:t>
            </w:r>
          </w:p>
        </w:tc>
        <w:tc>
          <w:tcPr>
            <w:tcW w:w="4590" w:type="dxa"/>
          </w:tcPr>
          <w:p w:rsidR="00830CC3" w:rsidRPr="009277B8" w:rsidRDefault="00830CC3" w:rsidP="00242C3B">
            <w:pPr>
              <w:rPr>
                <w:rFonts w:ascii="Times New Roman" w:hAnsi="Times New Roman" w:cs="Times New Roman"/>
                <w:sz w:val="24"/>
                <w:szCs w:val="24"/>
              </w:rPr>
            </w:pPr>
            <w:r w:rsidRPr="009277B8">
              <w:rPr>
                <w:rFonts w:ascii="Times New Roman" w:hAnsi="Times New Roman" w:cs="Times New Roman"/>
                <w:sz w:val="24"/>
                <w:szCs w:val="24"/>
              </w:rPr>
              <w:t>Rationale for proposed change</w:t>
            </w:r>
          </w:p>
        </w:tc>
      </w:tr>
      <w:tr w:rsidR="00830CC3" w:rsidRPr="009277B8" w:rsidTr="009277B8">
        <w:trPr>
          <w:cantSplit/>
          <w:trHeight w:val="1772"/>
        </w:trPr>
        <w:tc>
          <w:tcPr>
            <w:tcW w:w="1908" w:type="dxa"/>
          </w:tcPr>
          <w:p w:rsidR="00830CC3" w:rsidRPr="009277B8" w:rsidRDefault="004552C8" w:rsidP="00242C3B">
            <w:pPr>
              <w:rPr>
                <w:rFonts w:ascii="Times New Roman" w:hAnsi="Times New Roman" w:cs="Times New Roman"/>
                <w:sz w:val="20"/>
                <w:szCs w:val="20"/>
              </w:rPr>
            </w:pPr>
            <w:r w:rsidRPr="009277B8">
              <w:rPr>
                <w:rFonts w:ascii="Times New Roman" w:hAnsi="Times New Roman" w:cs="Times New Roman"/>
                <w:sz w:val="24"/>
                <w:szCs w:val="24"/>
              </w:rPr>
              <w:t>Regard</w:t>
            </w:r>
            <w:r w:rsidR="00F54911" w:rsidRPr="009277B8">
              <w:rPr>
                <w:rFonts w:ascii="Times New Roman" w:hAnsi="Times New Roman" w:cs="Times New Roman"/>
                <w:sz w:val="24"/>
                <w:szCs w:val="24"/>
              </w:rPr>
              <w:t>ing WAC 480-109-010(4)(a)(iii)(E</w:t>
            </w:r>
            <w:r w:rsidRPr="009277B8">
              <w:rPr>
                <w:rFonts w:ascii="Times New Roman" w:hAnsi="Times New Roman" w:cs="Times New Roman"/>
                <w:sz w:val="24"/>
                <w:szCs w:val="24"/>
              </w:rPr>
              <w:t>)</w:t>
            </w:r>
          </w:p>
        </w:tc>
        <w:tc>
          <w:tcPr>
            <w:tcW w:w="3510" w:type="dxa"/>
          </w:tcPr>
          <w:p w:rsidR="00830CC3" w:rsidRPr="009277B8" w:rsidRDefault="00F54911" w:rsidP="00242C3B">
            <w:pPr>
              <w:rPr>
                <w:rFonts w:ascii="Times New Roman" w:hAnsi="Times New Roman" w:cs="Times New Roman"/>
                <w:sz w:val="24"/>
                <w:szCs w:val="24"/>
              </w:rPr>
            </w:pPr>
            <w:r w:rsidRPr="009277B8">
              <w:rPr>
                <w:rFonts w:ascii="Times New Roman" w:hAnsi="Times New Roman" w:cs="Times New Roman"/>
                <w:sz w:val="24"/>
                <w:szCs w:val="24"/>
              </w:rPr>
              <w:t>performing research regarding emerging conservation technologies,</w:t>
            </w:r>
          </w:p>
        </w:tc>
        <w:tc>
          <w:tcPr>
            <w:tcW w:w="3780" w:type="dxa"/>
          </w:tcPr>
          <w:p w:rsidR="00F54911" w:rsidRPr="009277B8" w:rsidRDefault="003F4CD8" w:rsidP="00F54911">
            <w:pPr>
              <w:pStyle w:val="NoSpacing"/>
              <w:rPr>
                <w:rFonts w:ascii="Times New Roman" w:hAnsi="Times New Roman" w:cs="Times New Roman"/>
                <w:sz w:val="24"/>
                <w:szCs w:val="24"/>
              </w:rPr>
            </w:pPr>
            <w:r w:rsidRPr="009277B8">
              <w:rPr>
                <w:rFonts w:ascii="Times New Roman" w:hAnsi="Times New Roman" w:cs="Times New Roman"/>
                <w:sz w:val="24"/>
                <w:szCs w:val="24"/>
              </w:rPr>
              <w:t>performing research regarding emerging conservation technologies,</w:t>
            </w:r>
            <w:r>
              <w:rPr>
                <w:rFonts w:ascii="Times New Roman" w:hAnsi="Times New Roman" w:cs="Times New Roman"/>
                <w:sz w:val="24"/>
                <w:szCs w:val="24"/>
              </w:rPr>
              <w:t xml:space="preserve"> </w:t>
            </w:r>
            <w:r w:rsidR="00F54911" w:rsidRPr="00BD7727">
              <w:rPr>
                <w:rFonts w:ascii="Times New Roman" w:hAnsi="Times New Roman" w:cs="Times New Roman"/>
                <w:color w:val="FF0000"/>
                <w:sz w:val="24"/>
                <w:szCs w:val="24"/>
                <w:u w:val="single"/>
              </w:rPr>
              <w:t>or perform in association with others</w:t>
            </w:r>
          </w:p>
          <w:p w:rsidR="00830CC3" w:rsidRPr="009277B8" w:rsidRDefault="00830CC3" w:rsidP="00242C3B">
            <w:pPr>
              <w:rPr>
                <w:rFonts w:ascii="Times New Roman" w:hAnsi="Times New Roman" w:cs="Times New Roman"/>
                <w:sz w:val="24"/>
                <w:szCs w:val="24"/>
              </w:rPr>
            </w:pPr>
          </w:p>
        </w:tc>
        <w:tc>
          <w:tcPr>
            <w:tcW w:w="4590" w:type="dxa"/>
          </w:tcPr>
          <w:p w:rsidR="00830CC3" w:rsidRPr="009277B8" w:rsidRDefault="00F54911" w:rsidP="00242C3B">
            <w:pPr>
              <w:rPr>
                <w:rFonts w:ascii="Times New Roman" w:hAnsi="Times New Roman" w:cs="Times New Roman"/>
                <w:sz w:val="24"/>
                <w:szCs w:val="24"/>
              </w:rPr>
            </w:pPr>
            <w:r w:rsidRPr="009277B8">
              <w:rPr>
                <w:rFonts w:ascii="Times New Roman" w:hAnsi="Times New Roman" w:cs="Times New Roman"/>
                <w:sz w:val="24"/>
                <w:szCs w:val="24"/>
              </w:rPr>
              <w:t>Avista seeks to assure no duplication of this function, or compliance at a higher cost than currently addressed</w:t>
            </w:r>
            <w:r w:rsidR="00CA701C" w:rsidRPr="009277B8">
              <w:rPr>
                <w:rFonts w:ascii="Times New Roman" w:hAnsi="Times New Roman" w:cs="Times New Roman"/>
                <w:sz w:val="24"/>
                <w:szCs w:val="24"/>
              </w:rPr>
              <w:t xml:space="preserve">. Example: Avista currently works with NEEA, </w:t>
            </w:r>
            <w:proofErr w:type="spellStart"/>
            <w:r w:rsidR="00CA701C" w:rsidRPr="009277B8">
              <w:rPr>
                <w:rFonts w:ascii="Times New Roman" w:hAnsi="Times New Roman" w:cs="Times New Roman"/>
                <w:sz w:val="24"/>
                <w:szCs w:val="24"/>
              </w:rPr>
              <w:t>Esource</w:t>
            </w:r>
            <w:proofErr w:type="spellEnd"/>
            <w:r w:rsidR="00CA701C" w:rsidRPr="009277B8">
              <w:rPr>
                <w:rFonts w:ascii="Times New Roman" w:hAnsi="Times New Roman" w:cs="Times New Roman"/>
                <w:sz w:val="24"/>
                <w:szCs w:val="24"/>
              </w:rPr>
              <w:t xml:space="preserve"> and EPRI in this regard.</w:t>
            </w:r>
          </w:p>
          <w:p w:rsidR="009718EF" w:rsidRPr="009277B8" w:rsidRDefault="009718EF" w:rsidP="00242C3B">
            <w:pPr>
              <w:rPr>
                <w:rFonts w:ascii="Times New Roman" w:hAnsi="Times New Roman" w:cs="Times New Roman"/>
                <w:sz w:val="24"/>
                <w:szCs w:val="24"/>
              </w:rPr>
            </w:pPr>
          </w:p>
        </w:tc>
      </w:tr>
    </w:tbl>
    <w:p w:rsidR="00830CC3" w:rsidRDefault="00830CC3" w:rsidP="00830CC3">
      <w:pPr>
        <w:rPr>
          <w:rFonts w:ascii="Times New Roman" w:hAnsi="Times New Roman" w:cs="Times New Roman"/>
          <w:sz w:val="24"/>
          <w:szCs w:val="24"/>
        </w:rPr>
      </w:pPr>
    </w:p>
    <w:p w:rsidR="00856A33" w:rsidRDefault="00856A33" w:rsidP="00830CC3">
      <w:pPr>
        <w:rPr>
          <w:rFonts w:ascii="Times New Roman" w:hAnsi="Times New Roman" w:cs="Times New Roman"/>
          <w:sz w:val="24"/>
          <w:szCs w:val="24"/>
        </w:rPr>
      </w:pPr>
    </w:p>
    <w:p w:rsidR="00856A33" w:rsidRDefault="00856A33" w:rsidP="00830CC3">
      <w:pPr>
        <w:rPr>
          <w:rFonts w:ascii="Times New Roman" w:hAnsi="Times New Roman" w:cs="Times New Roman"/>
          <w:sz w:val="24"/>
          <w:szCs w:val="24"/>
        </w:rPr>
      </w:pPr>
    </w:p>
    <w:p w:rsidR="00856A33" w:rsidRDefault="00856A33" w:rsidP="00830CC3">
      <w:pPr>
        <w:rPr>
          <w:rFonts w:ascii="Times New Roman" w:hAnsi="Times New Roman" w:cs="Times New Roman"/>
          <w:sz w:val="24"/>
          <w:szCs w:val="24"/>
        </w:rPr>
      </w:pPr>
    </w:p>
    <w:p w:rsidR="00856A33" w:rsidRPr="009277B8" w:rsidRDefault="00856A33" w:rsidP="00830CC3">
      <w:pPr>
        <w:rPr>
          <w:rFonts w:ascii="Times New Roman" w:hAnsi="Times New Roman" w:cs="Times New Roman"/>
          <w:sz w:val="24"/>
          <w:szCs w:val="24"/>
        </w:rPr>
      </w:pPr>
    </w:p>
    <w:tbl>
      <w:tblPr>
        <w:tblStyle w:val="TableGrid"/>
        <w:tblW w:w="0" w:type="auto"/>
        <w:tblLook w:val="04A0"/>
      </w:tblPr>
      <w:tblGrid>
        <w:gridCol w:w="1908"/>
        <w:gridCol w:w="3510"/>
        <w:gridCol w:w="3780"/>
        <w:gridCol w:w="4590"/>
      </w:tblGrid>
      <w:tr w:rsidR="006A28B1" w:rsidRPr="009277B8" w:rsidTr="0006580D">
        <w:trPr>
          <w:cantSplit/>
        </w:trPr>
        <w:tc>
          <w:tcPr>
            <w:tcW w:w="1908" w:type="dxa"/>
          </w:tcPr>
          <w:p w:rsidR="006A28B1" w:rsidRPr="009277B8" w:rsidRDefault="00BE04C1" w:rsidP="0006580D">
            <w:pPr>
              <w:rPr>
                <w:rFonts w:ascii="Times New Roman" w:hAnsi="Times New Roman" w:cs="Times New Roman"/>
                <w:sz w:val="24"/>
                <w:szCs w:val="24"/>
              </w:rPr>
            </w:pPr>
            <w:r w:rsidRPr="009277B8">
              <w:rPr>
                <w:rFonts w:ascii="Times New Roman" w:hAnsi="Times New Roman" w:cs="Times New Roman"/>
                <w:sz w:val="24"/>
                <w:szCs w:val="20"/>
              </w:rPr>
              <w:lastRenderedPageBreak/>
              <w:t xml:space="preserve">Comment </w:t>
            </w:r>
            <w:r w:rsidR="009277B8" w:rsidRPr="009277B8">
              <w:rPr>
                <w:rFonts w:ascii="Times New Roman" w:hAnsi="Times New Roman" w:cs="Times New Roman"/>
                <w:sz w:val="24"/>
                <w:szCs w:val="20"/>
              </w:rPr>
              <w:t>8</w:t>
            </w:r>
          </w:p>
        </w:tc>
        <w:tc>
          <w:tcPr>
            <w:tcW w:w="3510" w:type="dxa"/>
          </w:tcPr>
          <w:p w:rsidR="006A28B1" w:rsidRPr="009277B8" w:rsidRDefault="006A28B1" w:rsidP="0006580D">
            <w:pPr>
              <w:rPr>
                <w:rFonts w:ascii="Times New Roman" w:hAnsi="Times New Roman" w:cs="Times New Roman"/>
                <w:sz w:val="24"/>
                <w:szCs w:val="24"/>
              </w:rPr>
            </w:pPr>
            <w:r w:rsidRPr="009277B8">
              <w:rPr>
                <w:rFonts w:ascii="Times New Roman" w:hAnsi="Times New Roman" w:cs="Times New Roman"/>
                <w:sz w:val="24"/>
                <w:szCs w:val="24"/>
              </w:rPr>
              <w:t>Current Text</w:t>
            </w:r>
          </w:p>
        </w:tc>
        <w:tc>
          <w:tcPr>
            <w:tcW w:w="3780" w:type="dxa"/>
          </w:tcPr>
          <w:p w:rsidR="006A28B1" w:rsidRPr="009277B8" w:rsidRDefault="006A28B1" w:rsidP="0006580D">
            <w:pPr>
              <w:rPr>
                <w:rFonts w:ascii="Times New Roman" w:hAnsi="Times New Roman" w:cs="Times New Roman"/>
                <w:sz w:val="24"/>
                <w:szCs w:val="24"/>
              </w:rPr>
            </w:pPr>
            <w:r w:rsidRPr="009277B8">
              <w:rPr>
                <w:rFonts w:ascii="Times New Roman" w:hAnsi="Times New Roman" w:cs="Times New Roman"/>
                <w:sz w:val="24"/>
                <w:szCs w:val="24"/>
              </w:rPr>
              <w:t>Proposed Text</w:t>
            </w:r>
          </w:p>
        </w:tc>
        <w:tc>
          <w:tcPr>
            <w:tcW w:w="4590" w:type="dxa"/>
          </w:tcPr>
          <w:p w:rsidR="006A28B1" w:rsidRPr="009277B8" w:rsidRDefault="006A28B1" w:rsidP="0006580D">
            <w:pPr>
              <w:rPr>
                <w:rFonts w:ascii="Times New Roman" w:hAnsi="Times New Roman" w:cs="Times New Roman"/>
                <w:sz w:val="24"/>
                <w:szCs w:val="24"/>
              </w:rPr>
            </w:pPr>
            <w:r w:rsidRPr="009277B8">
              <w:rPr>
                <w:rFonts w:ascii="Times New Roman" w:hAnsi="Times New Roman" w:cs="Times New Roman"/>
                <w:sz w:val="24"/>
                <w:szCs w:val="24"/>
              </w:rPr>
              <w:t>Rationale for proposed change</w:t>
            </w:r>
          </w:p>
        </w:tc>
      </w:tr>
      <w:tr w:rsidR="006A28B1" w:rsidRPr="009277B8" w:rsidTr="009277B8">
        <w:trPr>
          <w:cantSplit/>
          <w:trHeight w:val="1070"/>
        </w:trPr>
        <w:tc>
          <w:tcPr>
            <w:tcW w:w="1908" w:type="dxa"/>
          </w:tcPr>
          <w:p w:rsidR="006A28B1" w:rsidRPr="009277B8" w:rsidRDefault="004552C8" w:rsidP="0006580D">
            <w:pPr>
              <w:rPr>
                <w:rFonts w:ascii="Times New Roman" w:hAnsi="Times New Roman" w:cs="Times New Roman"/>
                <w:sz w:val="20"/>
                <w:szCs w:val="20"/>
              </w:rPr>
            </w:pPr>
            <w:r w:rsidRPr="009277B8">
              <w:rPr>
                <w:rFonts w:ascii="Times New Roman" w:hAnsi="Times New Roman" w:cs="Times New Roman"/>
                <w:sz w:val="24"/>
                <w:szCs w:val="24"/>
              </w:rPr>
              <w:t>Regard</w:t>
            </w:r>
            <w:r w:rsidR="00F54911" w:rsidRPr="009277B8">
              <w:rPr>
                <w:rFonts w:ascii="Times New Roman" w:hAnsi="Times New Roman" w:cs="Times New Roman"/>
                <w:sz w:val="24"/>
                <w:szCs w:val="24"/>
              </w:rPr>
              <w:t>ing WAC 480-109-010(4)(a)(iii)(G</w:t>
            </w:r>
            <w:r w:rsidRPr="009277B8">
              <w:rPr>
                <w:rFonts w:ascii="Times New Roman" w:hAnsi="Times New Roman" w:cs="Times New Roman"/>
                <w:sz w:val="24"/>
                <w:szCs w:val="24"/>
              </w:rPr>
              <w:t>)</w:t>
            </w:r>
          </w:p>
        </w:tc>
        <w:tc>
          <w:tcPr>
            <w:tcW w:w="3510" w:type="dxa"/>
          </w:tcPr>
          <w:p w:rsidR="006A28B1" w:rsidRPr="009277B8" w:rsidRDefault="00F54911" w:rsidP="0006580D">
            <w:pPr>
              <w:rPr>
                <w:rFonts w:ascii="Times New Roman" w:hAnsi="Times New Roman" w:cs="Times New Roman"/>
                <w:sz w:val="24"/>
                <w:szCs w:val="24"/>
              </w:rPr>
            </w:pPr>
            <w:r w:rsidRPr="009277B8">
              <w:rPr>
                <w:rFonts w:ascii="Times New Roman" w:hAnsi="Times New Roman" w:cs="Times New Roman"/>
                <w:sz w:val="24"/>
                <w:szCs w:val="24"/>
              </w:rPr>
              <w:t>conducting collaborative technical activities,</w:t>
            </w:r>
          </w:p>
        </w:tc>
        <w:tc>
          <w:tcPr>
            <w:tcW w:w="3780" w:type="dxa"/>
          </w:tcPr>
          <w:p w:rsidR="006A28B1" w:rsidRPr="001C0FEC" w:rsidRDefault="001C0FEC" w:rsidP="00CE33BB">
            <w:pPr>
              <w:rPr>
                <w:rFonts w:ascii="Times New Roman" w:hAnsi="Times New Roman" w:cs="Times New Roman"/>
                <w:strike/>
                <w:sz w:val="24"/>
                <w:szCs w:val="24"/>
              </w:rPr>
            </w:pPr>
            <w:r w:rsidRPr="001C0FEC">
              <w:rPr>
                <w:rFonts w:ascii="Times New Roman" w:hAnsi="Times New Roman" w:cs="Times New Roman"/>
                <w:strike/>
                <w:sz w:val="24"/>
                <w:szCs w:val="24"/>
              </w:rPr>
              <w:t>conducting collaborative technical activities,</w:t>
            </w:r>
          </w:p>
        </w:tc>
        <w:tc>
          <w:tcPr>
            <w:tcW w:w="4590" w:type="dxa"/>
          </w:tcPr>
          <w:p w:rsidR="001B3F39" w:rsidRPr="009277B8" w:rsidRDefault="001B3F39" w:rsidP="001B3F39">
            <w:pPr>
              <w:pStyle w:val="NoSpacing"/>
              <w:rPr>
                <w:rFonts w:ascii="Times New Roman" w:hAnsi="Times New Roman" w:cs="Times New Roman"/>
                <w:sz w:val="24"/>
                <w:szCs w:val="24"/>
              </w:rPr>
            </w:pPr>
            <w:r w:rsidRPr="009277B8">
              <w:rPr>
                <w:rFonts w:ascii="Times New Roman" w:hAnsi="Times New Roman" w:cs="Times New Roman"/>
                <w:sz w:val="24"/>
                <w:szCs w:val="24"/>
              </w:rPr>
              <w:t>This does not provide sufficient guidance for compliance</w:t>
            </w:r>
            <w:r w:rsidR="00B12E23">
              <w:rPr>
                <w:rFonts w:ascii="Times New Roman" w:hAnsi="Times New Roman" w:cs="Times New Roman"/>
                <w:sz w:val="24"/>
                <w:szCs w:val="24"/>
              </w:rPr>
              <w:t>.</w:t>
            </w:r>
          </w:p>
          <w:p w:rsidR="00BC1BC7" w:rsidRPr="009277B8" w:rsidRDefault="00BC1BC7" w:rsidP="0006580D">
            <w:pPr>
              <w:rPr>
                <w:rFonts w:ascii="Times New Roman" w:hAnsi="Times New Roman" w:cs="Times New Roman"/>
                <w:sz w:val="24"/>
                <w:szCs w:val="24"/>
              </w:rPr>
            </w:pPr>
          </w:p>
        </w:tc>
      </w:tr>
    </w:tbl>
    <w:p w:rsidR="00E324A9" w:rsidRPr="009277B8" w:rsidRDefault="00E324A9" w:rsidP="00AD3312">
      <w:pPr>
        <w:rPr>
          <w:rFonts w:ascii="Times New Roman" w:hAnsi="Times New Roman" w:cs="Times New Roman"/>
          <w:sz w:val="24"/>
          <w:szCs w:val="24"/>
        </w:rPr>
      </w:pPr>
    </w:p>
    <w:tbl>
      <w:tblPr>
        <w:tblStyle w:val="TableGrid"/>
        <w:tblW w:w="0" w:type="auto"/>
        <w:tblLook w:val="04A0"/>
      </w:tblPr>
      <w:tblGrid>
        <w:gridCol w:w="1908"/>
        <w:gridCol w:w="3510"/>
        <w:gridCol w:w="3780"/>
        <w:gridCol w:w="4590"/>
      </w:tblGrid>
      <w:tr w:rsidR="00E324A9" w:rsidRPr="009277B8" w:rsidTr="0006580D">
        <w:trPr>
          <w:cantSplit/>
        </w:trPr>
        <w:tc>
          <w:tcPr>
            <w:tcW w:w="1908" w:type="dxa"/>
          </w:tcPr>
          <w:p w:rsidR="00E324A9" w:rsidRPr="009277B8" w:rsidRDefault="00830CC3" w:rsidP="0006580D">
            <w:pPr>
              <w:rPr>
                <w:rFonts w:ascii="Times New Roman" w:hAnsi="Times New Roman" w:cs="Times New Roman"/>
                <w:sz w:val="24"/>
                <w:szCs w:val="24"/>
              </w:rPr>
            </w:pPr>
            <w:r w:rsidRPr="009277B8">
              <w:rPr>
                <w:rFonts w:ascii="Times New Roman" w:hAnsi="Times New Roman" w:cs="Times New Roman"/>
                <w:sz w:val="24"/>
                <w:szCs w:val="24"/>
              </w:rPr>
              <w:t xml:space="preserve">Comment </w:t>
            </w:r>
            <w:r w:rsidR="00856F72" w:rsidRPr="009277B8">
              <w:rPr>
                <w:rFonts w:ascii="Times New Roman" w:hAnsi="Times New Roman" w:cs="Times New Roman"/>
                <w:sz w:val="24"/>
                <w:szCs w:val="24"/>
              </w:rPr>
              <w:t>9</w:t>
            </w:r>
          </w:p>
        </w:tc>
        <w:tc>
          <w:tcPr>
            <w:tcW w:w="3510" w:type="dxa"/>
          </w:tcPr>
          <w:p w:rsidR="00E324A9" w:rsidRPr="009277B8" w:rsidRDefault="00E324A9" w:rsidP="0006580D">
            <w:pPr>
              <w:rPr>
                <w:rFonts w:ascii="Times New Roman" w:hAnsi="Times New Roman" w:cs="Times New Roman"/>
                <w:sz w:val="24"/>
                <w:szCs w:val="24"/>
              </w:rPr>
            </w:pPr>
            <w:r w:rsidRPr="009277B8">
              <w:rPr>
                <w:rFonts w:ascii="Times New Roman" w:hAnsi="Times New Roman" w:cs="Times New Roman"/>
                <w:sz w:val="24"/>
                <w:szCs w:val="24"/>
              </w:rPr>
              <w:t>Current Text</w:t>
            </w:r>
          </w:p>
        </w:tc>
        <w:tc>
          <w:tcPr>
            <w:tcW w:w="3780" w:type="dxa"/>
          </w:tcPr>
          <w:p w:rsidR="00E324A9" w:rsidRPr="009277B8" w:rsidRDefault="00E324A9" w:rsidP="0006580D">
            <w:pPr>
              <w:rPr>
                <w:rFonts w:ascii="Times New Roman" w:hAnsi="Times New Roman" w:cs="Times New Roman"/>
                <w:sz w:val="24"/>
                <w:szCs w:val="24"/>
              </w:rPr>
            </w:pPr>
            <w:r w:rsidRPr="009277B8">
              <w:rPr>
                <w:rFonts w:ascii="Times New Roman" w:hAnsi="Times New Roman" w:cs="Times New Roman"/>
                <w:sz w:val="24"/>
                <w:szCs w:val="24"/>
              </w:rPr>
              <w:t>Proposed Text</w:t>
            </w:r>
          </w:p>
        </w:tc>
        <w:tc>
          <w:tcPr>
            <w:tcW w:w="4590" w:type="dxa"/>
          </w:tcPr>
          <w:p w:rsidR="00E324A9" w:rsidRPr="009277B8" w:rsidRDefault="00E324A9" w:rsidP="0006580D">
            <w:pPr>
              <w:rPr>
                <w:rFonts w:ascii="Times New Roman" w:hAnsi="Times New Roman" w:cs="Times New Roman"/>
                <w:sz w:val="24"/>
                <w:szCs w:val="24"/>
              </w:rPr>
            </w:pPr>
            <w:r w:rsidRPr="009277B8">
              <w:rPr>
                <w:rFonts w:ascii="Times New Roman" w:hAnsi="Times New Roman" w:cs="Times New Roman"/>
                <w:sz w:val="24"/>
                <w:szCs w:val="24"/>
              </w:rPr>
              <w:t>Rationale for proposed change</w:t>
            </w:r>
          </w:p>
        </w:tc>
      </w:tr>
      <w:tr w:rsidR="001B3F39" w:rsidRPr="009277B8" w:rsidTr="009277B8">
        <w:trPr>
          <w:cantSplit/>
          <w:trHeight w:val="2492"/>
        </w:trPr>
        <w:tc>
          <w:tcPr>
            <w:tcW w:w="1908" w:type="dxa"/>
          </w:tcPr>
          <w:p w:rsidR="001B3F39" w:rsidRPr="009277B8" w:rsidRDefault="001B3F39" w:rsidP="0006580D">
            <w:pPr>
              <w:rPr>
                <w:rFonts w:ascii="Times New Roman" w:hAnsi="Times New Roman" w:cs="Times New Roman"/>
                <w:sz w:val="20"/>
                <w:szCs w:val="20"/>
              </w:rPr>
            </w:pPr>
            <w:r w:rsidRPr="009277B8">
              <w:rPr>
                <w:rFonts w:ascii="Times New Roman" w:hAnsi="Times New Roman" w:cs="Times New Roman"/>
                <w:sz w:val="24"/>
                <w:szCs w:val="24"/>
              </w:rPr>
              <w:t>Regarding WAC 480-109-010(4)(a)(iv)</w:t>
            </w:r>
          </w:p>
        </w:tc>
        <w:tc>
          <w:tcPr>
            <w:tcW w:w="3510" w:type="dxa"/>
          </w:tcPr>
          <w:p w:rsidR="001B3F39" w:rsidRPr="009277B8" w:rsidRDefault="001B3F39" w:rsidP="001B3F39">
            <w:pPr>
              <w:autoSpaceDE w:val="0"/>
              <w:autoSpaceDN w:val="0"/>
              <w:adjustRightInd w:val="0"/>
              <w:rPr>
                <w:rFonts w:ascii="Times New Roman" w:hAnsi="Times New Roman" w:cs="Times New Roman"/>
                <w:sz w:val="24"/>
                <w:szCs w:val="24"/>
              </w:rPr>
            </w:pPr>
            <w:r w:rsidRPr="009277B8">
              <w:rPr>
                <w:rFonts w:ascii="Times New Roman" w:hAnsi="Times New Roman" w:cs="Times New Roman"/>
                <w:b/>
                <w:bCs/>
                <w:sz w:val="24"/>
                <w:szCs w:val="24"/>
              </w:rPr>
              <w:t xml:space="preserve">Adaptive management. </w:t>
            </w:r>
            <w:r w:rsidRPr="009277B8">
              <w:rPr>
                <w:rFonts w:ascii="Times New Roman" w:hAnsi="Times New Roman" w:cs="Times New Roman"/>
                <w:sz w:val="24"/>
                <w:szCs w:val="24"/>
              </w:rPr>
              <w:t>Continuously manage the conservation portfolio to adapt to</w:t>
            </w:r>
          </w:p>
          <w:p w:rsidR="001B3F39" w:rsidRPr="009277B8" w:rsidRDefault="001B3F39" w:rsidP="001B3F39">
            <w:pPr>
              <w:autoSpaceDE w:val="0"/>
              <w:autoSpaceDN w:val="0"/>
              <w:adjustRightInd w:val="0"/>
              <w:rPr>
                <w:rFonts w:ascii="Times New Roman" w:hAnsi="Times New Roman" w:cs="Times New Roman"/>
                <w:sz w:val="24"/>
                <w:szCs w:val="24"/>
              </w:rPr>
            </w:pPr>
            <w:proofErr w:type="gramStart"/>
            <w:r w:rsidRPr="009277B8">
              <w:rPr>
                <w:rFonts w:ascii="Times New Roman" w:hAnsi="Times New Roman" w:cs="Times New Roman"/>
                <w:sz w:val="24"/>
                <w:szCs w:val="24"/>
              </w:rPr>
              <w:t>changing</w:t>
            </w:r>
            <w:proofErr w:type="gramEnd"/>
            <w:r w:rsidRPr="009277B8">
              <w:rPr>
                <w:rFonts w:ascii="Times New Roman" w:hAnsi="Times New Roman" w:cs="Times New Roman"/>
                <w:sz w:val="24"/>
                <w:szCs w:val="24"/>
              </w:rPr>
              <w:t xml:space="preserve"> market conditions and developing technologies, as well as, performing research regarding emerging conservation technologies.</w:t>
            </w:r>
          </w:p>
        </w:tc>
        <w:tc>
          <w:tcPr>
            <w:tcW w:w="3780" w:type="dxa"/>
          </w:tcPr>
          <w:p w:rsidR="001B3F39" w:rsidRPr="009277B8" w:rsidRDefault="001B3F39" w:rsidP="001B3F39">
            <w:pPr>
              <w:autoSpaceDE w:val="0"/>
              <w:autoSpaceDN w:val="0"/>
              <w:adjustRightInd w:val="0"/>
              <w:rPr>
                <w:rFonts w:ascii="Times New Roman" w:hAnsi="Times New Roman" w:cs="Times New Roman"/>
                <w:sz w:val="24"/>
                <w:szCs w:val="24"/>
              </w:rPr>
            </w:pPr>
            <w:r w:rsidRPr="009277B8">
              <w:rPr>
                <w:rFonts w:ascii="Times New Roman" w:hAnsi="Times New Roman" w:cs="Times New Roman"/>
                <w:b/>
                <w:bCs/>
                <w:sz w:val="24"/>
                <w:szCs w:val="24"/>
              </w:rPr>
              <w:t xml:space="preserve">Adaptive management. </w:t>
            </w:r>
            <w:r w:rsidRPr="009277B8">
              <w:rPr>
                <w:rFonts w:ascii="Times New Roman" w:hAnsi="Times New Roman" w:cs="Times New Roman"/>
                <w:sz w:val="24"/>
                <w:szCs w:val="24"/>
              </w:rPr>
              <w:t>Continuously manage the conservation portfolio to adapt to</w:t>
            </w:r>
          </w:p>
          <w:p w:rsidR="001B3F39" w:rsidRPr="009277B8" w:rsidRDefault="001B3F39" w:rsidP="001B3F39">
            <w:pPr>
              <w:autoSpaceDE w:val="0"/>
              <w:autoSpaceDN w:val="0"/>
              <w:adjustRightInd w:val="0"/>
              <w:rPr>
                <w:rFonts w:ascii="Times New Roman" w:hAnsi="Times New Roman" w:cs="Times New Roman"/>
                <w:sz w:val="24"/>
                <w:szCs w:val="24"/>
              </w:rPr>
            </w:pPr>
            <w:proofErr w:type="gramStart"/>
            <w:r w:rsidRPr="009277B8">
              <w:rPr>
                <w:rFonts w:ascii="Times New Roman" w:hAnsi="Times New Roman" w:cs="Times New Roman"/>
                <w:sz w:val="24"/>
                <w:szCs w:val="24"/>
              </w:rPr>
              <w:t>changing</w:t>
            </w:r>
            <w:proofErr w:type="gramEnd"/>
            <w:r w:rsidRPr="009277B8">
              <w:rPr>
                <w:rFonts w:ascii="Times New Roman" w:hAnsi="Times New Roman" w:cs="Times New Roman"/>
                <w:sz w:val="24"/>
                <w:szCs w:val="24"/>
              </w:rPr>
              <w:t xml:space="preserve"> market conditions and developing technologies, as well as, performing research regarding emerging conservation technologies </w:t>
            </w:r>
            <w:r w:rsidRPr="00BD7727">
              <w:rPr>
                <w:rFonts w:ascii="Times New Roman" w:hAnsi="Times New Roman" w:cs="Times New Roman"/>
                <w:color w:val="FF0000"/>
                <w:sz w:val="24"/>
                <w:szCs w:val="24"/>
                <w:u w:val="single"/>
              </w:rPr>
              <w:t>or in association with others</w:t>
            </w:r>
            <w:r w:rsidR="00CA701C" w:rsidRPr="00BD7727">
              <w:rPr>
                <w:rFonts w:ascii="Times New Roman" w:hAnsi="Times New Roman" w:cs="Times New Roman"/>
                <w:color w:val="FF0000"/>
                <w:sz w:val="24"/>
                <w:szCs w:val="24"/>
                <w:u w:val="single"/>
              </w:rPr>
              <w:t>.</w:t>
            </w:r>
          </w:p>
        </w:tc>
        <w:tc>
          <w:tcPr>
            <w:tcW w:w="4590" w:type="dxa"/>
          </w:tcPr>
          <w:p w:rsidR="001B3F39" w:rsidRPr="009277B8" w:rsidRDefault="001B3F39" w:rsidP="0006580D">
            <w:pPr>
              <w:rPr>
                <w:rFonts w:ascii="Times New Roman" w:hAnsi="Times New Roman" w:cs="Times New Roman"/>
                <w:sz w:val="24"/>
                <w:szCs w:val="24"/>
              </w:rPr>
            </w:pPr>
            <w:r w:rsidRPr="009277B8">
              <w:rPr>
                <w:rFonts w:ascii="Times New Roman" w:hAnsi="Times New Roman" w:cs="Times New Roman"/>
                <w:sz w:val="24"/>
                <w:szCs w:val="24"/>
              </w:rPr>
              <w:t>The purpose of these edits is to reduce redundancy and higher costs</w:t>
            </w:r>
            <w:r w:rsidR="00B12E23">
              <w:rPr>
                <w:rFonts w:ascii="Times New Roman" w:hAnsi="Times New Roman" w:cs="Times New Roman"/>
                <w:sz w:val="24"/>
                <w:szCs w:val="24"/>
              </w:rPr>
              <w:t>.</w:t>
            </w:r>
          </w:p>
          <w:p w:rsidR="001B3F39" w:rsidRPr="009277B8" w:rsidRDefault="001B3F39" w:rsidP="00225546">
            <w:pPr>
              <w:rPr>
                <w:rFonts w:ascii="Times New Roman" w:hAnsi="Times New Roman" w:cs="Times New Roman"/>
                <w:sz w:val="20"/>
                <w:szCs w:val="20"/>
              </w:rPr>
            </w:pPr>
          </w:p>
        </w:tc>
      </w:tr>
    </w:tbl>
    <w:p w:rsidR="00C13EC3" w:rsidRPr="009277B8" w:rsidRDefault="00C13EC3" w:rsidP="00E324A9">
      <w:pPr>
        <w:rPr>
          <w:rFonts w:ascii="Times New Roman" w:hAnsi="Times New Roman" w:cs="Times New Roman"/>
          <w:sz w:val="24"/>
          <w:szCs w:val="24"/>
        </w:rPr>
      </w:pPr>
    </w:p>
    <w:tbl>
      <w:tblPr>
        <w:tblStyle w:val="TableGrid"/>
        <w:tblW w:w="0" w:type="auto"/>
        <w:tblLook w:val="04A0"/>
      </w:tblPr>
      <w:tblGrid>
        <w:gridCol w:w="1908"/>
        <w:gridCol w:w="3510"/>
        <w:gridCol w:w="3780"/>
        <w:gridCol w:w="4590"/>
      </w:tblGrid>
      <w:tr w:rsidR="00167112" w:rsidRPr="009277B8" w:rsidTr="0006580D">
        <w:trPr>
          <w:cantSplit/>
        </w:trPr>
        <w:tc>
          <w:tcPr>
            <w:tcW w:w="1908" w:type="dxa"/>
          </w:tcPr>
          <w:p w:rsidR="00167112" w:rsidRPr="009277B8" w:rsidRDefault="00AA772D" w:rsidP="0006580D">
            <w:pPr>
              <w:rPr>
                <w:rFonts w:ascii="Times New Roman" w:hAnsi="Times New Roman" w:cs="Times New Roman"/>
                <w:sz w:val="24"/>
                <w:szCs w:val="24"/>
              </w:rPr>
            </w:pPr>
            <w:r w:rsidRPr="009277B8">
              <w:rPr>
                <w:rFonts w:ascii="Times New Roman" w:hAnsi="Times New Roman" w:cs="Times New Roman"/>
                <w:sz w:val="24"/>
                <w:szCs w:val="24"/>
              </w:rPr>
              <w:t>Comment 1</w:t>
            </w:r>
            <w:r w:rsidR="00856F72" w:rsidRPr="009277B8">
              <w:rPr>
                <w:rFonts w:ascii="Times New Roman" w:hAnsi="Times New Roman" w:cs="Times New Roman"/>
                <w:sz w:val="24"/>
                <w:szCs w:val="24"/>
              </w:rPr>
              <w:t>0</w:t>
            </w:r>
          </w:p>
        </w:tc>
        <w:tc>
          <w:tcPr>
            <w:tcW w:w="3510" w:type="dxa"/>
          </w:tcPr>
          <w:p w:rsidR="00167112" w:rsidRPr="009277B8" w:rsidRDefault="00167112" w:rsidP="0006580D">
            <w:pPr>
              <w:rPr>
                <w:rFonts w:ascii="Times New Roman" w:hAnsi="Times New Roman" w:cs="Times New Roman"/>
                <w:sz w:val="24"/>
                <w:szCs w:val="24"/>
              </w:rPr>
            </w:pPr>
            <w:r w:rsidRPr="009277B8">
              <w:rPr>
                <w:rFonts w:ascii="Times New Roman" w:hAnsi="Times New Roman" w:cs="Times New Roman"/>
                <w:sz w:val="24"/>
                <w:szCs w:val="24"/>
              </w:rPr>
              <w:t>Current Text</w:t>
            </w:r>
          </w:p>
        </w:tc>
        <w:tc>
          <w:tcPr>
            <w:tcW w:w="3780" w:type="dxa"/>
          </w:tcPr>
          <w:p w:rsidR="00167112" w:rsidRPr="009277B8" w:rsidRDefault="00167112" w:rsidP="0006580D">
            <w:pPr>
              <w:rPr>
                <w:rFonts w:ascii="Times New Roman" w:hAnsi="Times New Roman" w:cs="Times New Roman"/>
                <w:sz w:val="24"/>
                <w:szCs w:val="24"/>
              </w:rPr>
            </w:pPr>
            <w:r w:rsidRPr="009277B8">
              <w:rPr>
                <w:rFonts w:ascii="Times New Roman" w:hAnsi="Times New Roman" w:cs="Times New Roman"/>
                <w:sz w:val="24"/>
                <w:szCs w:val="24"/>
              </w:rPr>
              <w:t>Proposed Text</w:t>
            </w:r>
          </w:p>
        </w:tc>
        <w:tc>
          <w:tcPr>
            <w:tcW w:w="4590" w:type="dxa"/>
          </w:tcPr>
          <w:p w:rsidR="00167112" w:rsidRPr="009277B8" w:rsidRDefault="00167112" w:rsidP="0006580D">
            <w:pPr>
              <w:rPr>
                <w:rFonts w:ascii="Times New Roman" w:hAnsi="Times New Roman" w:cs="Times New Roman"/>
                <w:sz w:val="24"/>
                <w:szCs w:val="24"/>
              </w:rPr>
            </w:pPr>
            <w:r w:rsidRPr="009277B8">
              <w:rPr>
                <w:rFonts w:ascii="Times New Roman" w:hAnsi="Times New Roman" w:cs="Times New Roman"/>
                <w:sz w:val="24"/>
                <w:szCs w:val="24"/>
              </w:rPr>
              <w:t>Rationale for proposed change</w:t>
            </w:r>
          </w:p>
        </w:tc>
      </w:tr>
      <w:tr w:rsidR="00167112" w:rsidRPr="009277B8" w:rsidTr="009277B8">
        <w:trPr>
          <w:cantSplit/>
          <w:trHeight w:val="1313"/>
        </w:trPr>
        <w:tc>
          <w:tcPr>
            <w:tcW w:w="1908" w:type="dxa"/>
          </w:tcPr>
          <w:p w:rsidR="00167112" w:rsidRPr="009277B8" w:rsidRDefault="001B3F39" w:rsidP="0006580D">
            <w:pPr>
              <w:rPr>
                <w:rFonts w:ascii="Times New Roman" w:hAnsi="Times New Roman" w:cs="Times New Roman"/>
                <w:sz w:val="20"/>
                <w:szCs w:val="20"/>
              </w:rPr>
            </w:pPr>
            <w:r w:rsidRPr="009277B8">
              <w:rPr>
                <w:rFonts w:ascii="Times New Roman" w:hAnsi="Times New Roman" w:cs="Times New Roman"/>
                <w:sz w:val="24"/>
                <w:szCs w:val="24"/>
              </w:rPr>
              <w:t>Regarding WAC 480-109-010(4)(b)(iii)</w:t>
            </w:r>
          </w:p>
        </w:tc>
        <w:tc>
          <w:tcPr>
            <w:tcW w:w="3510" w:type="dxa"/>
          </w:tcPr>
          <w:p w:rsidR="00167112" w:rsidRPr="009277B8" w:rsidRDefault="001B3F39" w:rsidP="0006580D">
            <w:pPr>
              <w:rPr>
                <w:rFonts w:ascii="Times New Roman" w:hAnsi="Times New Roman" w:cs="Times New Roman"/>
                <w:sz w:val="24"/>
                <w:szCs w:val="24"/>
              </w:rPr>
            </w:pPr>
            <w:r w:rsidRPr="009277B8">
              <w:rPr>
                <w:rFonts w:ascii="Times New Roman" w:hAnsi="Times New Roman" w:cs="Times New Roman"/>
                <w:sz w:val="24"/>
                <w:szCs w:val="24"/>
              </w:rPr>
              <w:t>code enforcement,</w:t>
            </w:r>
          </w:p>
        </w:tc>
        <w:tc>
          <w:tcPr>
            <w:tcW w:w="3780" w:type="dxa"/>
          </w:tcPr>
          <w:p w:rsidR="001B3F39" w:rsidRPr="009277B8" w:rsidRDefault="001B3F39" w:rsidP="001B3F39">
            <w:pPr>
              <w:pStyle w:val="NoSpacing"/>
              <w:rPr>
                <w:rFonts w:ascii="Times New Roman" w:hAnsi="Times New Roman" w:cs="Times New Roman"/>
                <w:sz w:val="24"/>
                <w:szCs w:val="24"/>
              </w:rPr>
            </w:pPr>
            <w:proofErr w:type="gramStart"/>
            <w:r w:rsidRPr="009277B8">
              <w:rPr>
                <w:rFonts w:ascii="Times New Roman" w:hAnsi="Times New Roman" w:cs="Times New Roman"/>
                <w:sz w:val="24"/>
                <w:szCs w:val="24"/>
              </w:rPr>
              <w:t>code</w:t>
            </w:r>
            <w:proofErr w:type="gramEnd"/>
            <w:r w:rsidRPr="009277B8">
              <w:rPr>
                <w:rFonts w:ascii="Times New Roman" w:hAnsi="Times New Roman" w:cs="Times New Roman"/>
                <w:sz w:val="24"/>
                <w:szCs w:val="24"/>
              </w:rPr>
              <w:t xml:space="preserve"> enforcement, </w:t>
            </w:r>
            <w:r w:rsidRPr="00BD7727">
              <w:rPr>
                <w:rFonts w:ascii="Times New Roman" w:hAnsi="Times New Roman" w:cs="Times New Roman"/>
                <w:color w:val="FF0000"/>
                <w:sz w:val="24"/>
                <w:szCs w:val="24"/>
                <w:u w:val="single"/>
              </w:rPr>
              <w:t>with costs excepted from cost-effectiveness tests</w:t>
            </w:r>
            <w:r w:rsidR="003F4CD8">
              <w:rPr>
                <w:rFonts w:ascii="Times New Roman" w:hAnsi="Times New Roman" w:cs="Times New Roman"/>
                <w:color w:val="FF0000"/>
                <w:sz w:val="24"/>
                <w:szCs w:val="24"/>
                <w:u w:val="single"/>
              </w:rPr>
              <w:t>.</w:t>
            </w:r>
          </w:p>
          <w:p w:rsidR="00167112" w:rsidRPr="009277B8" w:rsidRDefault="00167112" w:rsidP="00167112">
            <w:pPr>
              <w:rPr>
                <w:rFonts w:ascii="Times New Roman" w:hAnsi="Times New Roman" w:cs="Times New Roman"/>
                <w:sz w:val="24"/>
                <w:szCs w:val="24"/>
              </w:rPr>
            </w:pPr>
          </w:p>
        </w:tc>
        <w:tc>
          <w:tcPr>
            <w:tcW w:w="4590" w:type="dxa"/>
          </w:tcPr>
          <w:p w:rsidR="00BC1BC7" w:rsidRPr="009277B8" w:rsidRDefault="001B3F39" w:rsidP="0006580D">
            <w:pPr>
              <w:rPr>
                <w:rFonts w:ascii="Times New Roman" w:hAnsi="Times New Roman" w:cs="Times New Roman"/>
                <w:sz w:val="24"/>
                <w:szCs w:val="24"/>
              </w:rPr>
            </w:pPr>
            <w:r w:rsidRPr="009277B8">
              <w:rPr>
                <w:rFonts w:ascii="Times New Roman" w:hAnsi="Times New Roman" w:cs="Times New Roman"/>
                <w:sz w:val="24"/>
                <w:szCs w:val="24"/>
              </w:rPr>
              <w:t xml:space="preserve">Phrase as permissive (not mandatory) and recognize these costs should not be included in the </w:t>
            </w:r>
            <w:r w:rsidR="009060BA" w:rsidRPr="009277B8">
              <w:rPr>
                <w:rFonts w:ascii="Times New Roman" w:hAnsi="Times New Roman" w:cs="Times New Roman"/>
                <w:sz w:val="24"/>
                <w:szCs w:val="24"/>
              </w:rPr>
              <w:t>cost-benefit analyses.</w:t>
            </w:r>
          </w:p>
        </w:tc>
      </w:tr>
    </w:tbl>
    <w:p w:rsidR="005917EC" w:rsidRPr="009277B8" w:rsidRDefault="005917EC" w:rsidP="00EA2EA9">
      <w:pPr>
        <w:rPr>
          <w:rFonts w:ascii="Times New Roman" w:hAnsi="Times New Roman" w:cs="Times New Roman"/>
          <w:sz w:val="24"/>
          <w:szCs w:val="24"/>
        </w:rPr>
      </w:pPr>
    </w:p>
    <w:tbl>
      <w:tblPr>
        <w:tblStyle w:val="TableGrid"/>
        <w:tblW w:w="0" w:type="auto"/>
        <w:tblLook w:val="04A0"/>
      </w:tblPr>
      <w:tblGrid>
        <w:gridCol w:w="1908"/>
        <w:gridCol w:w="3510"/>
        <w:gridCol w:w="3780"/>
        <w:gridCol w:w="4590"/>
      </w:tblGrid>
      <w:tr w:rsidR="00EA2EA9" w:rsidRPr="009277B8" w:rsidTr="00242C3B">
        <w:trPr>
          <w:cantSplit/>
        </w:trPr>
        <w:tc>
          <w:tcPr>
            <w:tcW w:w="1908" w:type="dxa"/>
          </w:tcPr>
          <w:p w:rsidR="00EA2EA9" w:rsidRPr="009277B8" w:rsidRDefault="00AA772D" w:rsidP="00242C3B">
            <w:pPr>
              <w:rPr>
                <w:rFonts w:ascii="Times New Roman" w:hAnsi="Times New Roman" w:cs="Times New Roman"/>
                <w:sz w:val="24"/>
                <w:szCs w:val="24"/>
              </w:rPr>
            </w:pPr>
            <w:r w:rsidRPr="009277B8">
              <w:rPr>
                <w:rFonts w:ascii="Times New Roman" w:hAnsi="Times New Roman" w:cs="Times New Roman"/>
                <w:sz w:val="24"/>
                <w:szCs w:val="24"/>
              </w:rPr>
              <w:t>Comment 1</w:t>
            </w:r>
            <w:r w:rsidR="00856F72" w:rsidRPr="009277B8">
              <w:rPr>
                <w:rFonts w:ascii="Times New Roman" w:hAnsi="Times New Roman" w:cs="Times New Roman"/>
                <w:sz w:val="24"/>
                <w:szCs w:val="24"/>
              </w:rPr>
              <w:t>1</w:t>
            </w:r>
          </w:p>
        </w:tc>
        <w:tc>
          <w:tcPr>
            <w:tcW w:w="3510" w:type="dxa"/>
          </w:tcPr>
          <w:p w:rsidR="00EA2EA9" w:rsidRPr="009277B8" w:rsidRDefault="00EA2EA9" w:rsidP="00242C3B">
            <w:pPr>
              <w:rPr>
                <w:rFonts w:ascii="Times New Roman" w:hAnsi="Times New Roman" w:cs="Times New Roman"/>
                <w:sz w:val="24"/>
                <w:szCs w:val="24"/>
              </w:rPr>
            </w:pPr>
            <w:r w:rsidRPr="009277B8">
              <w:rPr>
                <w:rFonts w:ascii="Times New Roman" w:hAnsi="Times New Roman" w:cs="Times New Roman"/>
                <w:sz w:val="24"/>
                <w:szCs w:val="24"/>
              </w:rPr>
              <w:t>Current Text</w:t>
            </w:r>
          </w:p>
        </w:tc>
        <w:tc>
          <w:tcPr>
            <w:tcW w:w="3780" w:type="dxa"/>
          </w:tcPr>
          <w:p w:rsidR="00EA2EA9" w:rsidRPr="009277B8" w:rsidRDefault="00EA2EA9" w:rsidP="00242C3B">
            <w:pPr>
              <w:rPr>
                <w:rFonts w:ascii="Times New Roman" w:hAnsi="Times New Roman" w:cs="Times New Roman"/>
                <w:sz w:val="24"/>
                <w:szCs w:val="24"/>
              </w:rPr>
            </w:pPr>
            <w:r w:rsidRPr="009277B8">
              <w:rPr>
                <w:rFonts w:ascii="Times New Roman" w:hAnsi="Times New Roman" w:cs="Times New Roman"/>
                <w:sz w:val="24"/>
                <w:szCs w:val="24"/>
              </w:rPr>
              <w:t>Proposed Text</w:t>
            </w:r>
          </w:p>
        </w:tc>
        <w:tc>
          <w:tcPr>
            <w:tcW w:w="4590" w:type="dxa"/>
          </w:tcPr>
          <w:p w:rsidR="00EA2EA9" w:rsidRPr="009277B8" w:rsidRDefault="00EA2EA9" w:rsidP="00242C3B">
            <w:pPr>
              <w:rPr>
                <w:rFonts w:ascii="Times New Roman" w:hAnsi="Times New Roman" w:cs="Times New Roman"/>
                <w:sz w:val="24"/>
                <w:szCs w:val="24"/>
              </w:rPr>
            </w:pPr>
            <w:r w:rsidRPr="009277B8">
              <w:rPr>
                <w:rFonts w:ascii="Times New Roman" w:hAnsi="Times New Roman" w:cs="Times New Roman"/>
                <w:sz w:val="24"/>
                <w:szCs w:val="24"/>
              </w:rPr>
              <w:t>Rationale for proposed change</w:t>
            </w:r>
          </w:p>
        </w:tc>
      </w:tr>
      <w:tr w:rsidR="00EA2EA9" w:rsidRPr="009277B8" w:rsidTr="009277B8">
        <w:trPr>
          <w:cantSplit/>
          <w:trHeight w:val="2672"/>
        </w:trPr>
        <w:tc>
          <w:tcPr>
            <w:tcW w:w="1908" w:type="dxa"/>
          </w:tcPr>
          <w:p w:rsidR="00520CAC" w:rsidRPr="009277B8" w:rsidRDefault="008043E4" w:rsidP="00242C3B">
            <w:pPr>
              <w:rPr>
                <w:rFonts w:ascii="Times New Roman" w:hAnsi="Times New Roman" w:cs="Times New Roman"/>
                <w:sz w:val="20"/>
                <w:szCs w:val="20"/>
              </w:rPr>
            </w:pPr>
            <w:r w:rsidRPr="009277B8">
              <w:rPr>
                <w:rFonts w:ascii="Times New Roman" w:hAnsi="Times New Roman" w:cs="Times New Roman"/>
                <w:sz w:val="24"/>
                <w:szCs w:val="24"/>
              </w:rPr>
              <w:t>Regarding WAC 480-109-010(6)</w:t>
            </w:r>
          </w:p>
        </w:tc>
        <w:tc>
          <w:tcPr>
            <w:tcW w:w="3510" w:type="dxa"/>
          </w:tcPr>
          <w:p w:rsidR="00EA2EA9" w:rsidRPr="009277B8" w:rsidRDefault="008043E4" w:rsidP="008043E4">
            <w:pPr>
              <w:autoSpaceDE w:val="0"/>
              <w:autoSpaceDN w:val="0"/>
              <w:adjustRightInd w:val="0"/>
              <w:rPr>
                <w:rFonts w:ascii="Times New Roman" w:hAnsi="Times New Roman" w:cs="Times New Roman"/>
                <w:sz w:val="24"/>
                <w:szCs w:val="24"/>
              </w:rPr>
            </w:pPr>
            <w:r w:rsidRPr="009277B8">
              <w:rPr>
                <w:rFonts w:ascii="Times New Roman" w:hAnsi="Times New Roman" w:cs="Times New Roman"/>
                <w:b/>
                <w:bCs/>
                <w:sz w:val="24"/>
                <w:szCs w:val="24"/>
              </w:rPr>
              <w:t xml:space="preserve">Energy savings. </w:t>
            </w:r>
            <w:r w:rsidRPr="009277B8">
              <w:rPr>
                <w:rFonts w:ascii="Times New Roman" w:hAnsi="Times New Roman" w:cs="Times New Roman"/>
                <w:sz w:val="24"/>
                <w:szCs w:val="24"/>
              </w:rPr>
              <w:t xml:space="preserve">A utility must use unit energy savings values and protocols approved by the Regional Technical </w:t>
            </w:r>
            <w:proofErr w:type="gramStart"/>
            <w:r w:rsidRPr="009277B8">
              <w:rPr>
                <w:rFonts w:ascii="Times New Roman" w:hAnsi="Times New Roman" w:cs="Times New Roman"/>
                <w:sz w:val="24"/>
                <w:szCs w:val="24"/>
              </w:rPr>
              <w:t>Forum,</w:t>
            </w:r>
            <w:proofErr w:type="gramEnd"/>
            <w:r w:rsidRPr="009277B8">
              <w:rPr>
                <w:rFonts w:ascii="Times New Roman" w:hAnsi="Times New Roman" w:cs="Times New Roman"/>
                <w:sz w:val="24"/>
                <w:szCs w:val="24"/>
              </w:rPr>
              <w:t xml:space="preserve"> unless the utility documents that a specific unit energy savings value or protocol is more appropriate for its service territory.</w:t>
            </w:r>
          </w:p>
        </w:tc>
        <w:tc>
          <w:tcPr>
            <w:tcW w:w="3780" w:type="dxa"/>
          </w:tcPr>
          <w:p w:rsidR="00EA2EA9" w:rsidRPr="009277B8" w:rsidRDefault="008043E4" w:rsidP="008043E4">
            <w:pPr>
              <w:autoSpaceDE w:val="0"/>
              <w:autoSpaceDN w:val="0"/>
              <w:adjustRightInd w:val="0"/>
              <w:rPr>
                <w:rFonts w:ascii="Times New Roman" w:hAnsi="Times New Roman" w:cs="Times New Roman"/>
                <w:sz w:val="24"/>
                <w:szCs w:val="24"/>
                <w:u w:val="single"/>
              </w:rPr>
            </w:pPr>
            <w:r w:rsidRPr="009277B8">
              <w:rPr>
                <w:rFonts w:ascii="Times New Roman" w:hAnsi="Times New Roman" w:cs="Times New Roman"/>
                <w:b/>
                <w:bCs/>
                <w:sz w:val="24"/>
                <w:szCs w:val="24"/>
              </w:rPr>
              <w:t xml:space="preserve">Energy savings. </w:t>
            </w:r>
            <w:r w:rsidRPr="009277B8">
              <w:rPr>
                <w:rFonts w:ascii="Times New Roman" w:hAnsi="Times New Roman" w:cs="Times New Roman"/>
                <w:sz w:val="24"/>
                <w:szCs w:val="24"/>
              </w:rPr>
              <w:t xml:space="preserve">A utility must use unit energy savings values and protocols approved by the Regional Technical Forum, unless the utility documents that a specific unit energy savings value or protocol is more appropriate for its service territory </w:t>
            </w:r>
            <w:r w:rsidRPr="00BD7727">
              <w:rPr>
                <w:rFonts w:ascii="Times New Roman" w:hAnsi="Times New Roman" w:cs="Times New Roman"/>
                <w:color w:val="FF0000"/>
                <w:sz w:val="24"/>
                <w:szCs w:val="24"/>
                <w:u w:val="single"/>
              </w:rPr>
              <w:t>or unless RTF UES or derivative values do not exist</w:t>
            </w:r>
            <w:r w:rsidR="003F4CD8">
              <w:rPr>
                <w:rFonts w:ascii="Times New Roman" w:hAnsi="Times New Roman" w:cs="Times New Roman"/>
                <w:color w:val="FF0000"/>
                <w:sz w:val="24"/>
                <w:szCs w:val="24"/>
                <w:u w:val="single"/>
              </w:rPr>
              <w:t>.</w:t>
            </w:r>
          </w:p>
        </w:tc>
        <w:tc>
          <w:tcPr>
            <w:tcW w:w="4590" w:type="dxa"/>
          </w:tcPr>
          <w:p w:rsidR="00EA2EA9" w:rsidRPr="009277B8" w:rsidRDefault="008043E4" w:rsidP="008043E4">
            <w:pPr>
              <w:rPr>
                <w:rFonts w:ascii="Times New Roman" w:hAnsi="Times New Roman" w:cs="Times New Roman"/>
                <w:sz w:val="24"/>
                <w:szCs w:val="24"/>
              </w:rPr>
            </w:pPr>
            <w:r w:rsidRPr="009277B8">
              <w:rPr>
                <w:rFonts w:ascii="Times New Roman" w:hAnsi="Times New Roman" w:cs="Times New Roman"/>
                <w:sz w:val="24"/>
                <w:szCs w:val="24"/>
              </w:rPr>
              <w:t>Not all measures have UES</w:t>
            </w:r>
            <w:r w:rsidR="005917EC" w:rsidRPr="009277B8">
              <w:rPr>
                <w:rFonts w:ascii="Times New Roman" w:hAnsi="Times New Roman" w:cs="Times New Roman"/>
                <w:sz w:val="24"/>
                <w:szCs w:val="24"/>
              </w:rPr>
              <w:t>’s</w:t>
            </w:r>
            <w:r w:rsidRPr="009277B8">
              <w:rPr>
                <w:rFonts w:ascii="Times New Roman" w:hAnsi="Times New Roman" w:cs="Times New Roman"/>
                <w:sz w:val="24"/>
                <w:szCs w:val="24"/>
              </w:rPr>
              <w:t xml:space="preserve"> developed by the RTF.</w:t>
            </w:r>
          </w:p>
        </w:tc>
      </w:tr>
    </w:tbl>
    <w:p w:rsidR="00EA2EA9" w:rsidRPr="009277B8" w:rsidRDefault="00EA2EA9" w:rsidP="00EA2EA9">
      <w:pPr>
        <w:rPr>
          <w:rFonts w:ascii="Times New Roman" w:hAnsi="Times New Roman" w:cs="Times New Roman"/>
          <w:sz w:val="24"/>
          <w:szCs w:val="24"/>
        </w:rPr>
      </w:pPr>
    </w:p>
    <w:p w:rsidR="00FF7EAF" w:rsidRDefault="00FF7EAF" w:rsidP="00167112">
      <w:pPr>
        <w:rPr>
          <w:rFonts w:ascii="Times New Roman" w:hAnsi="Times New Roman" w:cs="Times New Roman"/>
          <w:sz w:val="24"/>
          <w:szCs w:val="24"/>
        </w:rPr>
      </w:pPr>
    </w:p>
    <w:tbl>
      <w:tblPr>
        <w:tblStyle w:val="TableGrid"/>
        <w:tblW w:w="0" w:type="auto"/>
        <w:tblLook w:val="04A0"/>
      </w:tblPr>
      <w:tblGrid>
        <w:gridCol w:w="1908"/>
        <w:gridCol w:w="3510"/>
        <w:gridCol w:w="3780"/>
        <w:gridCol w:w="4590"/>
      </w:tblGrid>
      <w:tr w:rsidR="00167112" w:rsidRPr="009277B8" w:rsidTr="0006580D">
        <w:trPr>
          <w:cantSplit/>
        </w:trPr>
        <w:tc>
          <w:tcPr>
            <w:tcW w:w="1908" w:type="dxa"/>
          </w:tcPr>
          <w:p w:rsidR="00167112" w:rsidRPr="009277B8" w:rsidRDefault="00856F72" w:rsidP="0006580D">
            <w:pPr>
              <w:rPr>
                <w:rFonts w:ascii="Times New Roman" w:hAnsi="Times New Roman" w:cs="Times New Roman"/>
                <w:sz w:val="24"/>
                <w:szCs w:val="24"/>
              </w:rPr>
            </w:pPr>
            <w:r w:rsidRPr="009277B8">
              <w:rPr>
                <w:rFonts w:ascii="Times New Roman" w:hAnsi="Times New Roman" w:cs="Times New Roman"/>
                <w:sz w:val="24"/>
                <w:szCs w:val="24"/>
              </w:rPr>
              <w:lastRenderedPageBreak/>
              <w:t>Comment 12</w:t>
            </w:r>
            <w:r w:rsidR="00167112" w:rsidRPr="009277B8">
              <w:rPr>
                <w:rFonts w:ascii="Times New Roman" w:hAnsi="Times New Roman" w:cs="Times New Roman"/>
                <w:sz w:val="24"/>
                <w:szCs w:val="24"/>
              </w:rPr>
              <w:t xml:space="preserve"> </w:t>
            </w:r>
          </w:p>
        </w:tc>
        <w:tc>
          <w:tcPr>
            <w:tcW w:w="3510" w:type="dxa"/>
          </w:tcPr>
          <w:p w:rsidR="00167112" w:rsidRPr="009277B8" w:rsidRDefault="00167112" w:rsidP="0006580D">
            <w:pPr>
              <w:rPr>
                <w:rFonts w:ascii="Times New Roman" w:hAnsi="Times New Roman" w:cs="Times New Roman"/>
                <w:sz w:val="24"/>
                <w:szCs w:val="24"/>
              </w:rPr>
            </w:pPr>
            <w:r w:rsidRPr="009277B8">
              <w:rPr>
                <w:rFonts w:ascii="Times New Roman" w:hAnsi="Times New Roman" w:cs="Times New Roman"/>
                <w:sz w:val="24"/>
                <w:szCs w:val="24"/>
              </w:rPr>
              <w:t>Current Text</w:t>
            </w:r>
          </w:p>
        </w:tc>
        <w:tc>
          <w:tcPr>
            <w:tcW w:w="3780" w:type="dxa"/>
          </w:tcPr>
          <w:p w:rsidR="00167112" w:rsidRPr="009277B8" w:rsidRDefault="00167112" w:rsidP="0006580D">
            <w:pPr>
              <w:rPr>
                <w:rFonts w:ascii="Times New Roman" w:hAnsi="Times New Roman" w:cs="Times New Roman"/>
                <w:sz w:val="24"/>
                <w:szCs w:val="24"/>
              </w:rPr>
            </w:pPr>
            <w:r w:rsidRPr="009277B8">
              <w:rPr>
                <w:rFonts w:ascii="Times New Roman" w:hAnsi="Times New Roman" w:cs="Times New Roman"/>
                <w:sz w:val="24"/>
                <w:szCs w:val="24"/>
              </w:rPr>
              <w:t>Proposed Text</w:t>
            </w:r>
          </w:p>
        </w:tc>
        <w:tc>
          <w:tcPr>
            <w:tcW w:w="4590" w:type="dxa"/>
          </w:tcPr>
          <w:p w:rsidR="00167112" w:rsidRPr="009277B8" w:rsidRDefault="00167112" w:rsidP="0006580D">
            <w:pPr>
              <w:rPr>
                <w:rFonts w:ascii="Times New Roman" w:hAnsi="Times New Roman" w:cs="Times New Roman"/>
                <w:sz w:val="24"/>
                <w:szCs w:val="24"/>
              </w:rPr>
            </w:pPr>
            <w:r w:rsidRPr="009277B8">
              <w:rPr>
                <w:rFonts w:ascii="Times New Roman" w:hAnsi="Times New Roman" w:cs="Times New Roman"/>
                <w:sz w:val="24"/>
                <w:szCs w:val="24"/>
              </w:rPr>
              <w:t>Rationale for proposed change</w:t>
            </w:r>
          </w:p>
        </w:tc>
      </w:tr>
      <w:tr w:rsidR="00167112" w:rsidRPr="009277B8" w:rsidTr="009277B8">
        <w:trPr>
          <w:cantSplit/>
          <w:trHeight w:val="2402"/>
        </w:trPr>
        <w:tc>
          <w:tcPr>
            <w:tcW w:w="1908" w:type="dxa"/>
          </w:tcPr>
          <w:p w:rsidR="00167112" w:rsidRPr="009277B8" w:rsidRDefault="00167112" w:rsidP="0006580D">
            <w:pPr>
              <w:rPr>
                <w:rFonts w:ascii="Times New Roman" w:hAnsi="Times New Roman" w:cs="Times New Roman"/>
                <w:sz w:val="24"/>
                <w:szCs w:val="24"/>
              </w:rPr>
            </w:pPr>
            <w:r w:rsidRPr="009277B8">
              <w:rPr>
                <w:rFonts w:ascii="Times New Roman" w:hAnsi="Times New Roman" w:cs="Times New Roman"/>
                <w:sz w:val="24"/>
                <w:szCs w:val="24"/>
              </w:rPr>
              <w:t>Regarding WAC 480-109-</w:t>
            </w:r>
            <w:r w:rsidR="00946859" w:rsidRPr="009277B8">
              <w:rPr>
                <w:rFonts w:ascii="Times New Roman" w:hAnsi="Times New Roman" w:cs="Times New Roman"/>
                <w:sz w:val="24"/>
                <w:szCs w:val="24"/>
              </w:rPr>
              <w:t>AAA(2)</w:t>
            </w:r>
            <w:r w:rsidR="003910B5" w:rsidRPr="009277B8">
              <w:rPr>
                <w:rFonts w:ascii="Times New Roman" w:hAnsi="Times New Roman" w:cs="Times New Roman"/>
                <w:sz w:val="24"/>
                <w:szCs w:val="24"/>
              </w:rPr>
              <w:t xml:space="preserve"> </w:t>
            </w:r>
          </w:p>
          <w:p w:rsidR="00BE04C1" w:rsidRPr="009277B8" w:rsidRDefault="00BE04C1" w:rsidP="0006580D">
            <w:pPr>
              <w:rPr>
                <w:rFonts w:ascii="Times New Roman" w:hAnsi="Times New Roman" w:cs="Times New Roman"/>
                <w:sz w:val="24"/>
                <w:szCs w:val="24"/>
              </w:rPr>
            </w:pPr>
          </w:p>
          <w:p w:rsidR="00BE04C1" w:rsidRPr="009277B8" w:rsidRDefault="00BE04C1" w:rsidP="0006580D">
            <w:pPr>
              <w:rPr>
                <w:rFonts w:ascii="Times New Roman" w:hAnsi="Times New Roman" w:cs="Times New Roman"/>
                <w:sz w:val="20"/>
                <w:szCs w:val="20"/>
              </w:rPr>
            </w:pPr>
          </w:p>
        </w:tc>
        <w:tc>
          <w:tcPr>
            <w:tcW w:w="3510" w:type="dxa"/>
          </w:tcPr>
          <w:p w:rsidR="00946859" w:rsidRPr="009277B8" w:rsidRDefault="00946859" w:rsidP="00946859">
            <w:pPr>
              <w:autoSpaceDE w:val="0"/>
              <w:autoSpaceDN w:val="0"/>
              <w:adjustRightInd w:val="0"/>
              <w:rPr>
                <w:rFonts w:ascii="Times New Roman" w:hAnsi="Times New Roman" w:cs="Times New Roman"/>
                <w:sz w:val="24"/>
                <w:szCs w:val="24"/>
              </w:rPr>
            </w:pPr>
            <w:r w:rsidRPr="009277B8">
              <w:rPr>
                <w:rFonts w:ascii="Times New Roman" w:hAnsi="Times New Roman" w:cs="Times New Roman"/>
                <w:b/>
                <w:bCs/>
                <w:sz w:val="24"/>
                <w:szCs w:val="24"/>
              </w:rPr>
              <w:t xml:space="preserve">Advisory Group Meetings. </w:t>
            </w:r>
            <w:r w:rsidRPr="009277B8">
              <w:rPr>
                <w:rFonts w:ascii="Times New Roman" w:hAnsi="Times New Roman" w:cs="Times New Roman"/>
                <w:sz w:val="24"/>
                <w:szCs w:val="24"/>
              </w:rPr>
              <w:t>A utility must meet with its conservation advisory group at</w:t>
            </w:r>
          </w:p>
          <w:p w:rsidR="00946859" w:rsidRPr="009277B8" w:rsidRDefault="00946859" w:rsidP="00946859">
            <w:pPr>
              <w:autoSpaceDE w:val="0"/>
              <w:autoSpaceDN w:val="0"/>
              <w:adjustRightInd w:val="0"/>
              <w:rPr>
                <w:rFonts w:ascii="Times New Roman" w:hAnsi="Times New Roman" w:cs="Times New Roman"/>
                <w:sz w:val="24"/>
                <w:szCs w:val="24"/>
              </w:rPr>
            </w:pPr>
            <w:proofErr w:type="gramStart"/>
            <w:r w:rsidRPr="009277B8">
              <w:rPr>
                <w:rFonts w:ascii="Times New Roman" w:hAnsi="Times New Roman" w:cs="Times New Roman"/>
                <w:sz w:val="24"/>
                <w:szCs w:val="24"/>
              </w:rPr>
              <w:t>least</w:t>
            </w:r>
            <w:proofErr w:type="gramEnd"/>
            <w:r w:rsidRPr="009277B8">
              <w:rPr>
                <w:rFonts w:ascii="Times New Roman" w:hAnsi="Times New Roman" w:cs="Times New Roman"/>
                <w:sz w:val="24"/>
                <w:szCs w:val="24"/>
              </w:rPr>
              <w:t xml:space="preserve"> four times per year. Conservation advisory group members may request additional</w:t>
            </w:r>
          </w:p>
          <w:p w:rsidR="00167112" w:rsidRPr="009277B8" w:rsidRDefault="00946859" w:rsidP="00946859">
            <w:pPr>
              <w:rPr>
                <w:rFonts w:ascii="Times New Roman" w:hAnsi="Times New Roman" w:cs="Times New Roman"/>
                <w:sz w:val="24"/>
                <w:szCs w:val="24"/>
              </w:rPr>
            </w:pPr>
            <w:proofErr w:type="gramStart"/>
            <w:r w:rsidRPr="009277B8">
              <w:rPr>
                <w:rFonts w:ascii="Times New Roman" w:hAnsi="Times New Roman" w:cs="Times New Roman"/>
                <w:sz w:val="24"/>
                <w:szCs w:val="24"/>
              </w:rPr>
              <w:t>meetings</w:t>
            </w:r>
            <w:proofErr w:type="gramEnd"/>
            <w:r w:rsidRPr="009277B8">
              <w:rPr>
                <w:rFonts w:ascii="Times New Roman" w:hAnsi="Times New Roman" w:cs="Times New Roman"/>
                <w:sz w:val="24"/>
                <w:szCs w:val="24"/>
              </w:rPr>
              <w:t>.</w:t>
            </w:r>
          </w:p>
        </w:tc>
        <w:tc>
          <w:tcPr>
            <w:tcW w:w="3780" w:type="dxa"/>
          </w:tcPr>
          <w:p w:rsidR="00946859" w:rsidRPr="009277B8" w:rsidRDefault="00946859" w:rsidP="00946859">
            <w:pPr>
              <w:autoSpaceDE w:val="0"/>
              <w:autoSpaceDN w:val="0"/>
              <w:adjustRightInd w:val="0"/>
              <w:rPr>
                <w:rFonts w:ascii="Times New Roman" w:hAnsi="Times New Roman" w:cs="Times New Roman"/>
                <w:sz w:val="24"/>
                <w:szCs w:val="24"/>
              </w:rPr>
            </w:pPr>
            <w:r w:rsidRPr="009277B8">
              <w:rPr>
                <w:rFonts w:ascii="Times New Roman" w:hAnsi="Times New Roman" w:cs="Times New Roman"/>
                <w:b/>
                <w:bCs/>
                <w:sz w:val="24"/>
                <w:szCs w:val="24"/>
              </w:rPr>
              <w:t xml:space="preserve">Advisory Group Meetings. </w:t>
            </w:r>
            <w:r w:rsidRPr="009277B8">
              <w:rPr>
                <w:rFonts w:ascii="Times New Roman" w:hAnsi="Times New Roman" w:cs="Times New Roman"/>
                <w:sz w:val="24"/>
                <w:szCs w:val="24"/>
              </w:rPr>
              <w:t>A utility must meet with its conservation advisory group at</w:t>
            </w:r>
          </w:p>
          <w:p w:rsidR="00946859" w:rsidRPr="009277B8" w:rsidRDefault="00946859" w:rsidP="00946859">
            <w:pPr>
              <w:autoSpaceDE w:val="0"/>
              <w:autoSpaceDN w:val="0"/>
              <w:adjustRightInd w:val="0"/>
              <w:rPr>
                <w:rFonts w:ascii="Times New Roman" w:hAnsi="Times New Roman" w:cs="Times New Roman"/>
                <w:sz w:val="24"/>
                <w:szCs w:val="24"/>
              </w:rPr>
            </w:pPr>
            <w:proofErr w:type="gramStart"/>
            <w:r w:rsidRPr="009277B8">
              <w:rPr>
                <w:rFonts w:ascii="Times New Roman" w:hAnsi="Times New Roman" w:cs="Times New Roman"/>
                <w:sz w:val="24"/>
                <w:szCs w:val="24"/>
              </w:rPr>
              <w:t>least</w:t>
            </w:r>
            <w:proofErr w:type="gramEnd"/>
            <w:r w:rsidRPr="009277B8">
              <w:rPr>
                <w:rFonts w:ascii="Times New Roman" w:hAnsi="Times New Roman" w:cs="Times New Roman"/>
                <w:sz w:val="24"/>
                <w:szCs w:val="24"/>
              </w:rPr>
              <w:t xml:space="preserve"> four times per year, </w:t>
            </w:r>
            <w:r w:rsidRPr="00BD7727">
              <w:rPr>
                <w:rFonts w:ascii="Times New Roman" w:hAnsi="Times New Roman" w:cs="Times New Roman"/>
                <w:color w:val="FF0000"/>
                <w:sz w:val="24"/>
                <w:szCs w:val="24"/>
                <w:u w:val="single"/>
              </w:rPr>
              <w:t>in-person or by conference call or webinar</w:t>
            </w:r>
            <w:r w:rsidRPr="00BD7727">
              <w:rPr>
                <w:rFonts w:ascii="Times New Roman" w:hAnsi="Times New Roman" w:cs="Times New Roman"/>
                <w:color w:val="FF0000"/>
                <w:sz w:val="24"/>
                <w:szCs w:val="24"/>
              </w:rPr>
              <w:t>.</w:t>
            </w:r>
            <w:r w:rsidRPr="009277B8">
              <w:rPr>
                <w:rFonts w:ascii="Times New Roman" w:hAnsi="Times New Roman" w:cs="Times New Roman"/>
                <w:sz w:val="24"/>
                <w:szCs w:val="24"/>
              </w:rPr>
              <w:t xml:space="preserve"> Conservation advisory group members may request additional</w:t>
            </w:r>
          </w:p>
          <w:p w:rsidR="00167112" w:rsidRPr="009277B8" w:rsidRDefault="00946859" w:rsidP="00946859">
            <w:pPr>
              <w:rPr>
                <w:rFonts w:ascii="Times New Roman" w:hAnsi="Times New Roman" w:cs="Times New Roman"/>
                <w:sz w:val="24"/>
                <w:szCs w:val="24"/>
              </w:rPr>
            </w:pPr>
            <w:proofErr w:type="gramStart"/>
            <w:r w:rsidRPr="009277B8">
              <w:rPr>
                <w:rFonts w:ascii="Times New Roman" w:hAnsi="Times New Roman" w:cs="Times New Roman"/>
                <w:sz w:val="24"/>
                <w:szCs w:val="24"/>
              </w:rPr>
              <w:t>meetings</w:t>
            </w:r>
            <w:proofErr w:type="gramEnd"/>
            <w:r w:rsidRPr="009277B8">
              <w:rPr>
                <w:rFonts w:ascii="Times New Roman" w:hAnsi="Times New Roman" w:cs="Times New Roman"/>
                <w:sz w:val="24"/>
                <w:szCs w:val="24"/>
              </w:rPr>
              <w:t>.</w:t>
            </w:r>
          </w:p>
        </w:tc>
        <w:tc>
          <w:tcPr>
            <w:tcW w:w="4590" w:type="dxa"/>
          </w:tcPr>
          <w:p w:rsidR="00F05C58" w:rsidRPr="009277B8" w:rsidRDefault="00946859" w:rsidP="00946859">
            <w:pPr>
              <w:rPr>
                <w:rFonts w:ascii="Times New Roman" w:hAnsi="Times New Roman" w:cs="Times New Roman"/>
                <w:sz w:val="24"/>
                <w:szCs w:val="24"/>
              </w:rPr>
            </w:pPr>
            <w:r w:rsidRPr="009277B8">
              <w:rPr>
                <w:rFonts w:ascii="Times New Roman" w:hAnsi="Times New Roman" w:cs="Times New Roman"/>
                <w:sz w:val="24"/>
                <w:szCs w:val="24"/>
              </w:rPr>
              <w:t>Avista’s Advisory Group is geographically dispersed and, therefore, seeks clarification about format for meetings.</w:t>
            </w:r>
          </w:p>
        </w:tc>
      </w:tr>
    </w:tbl>
    <w:p w:rsidR="00167112" w:rsidRPr="009277B8" w:rsidRDefault="00167112" w:rsidP="00167112">
      <w:pPr>
        <w:rPr>
          <w:rFonts w:ascii="Times New Roman" w:hAnsi="Times New Roman" w:cs="Times New Roman"/>
          <w:sz w:val="24"/>
          <w:szCs w:val="24"/>
        </w:rPr>
      </w:pPr>
    </w:p>
    <w:tbl>
      <w:tblPr>
        <w:tblStyle w:val="TableGrid"/>
        <w:tblW w:w="0" w:type="auto"/>
        <w:tblLook w:val="04A0"/>
      </w:tblPr>
      <w:tblGrid>
        <w:gridCol w:w="1908"/>
        <w:gridCol w:w="3510"/>
        <w:gridCol w:w="3780"/>
        <w:gridCol w:w="4590"/>
      </w:tblGrid>
      <w:tr w:rsidR="00856F72" w:rsidRPr="009277B8" w:rsidTr="00F27025">
        <w:tc>
          <w:tcPr>
            <w:tcW w:w="1908" w:type="dxa"/>
          </w:tcPr>
          <w:p w:rsidR="00856F72" w:rsidRPr="009277B8" w:rsidRDefault="00856F72" w:rsidP="00F27025">
            <w:pPr>
              <w:rPr>
                <w:rFonts w:ascii="Times New Roman" w:hAnsi="Times New Roman" w:cs="Times New Roman"/>
                <w:sz w:val="24"/>
                <w:szCs w:val="24"/>
              </w:rPr>
            </w:pPr>
            <w:r w:rsidRPr="009277B8">
              <w:rPr>
                <w:rFonts w:ascii="Times New Roman" w:hAnsi="Times New Roman" w:cs="Times New Roman"/>
                <w:sz w:val="24"/>
                <w:szCs w:val="24"/>
              </w:rPr>
              <w:t>Comment 13</w:t>
            </w:r>
          </w:p>
        </w:tc>
        <w:tc>
          <w:tcPr>
            <w:tcW w:w="3510" w:type="dxa"/>
          </w:tcPr>
          <w:p w:rsidR="00856F72" w:rsidRPr="009277B8" w:rsidRDefault="00856F72" w:rsidP="00F27025">
            <w:pPr>
              <w:rPr>
                <w:rFonts w:ascii="Times New Roman" w:hAnsi="Times New Roman" w:cs="Times New Roman"/>
                <w:sz w:val="24"/>
                <w:szCs w:val="24"/>
              </w:rPr>
            </w:pPr>
            <w:r w:rsidRPr="009277B8">
              <w:rPr>
                <w:rFonts w:ascii="Times New Roman" w:hAnsi="Times New Roman" w:cs="Times New Roman"/>
                <w:sz w:val="24"/>
                <w:szCs w:val="24"/>
              </w:rPr>
              <w:t>Current Text</w:t>
            </w:r>
          </w:p>
        </w:tc>
        <w:tc>
          <w:tcPr>
            <w:tcW w:w="3780" w:type="dxa"/>
          </w:tcPr>
          <w:p w:rsidR="00856F72" w:rsidRPr="009277B8" w:rsidRDefault="00856F72" w:rsidP="00F27025">
            <w:pPr>
              <w:rPr>
                <w:rFonts w:ascii="Times New Roman" w:hAnsi="Times New Roman" w:cs="Times New Roman"/>
                <w:sz w:val="24"/>
                <w:szCs w:val="24"/>
              </w:rPr>
            </w:pPr>
            <w:r w:rsidRPr="009277B8">
              <w:rPr>
                <w:rFonts w:ascii="Times New Roman" w:hAnsi="Times New Roman" w:cs="Times New Roman"/>
                <w:sz w:val="24"/>
                <w:szCs w:val="24"/>
              </w:rPr>
              <w:t>Proposed Text</w:t>
            </w:r>
          </w:p>
        </w:tc>
        <w:tc>
          <w:tcPr>
            <w:tcW w:w="4590" w:type="dxa"/>
          </w:tcPr>
          <w:p w:rsidR="00856F72" w:rsidRPr="009277B8" w:rsidRDefault="00856F72" w:rsidP="00F27025">
            <w:pPr>
              <w:rPr>
                <w:rFonts w:ascii="Times New Roman" w:hAnsi="Times New Roman" w:cs="Times New Roman"/>
                <w:sz w:val="24"/>
                <w:szCs w:val="24"/>
              </w:rPr>
            </w:pPr>
            <w:r w:rsidRPr="009277B8">
              <w:rPr>
                <w:rFonts w:ascii="Times New Roman" w:hAnsi="Times New Roman" w:cs="Times New Roman"/>
                <w:sz w:val="24"/>
                <w:szCs w:val="24"/>
              </w:rPr>
              <w:t>Rationale for proposed change</w:t>
            </w:r>
          </w:p>
        </w:tc>
      </w:tr>
      <w:tr w:rsidR="00856F72" w:rsidRPr="009277B8" w:rsidTr="009277B8">
        <w:trPr>
          <w:trHeight w:val="1943"/>
        </w:trPr>
        <w:tc>
          <w:tcPr>
            <w:tcW w:w="1908" w:type="dxa"/>
            <w:shd w:val="clear" w:color="auto" w:fill="FFFFFF" w:themeFill="background1"/>
          </w:tcPr>
          <w:p w:rsidR="00856F72" w:rsidRPr="009277B8" w:rsidRDefault="00856F72" w:rsidP="00F27025">
            <w:pPr>
              <w:rPr>
                <w:rFonts w:ascii="Times New Roman" w:hAnsi="Times New Roman" w:cs="Times New Roman"/>
                <w:sz w:val="20"/>
                <w:szCs w:val="20"/>
                <w:highlight w:val="lightGray"/>
              </w:rPr>
            </w:pPr>
            <w:r w:rsidRPr="009277B8">
              <w:rPr>
                <w:rFonts w:ascii="Times New Roman" w:hAnsi="Times New Roman" w:cs="Times New Roman"/>
                <w:sz w:val="24"/>
                <w:szCs w:val="24"/>
              </w:rPr>
              <w:t>Regarding WAC 480-109</w:t>
            </w:r>
            <w:r w:rsidR="00227E30" w:rsidRPr="009277B8">
              <w:rPr>
                <w:rFonts w:ascii="Times New Roman" w:hAnsi="Times New Roman" w:cs="Times New Roman"/>
                <w:sz w:val="24"/>
                <w:szCs w:val="24"/>
              </w:rPr>
              <w:t>-BBB(2)(b)(ii)</w:t>
            </w:r>
          </w:p>
        </w:tc>
        <w:tc>
          <w:tcPr>
            <w:tcW w:w="3510" w:type="dxa"/>
          </w:tcPr>
          <w:p w:rsidR="00856F72" w:rsidRPr="009277B8" w:rsidRDefault="00227E30" w:rsidP="00F27025">
            <w:pPr>
              <w:rPr>
                <w:rFonts w:ascii="Times New Roman" w:hAnsi="Times New Roman" w:cs="Times New Roman"/>
                <w:sz w:val="24"/>
                <w:szCs w:val="24"/>
              </w:rPr>
            </w:pPr>
            <w:r w:rsidRPr="009277B8">
              <w:rPr>
                <w:rFonts w:ascii="Times New Roman" w:hAnsi="Times New Roman" w:cs="Times New Roman"/>
                <w:sz w:val="24"/>
                <w:szCs w:val="24"/>
              </w:rPr>
              <w:t>Expected and actual electricity savings from conservation</w:t>
            </w:r>
          </w:p>
          <w:p w:rsidR="00856F72" w:rsidRPr="009277B8" w:rsidRDefault="00856F72" w:rsidP="00F27025">
            <w:pPr>
              <w:rPr>
                <w:rFonts w:ascii="Times New Roman" w:hAnsi="Times New Roman" w:cs="Times New Roman"/>
                <w:sz w:val="24"/>
                <w:szCs w:val="24"/>
              </w:rPr>
            </w:pPr>
          </w:p>
        </w:tc>
        <w:tc>
          <w:tcPr>
            <w:tcW w:w="3780" w:type="dxa"/>
          </w:tcPr>
          <w:p w:rsidR="00856F72" w:rsidRPr="009277B8" w:rsidRDefault="00227E30" w:rsidP="00F27025">
            <w:pPr>
              <w:rPr>
                <w:rFonts w:ascii="Times New Roman" w:hAnsi="Times New Roman" w:cs="Times New Roman"/>
                <w:sz w:val="24"/>
                <w:szCs w:val="24"/>
              </w:rPr>
            </w:pPr>
            <w:r w:rsidRPr="009277B8">
              <w:rPr>
                <w:rFonts w:ascii="Times New Roman" w:hAnsi="Times New Roman" w:cs="Times New Roman"/>
                <w:sz w:val="24"/>
                <w:szCs w:val="24"/>
              </w:rPr>
              <w:t xml:space="preserve">Expected and </w:t>
            </w:r>
            <w:r w:rsidRPr="009277B8">
              <w:rPr>
                <w:rFonts w:ascii="Times New Roman" w:hAnsi="Times New Roman" w:cs="Times New Roman"/>
                <w:strike/>
                <w:sz w:val="24"/>
                <w:szCs w:val="24"/>
              </w:rPr>
              <w:t>actual</w:t>
            </w:r>
            <w:r w:rsidRPr="009277B8">
              <w:rPr>
                <w:rFonts w:ascii="Times New Roman" w:hAnsi="Times New Roman" w:cs="Times New Roman"/>
                <w:sz w:val="24"/>
                <w:szCs w:val="24"/>
              </w:rPr>
              <w:t xml:space="preserve"> claimed electricity savings from conservation</w:t>
            </w:r>
          </w:p>
        </w:tc>
        <w:tc>
          <w:tcPr>
            <w:tcW w:w="4590" w:type="dxa"/>
          </w:tcPr>
          <w:p w:rsidR="00856F72" w:rsidRPr="009277B8" w:rsidRDefault="00227E30" w:rsidP="00227E30">
            <w:pPr>
              <w:pStyle w:val="NoSpacing"/>
              <w:rPr>
                <w:rFonts w:ascii="Times New Roman" w:hAnsi="Times New Roman" w:cs="Times New Roman"/>
                <w:sz w:val="24"/>
                <w:szCs w:val="24"/>
              </w:rPr>
            </w:pPr>
            <w:r w:rsidRPr="009277B8">
              <w:rPr>
                <w:rFonts w:ascii="Times New Roman" w:hAnsi="Times New Roman" w:cs="Times New Roman"/>
                <w:sz w:val="24"/>
                <w:szCs w:val="24"/>
              </w:rPr>
              <w:t xml:space="preserve">For filings on or before June 1 in odd-numbered years, verified (or actual) savings have not been evaluated by a third party entity.  Therefore, these are claimed savings.  The verification of these savings for this period occurs in the following year.  </w:t>
            </w:r>
          </w:p>
        </w:tc>
      </w:tr>
    </w:tbl>
    <w:p w:rsidR="009277B8" w:rsidRDefault="009277B8" w:rsidP="00366AE0">
      <w:pPr>
        <w:rPr>
          <w:rFonts w:ascii="Times New Roman" w:hAnsi="Times New Roman" w:cs="Times New Roman"/>
          <w:sz w:val="24"/>
          <w:szCs w:val="24"/>
        </w:rPr>
      </w:pPr>
    </w:p>
    <w:p w:rsidR="009277B8" w:rsidRDefault="009277B8">
      <w:pPr>
        <w:rPr>
          <w:rFonts w:ascii="Times New Roman" w:hAnsi="Times New Roman" w:cs="Times New Roman"/>
          <w:sz w:val="24"/>
          <w:szCs w:val="24"/>
        </w:rPr>
      </w:pPr>
    </w:p>
    <w:p w:rsidR="00856A33" w:rsidRDefault="00856A33">
      <w:pPr>
        <w:rPr>
          <w:rFonts w:ascii="Times New Roman" w:hAnsi="Times New Roman" w:cs="Times New Roman"/>
          <w:sz w:val="24"/>
          <w:szCs w:val="24"/>
        </w:rPr>
      </w:pPr>
    </w:p>
    <w:p w:rsidR="00856A33" w:rsidRDefault="00856A33">
      <w:pPr>
        <w:rPr>
          <w:rFonts w:ascii="Times New Roman" w:hAnsi="Times New Roman" w:cs="Times New Roman"/>
          <w:sz w:val="24"/>
          <w:szCs w:val="24"/>
        </w:rPr>
      </w:pPr>
    </w:p>
    <w:p w:rsidR="00856A33" w:rsidRDefault="00856A33">
      <w:pPr>
        <w:rPr>
          <w:rFonts w:ascii="Times New Roman" w:hAnsi="Times New Roman" w:cs="Times New Roman"/>
          <w:sz w:val="24"/>
          <w:szCs w:val="24"/>
        </w:rPr>
      </w:pPr>
    </w:p>
    <w:p w:rsidR="00856A33" w:rsidRDefault="00856A33">
      <w:pPr>
        <w:rPr>
          <w:rFonts w:ascii="Times New Roman" w:hAnsi="Times New Roman" w:cs="Times New Roman"/>
          <w:sz w:val="24"/>
          <w:szCs w:val="24"/>
        </w:rPr>
      </w:pPr>
    </w:p>
    <w:p w:rsidR="00856A33" w:rsidRDefault="00856A33">
      <w:pPr>
        <w:rPr>
          <w:rFonts w:ascii="Times New Roman" w:hAnsi="Times New Roman" w:cs="Times New Roman"/>
          <w:sz w:val="24"/>
          <w:szCs w:val="24"/>
        </w:rPr>
      </w:pPr>
    </w:p>
    <w:p w:rsidR="00856A33" w:rsidRDefault="00856A33">
      <w:pPr>
        <w:rPr>
          <w:rFonts w:ascii="Times New Roman" w:hAnsi="Times New Roman" w:cs="Times New Roman"/>
          <w:sz w:val="24"/>
          <w:szCs w:val="24"/>
        </w:rPr>
      </w:pPr>
    </w:p>
    <w:p w:rsidR="00856A33" w:rsidRDefault="00856A33">
      <w:pPr>
        <w:rPr>
          <w:rFonts w:ascii="Times New Roman" w:hAnsi="Times New Roman" w:cs="Times New Roman"/>
          <w:sz w:val="24"/>
          <w:szCs w:val="24"/>
        </w:rPr>
      </w:pPr>
    </w:p>
    <w:p w:rsidR="00856A33" w:rsidRDefault="00856A33">
      <w:pPr>
        <w:rPr>
          <w:rFonts w:ascii="Times New Roman" w:hAnsi="Times New Roman" w:cs="Times New Roman"/>
          <w:sz w:val="24"/>
          <w:szCs w:val="24"/>
        </w:rPr>
      </w:pPr>
    </w:p>
    <w:p w:rsidR="00856A33" w:rsidRDefault="00856A33">
      <w:pPr>
        <w:rPr>
          <w:rFonts w:ascii="Times New Roman" w:hAnsi="Times New Roman" w:cs="Times New Roman"/>
          <w:sz w:val="24"/>
          <w:szCs w:val="24"/>
        </w:rPr>
      </w:pPr>
    </w:p>
    <w:p w:rsidR="00856A33" w:rsidRDefault="00856A33">
      <w:pPr>
        <w:rPr>
          <w:rFonts w:ascii="Times New Roman" w:hAnsi="Times New Roman" w:cs="Times New Roman"/>
          <w:sz w:val="24"/>
          <w:szCs w:val="24"/>
        </w:rPr>
      </w:pPr>
    </w:p>
    <w:p w:rsidR="00856A33" w:rsidRDefault="00856A33">
      <w:pPr>
        <w:rPr>
          <w:rFonts w:ascii="Times New Roman" w:hAnsi="Times New Roman" w:cs="Times New Roman"/>
          <w:sz w:val="24"/>
          <w:szCs w:val="24"/>
        </w:rPr>
      </w:pPr>
    </w:p>
    <w:p w:rsidR="00856A33" w:rsidRDefault="00856A33">
      <w:pPr>
        <w:rPr>
          <w:rFonts w:ascii="Times New Roman" w:hAnsi="Times New Roman" w:cs="Times New Roman"/>
          <w:sz w:val="24"/>
          <w:szCs w:val="24"/>
        </w:rPr>
      </w:pPr>
    </w:p>
    <w:p w:rsidR="00856A33" w:rsidRDefault="00856A33">
      <w:pPr>
        <w:rPr>
          <w:rFonts w:ascii="Times New Roman" w:hAnsi="Times New Roman" w:cs="Times New Roman"/>
          <w:sz w:val="24"/>
          <w:szCs w:val="24"/>
        </w:rPr>
      </w:pPr>
    </w:p>
    <w:p w:rsidR="00856A33" w:rsidRDefault="00856A33">
      <w:pPr>
        <w:rPr>
          <w:rFonts w:ascii="Times New Roman" w:hAnsi="Times New Roman" w:cs="Times New Roman"/>
          <w:sz w:val="24"/>
          <w:szCs w:val="24"/>
        </w:rPr>
      </w:pPr>
    </w:p>
    <w:p w:rsidR="00856A33" w:rsidRDefault="00856A33">
      <w:pPr>
        <w:rPr>
          <w:rFonts w:ascii="Times New Roman" w:hAnsi="Times New Roman" w:cs="Times New Roman"/>
          <w:sz w:val="24"/>
          <w:szCs w:val="24"/>
        </w:rPr>
      </w:pPr>
    </w:p>
    <w:p w:rsidR="00366AE0" w:rsidRPr="009277B8" w:rsidRDefault="00366AE0" w:rsidP="00366AE0">
      <w:pPr>
        <w:rPr>
          <w:rFonts w:ascii="Times New Roman" w:hAnsi="Times New Roman" w:cs="Times New Roman"/>
          <w:sz w:val="24"/>
          <w:szCs w:val="24"/>
        </w:rPr>
      </w:pPr>
    </w:p>
    <w:tbl>
      <w:tblPr>
        <w:tblStyle w:val="TableGrid"/>
        <w:tblW w:w="0" w:type="auto"/>
        <w:tblLook w:val="04A0"/>
      </w:tblPr>
      <w:tblGrid>
        <w:gridCol w:w="1908"/>
        <w:gridCol w:w="3510"/>
        <w:gridCol w:w="3780"/>
        <w:gridCol w:w="4590"/>
      </w:tblGrid>
      <w:tr w:rsidR="009277B8" w:rsidRPr="009277B8" w:rsidTr="00EC0900">
        <w:tc>
          <w:tcPr>
            <w:tcW w:w="1908" w:type="dxa"/>
          </w:tcPr>
          <w:p w:rsidR="009277B8" w:rsidRPr="009277B8" w:rsidRDefault="009277B8" w:rsidP="00EC0900">
            <w:pPr>
              <w:rPr>
                <w:rFonts w:ascii="Times New Roman" w:hAnsi="Times New Roman" w:cs="Times New Roman"/>
                <w:sz w:val="24"/>
              </w:rPr>
            </w:pPr>
            <w:r w:rsidRPr="009277B8">
              <w:rPr>
                <w:rFonts w:ascii="Times New Roman" w:hAnsi="Times New Roman" w:cs="Times New Roman"/>
                <w:sz w:val="24"/>
              </w:rPr>
              <w:lastRenderedPageBreak/>
              <w:t>Comment 1</w:t>
            </w:r>
            <w:r>
              <w:rPr>
                <w:rFonts w:ascii="Times New Roman" w:hAnsi="Times New Roman" w:cs="Times New Roman"/>
                <w:sz w:val="24"/>
              </w:rPr>
              <w:t>4</w:t>
            </w:r>
          </w:p>
        </w:tc>
        <w:tc>
          <w:tcPr>
            <w:tcW w:w="3510" w:type="dxa"/>
          </w:tcPr>
          <w:p w:rsidR="009277B8" w:rsidRPr="009277B8" w:rsidRDefault="009277B8" w:rsidP="00EC0900">
            <w:pPr>
              <w:rPr>
                <w:rFonts w:ascii="Times New Roman" w:hAnsi="Times New Roman" w:cs="Times New Roman"/>
                <w:sz w:val="24"/>
              </w:rPr>
            </w:pPr>
            <w:r w:rsidRPr="009277B8">
              <w:rPr>
                <w:rFonts w:ascii="Times New Roman" w:hAnsi="Times New Roman" w:cs="Times New Roman"/>
                <w:sz w:val="24"/>
              </w:rPr>
              <w:t>Current Text</w:t>
            </w:r>
          </w:p>
        </w:tc>
        <w:tc>
          <w:tcPr>
            <w:tcW w:w="3780" w:type="dxa"/>
          </w:tcPr>
          <w:p w:rsidR="009277B8" w:rsidRPr="009277B8" w:rsidRDefault="009277B8" w:rsidP="00EC0900">
            <w:pPr>
              <w:rPr>
                <w:rFonts w:ascii="Times New Roman" w:hAnsi="Times New Roman" w:cs="Times New Roman"/>
                <w:sz w:val="24"/>
              </w:rPr>
            </w:pPr>
            <w:r w:rsidRPr="009277B8">
              <w:rPr>
                <w:rFonts w:ascii="Times New Roman" w:hAnsi="Times New Roman" w:cs="Times New Roman"/>
                <w:sz w:val="24"/>
              </w:rPr>
              <w:t>Proposed Text</w:t>
            </w:r>
          </w:p>
        </w:tc>
        <w:tc>
          <w:tcPr>
            <w:tcW w:w="4590" w:type="dxa"/>
          </w:tcPr>
          <w:p w:rsidR="009277B8" w:rsidRPr="009277B8" w:rsidRDefault="009277B8" w:rsidP="00EC0900">
            <w:pPr>
              <w:rPr>
                <w:rFonts w:ascii="Times New Roman" w:hAnsi="Times New Roman" w:cs="Times New Roman"/>
                <w:sz w:val="24"/>
              </w:rPr>
            </w:pPr>
            <w:r w:rsidRPr="009277B8">
              <w:rPr>
                <w:rFonts w:ascii="Times New Roman" w:hAnsi="Times New Roman" w:cs="Times New Roman"/>
                <w:sz w:val="24"/>
              </w:rPr>
              <w:t>Rationale for proposed change</w:t>
            </w:r>
          </w:p>
        </w:tc>
      </w:tr>
      <w:tr w:rsidR="009277B8" w:rsidRPr="009277B8" w:rsidTr="00EC0900">
        <w:trPr>
          <w:trHeight w:val="4032"/>
        </w:trPr>
        <w:tc>
          <w:tcPr>
            <w:tcW w:w="1908" w:type="dxa"/>
            <w:shd w:val="clear" w:color="auto" w:fill="FFFFFF" w:themeFill="background1"/>
          </w:tcPr>
          <w:p w:rsidR="009277B8" w:rsidRPr="009277B8" w:rsidRDefault="009277B8" w:rsidP="00EC0900">
            <w:pPr>
              <w:rPr>
                <w:rFonts w:ascii="Times New Roman" w:hAnsi="Times New Roman" w:cs="Times New Roman"/>
                <w:sz w:val="24"/>
                <w:highlight w:val="lightGray"/>
              </w:rPr>
            </w:pPr>
            <w:r w:rsidRPr="009277B8">
              <w:rPr>
                <w:rFonts w:ascii="Times New Roman" w:hAnsi="Times New Roman" w:cs="Times New Roman"/>
                <w:sz w:val="24"/>
              </w:rPr>
              <w:t>Regarding Informal Draft WAC 480-109-020(3)</w:t>
            </w:r>
          </w:p>
        </w:tc>
        <w:tc>
          <w:tcPr>
            <w:tcW w:w="3510" w:type="dxa"/>
          </w:tcPr>
          <w:p w:rsidR="009277B8" w:rsidRPr="009277B8" w:rsidRDefault="009277B8" w:rsidP="00EC0900">
            <w:pPr>
              <w:pStyle w:val="PlainText"/>
              <w:rPr>
                <w:rFonts w:ascii="Times New Roman" w:hAnsi="Times New Roman" w:cs="Times New Roman"/>
                <w:sz w:val="24"/>
                <w:szCs w:val="22"/>
              </w:rPr>
            </w:pPr>
            <w:r w:rsidRPr="009277B8">
              <w:rPr>
                <w:rFonts w:ascii="Times New Roman" w:hAnsi="Times New Roman" w:cs="Times New Roman"/>
                <w:sz w:val="24"/>
                <w:szCs w:val="22"/>
              </w:rPr>
              <w:t>All eligible renewable resource generation and all renewable energy credits used for utility compliance with the renewable energy standards must be registered in WREGIS.</w:t>
            </w:r>
          </w:p>
          <w:p w:rsidR="009277B8" w:rsidRPr="009277B8" w:rsidRDefault="009277B8" w:rsidP="00EC0900">
            <w:pPr>
              <w:rPr>
                <w:rFonts w:ascii="Times New Roman" w:hAnsi="Times New Roman" w:cs="Times New Roman"/>
                <w:sz w:val="24"/>
              </w:rPr>
            </w:pPr>
          </w:p>
        </w:tc>
        <w:tc>
          <w:tcPr>
            <w:tcW w:w="3780" w:type="dxa"/>
          </w:tcPr>
          <w:p w:rsidR="009277B8" w:rsidRPr="009277B8" w:rsidRDefault="009277B8" w:rsidP="00EC0900">
            <w:pPr>
              <w:pStyle w:val="PlainText"/>
              <w:rPr>
                <w:rFonts w:ascii="Times New Roman" w:hAnsi="Times New Roman" w:cs="Times New Roman"/>
                <w:sz w:val="24"/>
                <w:szCs w:val="22"/>
              </w:rPr>
            </w:pPr>
            <w:r w:rsidRPr="009277B8">
              <w:rPr>
                <w:rFonts w:ascii="Times New Roman" w:hAnsi="Times New Roman" w:cs="Times New Roman"/>
                <w:sz w:val="24"/>
                <w:szCs w:val="22"/>
              </w:rPr>
              <w:t xml:space="preserve">All </w:t>
            </w:r>
            <w:r w:rsidRPr="009277B8">
              <w:rPr>
                <w:rFonts w:ascii="Times New Roman" w:hAnsi="Times New Roman" w:cs="Times New Roman"/>
                <w:strike/>
                <w:sz w:val="24"/>
                <w:szCs w:val="22"/>
              </w:rPr>
              <w:t>eligible renewable resource generation and all</w:t>
            </w:r>
            <w:r w:rsidRPr="009277B8">
              <w:rPr>
                <w:rFonts w:ascii="Times New Roman" w:hAnsi="Times New Roman" w:cs="Times New Roman"/>
                <w:sz w:val="24"/>
                <w:szCs w:val="22"/>
              </w:rPr>
              <w:t xml:space="preserve"> renewable energy credits used for utility compliance with the renewable energy standards must be registered in WREGIS.</w:t>
            </w:r>
          </w:p>
          <w:p w:rsidR="009277B8" w:rsidRPr="009277B8" w:rsidRDefault="009277B8" w:rsidP="00EC0900">
            <w:pPr>
              <w:rPr>
                <w:rFonts w:ascii="Times New Roman" w:hAnsi="Times New Roman" w:cs="Times New Roman"/>
                <w:sz w:val="24"/>
              </w:rPr>
            </w:pPr>
          </w:p>
        </w:tc>
        <w:tc>
          <w:tcPr>
            <w:tcW w:w="4590" w:type="dxa"/>
          </w:tcPr>
          <w:p w:rsidR="009277B8" w:rsidRPr="009277B8" w:rsidRDefault="009277B8" w:rsidP="00EC0900">
            <w:pPr>
              <w:autoSpaceDE w:val="0"/>
              <w:autoSpaceDN w:val="0"/>
              <w:adjustRightInd w:val="0"/>
              <w:contextualSpacing/>
              <w:rPr>
                <w:rFonts w:ascii="Times New Roman" w:hAnsi="Times New Roman" w:cs="Times New Roman"/>
                <w:sz w:val="24"/>
              </w:rPr>
            </w:pPr>
            <w:r w:rsidRPr="009277B8">
              <w:rPr>
                <w:rFonts w:ascii="Times New Roman" w:hAnsi="Times New Roman" w:cs="Times New Roman"/>
                <w:sz w:val="24"/>
              </w:rPr>
              <w:t>The Company is recommends removing this requirement for eligible renewable resource generation for the following reasons.</w:t>
            </w:r>
          </w:p>
          <w:p w:rsidR="009277B8" w:rsidRPr="009277B8" w:rsidRDefault="009277B8" w:rsidP="009277B8">
            <w:pPr>
              <w:pStyle w:val="ListParagraph"/>
              <w:numPr>
                <w:ilvl w:val="0"/>
                <w:numId w:val="20"/>
              </w:numPr>
              <w:autoSpaceDE w:val="0"/>
              <w:autoSpaceDN w:val="0"/>
              <w:adjustRightInd w:val="0"/>
              <w:rPr>
                <w:rFonts w:ascii="Times New Roman" w:hAnsi="Times New Roman" w:cs="Times New Roman"/>
              </w:rPr>
            </w:pPr>
            <w:r w:rsidRPr="009277B8">
              <w:rPr>
                <w:rFonts w:ascii="Times New Roman" w:hAnsi="Times New Roman" w:cs="Times New Roman"/>
              </w:rPr>
              <w:t xml:space="preserve">WREGIS is designed for the registration and tracking of </w:t>
            </w:r>
            <w:proofErr w:type="spellStart"/>
            <w:r w:rsidRPr="009277B8">
              <w:rPr>
                <w:rFonts w:ascii="Times New Roman" w:hAnsi="Times New Roman" w:cs="Times New Roman"/>
              </w:rPr>
              <w:t>RECs.</w:t>
            </w:r>
            <w:proofErr w:type="spellEnd"/>
            <w:r w:rsidRPr="009277B8">
              <w:rPr>
                <w:rFonts w:ascii="Times New Roman" w:hAnsi="Times New Roman" w:cs="Times New Roman"/>
              </w:rPr>
              <w:t xml:space="preserve">  Because incremental hydro generation is not a REC, but is considered qualifying generation, the Company believes incremental hydro should be excluded from this requirement.</w:t>
            </w:r>
          </w:p>
          <w:p w:rsidR="009277B8" w:rsidRPr="009277B8" w:rsidRDefault="009277B8" w:rsidP="009277B8">
            <w:pPr>
              <w:pStyle w:val="ListParagraph"/>
              <w:numPr>
                <w:ilvl w:val="0"/>
                <w:numId w:val="20"/>
              </w:numPr>
              <w:autoSpaceDE w:val="0"/>
              <w:autoSpaceDN w:val="0"/>
              <w:adjustRightInd w:val="0"/>
              <w:rPr>
                <w:rFonts w:ascii="Times New Roman" w:hAnsi="Times New Roman" w:cs="Times New Roman"/>
              </w:rPr>
            </w:pPr>
            <w:r w:rsidRPr="009277B8">
              <w:rPr>
                <w:rFonts w:ascii="Times New Roman" w:hAnsi="Times New Roman" w:cs="Times New Roman"/>
              </w:rPr>
              <w:t>Section 480-109-040(2) does not require WREGIS to be used to document the sale of incremental hydro.  The addition of this new section will now change this requirement.</w:t>
            </w:r>
          </w:p>
          <w:p w:rsidR="009277B8" w:rsidRPr="009277B8" w:rsidRDefault="009277B8" w:rsidP="009277B8">
            <w:pPr>
              <w:pStyle w:val="ListParagraph"/>
              <w:numPr>
                <w:ilvl w:val="0"/>
                <w:numId w:val="20"/>
              </w:numPr>
              <w:autoSpaceDE w:val="0"/>
              <w:autoSpaceDN w:val="0"/>
              <w:adjustRightInd w:val="0"/>
              <w:rPr>
                <w:rFonts w:ascii="Times New Roman" w:hAnsi="Times New Roman" w:cs="Times New Roman"/>
              </w:rPr>
            </w:pPr>
            <w:r w:rsidRPr="009277B8">
              <w:rPr>
                <w:rFonts w:ascii="Times New Roman" w:hAnsi="Times New Roman" w:cs="Times New Roman"/>
              </w:rPr>
              <w:t xml:space="preserve">Avista does not have control over WREGIS registration of resources owned by other qualifying utilities (i.e., qualified incremental hydro generation such as Wanapum).  </w:t>
            </w:r>
          </w:p>
          <w:p w:rsidR="009277B8" w:rsidRPr="009277B8" w:rsidRDefault="009277B8" w:rsidP="00EC0900">
            <w:pPr>
              <w:rPr>
                <w:rFonts w:ascii="Times New Roman" w:hAnsi="Times New Roman" w:cs="Times New Roman"/>
                <w:sz w:val="24"/>
              </w:rPr>
            </w:pPr>
          </w:p>
        </w:tc>
      </w:tr>
    </w:tbl>
    <w:p w:rsidR="009277B8" w:rsidRPr="009277B8" w:rsidRDefault="009277B8" w:rsidP="009277B8">
      <w:pPr>
        <w:rPr>
          <w:rFonts w:ascii="Times New Roman" w:hAnsi="Times New Roman" w:cs="Times New Roman"/>
          <w:sz w:val="24"/>
          <w:szCs w:val="24"/>
        </w:rPr>
      </w:pPr>
    </w:p>
    <w:p w:rsidR="009277B8" w:rsidRPr="009277B8" w:rsidRDefault="009277B8" w:rsidP="009277B8">
      <w:pPr>
        <w:rPr>
          <w:rFonts w:ascii="Times New Roman" w:hAnsi="Times New Roman" w:cs="Times New Roman"/>
          <w:sz w:val="24"/>
          <w:szCs w:val="24"/>
        </w:rPr>
      </w:pPr>
    </w:p>
    <w:p w:rsidR="009277B8" w:rsidRDefault="009277B8">
      <w:pPr>
        <w:rPr>
          <w:rFonts w:ascii="Times New Roman" w:hAnsi="Times New Roman" w:cs="Times New Roman"/>
          <w:sz w:val="24"/>
          <w:szCs w:val="24"/>
        </w:rPr>
      </w:pPr>
      <w:r>
        <w:rPr>
          <w:rFonts w:ascii="Times New Roman" w:hAnsi="Times New Roman" w:cs="Times New Roman"/>
          <w:sz w:val="24"/>
          <w:szCs w:val="24"/>
        </w:rPr>
        <w:br w:type="page"/>
      </w:r>
    </w:p>
    <w:p w:rsidR="009277B8" w:rsidRPr="009277B8" w:rsidRDefault="009277B8" w:rsidP="009277B8">
      <w:pPr>
        <w:rPr>
          <w:rFonts w:ascii="Times New Roman" w:hAnsi="Times New Roman" w:cs="Times New Roman"/>
          <w:sz w:val="24"/>
          <w:szCs w:val="24"/>
        </w:rPr>
      </w:pPr>
    </w:p>
    <w:tbl>
      <w:tblPr>
        <w:tblStyle w:val="TableGrid"/>
        <w:tblW w:w="0" w:type="auto"/>
        <w:tblLook w:val="04A0"/>
      </w:tblPr>
      <w:tblGrid>
        <w:gridCol w:w="1908"/>
        <w:gridCol w:w="3510"/>
        <w:gridCol w:w="3780"/>
        <w:gridCol w:w="4590"/>
      </w:tblGrid>
      <w:tr w:rsidR="009277B8" w:rsidRPr="009277B8" w:rsidTr="00EC0900">
        <w:trPr>
          <w:cantSplit/>
        </w:trPr>
        <w:tc>
          <w:tcPr>
            <w:tcW w:w="1908" w:type="dxa"/>
          </w:tcPr>
          <w:p w:rsidR="009277B8" w:rsidRPr="009277B8" w:rsidRDefault="009277B8" w:rsidP="00EC0900">
            <w:pPr>
              <w:rPr>
                <w:rFonts w:ascii="Times New Roman" w:hAnsi="Times New Roman" w:cs="Times New Roman"/>
                <w:sz w:val="24"/>
              </w:rPr>
            </w:pPr>
            <w:r>
              <w:rPr>
                <w:rFonts w:ascii="Times New Roman" w:hAnsi="Times New Roman" w:cs="Times New Roman"/>
                <w:sz w:val="24"/>
              </w:rPr>
              <w:t>Comment 15</w:t>
            </w:r>
            <w:r w:rsidRPr="009277B8">
              <w:rPr>
                <w:rFonts w:ascii="Times New Roman" w:hAnsi="Times New Roman" w:cs="Times New Roman"/>
                <w:sz w:val="24"/>
              </w:rPr>
              <w:t xml:space="preserve"> </w:t>
            </w:r>
          </w:p>
        </w:tc>
        <w:tc>
          <w:tcPr>
            <w:tcW w:w="3510" w:type="dxa"/>
          </w:tcPr>
          <w:p w:rsidR="009277B8" w:rsidRPr="009277B8" w:rsidRDefault="009277B8" w:rsidP="00EC0900">
            <w:pPr>
              <w:rPr>
                <w:rFonts w:ascii="Times New Roman" w:hAnsi="Times New Roman" w:cs="Times New Roman"/>
                <w:sz w:val="24"/>
              </w:rPr>
            </w:pPr>
            <w:r w:rsidRPr="009277B8">
              <w:rPr>
                <w:rFonts w:ascii="Times New Roman" w:hAnsi="Times New Roman" w:cs="Times New Roman"/>
                <w:sz w:val="24"/>
              </w:rPr>
              <w:t>Current Text</w:t>
            </w:r>
          </w:p>
        </w:tc>
        <w:tc>
          <w:tcPr>
            <w:tcW w:w="3780" w:type="dxa"/>
          </w:tcPr>
          <w:p w:rsidR="009277B8" w:rsidRPr="009277B8" w:rsidRDefault="009277B8" w:rsidP="00EC0900">
            <w:pPr>
              <w:rPr>
                <w:rFonts w:ascii="Times New Roman" w:hAnsi="Times New Roman" w:cs="Times New Roman"/>
                <w:sz w:val="24"/>
              </w:rPr>
            </w:pPr>
            <w:r w:rsidRPr="009277B8">
              <w:rPr>
                <w:rFonts w:ascii="Times New Roman" w:hAnsi="Times New Roman" w:cs="Times New Roman"/>
                <w:sz w:val="24"/>
              </w:rPr>
              <w:t>Proposed Text</w:t>
            </w:r>
          </w:p>
        </w:tc>
        <w:tc>
          <w:tcPr>
            <w:tcW w:w="4590" w:type="dxa"/>
          </w:tcPr>
          <w:p w:rsidR="009277B8" w:rsidRPr="009277B8" w:rsidRDefault="009277B8" w:rsidP="00EC0900">
            <w:pPr>
              <w:rPr>
                <w:rFonts w:ascii="Times New Roman" w:hAnsi="Times New Roman" w:cs="Times New Roman"/>
                <w:sz w:val="24"/>
              </w:rPr>
            </w:pPr>
            <w:r w:rsidRPr="009277B8">
              <w:rPr>
                <w:rFonts w:ascii="Times New Roman" w:hAnsi="Times New Roman" w:cs="Times New Roman"/>
                <w:sz w:val="24"/>
              </w:rPr>
              <w:t>Rationale for proposed change</w:t>
            </w:r>
          </w:p>
        </w:tc>
      </w:tr>
      <w:tr w:rsidR="009277B8" w:rsidRPr="009277B8" w:rsidTr="00EC0900">
        <w:trPr>
          <w:cantSplit/>
          <w:trHeight w:val="9647"/>
        </w:trPr>
        <w:tc>
          <w:tcPr>
            <w:tcW w:w="1908" w:type="dxa"/>
          </w:tcPr>
          <w:p w:rsidR="009277B8" w:rsidRPr="009277B8" w:rsidRDefault="009277B8" w:rsidP="00EC0900">
            <w:pPr>
              <w:rPr>
                <w:rFonts w:ascii="Times New Roman" w:hAnsi="Times New Roman" w:cs="Times New Roman"/>
                <w:sz w:val="24"/>
              </w:rPr>
            </w:pPr>
            <w:r w:rsidRPr="009277B8">
              <w:rPr>
                <w:rFonts w:ascii="Times New Roman" w:hAnsi="Times New Roman" w:cs="Times New Roman"/>
                <w:sz w:val="24"/>
              </w:rPr>
              <w:t>Regarding Informal Draft WAC 480-109-020(7)(c)</w:t>
            </w:r>
          </w:p>
        </w:tc>
        <w:tc>
          <w:tcPr>
            <w:tcW w:w="3510" w:type="dxa"/>
          </w:tcPr>
          <w:p w:rsidR="009277B8" w:rsidRPr="009277B8" w:rsidRDefault="009277B8" w:rsidP="00EC0900">
            <w:pPr>
              <w:pStyle w:val="PlainText"/>
              <w:rPr>
                <w:rFonts w:ascii="Times New Roman" w:hAnsi="Times New Roman" w:cs="Times New Roman"/>
                <w:sz w:val="20"/>
                <w:szCs w:val="22"/>
              </w:rPr>
            </w:pPr>
            <w:r w:rsidRPr="009277B8">
              <w:rPr>
                <w:rFonts w:ascii="Times New Roman" w:hAnsi="Times New Roman" w:cs="Times New Roman"/>
                <w:b/>
                <w:sz w:val="20"/>
                <w:szCs w:val="22"/>
              </w:rPr>
              <w:t>Method three.</w:t>
            </w:r>
            <w:r w:rsidRPr="009277B8">
              <w:rPr>
                <w:rFonts w:ascii="Times New Roman" w:hAnsi="Times New Roman" w:cs="Times New Roman"/>
                <w:sz w:val="20"/>
                <w:szCs w:val="22"/>
              </w:rPr>
              <w:t xml:space="preserve"> A pilot method that a utility may use to demonstrate compliance only for target years 2014 to 2017.  Method three is a one-time calculation of the quantity of renewable energy performed by:</w:t>
            </w:r>
          </w:p>
          <w:p w:rsidR="009277B8" w:rsidRPr="009277B8" w:rsidRDefault="009277B8" w:rsidP="009277B8">
            <w:pPr>
              <w:pStyle w:val="PlainText"/>
              <w:numPr>
                <w:ilvl w:val="2"/>
                <w:numId w:val="19"/>
              </w:numPr>
              <w:ind w:left="432" w:hanging="432"/>
              <w:rPr>
                <w:rFonts w:ascii="Times New Roman" w:hAnsi="Times New Roman" w:cs="Times New Roman"/>
                <w:sz w:val="20"/>
                <w:szCs w:val="22"/>
              </w:rPr>
            </w:pPr>
            <w:r w:rsidRPr="009277B8">
              <w:rPr>
                <w:rFonts w:ascii="Times New Roman" w:hAnsi="Times New Roman" w:cs="Times New Roman"/>
                <w:sz w:val="20"/>
                <w:szCs w:val="22"/>
              </w:rPr>
              <w:t>Determining the river discharge for the facility over a historical period of at least XX consecutive years;</w:t>
            </w:r>
          </w:p>
          <w:p w:rsidR="009277B8" w:rsidRPr="009277B8" w:rsidRDefault="009277B8" w:rsidP="009277B8">
            <w:pPr>
              <w:pStyle w:val="PlainText"/>
              <w:numPr>
                <w:ilvl w:val="2"/>
                <w:numId w:val="19"/>
              </w:numPr>
              <w:ind w:left="432" w:hanging="432"/>
              <w:rPr>
                <w:rFonts w:ascii="Times New Roman" w:hAnsi="Times New Roman" w:cs="Times New Roman"/>
                <w:sz w:val="20"/>
                <w:szCs w:val="22"/>
              </w:rPr>
            </w:pPr>
            <w:r w:rsidRPr="009277B8">
              <w:rPr>
                <w:rFonts w:ascii="Times New Roman" w:hAnsi="Times New Roman" w:cs="Times New Roman"/>
                <w:sz w:val="20"/>
                <w:szCs w:val="22"/>
              </w:rPr>
              <w:t>Using a production model to calculate the facility’s generation in megawatt-hours under the river discharge of each year in the historical period for the pre-upgrade state and the post-upgrade state;</w:t>
            </w:r>
            <w:r w:rsidRPr="009277B8" w:rsidDel="00C01D91">
              <w:rPr>
                <w:rFonts w:ascii="Times New Roman" w:hAnsi="Times New Roman" w:cs="Times New Roman"/>
                <w:sz w:val="20"/>
                <w:szCs w:val="22"/>
              </w:rPr>
              <w:t xml:space="preserve"> </w:t>
            </w:r>
          </w:p>
          <w:p w:rsidR="009277B8" w:rsidRPr="009277B8" w:rsidRDefault="009277B8" w:rsidP="009277B8">
            <w:pPr>
              <w:pStyle w:val="PlainText"/>
              <w:numPr>
                <w:ilvl w:val="2"/>
                <w:numId w:val="19"/>
              </w:numPr>
              <w:ind w:left="432" w:hanging="432"/>
              <w:rPr>
                <w:rFonts w:ascii="Times New Roman" w:hAnsi="Times New Roman" w:cs="Times New Roman"/>
                <w:sz w:val="20"/>
                <w:szCs w:val="22"/>
              </w:rPr>
            </w:pPr>
            <w:r w:rsidRPr="009277B8">
              <w:rPr>
                <w:rFonts w:ascii="Times New Roman" w:hAnsi="Times New Roman" w:cs="Times New Roman"/>
                <w:sz w:val="20"/>
                <w:szCs w:val="22"/>
              </w:rPr>
              <w:t>Calculating the arithmetic mean generation of the pre-upgrade and post-upgrade states over the historical period in megawatt hours; and</w:t>
            </w:r>
          </w:p>
          <w:p w:rsidR="009277B8" w:rsidRPr="009277B8" w:rsidRDefault="009277B8" w:rsidP="009277B8">
            <w:pPr>
              <w:pStyle w:val="PlainText"/>
              <w:numPr>
                <w:ilvl w:val="2"/>
                <w:numId w:val="19"/>
              </w:numPr>
              <w:ind w:left="432" w:hanging="432"/>
              <w:rPr>
                <w:rFonts w:ascii="Times New Roman" w:hAnsi="Times New Roman" w:cs="Times New Roman"/>
                <w:sz w:val="20"/>
                <w:szCs w:val="22"/>
              </w:rPr>
            </w:pPr>
            <w:r w:rsidRPr="009277B8">
              <w:rPr>
                <w:rFonts w:ascii="Times New Roman" w:hAnsi="Times New Roman" w:cs="Times New Roman"/>
                <w:sz w:val="20"/>
                <w:szCs w:val="22"/>
              </w:rPr>
              <w:t>Subtracting the arithmetic mean pre-upgrade generation from the arithmetic mean post-upgrade generation to determine the amount of eligible renewable generation for the target year.</w:t>
            </w:r>
          </w:p>
          <w:p w:rsidR="009277B8" w:rsidRPr="009277B8" w:rsidRDefault="009277B8" w:rsidP="009277B8">
            <w:pPr>
              <w:pStyle w:val="PlainText"/>
              <w:numPr>
                <w:ilvl w:val="2"/>
                <w:numId w:val="19"/>
              </w:numPr>
              <w:ind w:left="432" w:hanging="432"/>
              <w:rPr>
                <w:rFonts w:ascii="Times New Roman" w:hAnsi="Times New Roman" w:cs="Times New Roman"/>
                <w:sz w:val="20"/>
                <w:szCs w:val="22"/>
              </w:rPr>
            </w:pPr>
            <w:r w:rsidRPr="009277B8">
              <w:rPr>
                <w:rFonts w:ascii="Times New Roman" w:hAnsi="Times New Roman" w:cs="Times New Roman"/>
                <w:sz w:val="20"/>
                <w:szCs w:val="24"/>
              </w:rPr>
              <w:t>In the utility’s 2017 renewable portfolio standard report, providing an analysis comparing the amount of incremental hydropower the utility reported in the five previous years using method three to the amount of incremental hydropower the utility would have reported over the same period using one of the other two methods. A utility may not use method three to demonstrate compliance for a target year after 2017 unless granted an exemption from this rule by the commission.</w:t>
            </w:r>
          </w:p>
        </w:tc>
        <w:tc>
          <w:tcPr>
            <w:tcW w:w="3780" w:type="dxa"/>
          </w:tcPr>
          <w:p w:rsidR="009277B8" w:rsidRPr="009277B8" w:rsidRDefault="009277B8" w:rsidP="00EC0900">
            <w:pPr>
              <w:pStyle w:val="PlainText"/>
              <w:rPr>
                <w:rFonts w:ascii="Times New Roman" w:hAnsi="Times New Roman" w:cs="Times New Roman"/>
                <w:sz w:val="20"/>
                <w:szCs w:val="22"/>
              </w:rPr>
            </w:pPr>
            <w:r w:rsidRPr="009277B8">
              <w:rPr>
                <w:rFonts w:ascii="Times New Roman" w:hAnsi="Times New Roman" w:cs="Times New Roman"/>
                <w:b/>
                <w:sz w:val="20"/>
                <w:szCs w:val="22"/>
              </w:rPr>
              <w:t>Method three.</w:t>
            </w:r>
            <w:r w:rsidRPr="009277B8">
              <w:rPr>
                <w:rFonts w:ascii="Times New Roman" w:hAnsi="Times New Roman" w:cs="Times New Roman"/>
                <w:sz w:val="20"/>
                <w:szCs w:val="22"/>
              </w:rPr>
              <w:t xml:space="preserve"> </w:t>
            </w:r>
            <w:r w:rsidRPr="009277B8">
              <w:rPr>
                <w:rFonts w:ascii="Times New Roman" w:hAnsi="Times New Roman" w:cs="Times New Roman"/>
                <w:strike/>
                <w:sz w:val="20"/>
                <w:szCs w:val="22"/>
              </w:rPr>
              <w:t xml:space="preserve">A pilot method that a utility may use to demonstrate compliance only for target years 2014 to 2017.  </w:t>
            </w:r>
            <w:r w:rsidRPr="009277B8">
              <w:rPr>
                <w:rFonts w:ascii="Times New Roman" w:hAnsi="Times New Roman" w:cs="Times New Roman"/>
                <w:sz w:val="20"/>
                <w:szCs w:val="22"/>
              </w:rPr>
              <w:t>Method three is a one-time calculation of the quantity of renewable energy performed by:</w:t>
            </w:r>
          </w:p>
          <w:p w:rsidR="009277B8" w:rsidRPr="009277B8" w:rsidRDefault="009277B8" w:rsidP="009277B8">
            <w:pPr>
              <w:pStyle w:val="PlainText"/>
              <w:numPr>
                <w:ilvl w:val="2"/>
                <w:numId w:val="22"/>
              </w:numPr>
              <w:ind w:left="342"/>
              <w:rPr>
                <w:rFonts w:ascii="Times New Roman" w:hAnsi="Times New Roman" w:cs="Times New Roman"/>
                <w:sz w:val="20"/>
                <w:szCs w:val="22"/>
              </w:rPr>
            </w:pPr>
            <w:r w:rsidRPr="009277B8">
              <w:rPr>
                <w:rFonts w:ascii="Times New Roman" w:hAnsi="Times New Roman" w:cs="Times New Roman"/>
                <w:sz w:val="20"/>
                <w:szCs w:val="22"/>
              </w:rPr>
              <w:t xml:space="preserve">Determining the river discharge for the facility over a historical period of at least </w:t>
            </w:r>
            <w:r w:rsidRPr="009277B8">
              <w:rPr>
                <w:rFonts w:ascii="Times New Roman" w:hAnsi="Times New Roman" w:cs="Times New Roman"/>
                <w:strike/>
                <w:sz w:val="20"/>
                <w:szCs w:val="22"/>
              </w:rPr>
              <w:t>XX</w:t>
            </w:r>
            <w:r w:rsidRPr="002113CA">
              <w:rPr>
                <w:rFonts w:ascii="Times New Roman" w:hAnsi="Times New Roman" w:cs="Times New Roman"/>
                <w:color w:val="FF0000"/>
                <w:sz w:val="20"/>
                <w:szCs w:val="22"/>
                <w:u w:val="single"/>
              </w:rPr>
              <w:t>10</w:t>
            </w:r>
            <w:r w:rsidRPr="009277B8">
              <w:rPr>
                <w:rFonts w:ascii="Times New Roman" w:hAnsi="Times New Roman" w:cs="Times New Roman"/>
                <w:sz w:val="20"/>
                <w:szCs w:val="22"/>
              </w:rPr>
              <w:t xml:space="preserve"> consecutive years;</w:t>
            </w:r>
          </w:p>
          <w:p w:rsidR="009277B8" w:rsidRPr="009277B8" w:rsidRDefault="009277B8" w:rsidP="009277B8">
            <w:pPr>
              <w:pStyle w:val="PlainText"/>
              <w:numPr>
                <w:ilvl w:val="2"/>
                <w:numId w:val="22"/>
              </w:numPr>
              <w:ind w:left="342"/>
              <w:rPr>
                <w:rFonts w:ascii="Times New Roman" w:hAnsi="Times New Roman" w:cs="Times New Roman"/>
                <w:sz w:val="20"/>
                <w:szCs w:val="22"/>
              </w:rPr>
            </w:pPr>
            <w:r w:rsidRPr="009277B8">
              <w:rPr>
                <w:rFonts w:ascii="Times New Roman" w:hAnsi="Times New Roman" w:cs="Times New Roman"/>
                <w:sz w:val="20"/>
                <w:szCs w:val="22"/>
              </w:rPr>
              <w:t>Using a production model to calculate the facility’s generation in megawatt-hours under the river discharge of each year in the historical period for the pre-upgrade state and the post-upgrade state;</w:t>
            </w:r>
            <w:r w:rsidRPr="009277B8" w:rsidDel="00C01D91">
              <w:rPr>
                <w:rFonts w:ascii="Times New Roman" w:hAnsi="Times New Roman" w:cs="Times New Roman"/>
                <w:sz w:val="20"/>
                <w:szCs w:val="22"/>
              </w:rPr>
              <w:t xml:space="preserve"> </w:t>
            </w:r>
          </w:p>
          <w:p w:rsidR="009277B8" w:rsidRPr="009277B8" w:rsidRDefault="009277B8" w:rsidP="009277B8">
            <w:pPr>
              <w:pStyle w:val="PlainText"/>
              <w:numPr>
                <w:ilvl w:val="2"/>
                <w:numId w:val="22"/>
              </w:numPr>
              <w:ind w:left="342"/>
              <w:rPr>
                <w:rFonts w:ascii="Times New Roman" w:hAnsi="Times New Roman" w:cs="Times New Roman"/>
                <w:sz w:val="20"/>
                <w:szCs w:val="22"/>
              </w:rPr>
            </w:pPr>
            <w:r w:rsidRPr="009277B8">
              <w:rPr>
                <w:rFonts w:ascii="Times New Roman" w:hAnsi="Times New Roman" w:cs="Times New Roman"/>
                <w:sz w:val="20"/>
                <w:szCs w:val="22"/>
              </w:rPr>
              <w:t>Calculating the arithmetic mean generation of the pre-upgrade and post-upgrade states over the historical period in megawatt hours; and</w:t>
            </w:r>
          </w:p>
          <w:p w:rsidR="009277B8" w:rsidRPr="009277B8" w:rsidRDefault="009277B8" w:rsidP="009277B8">
            <w:pPr>
              <w:pStyle w:val="PlainText"/>
              <w:numPr>
                <w:ilvl w:val="2"/>
                <w:numId w:val="22"/>
              </w:numPr>
              <w:ind w:left="342"/>
              <w:rPr>
                <w:rFonts w:ascii="Times New Roman" w:hAnsi="Times New Roman" w:cs="Times New Roman"/>
                <w:sz w:val="20"/>
              </w:rPr>
            </w:pPr>
            <w:r w:rsidRPr="009277B8">
              <w:rPr>
                <w:rFonts w:ascii="Times New Roman" w:hAnsi="Times New Roman" w:cs="Times New Roman"/>
                <w:sz w:val="20"/>
                <w:szCs w:val="22"/>
              </w:rPr>
              <w:t>Subtracting the arithmetic mean pre-upgrade generation from the arithmetic mean post-upgrade generation to determine the amount of eligible renewable generation for the target year.</w:t>
            </w:r>
          </w:p>
          <w:p w:rsidR="009277B8" w:rsidRPr="009277B8" w:rsidRDefault="009277B8" w:rsidP="009277B8">
            <w:pPr>
              <w:pStyle w:val="PlainText"/>
              <w:numPr>
                <w:ilvl w:val="2"/>
                <w:numId w:val="22"/>
              </w:numPr>
              <w:ind w:left="342"/>
              <w:rPr>
                <w:rFonts w:ascii="Times New Roman" w:hAnsi="Times New Roman" w:cs="Times New Roman"/>
                <w:sz w:val="20"/>
              </w:rPr>
            </w:pPr>
            <w:r w:rsidRPr="009277B8">
              <w:rPr>
                <w:rFonts w:ascii="Times New Roman" w:hAnsi="Times New Roman" w:cs="Times New Roman"/>
                <w:sz w:val="20"/>
                <w:szCs w:val="24"/>
              </w:rPr>
              <w:t xml:space="preserve">In the utility’s 2017 renewable portfolio standard report, providing an analysis comparing the amount of incremental hydropower the utility reported in the five previous years using method three to the amount of incremental hydropower the utility would have reported over the same period using one of the other two methods. </w:t>
            </w:r>
            <w:r w:rsidRPr="009277B8">
              <w:rPr>
                <w:rFonts w:ascii="Times New Roman" w:hAnsi="Times New Roman" w:cs="Times New Roman"/>
                <w:strike/>
                <w:sz w:val="20"/>
                <w:szCs w:val="24"/>
              </w:rPr>
              <w:t>A utility may not use method three to demonstrate compliance for a target year after 2017 unless granted an exemption from this rule by the commission.</w:t>
            </w:r>
          </w:p>
        </w:tc>
        <w:tc>
          <w:tcPr>
            <w:tcW w:w="4590" w:type="dxa"/>
          </w:tcPr>
          <w:p w:rsidR="009277B8" w:rsidRPr="009277B8" w:rsidRDefault="009277B8" w:rsidP="00EC0900">
            <w:pPr>
              <w:contextualSpacing/>
              <w:jc w:val="both"/>
              <w:rPr>
                <w:rFonts w:ascii="Times New Roman" w:hAnsi="Times New Roman" w:cs="Times New Roman"/>
                <w:sz w:val="24"/>
              </w:rPr>
            </w:pPr>
            <w:r w:rsidRPr="009277B8">
              <w:rPr>
                <w:rFonts w:ascii="Times New Roman" w:hAnsi="Times New Roman" w:cs="Times New Roman"/>
                <w:sz w:val="24"/>
              </w:rPr>
              <w:t>The Company offers the following general comments regarding the calculation of incremental hydro generation.</w:t>
            </w:r>
          </w:p>
          <w:p w:rsidR="009277B8" w:rsidRPr="009277B8" w:rsidRDefault="009277B8" w:rsidP="009277B8">
            <w:pPr>
              <w:pStyle w:val="ListParagraph"/>
              <w:numPr>
                <w:ilvl w:val="0"/>
                <w:numId w:val="21"/>
              </w:numPr>
              <w:rPr>
                <w:rFonts w:ascii="Times New Roman" w:hAnsi="Times New Roman" w:cs="Times New Roman"/>
              </w:rPr>
            </w:pPr>
            <w:r w:rsidRPr="009277B8">
              <w:rPr>
                <w:rFonts w:ascii="Times New Roman" w:hAnsi="Times New Roman" w:cs="Times New Roman"/>
              </w:rPr>
              <w:t xml:space="preserve">In the case of incremental hydro transferred from a one qualifying utility to another. The calculated amount of incremental hydro by the owning utility should be used as the incremental hydro estimate as long as the methodology has been approved by its governing body. </w:t>
            </w:r>
          </w:p>
          <w:p w:rsidR="009277B8" w:rsidRPr="009277B8" w:rsidRDefault="009277B8" w:rsidP="009277B8">
            <w:pPr>
              <w:pStyle w:val="ListParagraph"/>
              <w:numPr>
                <w:ilvl w:val="0"/>
                <w:numId w:val="21"/>
              </w:numPr>
              <w:rPr>
                <w:rFonts w:ascii="Times New Roman" w:hAnsi="Times New Roman" w:cs="Times New Roman"/>
              </w:rPr>
            </w:pPr>
            <w:r w:rsidRPr="009277B8">
              <w:rPr>
                <w:rFonts w:ascii="Times New Roman" w:hAnsi="Times New Roman" w:cs="Times New Roman"/>
              </w:rPr>
              <w:t>Avista does not believe Method 3, agreed to by parties at prior workshops, is or should be treated as a pilot.  The proposed language includes a bias and pre-judgment that the 2017 reporting on Method 3 will find its application invalid.  Avista believes Method 3 is entirely valid and meets Washington State law. Any determination of Method 3 should be postponed until after the 2017 reporting.</w:t>
            </w:r>
          </w:p>
          <w:p w:rsidR="009277B8" w:rsidRPr="009277B8" w:rsidRDefault="009277B8" w:rsidP="00EC0900">
            <w:pPr>
              <w:rPr>
                <w:rFonts w:ascii="Times New Roman" w:hAnsi="Times New Roman" w:cs="Times New Roman"/>
                <w:sz w:val="20"/>
              </w:rPr>
            </w:pPr>
          </w:p>
        </w:tc>
      </w:tr>
    </w:tbl>
    <w:p w:rsidR="009277B8" w:rsidRPr="009277B8" w:rsidRDefault="009277B8" w:rsidP="009277B8">
      <w:pPr>
        <w:rPr>
          <w:rFonts w:ascii="Times New Roman" w:hAnsi="Times New Roman" w:cs="Times New Roman"/>
          <w:sz w:val="24"/>
          <w:szCs w:val="24"/>
        </w:rPr>
      </w:pPr>
    </w:p>
    <w:p w:rsidR="009277B8" w:rsidRPr="009277B8" w:rsidRDefault="009277B8" w:rsidP="009277B8">
      <w:pPr>
        <w:rPr>
          <w:rFonts w:ascii="Times New Roman" w:hAnsi="Times New Roman" w:cs="Times New Roman"/>
          <w:sz w:val="24"/>
          <w:szCs w:val="24"/>
        </w:rPr>
      </w:pPr>
    </w:p>
    <w:p w:rsidR="009277B8" w:rsidRPr="009277B8" w:rsidRDefault="009277B8" w:rsidP="009277B8">
      <w:pPr>
        <w:rPr>
          <w:rFonts w:ascii="Times New Roman" w:hAnsi="Times New Roman" w:cs="Times New Roman"/>
          <w:sz w:val="24"/>
          <w:szCs w:val="24"/>
        </w:rPr>
      </w:pPr>
    </w:p>
    <w:tbl>
      <w:tblPr>
        <w:tblStyle w:val="TableGrid"/>
        <w:tblW w:w="0" w:type="auto"/>
        <w:tblLook w:val="04A0"/>
      </w:tblPr>
      <w:tblGrid>
        <w:gridCol w:w="1908"/>
        <w:gridCol w:w="3510"/>
        <w:gridCol w:w="3780"/>
        <w:gridCol w:w="4590"/>
      </w:tblGrid>
      <w:tr w:rsidR="009277B8" w:rsidRPr="009277B8" w:rsidTr="00EC0900">
        <w:trPr>
          <w:cantSplit/>
        </w:trPr>
        <w:tc>
          <w:tcPr>
            <w:tcW w:w="1908" w:type="dxa"/>
          </w:tcPr>
          <w:p w:rsidR="009277B8" w:rsidRPr="009277B8" w:rsidRDefault="009277B8" w:rsidP="003F4CD8">
            <w:pPr>
              <w:rPr>
                <w:rFonts w:ascii="Times New Roman" w:hAnsi="Times New Roman" w:cs="Times New Roman"/>
                <w:sz w:val="24"/>
                <w:szCs w:val="24"/>
              </w:rPr>
            </w:pPr>
            <w:r w:rsidRPr="009277B8">
              <w:rPr>
                <w:rFonts w:ascii="Times New Roman" w:hAnsi="Times New Roman" w:cs="Times New Roman"/>
                <w:sz w:val="24"/>
                <w:szCs w:val="24"/>
              </w:rPr>
              <w:t xml:space="preserve">Comment </w:t>
            </w:r>
            <w:r w:rsidR="003F4CD8">
              <w:rPr>
                <w:rFonts w:ascii="Times New Roman" w:hAnsi="Times New Roman" w:cs="Times New Roman"/>
                <w:sz w:val="24"/>
                <w:szCs w:val="24"/>
              </w:rPr>
              <w:t>16</w:t>
            </w:r>
          </w:p>
        </w:tc>
        <w:tc>
          <w:tcPr>
            <w:tcW w:w="3510" w:type="dxa"/>
          </w:tcPr>
          <w:p w:rsidR="009277B8" w:rsidRPr="009277B8" w:rsidRDefault="009277B8" w:rsidP="00EC0900">
            <w:pPr>
              <w:rPr>
                <w:rFonts w:ascii="Times New Roman" w:hAnsi="Times New Roman" w:cs="Times New Roman"/>
                <w:sz w:val="24"/>
                <w:szCs w:val="24"/>
              </w:rPr>
            </w:pPr>
            <w:r w:rsidRPr="009277B8">
              <w:rPr>
                <w:rFonts w:ascii="Times New Roman" w:hAnsi="Times New Roman" w:cs="Times New Roman"/>
                <w:sz w:val="24"/>
                <w:szCs w:val="24"/>
              </w:rPr>
              <w:t>Current Text</w:t>
            </w:r>
          </w:p>
        </w:tc>
        <w:tc>
          <w:tcPr>
            <w:tcW w:w="3780" w:type="dxa"/>
          </w:tcPr>
          <w:p w:rsidR="009277B8" w:rsidRPr="009277B8" w:rsidRDefault="009277B8" w:rsidP="00EC0900">
            <w:pPr>
              <w:rPr>
                <w:rFonts w:ascii="Times New Roman" w:hAnsi="Times New Roman" w:cs="Times New Roman"/>
                <w:sz w:val="24"/>
                <w:szCs w:val="24"/>
              </w:rPr>
            </w:pPr>
            <w:r w:rsidRPr="009277B8">
              <w:rPr>
                <w:rFonts w:ascii="Times New Roman" w:hAnsi="Times New Roman" w:cs="Times New Roman"/>
                <w:sz w:val="24"/>
                <w:szCs w:val="24"/>
              </w:rPr>
              <w:t>Proposed Text</w:t>
            </w:r>
          </w:p>
        </w:tc>
        <w:tc>
          <w:tcPr>
            <w:tcW w:w="4590" w:type="dxa"/>
          </w:tcPr>
          <w:p w:rsidR="009277B8" w:rsidRPr="009277B8" w:rsidRDefault="009277B8" w:rsidP="00EC0900">
            <w:pPr>
              <w:rPr>
                <w:rFonts w:ascii="Times New Roman" w:hAnsi="Times New Roman" w:cs="Times New Roman"/>
                <w:sz w:val="24"/>
                <w:szCs w:val="24"/>
              </w:rPr>
            </w:pPr>
            <w:r w:rsidRPr="009277B8">
              <w:rPr>
                <w:rFonts w:ascii="Times New Roman" w:hAnsi="Times New Roman" w:cs="Times New Roman"/>
                <w:sz w:val="24"/>
                <w:szCs w:val="24"/>
              </w:rPr>
              <w:t>Rationale for proposed change</w:t>
            </w:r>
          </w:p>
        </w:tc>
      </w:tr>
      <w:tr w:rsidR="009277B8" w:rsidRPr="009277B8" w:rsidTr="00EC0900">
        <w:trPr>
          <w:cantSplit/>
          <w:trHeight w:val="2312"/>
        </w:trPr>
        <w:tc>
          <w:tcPr>
            <w:tcW w:w="1908" w:type="dxa"/>
          </w:tcPr>
          <w:p w:rsidR="009277B8" w:rsidRPr="009277B8" w:rsidRDefault="009277B8" w:rsidP="00EC0900">
            <w:pPr>
              <w:rPr>
                <w:rFonts w:ascii="Times New Roman" w:hAnsi="Times New Roman" w:cs="Times New Roman"/>
                <w:sz w:val="24"/>
                <w:szCs w:val="24"/>
              </w:rPr>
            </w:pPr>
            <w:r w:rsidRPr="009277B8">
              <w:rPr>
                <w:rFonts w:ascii="Times New Roman" w:hAnsi="Times New Roman" w:cs="Times New Roman"/>
                <w:sz w:val="24"/>
                <w:szCs w:val="24"/>
              </w:rPr>
              <w:t>Regarding Informal Draft WAC 480-109-020(8)(c)</w:t>
            </w:r>
          </w:p>
        </w:tc>
        <w:tc>
          <w:tcPr>
            <w:tcW w:w="3510" w:type="dxa"/>
          </w:tcPr>
          <w:p w:rsidR="009277B8" w:rsidRPr="009277B8" w:rsidRDefault="009277B8" w:rsidP="00EC0900">
            <w:pPr>
              <w:pStyle w:val="PlainText"/>
              <w:ind w:left="342" w:hanging="342"/>
              <w:rPr>
                <w:rFonts w:ascii="Times New Roman" w:hAnsi="Times New Roman" w:cs="Times New Roman"/>
                <w:sz w:val="24"/>
                <w:szCs w:val="24"/>
              </w:rPr>
            </w:pPr>
            <w:r w:rsidRPr="009277B8">
              <w:rPr>
                <w:rFonts w:ascii="Times New Roman" w:hAnsi="Times New Roman" w:cs="Times New Roman"/>
                <w:sz w:val="24"/>
                <w:szCs w:val="24"/>
              </w:rPr>
              <w:t xml:space="preserve">(c)  A utility that owns a qualified biomass energy facility may not transfer or sell renewable energy credits associated with qualified biomass energy to another person, entity, or utility. </w:t>
            </w:r>
          </w:p>
          <w:p w:rsidR="009277B8" w:rsidRPr="009277B8" w:rsidRDefault="009277B8" w:rsidP="00EC0900">
            <w:pPr>
              <w:rPr>
                <w:rFonts w:ascii="Times New Roman" w:hAnsi="Times New Roman" w:cs="Times New Roman"/>
                <w:sz w:val="24"/>
                <w:szCs w:val="24"/>
              </w:rPr>
            </w:pPr>
          </w:p>
        </w:tc>
        <w:tc>
          <w:tcPr>
            <w:tcW w:w="3780" w:type="dxa"/>
          </w:tcPr>
          <w:p w:rsidR="009277B8" w:rsidRPr="009277B8" w:rsidRDefault="009277B8" w:rsidP="00EC0900">
            <w:pPr>
              <w:pStyle w:val="PlainText"/>
              <w:ind w:left="342" w:hanging="342"/>
              <w:rPr>
                <w:rFonts w:ascii="Times New Roman" w:hAnsi="Times New Roman" w:cs="Times New Roman"/>
                <w:sz w:val="24"/>
                <w:szCs w:val="24"/>
              </w:rPr>
            </w:pPr>
            <w:r w:rsidRPr="009277B8">
              <w:rPr>
                <w:rFonts w:ascii="Times New Roman" w:hAnsi="Times New Roman" w:cs="Times New Roman"/>
                <w:sz w:val="24"/>
                <w:szCs w:val="24"/>
              </w:rPr>
              <w:t>(c)  A utility that owns a qualified biomass energy facility may not transfer or sell renewable energy credits associated with qualified biomass energy to another person, entity, or utility</w:t>
            </w:r>
            <w:r w:rsidRPr="009277B8">
              <w:rPr>
                <w:rFonts w:ascii="Times New Roman" w:hAnsi="Times New Roman" w:cs="Times New Roman"/>
                <w:color w:val="FF0000"/>
                <w:sz w:val="24"/>
                <w:szCs w:val="24"/>
                <w:u w:val="single"/>
              </w:rPr>
              <w:t xml:space="preserve"> for compliance with WAC 480-109-020</w:t>
            </w:r>
            <w:r w:rsidRPr="009277B8">
              <w:rPr>
                <w:rFonts w:ascii="Times New Roman" w:hAnsi="Times New Roman" w:cs="Times New Roman"/>
                <w:sz w:val="24"/>
                <w:szCs w:val="24"/>
              </w:rPr>
              <w:t xml:space="preserve">. </w:t>
            </w:r>
          </w:p>
          <w:p w:rsidR="009277B8" w:rsidRPr="009277B8" w:rsidRDefault="009277B8" w:rsidP="00EC0900">
            <w:pPr>
              <w:rPr>
                <w:rFonts w:ascii="Times New Roman" w:hAnsi="Times New Roman" w:cs="Times New Roman"/>
                <w:sz w:val="24"/>
                <w:szCs w:val="24"/>
              </w:rPr>
            </w:pPr>
          </w:p>
        </w:tc>
        <w:tc>
          <w:tcPr>
            <w:tcW w:w="4590" w:type="dxa"/>
          </w:tcPr>
          <w:p w:rsidR="009277B8" w:rsidRPr="009277B8" w:rsidRDefault="009277B8" w:rsidP="00EC0900">
            <w:pPr>
              <w:contextualSpacing/>
              <w:rPr>
                <w:rFonts w:ascii="Times New Roman" w:eastAsia="Times New Roman" w:hAnsi="Times New Roman" w:cs="Times New Roman"/>
                <w:sz w:val="24"/>
                <w:szCs w:val="24"/>
              </w:rPr>
            </w:pPr>
            <w:r w:rsidRPr="009277B8">
              <w:rPr>
                <w:rFonts w:ascii="Times New Roman" w:eastAsia="Times New Roman" w:hAnsi="Times New Roman" w:cs="Times New Roman"/>
                <w:sz w:val="24"/>
                <w:szCs w:val="24"/>
              </w:rPr>
              <w:t xml:space="preserve">Without this clarification it is not clear if the utility may sell RECs for other reasons apart from compliance. </w:t>
            </w:r>
          </w:p>
          <w:p w:rsidR="009277B8" w:rsidRPr="009277B8" w:rsidRDefault="009277B8" w:rsidP="00EC0900">
            <w:pPr>
              <w:rPr>
                <w:rFonts w:ascii="Times New Roman" w:hAnsi="Times New Roman" w:cs="Times New Roman"/>
                <w:sz w:val="24"/>
                <w:szCs w:val="24"/>
              </w:rPr>
            </w:pPr>
          </w:p>
        </w:tc>
      </w:tr>
    </w:tbl>
    <w:p w:rsidR="009277B8" w:rsidRPr="009277B8" w:rsidRDefault="009277B8" w:rsidP="009277B8">
      <w:pPr>
        <w:rPr>
          <w:rFonts w:ascii="Times New Roman" w:hAnsi="Times New Roman" w:cs="Times New Roman"/>
          <w:sz w:val="24"/>
          <w:szCs w:val="24"/>
        </w:rPr>
      </w:pPr>
    </w:p>
    <w:p w:rsidR="009277B8" w:rsidRPr="009277B8" w:rsidRDefault="009277B8" w:rsidP="009277B8">
      <w:pPr>
        <w:rPr>
          <w:rFonts w:ascii="Times New Roman" w:hAnsi="Times New Roman" w:cs="Times New Roman"/>
          <w:sz w:val="24"/>
          <w:szCs w:val="24"/>
        </w:rPr>
      </w:pPr>
    </w:p>
    <w:p w:rsidR="009277B8" w:rsidRPr="009277B8" w:rsidRDefault="009277B8" w:rsidP="009277B8">
      <w:pPr>
        <w:rPr>
          <w:rFonts w:ascii="Times New Roman" w:hAnsi="Times New Roman" w:cs="Times New Roman"/>
          <w:sz w:val="24"/>
          <w:szCs w:val="24"/>
        </w:rPr>
      </w:pPr>
    </w:p>
    <w:tbl>
      <w:tblPr>
        <w:tblStyle w:val="TableGrid"/>
        <w:tblW w:w="0" w:type="auto"/>
        <w:tblLook w:val="04A0"/>
      </w:tblPr>
      <w:tblGrid>
        <w:gridCol w:w="1908"/>
        <w:gridCol w:w="3510"/>
        <w:gridCol w:w="3780"/>
        <w:gridCol w:w="4590"/>
      </w:tblGrid>
      <w:tr w:rsidR="009277B8" w:rsidRPr="009277B8" w:rsidTr="00EC0900">
        <w:trPr>
          <w:cantSplit/>
        </w:trPr>
        <w:tc>
          <w:tcPr>
            <w:tcW w:w="1908" w:type="dxa"/>
          </w:tcPr>
          <w:p w:rsidR="009277B8" w:rsidRPr="009277B8" w:rsidRDefault="009277B8" w:rsidP="003F4CD8">
            <w:pPr>
              <w:rPr>
                <w:rFonts w:ascii="Times New Roman" w:hAnsi="Times New Roman" w:cs="Times New Roman"/>
                <w:sz w:val="24"/>
                <w:szCs w:val="24"/>
              </w:rPr>
            </w:pPr>
            <w:r w:rsidRPr="009277B8">
              <w:rPr>
                <w:rFonts w:ascii="Times New Roman" w:hAnsi="Times New Roman" w:cs="Times New Roman"/>
                <w:sz w:val="24"/>
                <w:szCs w:val="24"/>
              </w:rPr>
              <w:t xml:space="preserve">Comment </w:t>
            </w:r>
            <w:r w:rsidR="003F4CD8">
              <w:rPr>
                <w:rFonts w:ascii="Times New Roman" w:hAnsi="Times New Roman" w:cs="Times New Roman"/>
                <w:sz w:val="24"/>
                <w:szCs w:val="24"/>
              </w:rPr>
              <w:t>17</w:t>
            </w:r>
          </w:p>
        </w:tc>
        <w:tc>
          <w:tcPr>
            <w:tcW w:w="3510" w:type="dxa"/>
          </w:tcPr>
          <w:p w:rsidR="009277B8" w:rsidRPr="009277B8" w:rsidRDefault="009277B8" w:rsidP="00EC0900">
            <w:pPr>
              <w:rPr>
                <w:rFonts w:ascii="Times New Roman" w:hAnsi="Times New Roman" w:cs="Times New Roman"/>
                <w:sz w:val="24"/>
                <w:szCs w:val="24"/>
              </w:rPr>
            </w:pPr>
            <w:r w:rsidRPr="009277B8">
              <w:rPr>
                <w:rFonts w:ascii="Times New Roman" w:hAnsi="Times New Roman" w:cs="Times New Roman"/>
                <w:sz w:val="24"/>
                <w:szCs w:val="24"/>
              </w:rPr>
              <w:t>Current Text</w:t>
            </w:r>
          </w:p>
        </w:tc>
        <w:tc>
          <w:tcPr>
            <w:tcW w:w="3780" w:type="dxa"/>
          </w:tcPr>
          <w:p w:rsidR="009277B8" w:rsidRPr="009277B8" w:rsidRDefault="009277B8" w:rsidP="00EC0900">
            <w:pPr>
              <w:rPr>
                <w:rFonts w:ascii="Times New Roman" w:hAnsi="Times New Roman" w:cs="Times New Roman"/>
                <w:sz w:val="24"/>
                <w:szCs w:val="24"/>
              </w:rPr>
            </w:pPr>
            <w:r w:rsidRPr="009277B8">
              <w:rPr>
                <w:rFonts w:ascii="Times New Roman" w:hAnsi="Times New Roman" w:cs="Times New Roman"/>
                <w:sz w:val="24"/>
                <w:szCs w:val="24"/>
              </w:rPr>
              <w:t>Proposed Text</w:t>
            </w:r>
          </w:p>
        </w:tc>
        <w:tc>
          <w:tcPr>
            <w:tcW w:w="4590" w:type="dxa"/>
          </w:tcPr>
          <w:p w:rsidR="009277B8" w:rsidRPr="009277B8" w:rsidRDefault="009277B8" w:rsidP="00EC0900">
            <w:pPr>
              <w:rPr>
                <w:rFonts w:ascii="Times New Roman" w:hAnsi="Times New Roman" w:cs="Times New Roman"/>
                <w:sz w:val="24"/>
                <w:szCs w:val="24"/>
              </w:rPr>
            </w:pPr>
            <w:r w:rsidRPr="009277B8">
              <w:rPr>
                <w:rFonts w:ascii="Times New Roman" w:hAnsi="Times New Roman" w:cs="Times New Roman"/>
                <w:sz w:val="24"/>
                <w:szCs w:val="24"/>
              </w:rPr>
              <w:t>Rationale for proposed change</w:t>
            </w:r>
          </w:p>
        </w:tc>
      </w:tr>
      <w:tr w:rsidR="009277B8" w:rsidRPr="009277B8" w:rsidTr="00EC0900">
        <w:trPr>
          <w:cantSplit/>
          <w:trHeight w:val="4032"/>
        </w:trPr>
        <w:tc>
          <w:tcPr>
            <w:tcW w:w="1908" w:type="dxa"/>
          </w:tcPr>
          <w:p w:rsidR="009277B8" w:rsidRPr="009277B8" w:rsidRDefault="009277B8" w:rsidP="00EC0900">
            <w:pPr>
              <w:rPr>
                <w:rFonts w:ascii="Times New Roman" w:hAnsi="Times New Roman" w:cs="Times New Roman"/>
                <w:sz w:val="24"/>
                <w:szCs w:val="24"/>
              </w:rPr>
            </w:pPr>
            <w:r w:rsidRPr="009277B8">
              <w:rPr>
                <w:rFonts w:ascii="Times New Roman" w:hAnsi="Times New Roman" w:cs="Times New Roman"/>
                <w:sz w:val="24"/>
                <w:szCs w:val="24"/>
              </w:rPr>
              <w:t>Regarding Informal Draft WAC 480-109-040(2)(a)</w:t>
            </w:r>
          </w:p>
        </w:tc>
        <w:tc>
          <w:tcPr>
            <w:tcW w:w="3510" w:type="dxa"/>
          </w:tcPr>
          <w:p w:rsidR="009277B8" w:rsidRPr="009277B8" w:rsidRDefault="009277B8" w:rsidP="00EC0900">
            <w:pPr>
              <w:pStyle w:val="PlainText"/>
              <w:rPr>
                <w:rFonts w:ascii="Times New Roman" w:hAnsi="Times New Roman" w:cs="Times New Roman"/>
                <w:sz w:val="24"/>
                <w:szCs w:val="24"/>
              </w:rPr>
            </w:pPr>
            <w:r w:rsidRPr="009277B8">
              <w:rPr>
                <w:rFonts w:ascii="Times New Roman" w:hAnsi="Times New Roman" w:cs="Times New Roman"/>
                <w:b/>
                <w:sz w:val="24"/>
                <w:szCs w:val="24"/>
              </w:rPr>
              <w:t xml:space="preserve">Incremental cost calculation. </w:t>
            </w:r>
            <w:r w:rsidRPr="009277B8">
              <w:rPr>
                <w:rFonts w:ascii="Times New Roman" w:hAnsi="Times New Roman" w:cs="Times New Roman"/>
                <w:sz w:val="24"/>
                <w:szCs w:val="24"/>
              </w:rPr>
              <w:t>To calculate its incremental cost, a utility must:</w:t>
            </w:r>
          </w:p>
          <w:p w:rsidR="009277B8" w:rsidRPr="009277B8" w:rsidRDefault="009277B8" w:rsidP="009277B8">
            <w:pPr>
              <w:pStyle w:val="PlainText"/>
              <w:numPr>
                <w:ilvl w:val="2"/>
                <w:numId w:val="24"/>
              </w:numPr>
              <w:ind w:left="252" w:hanging="252"/>
              <w:rPr>
                <w:rFonts w:ascii="Times New Roman" w:hAnsi="Times New Roman" w:cs="Times New Roman"/>
                <w:sz w:val="24"/>
                <w:szCs w:val="24"/>
              </w:rPr>
            </w:pPr>
            <w:r w:rsidRPr="009277B8">
              <w:rPr>
                <w:rFonts w:ascii="Times New Roman" w:hAnsi="Times New Roman" w:cs="Times New Roman"/>
                <w:sz w:val="24"/>
                <w:szCs w:val="24"/>
              </w:rPr>
              <w:t>Determine the levelized cost of energy for each eligible resource, including integration costs, expressed in dollars per megawatt hour;</w:t>
            </w:r>
          </w:p>
          <w:p w:rsidR="009277B8" w:rsidRPr="009277B8" w:rsidRDefault="009277B8" w:rsidP="00EC0900">
            <w:pPr>
              <w:pStyle w:val="PlainText"/>
              <w:ind w:left="252"/>
              <w:rPr>
                <w:rFonts w:ascii="Times New Roman" w:hAnsi="Times New Roman" w:cs="Times New Roman"/>
                <w:sz w:val="24"/>
                <w:szCs w:val="24"/>
              </w:rPr>
            </w:pPr>
          </w:p>
        </w:tc>
        <w:tc>
          <w:tcPr>
            <w:tcW w:w="3780" w:type="dxa"/>
          </w:tcPr>
          <w:p w:rsidR="009277B8" w:rsidRPr="009277B8" w:rsidRDefault="009277B8" w:rsidP="00EC0900">
            <w:pPr>
              <w:pStyle w:val="PlainText"/>
              <w:rPr>
                <w:rFonts w:ascii="Times New Roman" w:hAnsi="Times New Roman" w:cs="Times New Roman"/>
                <w:sz w:val="24"/>
                <w:szCs w:val="24"/>
              </w:rPr>
            </w:pPr>
            <w:r w:rsidRPr="009277B8">
              <w:rPr>
                <w:rFonts w:ascii="Times New Roman" w:hAnsi="Times New Roman" w:cs="Times New Roman"/>
                <w:b/>
                <w:sz w:val="24"/>
                <w:szCs w:val="24"/>
              </w:rPr>
              <w:t xml:space="preserve">Incremental cost calculation. </w:t>
            </w:r>
            <w:r w:rsidRPr="009277B8">
              <w:rPr>
                <w:rFonts w:ascii="Times New Roman" w:hAnsi="Times New Roman" w:cs="Times New Roman"/>
                <w:sz w:val="24"/>
                <w:szCs w:val="24"/>
              </w:rPr>
              <w:t>To calculate its incremental cost, a utility must:</w:t>
            </w:r>
          </w:p>
          <w:p w:rsidR="009277B8" w:rsidRPr="009277B8" w:rsidRDefault="009277B8" w:rsidP="009277B8">
            <w:pPr>
              <w:pStyle w:val="PlainText"/>
              <w:numPr>
                <w:ilvl w:val="2"/>
                <w:numId w:val="27"/>
              </w:numPr>
              <w:ind w:left="342" w:hanging="342"/>
              <w:rPr>
                <w:rFonts w:ascii="Times New Roman" w:hAnsi="Times New Roman" w:cs="Times New Roman"/>
                <w:sz w:val="24"/>
                <w:szCs w:val="24"/>
              </w:rPr>
            </w:pPr>
            <w:r w:rsidRPr="009277B8">
              <w:rPr>
                <w:rFonts w:ascii="Times New Roman" w:hAnsi="Times New Roman" w:cs="Times New Roman"/>
                <w:sz w:val="24"/>
                <w:szCs w:val="24"/>
              </w:rPr>
              <w:t>Determine the levelized cost of energy for each eligible resource, including integration costs, expressed in dollars per megawatt hour;</w:t>
            </w:r>
          </w:p>
          <w:p w:rsidR="009277B8" w:rsidRPr="009277B8" w:rsidRDefault="009277B8" w:rsidP="009277B8">
            <w:pPr>
              <w:pStyle w:val="PlainText"/>
              <w:numPr>
                <w:ilvl w:val="2"/>
                <w:numId w:val="27"/>
              </w:numPr>
              <w:ind w:left="342" w:hanging="342"/>
              <w:rPr>
                <w:rFonts w:ascii="Times New Roman" w:hAnsi="Times New Roman" w:cs="Times New Roman"/>
                <w:color w:val="FF0000"/>
                <w:sz w:val="24"/>
                <w:szCs w:val="24"/>
                <w:u w:val="single"/>
              </w:rPr>
            </w:pPr>
            <w:r w:rsidRPr="009277B8">
              <w:rPr>
                <w:rFonts w:ascii="Times New Roman" w:hAnsi="Times New Roman" w:cs="Times New Roman"/>
                <w:color w:val="FF0000"/>
                <w:sz w:val="24"/>
                <w:szCs w:val="24"/>
                <w:u w:val="single"/>
              </w:rPr>
              <w:t>Resources and/or contracts either acquired or in development prior to November 2006 have zero incremental cost. Additionally, resources that have been in service for their original intended life (prior major life extension investments), shall have zero incremental cost.</w:t>
            </w:r>
          </w:p>
          <w:p w:rsidR="009277B8" w:rsidRPr="009277B8" w:rsidRDefault="009277B8" w:rsidP="00EC0900">
            <w:pPr>
              <w:ind w:left="252" w:hanging="252"/>
              <w:rPr>
                <w:rFonts w:ascii="Times New Roman" w:hAnsi="Times New Roman" w:cs="Times New Roman"/>
                <w:sz w:val="24"/>
                <w:szCs w:val="24"/>
              </w:rPr>
            </w:pPr>
          </w:p>
        </w:tc>
        <w:tc>
          <w:tcPr>
            <w:tcW w:w="4590" w:type="dxa"/>
          </w:tcPr>
          <w:p w:rsidR="009277B8" w:rsidRPr="009277B8" w:rsidRDefault="009277B8" w:rsidP="00EC0900">
            <w:pPr>
              <w:rPr>
                <w:rFonts w:ascii="Times New Roman" w:hAnsi="Times New Roman" w:cs="Times New Roman"/>
                <w:sz w:val="24"/>
                <w:szCs w:val="24"/>
              </w:rPr>
            </w:pPr>
            <w:r w:rsidRPr="009277B8">
              <w:rPr>
                <w:rFonts w:ascii="Times New Roman" w:hAnsi="Times New Roman" w:cs="Times New Roman"/>
                <w:sz w:val="24"/>
                <w:szCs w:val="24"/>
              </w:rPr>
              <w:t xml:space="preserve">Resources acquired or </w:t>
            </w:r>
            <w:r w:rsidR="00BF596B">
              <w:rPr>
                <w:rFonts w:ascii="Times New Roman" w:hAnsi="Times New Roman" w:cs="Times New Roman"/>
                <w:sz w:val="24"/>
                <w:szCs w:val="24"/>
              </w:rPr>
              <w:t>committed/</w:t>
            </w:r>
            <w:r w:rsidRPr="009277B8">
              <w:rPr>
                <w:rFonts w:ascii="Times New Roman" w:hAnsi="Times New Roman" w:cs="Times New Roman"/>
                <w:sz w:val="24"/>
                <w:szCs w:val="24"/>
              </w:rPr>
              <w:t xml:space="preserve">contracted for prior to the enactment I-937 were meant for a different purpose than for compliance with the law. Including the costs/benefits for these resources would detract from the intent of calculating the incremental cost of complying with the renewable requirement.  For this reason the Company proposes that resources or contracts acquired or in development prior to November 2006 have zero incremental costs. </w:t>
            </w:r>
          </w:p>
          <w:p w:rsidR="009277B8" w:rsidRPr="009277B8" w:rsidRDefault="009277B8" w:rsidP="00EC0900">
            <w:pPr>
              <w:rPr>
                <w:rFonts w:ascii="Times New Roman" w:hAnsi="Times New Roman" w:cs="Times New Roman"/>
                <w:sz w:val="24"/>
                <w:szCs w:val="24"/>
              </w:rPr>
            </w:pPr>
          </w:p>
          <w:p w:rsidR="009277B8" w:rsidRPr="009277B8" w:rsidRDefault="009277B8" w:rsidP="00EC0900">
            <w:pPr>
              <w:rPr>
                <w:rFonts w:ascii="Times New Roman" w:hAnsi="Times New Roman" w:cs="Times New Roman"/>
              </w:rPr>
            </w:pPr>
            <w:r w:rsidRPr="009277B8">
              <w:rPr>
                <w:rFonts w:ascii="Times New Roman" w:hAnsi="Times New Roman" w:cs="Times New Roman"/>
                <w:sz w:val="24"/>
                <w:szCs w:val="24"/>
              </w:rPr>
              <w:t>Further, if a qualifying facility has been in service beyond its original intended service life it should have zero incremental cost as it is fully depreciated or a new analysis should be performed if investments are made to extend the service life.</w:t>
            </w:r>
          </w:p>
        </w:tc>
      </w:tr>
    </w:tbl>
    <w:p w:rsidR="009277B8" w:rsidRPr="009277B8" w:rsidRDefault="009277B8" w:rsidP="009277B8">
      <w:pPr>
        <w:rPr>
          <w:rFonts w:ascii="Times New Roman" w:hAnsi="Times New Roman" w:cs="Times New Roman"/>
          <w:sz w:val="24"/>
          <w:szCs w:val="24"/>
        </w:rPr>
      </w:pPr>
    </w:p>
    <w:p w:rsidR="009277B8" w:rsidRPr="009277B8" w:rsidRDefault="009277B8" w:rsidP="009277B8">
      <w:pPr>
        <w:rPr>
          <w:rFonts w:ascii="Times New Roman" w:hAnsi="Times New Roman" w:cs="Times New Roman"/>
          <w:sz w:val="24"/>
          <w:szCs w:val="24"/>
        </w:rPr>
      </w:pPr>
    </w:p>
    <w:p w:rsidR="009277B8" w:rsidRPr="009277B8" w:rsidRDefault="009277B8" w:rsidP="009277B8">
      <w:pPr>
        <w:rPr>
          <w:rFonts w:ascii="Times New Roman" w:hAnsi="Times New Roman" w:cs="Times New Roman"/>
          <w:sz w:val="24"/>
          <w:szCs w:val="24"/>
        </w:rPr>
      </w:pPr>
    </w:p>
    <w:p w:rsidR="009277B8" w:rsidRPr="009277B8" w:rsidRDefault="009277B8" w:rsidP="009277B8">
      <w:pPr>
        <w:rPr>
          <w:rFonts w:ascii="Times New Roman" w:hAnsi="Times New Roman" w:cs="Times New Roman"/>
          <w:sz w:val="24"/>
          <w:szCs w:val="24"/>
        </w:rPr>
      </w:pPr>
    </w:p>
    <w:tbl>
      <w:tblPr>
        <w:tblStyle w:val="TableGrid"/>
        <w:tblW w:w="0" w:type="auto"/>
        <w:tblLook w:val="04A0"/>
      </w:tblPr>
      <w:tblGrid>
        <w:gridCol w:w="1908"/>
        <w:gridCol w:w="3510"/>
        <w:gridCol w:w="3780"/>
        <w:gridCol w:w="4590"/>
      </w:tblGrid>
      <w:tr w:rsidR="009277B8" w:rsidRPr="009277B8" w:rsidTr="00EC0900">
        <w:trPr>
          <w:cantSplit/>
        </w:trPr>
        <w:tc>
          <w:tcPr>
            <w:tcW w:w="1908" w:type="dxa"/>
          </w:tcPr>
          <w:p w:rsidR="009277B8" w:rsidRPr="009277B8" w:rsidRDefault="009277B8" w:rsidP="00EC0900">
            <w:pPr>
              <w:rPr>
                <w:rFonts w:ascii="Times New Roman" w:hAnsi="Times New Roman" w:cs="Times New Roman"/>
                <w:sz w:val="24"/>
                <w:szCs w:val="24"/>
              </w:rPr>
            </w:pPr>
            <w:r w:rsidRPr="009277B8">
              <w:rPr>
                <w:rFonts w:ascii="Times New Roman" w:hAnsi="Times New Roman" w:cs="Times New Roman"/>
                <w:sz w:val="24"/>
                <w:szCs w:val="24"/>
              </w:rPr>
              <w:t xml:space="preserve">Comment </w:t>
            </w:r>
            <w:r w:rsidR="003F4CD8">
              <w:rPr>
                <w:rFonts w:ascii="Times New Roman" w:hAnsi="Times New Roman" w:cs="Times New Roman"/>
                <w:sz w:val="24"/>
                <w:szCs w:val="24"/>
              </w:rPr>
              <w:t>18</w:t>
            </w:r>
          </w:p>
        </w:tc>
        <w:tc>
          <w:tcPr>
            <w:tcW w:w="3510" w:type="dxa"/>
          </w:tcPr>
          <w:p w:rsidR="009277B8" w:rsidRPr="009277B8" w:rsidRDefault="009277B8" w:rsidP="00EC0900">
            <w:pPr>
              <w:rPr>
                <w:rFonts w:ascii="Times New Roman" w:hAnsi="Times New Roman" w:cs="Times New Roman"/>
                <w:sz w:val="24"/>
                <w:szCs w:val="24"/>
              </w:rPr>
            </w:pPr>
            <w:r w:rsidRPr="009277B8">
              <w:rPr>
                <w:rFonts w:ascii="Times New Roman" w:hAnsi="Times New Roman" w:cs="Times New Roman"/>
                <w:sz w:val="24"/>
                <w:szCs w:val="24"/>
              </w:rPr>
              <w:t>Current Text</w:t>
            </w:r>
          </w:p>
        </w:tc>
        <w:tc>
          <w:tcPr>
            <w:tcW w:w="3780" w:type="dxa"/>
          </w:tcPr>
          <w:p w:rsidR="009277B8" w:rsidRPr="009277B8" w:rsidRDefault="009277B8" w:rsidP="00EC0900">
            <w:pPr>
              <w:rPr>
                <w:rFonts w:ascii="Times New Roman" w:hAnsi="Times New Roman" w:cs="Times New Roman"/>
                <w:sz w:val="24"/>
                <w:szCs w:val="24"/>
              </w:rPr>
            </w:pPr>
            <w:r w:rsidRPr="009277B8">
              <w:rPr>
                <w:rFonts w:ascii="Times New Roman" w:hAnsi="Times New Roman" w:cs="Times New Roman"/>
                <w:sz w:val="24"/>
                <w:szCs w:val="24"/>
              </w:rPr>
              <w:t>Proposed Text</w:t>
            </w:r>
          </w:p>
        </w:tc>
        <w:tc>
          <w:tcPr>
            <w:tcW w:w="4590" w:type="dxa"/>
          </w:tcPr>
          <w:p w:rsidR="009277B8" w:rsidRPr="009277B8" w:rsidRDefault="009277B8" w:rsidP="00EC0900">
            <w:pPr>
              <w:rPr>
                <w:rFonts w:ascii="Times New Roman" w:hAnsi="Times New Roman" w:cs="Times New Roman"/>
                <w:sz w:val="24"/>
                <w:szCs w:val="24"/>
              </w:rPr>
            </w:pPr>
            <w:r w:rsidRPr="009277B8">
              <w:rPr>
                <w:rFonts w:ascii="Times New Roman" w:hAnsi="Times New Roman" w:cs="Times New Roman"/>
                <w:sz w:val="24"/>
                <w:szCs w:val="24"/>
              </w:rPr>
              <w:t>Rationale for proposed change</w:t>
            </w:r>
          </w:p>
        </w:tc>
      </w:tr>
      <w:tr w:rsidR="009277B8" w:rsidRPr="009277B8" w:rsidTr="00EC0900">
        <w:trPr>
          <w:cantSplit/>
          <w:trHeight w:val="4032"/>
        </w:trPr>
        <w:tc>
          <w:tcPr>
            <w:tcW w:w="1908" w:type="dxa"/>
          </w:tcPr>
          <w:p w:rsidR="009277B8" w:rsidRPr="009277B8" w:rsidRDefault="009277B8" w:rsidP="00EC0900">
            <w:pPr>
              <w:rPr>
                <w:rFonts w:ascii="Times New Roman" w:hAnsi="Times New Roman" w:cs="Times New Roman"/>
                <w:sz w:val="24"/>
                <w:szCs w:val="24"/>
              </w:rPr>
            </w:pPr>
            <w:r w:rsidRPr="009277B8">
              <w:rPr>
                <w:rFonts w:ascii="Times New Roman" w:hAnsi="Times New Roman" w:cs="Times New Roman"/>
                <w:sz w:val="24"/>
                <w:szCs w:val="24"/>
              </w:rPr>
              <w:t>Regarding Informal Draft WAC 480-109-040(2)(a)(ii)</w:t>
            </w:r>
          </w:p>
        </w:tc>
        <w:tc>
          <w:tcPr>
            <w:tcW w:w="3510" w:type="dxa"/>
          </w:tcPr>
          <w:p w:rsidR="009277B8" w:rsidRPr="009277B8" w:rsidRDefault="009277B8" w:rsidP="009277B8">
            <w:pPr>
              <w:pStyle w:val="PlainText"/>
              <w:numPr>
                <w:ilvl w:val="0"/>
                <w:numId w:val="25"/>
              </w:numPr>
              <w:ind w:left="342" w:hanging="360"/>
              <w:rPr>
                <w:rFonts w:ascii="Times New Roman" w:hAnsi="Times New Roman" w:cs="Times New Roman"/>
                <w:sz w:val="24"/>
                <w:szCs w:val="24"/>
              </w:rPr>
            </w:pPr>
            <w:r w:rsidRPr="009277B8">
              <w:rPr>
                <w:rFonts w:ascii="Times New Roman" w:hAnsi="Times New Roman" w:cs="Times New Roman"/>
                <w:sz w:val="24"/>
                <w:szCs w:val="24"/>
              </w:rPr>
              <w:t xml:space="preserve">Select and document the lowest-reasonable-cost, non-eligible resource available to the utility. The non-eligible resource may not be a spot market purchase, and must have the same contract length or facility life as the eligible resource; </w:t>
            </w:r>
          </w:p>
          <w:p w:rsidR="009277B8" w:rsidRPr="009277B8" w:rsidRDefault="009277B8" w:rsidP="00EC0900">
            <w:pPr>
              <w:rPr>
                <w:rFonts w:ascii="Times New Roman" w:hAnsi="Times New Roman" w:cs="Times New Roman"/>
                <w:sz w:val="24"/>
                <w:szCs w:val="24"/>
              </w:rPr>
            </w:pPr>
          </w:p>
        </w:tc>
        <w:tc>
          <w:tcPr>
            <w:tcW w:w="3780" w:type="dxa"/>
          </w:tcPr>
          <w:p w:rsidR="009277B8" w:rsidRPr="009277B8" w:rsidRDefault="009277B8" w:rsidP="009277B8">
            <w:pPr>
              <w:pStyle w:val="PlainText"/>
              <w:numPr>
                <w:ilvl w:val="0"/>
                <w:numId w:val="26"/>
              </w:numPr>
              <w:ind w:left="432" w:hanging="450"/>
              <w:rPr>
                <w:rFonts w:ascii="Times New Roman" w:hAnsi="Times New Roman" w:cs="Times New Roman"/>
                <w:sz w:val="24"/>
                <w:szCs w:val="24"/>
              </w:rPr>
            </w:pPr>
            <w:r w:rsidRPr="009277B8">
              <w:rPr>
                <w:rFonts w:ascii="Times New Roman" w:hAnsi="Times New Roman" w:cs="Times New Roman"/>
                <w:sz w:val="24"/>
                <w:szCs w:val="24"/>
              </w:rPr>
              <w:t xml:space="preserve">Select and document the lowest-reasonable-cost, non-eligible resource available to the utility. The non-eligible resource </w:t>
            </w:r>
            <w:r w:rsidRPr="009277B8">
              <w:rPr>
                <w:rFonts w:ascii="Times New Roman" w:hAnsi="Times New Roman" w:cs="Times New Roman"/>
                <w:strike/>
                <w:sz w:val="24"/>
                <w:szCs w:val="24"/>
              </w:rPr>
              <w:t xml:space="preserve">may not be a spot market purchase, and </w:t>
            </w:r>
            <w:r w:rsidRPr="009277B8">
              <w:rPr>
                <w:rFonts w:ascii="Times New Roman" w:hAnsi="Times New Roman" w:cs="Times New Roman"/>
                <w:sz w:val="24"/>
                <w:szCs w:val="24"/>
              </w:rPr>
              <w:t>must have the same contract length or facility life as the eligible resource</w:t>
            </w:r>
            <w:r w:rsidR="00BF596B">
              <w:rPr>
                <w:rFonts w:ascii="Times New Roman" w:hAnsi="Times New Roman" w:cs="Times New Roman"/>
                <w:sz w:val="24"/>
                <w:szCs w:val="24"/>
              </w:rPr>
              <w:t xml:space="preserve"> </w:t>
            </w:r>
            <w:r w:rsidR="00BF596B" w:rsidRPr="00BF596B">
              <w:rPr>
                <w:rFonts w:ascii="Times New Roman" w:hAnsi="Times New Roman" w:cs="Times New Roman"/>
                <w:color w:val="FF0000"/>
                <w:sz w:val="24"/>
                <w:szCs w:val="24"/>
                <w:u w:val="single"/>
              </w:rPr>
              <w:t>(the analysis shall be limited to the first 20 years of the project life)</w:t>
            </w:r>
            <w:r w:rsidRPr="00BF596B">
              <w:rPr>
                <w:rFonts w:ascii="Times New Roman" w:hAnsi="Times New Roman" w:cs="Times New Roman"/>
                <w:color w:val="FF0000"/>
                <w:sz w:val="24"/>
                <w:szCs w:val="24"/>
              </w:rPr>
              <w:t>;</w:t>
            </w:r>
            <w:r w:rsidRPr="009277B8">
              <w:rPr>
                <w:rFonts w:ascii="Times New Roman" w:hAnsi="Times New Roman" w:cs="Times New Roman"/>
                <w:sz w:val="24"/>
                <w:szCs w:val="24"/>
              </w:rPr>
              <w:t xml:space="preserve"> </w:t>
            </w:r>
          </w:p>
          <w:p w:rsidR="009277B8" w:rsidRPr="009277B8" w:rsidRDefault="009277B8" w:rsidP="00EC0900">
            <w:pPr>
              <w:rPr>
                <w:rFonts w:ascii="Times New Roman" w:hAnsi="Times New Roman" w:cs="Times New Roman"/>
                <w:sz w:val="24"/>
                <w:szCs w:val="24"/>
              </w:rPr>
            </w:pPr>
          </w:p>
        </w:tc>
        <w:tc>
          <w:tcPr>
            <w:tcW w:w="4590" w:type="dxa"/>
          </w:tcPr>
          <w:p w:rsidR="00BF596B" w:rsidRDefault="009277B8" w:rsidP="00EC0900">
            <w:pPr>
              <w:rPr>
                <w:rFonts w:ascii="Times New Roman" w:hAnsi="Times New Roman" w:cs="Times New Roman"/>
                <w:sz w:val="24"/>
                <w:szCs w:val="24"/>
              </w:rPr>
            </w:pPr>
            <w:r w:rsidRPr="009277B8">
              <w:rPr>
                <w:rFonts w:ascii="Times New Roman" w:hAnsi="Times New Roman" w:cs="Times New Roman"/>
                <w:sz w:val="24"/>
                <w:szCs w:val="24"/>
              </w:rPr>
              <w:t xml:space="preserve">Avista disagrees with the exclusion of spot market purchases as an alternative resource for intermittent renewable resources. Intermittent resources in operation affect the amount of purchasing and selling market power, rather than replacing traditional generation. </w:t>
            </w:r>
          </w:p>
          <w:p w:rsidR="00BF596B" w:rsidRDefault="00BF596B" w:rsidP="00EC0900">
            <w:pPr>
              <w:rPr>
                <w:rFonts w:ascii="Times New Roman" w:hAnsi="Times New Roman" w:cs="Times New Roman"/>
                <w:sz w:val="24"/>
                <w:szCs w:val="24"/>
              </w:rPr>
            </w:pPr>
          </w:p>
          <w:p w:rsidR="009277B8" w:rsidRDefault="009277B8" w:rsidP="00EC0900">
            <w:pPr>
              <w:rPr>
                <w:rFonts w:ascii="Times New Roman" w:hAnsi="Times New Roman" w:cs="Times New Roman"/>
                <w:sz w:val="24"/>
                <w:szCs w:val="24"/>
              </w:rPr>
            </w:pPr>
            <w:r w:rsidRPr="009277B8">
              <w:rPr>
                <w:rFonts w:ascii="Times New Roman" w:hAnsi="Times New Roman" w:cs="Times New Roman"/>
                <w:sz w:val="24"/>
                <w:szCs w:val="24"/>
              </w:rPr>
              <w:t xml:space="preserve">The acquisition of intermittent resources such as wind and solar do not replace the utility’s need to acquire traditional generation technology due to the general lack in intermittent generation’s dependable capacity to meet peak loads. Given the difference in the resources, it is not good practice to use traditional resources as a comparison for an incremental cost calculation. </w:t>
            </w:r>
          </w:p>
          <w:p w:rsidR="00BF596B" w:rsidRDefault="00BF596B" w:rsidP="00EC0900">
            <w:pPr>
              <w:rPr>
                <w:rFonts w:ascii="Times New Roman" w:hAnsi="Times New Roman" w:cs="Times New Roman"/>
                <w:sz w:val="24"/>
                <w:szCs w:val="24"/>
              </w:rPr>
            </w:pPr>
          </w:p>
          <w:p w:rsidR="00BF596B" w:rsidRDefault="00BF596B" w:rsidP="00BF596B">
            <w:pPr>
              <w:rPr>
                <w:rFonts w:ascii="Times New Roman" w:hAnsi="Times New Roman" w:cs="Times New Roman"/>
                <w:sz w:val="24"/>
                <w:szCs w:val="24"/>
              </w:rPr>
            </w:pPr>
            <w:r>
              <w:rPr>
                <w:rFonts w:ascii="Times New Roman" w:hAnsi="Times New Roman" w:cs="Times New Roman"/>
                <w:sz w:val="24"/>
                <w:szCs w:val="24"/>
              </w:rPr>
              <w:t>Avista recommends limiting the cost comparison to the first 20 years of the project lives. Forecasting costs and benefits beyond 20 years can be difficult due to unknown costs of future maintenance and project life extension costs.</w:t>
            </w:r>
          </w:p>
          <w:p w:rsidR="009277B8" w:rsidRPr="009277B8" w:rsidRDefault="009277B8" w:rsidP="00EC0900">
            <w:pPr>
              <w:rPr>
                <w:rFonts w:ascii="Times New Roman" w:hAnsi="Times New Roman" w:cs="Times New Roman"/>
                <w:sz w:val="24"/>
                <w:szCs w:val="24"/>
              </w:rPr>
            </w:pPr>
          </w:p>
        </w:tc>
      </w:tr>
    </w:tbl>
    <w:p w:rsidR="009277B8" w:rsidRPr="009277B8" w:rsidRDefault="009277B8" w:rsidP="009277B8">
      <w:pPr>
        <w:rPr>
          <w:rFonts w:ascii="Times New Roman" w:hAnsi="Times New Roman" w:cs="Times New Roman"/>
          <w:sz w:val="24"/>
          <w:szCs w:val="24"/>
        </w:rPr>
      </w:pPr>
    </w:p>
    <w:p w:rsidR="009277B8" w:rsidRDefault="009277B8" w:rsidP="009277B8">
      <w:pPr>
        <w:rPr>
          <w:rFonts w:ascii="Times New Roman" w:hAnsi="Times New Roman" w:cs="Times New Roman"/>
          <w:sz w:val="24"/>
          <w:szCs w:val="24"/>
        </w:rPr>
      </w:pPr>
    </w:p>
    <w:p w:rsidR="003F4CD8" w:rsidRDefault="003F4CD8" w:rsidP="009277B8">
      <w:pPr>
        <w:rPr>
          <w:rFonts w:ascii="Times New Roman" w:hAnsi="Times New Roman" w:cs="Times New Roman"/>
          <w:sz w:val="24"/>
          <w:szCs w:val="24"/>
        </w:rPr>
      </w:pPr>
    </w:p>
    <w:p w:rsidR="003F4CD8" w:rsidRDefault="003F4CD8" w:rsidP="009277B8">
      <w:pPr>
        <w:rPr>
          <w:rFonts w:ascii="Times New Roman" w:hAnsi="Times New Roman" w:cs="Times New Roman"/>
          <w:sz w:val="24"/>
          <w:szCs w:val="24"/>
        </w:rPr>
      </w:pPr>
    </w:p>
    <w:p w:rsidR="003F4CD8" w:rsidRDefault="003F4CD8" w:rsidP="009277B8">
      <w:pPr>
        <w:rPr>
          <w:rFonts w:ascii="Times New Roman" w:hAnsi="Times New Roman" w:cs="Times New Roman"/>
          <w:sz w:val="24"/>
          <w:szCs w:val="24"/>
        </w:rPr>
      </w:pPr>
    </w:p>
    <w:p w:rsidR="003F4CD8" w:rsidRDefault="003F4CD8" w:rsidP="009277B8">
      <w:pPr>
        <w:rPr>
          <w:rFonts w:ascii="Times New Roman" w:hAnsi="Times New Roman" w:cs="Times New Roman"/>
          <w:sz w:val="24"/>
          <w:szCs w:val="24"/>
        </w:rPr>
      </w:pPr>
    </w:p>
    <w:p w:rsidR="003F4CD8" w:rsidRDefault="003F4CD8" w:rsidP="009277B8">
      <w:pPr>
        <w:rPr>
          <w:rFonts w:ascii="Times New Roman" w:hAnsi="Times New Roman" w:cs="Times New Roman"/>
          <w:sz w:val="24"/>
          <w:szCs w:val="24"/>
        </w:rPr>
      </w:pPr>
    </w:p>
    <w:p w:rsidR="009277B8" w:rsidRDefault="009277B8" w:rsidP="009277B8">
      <w:pPr>
        <w:rPr>
          <w:rFonts w:ascii="Times New Roman" w:hAnsi="Times New Roman" w:cs="Times New Roman"/>
          <w:sz w:val="24"/>
          <w:szCs w:val="24"/>
        </w:rPr>
      </w:pPr>
    </w:p>
    <w:p w:rsidR="009277B8" w:rsidRPr="009277B8" w:rsidRDefault="009277B8" w:rsidP="009277B8">
      <w:pPr>
        <w:rPr>
          <w:rFonts w:ascii="Times New Roman" w:hAnsi="Times New Roman" w:cs="Times New Roman"/>
          <w:sz w:val="24"/>
          <w:szCs w:val="24"/>
        </w:rPr>
      </w:pPr>
    </w:p>
    <w:tbl>
      <w:tblPr>
        <w:tblStyle w:val="TableGrid"/>
        <w:tblW w:w="0" w:type="auto"/>
        <w:tblLook w:val="04A0"/>
      </w:tblPr>
      <w:tblGrid>
        <w:gridCol w:w="1908"/>
        <w:gridCol w:w="3510"/>
        <w:gridCol w:w="3780"/>
        <w:gridCol w:w="4590"/>
      </w:tblGrid>
      <w:tr w:rsidR="009277B8" w:rsidRPr="009277B8" w:rsidTr="00EC0900">
        <w:trPr>
          <w:cantSplit/>
        </w:trPr>
        <w:tc>
          <w:tcPr>
            <w:tcW w:w="1908" w:type="dxa"/>
          </w:tcPr>
          <w:p w:rsidR="009277B8" w:rsidRPr="009277B8" w:rsidRDefault="009277B8" w:rsidP="00EC0900">
            <w:pPr>
              <w:rPr>
                <w:rFonts w:ascii="Times New Roman" w:hAnsi="Times New Roman" w:cs="Times New Roman"/>
                <w:sz w:val="24"/>
                <w:szCs w:val="24"/>
              </w:rPr>
            </w:pPr>
            <w:r w:rsidRPr="009277B8">
              <w:rPr>
                <w:rFonts w:ascii="Times New Roman" w:hAnsi="Times New Roman" w:cs="Times New Roman"/>
                <w:sz w:val="24"/>
                <w:szCs w:val="24"/>
              </w:rPr>
              <w:t xml:space="preserve">Comment </w:t>
            </w:r>
            <w:r w:rsidR="003F4CD8">
              <w:rPr>
                <w:rFonts w:ascii="Times New Roman" w:hAnsi="Times New Roman" w:cs="Times New Roman"/>
                <w:sz w:val="24"/>
                <w:szCs w:val="24"/>
              </w:rPr>
              <w:t>19</w:t>
            </w:r>
          </w:p>
        </w:tc>
        <w:tc>
          <w:tcPr>
            <w:tcW w:w="3510" w:type="dxa"/>
          </w:tcPr>
          <w:p w:rsidR="009277B8" w:rsidRPr="009277B8" w:rsidRDefault="009277B8" w:rsidP="00EC0900">
            <w:pPr>
              <w:rPr>
                <w:rFonts w:ascii="Times New Roman" w:hAnsi="Times New Roman" w:cs="Times New Roman"/>
                <w:sz w:val="24"/>
                <w:szCs w:val="24"/>
              </w:rPr>
            </w:pPr>
            <w:r w:rsidRPr="009277B8">
              <w:rPr>
                <w:rFonts w:ascii="Times New Roman" w:hAnsi="Times New Roman" w:cs="Times New Roman"/>
                <w:sz w:val="24"/>
                <w:szCs w:val="24"/>
              </w:rPr>
              <w:t>Current Text</w:t>
            </w:r>
          </w:p>
        </w:tc>
        <w:tc>
          <w:tcPr>
            <w:tcW w:w="3780" w:type="dxa"/>
          </w:tcPr>
          <w:p w:rsidR="009277B8" w:rsidRPr="009277B8" w:rsidRDefault="009277B8" w:rsidP="00EC0900">
            <w:pPr>
              <w:rPr>
                <w:rFonts w:ascii="Times New Roman" w:hAnsi="Times New Roman" w:cs="Times New Roman"/>
                <w:sz w:val="24"/>
                <w:szCs w:val="24"/>
              </w:rPr>
            </w:pPr>
            <w:r w:rsidRPr="009277B8">
              <w:rPr>
                <w:rFonts w:ascii="Times New Roman" w:hAnsi="Times New Roman" w:cs="Times New Roman"/>
                <w:sz w:val="24"/>
                <w:szCs w:val="24"/>
              </w:rPr>
              <w:t>Proposed Text</w:t>
            </w:r>
          </w:p>
        </w:tc>
        <w:tc>
          <w:tcPr>
            <w:tcW w:w="4590" w:type="dxa"/>
          </w:tcPr>
          <w:p w:rsidR="009277B8" w:rsidRPr="009277B8" w:rsidRDefault="009277B8" w:rsidP="00EC0900">
            <w:pPr>
              <w:rPr>
                <w:rFonts w:ascii="Times New Roman" w:hAnsi="Times New Roman" w:cs="Times New Roman"/>
                <w:sz w:val="24"/>
                <w:szCs w:val="24"/>
              </w:rPr>
            </w:pPr>
            <w:r w:rsidRPr="009277B8">
              <w:rPr>
                <w:rFonts w:ascii="Times New Roman" w:hAnsi="Times New Roman" w:cs="Times New Roman"/>
                <w:sz w:val="24"/>
                <w:szCs w:val="24"/>
              </w:rPr>
              <w:t>Rationale for proposed change</w:t>
            </w:r>
          </w:p>
        </w:tc>
      </w:tr>
      <w:tr w:rsidR="009277B8" w:rsidRPr="009277B8" w:rsidTr="00EC0900">
        <w:trPr>
          <w:cantSplit/>
          <w:trHeight w:val="1862"/>
        </w:trPr>
        <w:tc>
          <w:tcPr>
            <w:tcW w:w="1908" w:type="dxa"/>
          </w:tcPr>
          <w:p w:rsidR="009277B8" w:rsidRPr="009277B8" w:rsidRDefault="009277B8" w:rsidP="00EC0900">
            <w:pPr>
              <w:rPr>
                <w:rFonts w:ascii="Times New Roman" w:hAnsi="Times New Roman" w:cs="Times New Roman"/>
                <w:sz w:val="24"/>
                <w:szCs w:val="24"/>
              </w:rPr>
            </w:pPr>
            <w:r w:rsidRPr="009277B8">
              <w:rPr>
                <w:rFonts w:ascii="Times New Roman" w:hAnsi="Times New Roman" w:cs="Times New Roman"/>
                <w:sz w:val="24"/>
                <w:szCs w:val="24"/>
              </w:rPr>
              <w:t>Regarding Informal Draft WAC 480-109-040(2)(d)(</w:t>
            </w:r>
            <w:proofErr w:type="spellStart"/>
            <w:r w:rsidRPr="009277B8">
              <w:rPr>
                <w:rFonts w:ascii="Times New Roman" w:hAnsi="Times New Roman" w:cs="Times New Roman"/>
                <w:sz w:val="24"/>
                <w:szCs w:val="24"/>
              </w:rPr>
              <w:t>i</w:t>
            </w:r>
            <w:proofErr w:type="spellEnd"/>
            <w:r w:rsidRPr="009277B8">
              <w:rPr>
                <w:rFonts w:ascii="Times New Roman" w:hAnsi="Times New Roman" w:cs="Times New Roman"/>
                <w:sz w:val="24"/>
                <w:szCs w:val="24"/>
              </w:rPr>
              <w:t>)</w:t>
            </w:r>
          </w:p>
        </w:tc>
        <w:tc>
          <w:tcPr>
            <w:tcW w:w="3510" w:type="dxa"/>
          </w:tcPr>
          <w:p w:rsidR="009277B8" w:rsidRPr="009277B8" w:rsidRDefault="009277B8" w:rsidP="009277B8">
            <w:pPr>
              <w:pStyle w:val="PlainText"/>
              <w:numPr>
                <w:ilvl w:val="2"/>
                <w:numId w:val="29"/>
              </w:numPr>
              <w:ind w:left="252" w:hanging="252"/>
              <w:rPr>
                <w:rFonts w:ascii="Times New Roman" w:hAnsi="Times New Roman" w:cs="Times New Roman"/>
                <w:sz w:val="24"/>
                <w:szCs w:val="24"/>
              </w:rPr>
            </w:pPr>
            <w:r w:rsidRPr="009277B8">
              <w:rPr>
                <w:rFonts w:ascii="Times New Roman" w:hAnsi="Times New Roman" w:cs="Times New Roman"/>
                <w:sz w:val="24"/>
                <w:szCs w:val="24"/>
              </w:rPr>
              <w:t>Each resource’s WREGIS registration status and use of renewable energy credits, whether it be for annual target compliance, a voluntary renewable energy program as provided for in RCW 19.29A.090, or owned by the customer, and</w:t>
            </w:r>
          </w:p>
          <w:p w:rsidR="009277B8" w:rsidRPr="009277B8" w:rsidRDefault="009277B8" w:rsidP="00EC0900">
            <w:pPr>
              <w:rPr>
                <w:rFonts w:ascii="Times New Roman" w:hAnsi="Times New Roman" w:cs="Times New Roman"/>
                <w:sz w:val="24"/>
                <w:szCs w:val="24"/>
              </w:rPr>
            </w:pPr>
          </w:p>
        </w:tc>
        <w:tc>
          <w:tcPr>
            <w:tcW w:w="3780" w:type="dxa"/>
          </w:tcPr>
          <w:p w:rsidR="009277B8" w:rsidRPr="009277B8" w:rsidRDefault="009277B8" w:rsidP="00EC0900">
            <w:pPr>
              <w:rPr>
                <w:rFonts w:ascii="Times New Roman" w:hAnsi="Times New Roman" w:cs="Times New Roman"/>
                <w:sz w:val="24"/>
                <w:szCs w:val="24"/>
              </w:rPr>
            </w:pPr>
          </w:p>
        </w:tc>
        <w:tc>
          <w:tcPr>
            <w:tcW w:w="4590" w:type="dxa"/>
          </w:tcPr>
          <w:p w:rsidR="009277B8" w:rsidRPr="009277B8" w:rsidRDefault="009277B8" w:rsidP="00EC0900">
            <w:pPr>
              <w:contextualSpacing/>
              <w:jc w:val="both"/>
              <w:rPr>
                <w:rFonts w:ascii="Times New Roman" w:hAnsi="Times New Roman" w:cs="Times New Roman"/>
              </w:rPr>
            </w:pPr>
            <w:r w:rsidRPr="009277B8">
              <w:rPr>
                <w:rFonts w:ascii="Times New Roman" w:hAnsi="Times New Roman" w:cs="Times New Roman"/>
              </w:rPr>
              <w:t>Avista recommends excluding incremental hydro generation from this requirement for the same reasons as described above.</w:t>
            </w:r>
          </w:p>
          <w:p w:rsidR="009277B8" w:rsidRPr="009277B8" w:rsidRDefault="009277B8" w:rsidP="00EC0900">
            <w:pPr>
              <w:jc w:val="both"/>
              <w:rPr>
                <w:rFonts w:ascii="Times New Roman" w:hAnsi="Times New Roman" w:cs="Times New Roman"/>
                <w:sz w:val="24"/>
                <w:szCs w:val="24"/>
              </w:rPr>
            </w:pPr>
          </w:p>
        </w:tc>
      </w:tr>
    </w:tbl>
    <w:p w:rsidR="009277B8" w:rsidRPr="009277B8" w:rsidRDefault="009277B8" w:rsidP="009277B8">
      <w:pPr>
        <w:rPr>
          <w:rFonts w:ascii="Times New Roman" w:hAnsi="Times New Roman" w:cs="Times New Roman"/>
          <w:sz w:val="24"/>
          <w:szCs w:val="24"/>
        </w:rPr>
      </w:pPr>
    </w:p>
    <w:p w:rsidR="009277B8" w:rsidRPr="009277B8" w:rsidRDefault="009277B8" w:rsidP="009277B8">
      <w:pPr>
        <w:rPr>
          <w:rFonts w:ascii="Times New Roman" w:hAnsi="Times New Roman" w:cs="Times New Roman"/>
          <w:sz w:val="24"/>
          <w:szCs w:val="24"/>
        </w:rPr>
      </w:pPr>
    </w:p>
    <w:p w:rsidR="00856F72" w:rsidRPr="009277B8" w:rsidRDefault="00856F72" w:rsidP="00366AE0">
      <w:pPr>
        <w:rPr>
          <w:rFonts w:ascii="Times New Roman" w:hAnsi="Times New Roman" w:cs="Times New Roman"/>
          <w:sz w:val="24"/>
          <w:szCs w:val="24"/>
        </w:rPr>
      </w:pPr>
    </w:p>
    <w:p w:rsidR="00856F72" w:rsidRPr="009277B8" w:rsidRDefault="00856F72" w:rsidP="00366AE0">
      <w:pPr>
        <w:rPr>
          <w:rFonts w:ascii="Times New Roman" w:hAnsi="Times New Roman" w:cs="Times New Roman"/>
          <w:sz w:val="24"/>
          <w:szCs w:val="24"/>
        </w:rPr>
      </w:pPr>
    </w:p>
    <w:p w:rsidR="00856F72" w:rsidRPr="009277B8" w:rsidRDefault="00856F72" w:rsidP="00366AE0">
      <w:pPr>
        <w:rPr>
          <w:rFonts w:ascii="Times New Roman" w:hAnsi="Times New Roman" w:cs="Times New Roman"/>
          <w:sz w:val="24"/>
          <w:szCs w:val="24"/>
        </w:rPr>
      </w:pPr>
    </w:p>
    <w:p w:rsidR="005917EC" w:rsidRPr="009277B8" w:rsidRDefault="005917EC" w:rsidP="00366AE0">
      <w:pPr>
        <w:rPr>
          <w:rFonts w:ascii="Times New Roman" w:hAnsi="Times New Roman" w:cs="Times New Roman"/>
          <w:sz w:val="24"/>
          <w:szCs w:val="24"/>
        </w:rPr>
      </w:pPr>
    </w:p>
    <w:p w:rsidR="00856F72" w:rsidRPr="009277B8" w:rsidRDefault="00856F72" w:rsidP="00366AE0">
      <w:pPr>
        <w:rPr>
          <w:rFonts w:ascii="Times New Roman" w:hAnsi="Times New Roman" w:cs="Times New Roman"/>
          <w:sz w:val="24"/>
          <w:szCs w:val="24"/>
        </w:rPr>
      </w:pPr>
    </w:p>
    <w:sectPr w:rsidR="00856F72" w:rsidRPr="009277B8" w:rsidSect="009621C5">
      <w:footerReference w:type="default" r:id="rId10"/>
      <w:pgSz w:w="15840" w:h="12240" w:orient="landscape"/>
      <w:pgMar w:top="720" w:right="720" w:bottom="45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C88" w:rsidRDefault="00675C88" w:rsidP="004403CE">
      <w:r>
        <w:separator/>
      </w:r>
    </w:p>
  </w:endnote>
  <w:endnote w:type="continuationSeparator" w:id="0">
    <w:p w:rsidR="00675C88" w:rsidRDefault="00675C88" w:rsidP="004403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75511"/>
      <w:docPartObj>
        <w:docPartGallery w:val="Page Numbers (Bottom of Page)"/>
        <w:docPartUnique/>
      </w:docPartObj>
    </w:sdtPr>
    <w:sdtContent>
      <w:p w:rsidR="00675C88" w:rsidRDefault="00A3631C">
        <w:pPr>
          <w:pStyle w:val="Footer"/>
          <w:jc w:val="right"/>
        </w:pPr>
        <w:fldSimple w:instr=" PAGE   \* MERGEFORMAT ">
          <w:r w:rsidR="002113CA">
            <w:rPr>
              <w:noProof/>
            </w:rPr>
            <w:t>10</w:t>
          </w:r>
        </w:fldSimple>
      </w:p>
    </w:sdtContent>
  </w:sdt>
  <w:p w:rsidR="00675C88" w:rsidRDefault="00675C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C88" w:rsidRDefault="00675C88" w:rsidP="004403CE">
      <w:r>
        <w:separator/>
      </w:r>
    </w:p>
  </w:footnote>
  <w:footnote w:type="continuationSeparator" w:id="0">
    <w:p w:rsidR="00675C88" w:rsidRDefault="00675C88" w:rsidP="004403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607F"/>
    <w:multiLevelType w:val="hybridMultilevel"/>
    <w:tmpl w:val="DBACC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E7CCB"/>
    <w:multiLevelType w:val="hybridMultilevel"/>
    <w:tmpl w:val="735A9FB0"/>
    <w:lvl w:ilvl="0" w:tplc="F518330A">
      <w:start w:val="3"/>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460121C"/>
    <w:multiLevelType w:val="multilevel"/>
    <w:tmpl w:val="8670FB20"/>
    <w:lvl w:ilvl="0">
      <w:start w:val="1"/>
      <w:numFmt w:val="decimal"/>
      <w:suff w:val="space"/>
      <w:lvlText w:val="(%1)"/>
      <w:lvlJc w:val="left"/>
      <w:pPr>
        <w:ind w:left="0" w:firstLine="360"/>
      </w:pPr>
      <w:rPr>
        <w:rFonts w:hint="default"/>
      </w:rPr>
    </w:lvl>
    <w:lvl w:ilvl="1">
      <w:start w:val="1"/>
      <w:numFmt w:val="lowerLetter"/>
      <w:lvlText w:val="(%2)"/>
      <w:lvlJc w:val="left"/>
      <w:pPr>
        <w:ind w:left="360" w:hanging="360"/>
      </w:pPr>
      <w:rPr>
        <w:rFonts w:hint="default"/>
        <w:strike w:val="0"/>
      </w:rPr>
    </w:lvl>
    <w:lvl w:ilvl="2">
      <w:start w:val="1"/>
      <w:numFmt w:val="lowerRoman"/>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9EF5676"/>
    <w:multiLevelType w:val="hybridMultilevel"/>
    <w:tmpl w:val="7482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D47D7"/>
    <w:multiLevelType w:val="hybridMultilevel"/>
    <w:tmpl w:val="E64810D8"/>
    <w:lvl w:ilvl="0" w:tplc="0B341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91A6D"/>
    <w:multiLevelType w:val="hybridMultilevel"/>
    <w:tmpl w:val="AFB8BDD6"/>
    <w:lvl w:ilvl="0" w:tplc="2CB6B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5207C0"/>
    <w:multiLevelType w:val="hybridMultilevel"/>
    <w:tmpl w:val="E152A4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5B4D56"/>
    <w:multiLevelType w:val="hybridMultilevel"/>
    <w:tmpl w:val="620E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FC579C"/>
    <w:multiLevelType w:val="hybridMultilevel"/>
    <w:tmpl w:val="7910EE9A"/>
    <w:lvl w:ilvl="0" w:tplc="7792819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331FDE"/>
    <w:multiLevelType w:val="hybridMultilevel"/>
    <w:tmpl w:val="4D622430"/>
    <w:lvl w:ilvl="0" w:tplc="7C7C18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4C175F"/>
    <w:multiLevelType w:val="hybridMultilevel"/>
    <w:tmpl w:val="C622A77E"/>
    <w:lvl w:ilvl="0" w:tplc="A7D04D6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4F3EE2"/>
    <w:multiLevelType w:val="multilevel"/>
    <w:tmpl w:val="6470B954"/>
    <w:lvl w:ilvl="0">
      <w:start w:val="2"/>
      <w:numFmt w:val="decimal"/>
      <w:suff w:val="space"/>
      <w:lvlText w:val="(%1)"/>
      <w:lvlJc w:val="left"/>
      <w:pPr>
        <w:ind w:left="0" w:firstLine="360"/>
      </w:pPr>
      <w:rPr>
        <w:rFonts w:hint="default"/>
        <w:strike w:val="0"/>
      </w:rPr>
    </w:lvl>
    <w:lvl w:ilvl="1">
      <w:start w:val="1"/>
      <w:numFmt w:val="lowerLetter"/>
      <w:lvlText w:val="(%2)"/>
      <w:lvlJc w:val="left"/>
      <w:pPr>
        <w:ind w:left="720" w:hanging="360"/>
      </w:pPr>
      <w:rPr>
        <w:rFonts w:hint="default"/>
        <w:u w:val="none"/>
      </w:rPr>
    </w:lvl>
    <w:lvl w:ilvl="2">
      <w:start w:val="1"/>
      <w:numFmt w:val="lowerRoman"/>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45F7CC7"/>
    <w:multiLevelType w:val="hybridMultilevel"/>
    <w:tmpl w:val="1598B61C"/>
    <w:lvl w:ilvl="0" w:tplc="C23034CE">
      <w:start w:val="27"/>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B963FC"/>
    <w:multiLevelType w:val="multilevel"/>
    <w:tmpl w:val="8670FB20"/>
    <w:lvl w:ilvl="0">
      <w:start w:val="1"/>
      <w:numFmt w:val="decimal"/>
      <w:suff w:val="space"/>
      <w:lvlText w:val="(%1)"/>
      <w:lvlJc w:val="left"/>
      <w:pPr>
        <w:ind w:left="0" w:firstLine="360"/>
      </w:pPr>
      <w:rPr>
        <w:rFonts w:hint="default"/>
      </w:rPr>
    </w:lvl>
    <w:lvl w:ilvl="1">
      <w:start w:val="1"/>
      <w:numFmt w:val="lowerLetter"/>
      <w:lvlText w:val="(%2)"/>
      <w:lvlJc w:val="left"/>
      <w:pPr>
        <w:ind w:left="360" w:hanging="360"/>
      </w:pPr>
      <w:rPr>
        <w:rFonts w:hint="default"/>
        <w:strike w:val="0"/>
      </w:rPr>
    </w:lvl>
    <w:lvl w:ilvl="2">
      <w:start w:val="1"/>
      <w:numFmt w:val="lowerRoman"/>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6157933"/>
    <w:multiLevelType w:val="hybridMultilevel"/>
    <w:tmpl w:val="60ECB016"/>
    <w:lvl w:ilvl="0" w:tplc="16AAEE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515C2C"/>
    <w:multiLevelType w:val="hybridMultilevel"/>
    <w:tmpl w:val="B01816D4"/>
    <w:lvl w:ilvl="0" w:tplc="8A068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ED0A0D"/>
    <w:multiLevelType w:val="hybridMultilevel"/>
    <w:tmpl w:val="2CF40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FA5FE9"/>
    <w:multiLevelType w:val="multilevel"/>
    <w:tmpl w:val="EE386DCA"/>
    <w:lvl w:ilvl="0">
      <w:start w:val="1"/>
      <w:numFmt w:val="decimal"/>
      <w:suff w:val="space"/>
      <w:lvlText w:val="(%1)"/>
      <w:lvlJc w:val="left"/>
      <w:pPr>
        <w:ind w:left="0" w:firstLine="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63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0AC53C0"/>
    <w:multiLevelType w:val="hybridMultilevel"/>
    <w:tmpl w:val="77D23DAA"/>
    <w:lvl w:ilvl="0" w:tplc="CDFCDD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2972B1"/>
    <w:multiLevelType w:val="multilevel"/>
    <w:tmpl w:val="8670FB20"/>
    <w:lvl w:ilvl="0">
      <w:start w:val="1"/>
      <w:numFmt w:val="decimal"/>
      <w:suff w:val="space"/>
      <w:lvlText w:val="(%1)"/>
      <w:lvlJc w:val="left"/>
      <w:pPr>
        <w:ind w:left="0" w:firstLine="360"/>
      </w:pPr>
      <w:rPr>
        <w:rFonts w:hint="default"/>
      </w:rPr>
    </w:lvl>
    <w:lvl w:ilvl="1">
      <w:start w:val="1"/>
      <w:numFmt w:val="lowerLetter"/>
      <w:lvlText w:val="(%2)"/>
      <w:lvlJc w:val="left"/>
      <w:pPr>
        <w:ind w:left="360" w:hanging="360"/>
      </w:pPr>
      <w:rPr>
        <w:rFonts w:hint="default"/>
        <w:strike w:val="0"/>
      </w:rPr>
    </w:lvl>
    <w:lvl w:ilvl="2">
      <w:start w:val="1"/>
      <w:numFmt w:val="lowerRoman"/>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6376A80"/>
    <w:multiLevelType w:val="hybridMultilevel"/>
    <w:tmpl w:val="7910EE9A"/>
    <w:lvl w:ilvl="0" w:tplc="7792819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7E0338"/>
    <w:multiLevelType w:val="hybridMultilevel"/>
    <w:tmpl w:val="A3D6D7D8"/>
    <w:lvl w:ilvl="0" w:tplc="1908C86C">
      <w:start w:val="1"/>
      <w:numFmt w:val="decimal"/>
      <w:lvlText w:val="%1"/>
      <w:lvlJc w:val="left"/>
      <w:pPr>
        <w:tabs>
          <w:tab w:val="num" w:pos="720"/>
        </w:tabs>
        <w:ind w:left="720" w:hanging="720"/>
      </w:pPr>
      <w:rPr>
        <w:rFonts w:ascii="Palatino Linotype" w:hAnsi="Palatino Linotype" w:cs="Times New Roman" w:hint="default"/>
        <w:b w:val="0"/>
        <w:i/>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9FF48C9"/>
    <w:multiLevelType w:val="hybridMultilevel"/>
    <w:tmpl w:val="0E901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DC7358"/>
    <w:multiLevelType w:val="hybridMultilevel"/>
    <w:tmpl w:val="A4B643DE"/>
    <w:lvl w:ilvl="0" w:tplc="5C688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F491CEB"/>
    <w:multiLevelType w:val="hybridMultilevel"/>
    <w:tmpl w:val="60ECB016"/>
    <w:lvl w:ilvl="0" w:tplc="16AAEE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3E52BE"/>
    <w:multiLevelType w:val="hybridMultilevel"/>
    <w:tmpl w:val="350C9CD0"/>
    <w:lvl w:ilvl="0" w:tplc="09B024C4">
      <w:start w:val="1"/>
      <w:numFmt w:val="lowerRoman"/>
      <w:lvlText w:val="(%1)"/>
      <w:lvlJc w:val="left"/>
      <w:pPr>
        <w:ind w:left="1800" w:hanging="360"/>
      </w:pPr>
      <w:rPr>
        <w:rFonts w:hint="default"/>
      </w:rPr>
    </w:lvl>
    <w:lvl w:ilvl="1" w:tplc="26A862F8">
      <w:start w:val="1"/>
      <w:numFmt w:val="upperLetter"/>
      <w:lvlText w:val="(%2)"/>
      <w:lvlJc w:val="left"/>
      <w:pPr>
        <w:ind w:left="2520" w:hanging="360"/>
      </w:pPr>
      <w:rPr>
        <w:rFonts w:ascii="Times New Roman" w:eastAsiaTheme="minorEastAsia" w:hAnsi="Times New Roman" w:cs="Times New Roman"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528453C"/>
    <w:multiLevelType w:val="hybridMultilevel"/>
    <w:tmpl w:val="8ACE9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7C5560"/>
    <w:multiLevelType w:val="multilevel"/>
    <w:tmpl w:val="DE76F7C4"/>
    <w:lvl w:ilvl="0">
      <w:start w:val="25"/>
      <w:numFmt w:val="decimal"/>
      <w:suff w:val="space"/>
      <w:lvlText w:val="(%1)"/>
      <w:lvlJc w:val="left"/>
      <w:pPr>
        <w:ind w:left="0" w:firstLine="360"/>
      </w:pPr>
      <w:rPr>
        <w:rFonts w:hint="default"/>
        <w:strike w:val="0"/>
      </w:rPr>
    </w:lvl>
    <w:lvl w:ilvl="1">
      <w:start w:val="1"/>
      <w:numFmt w:val="lowerLetter"/>
      <w:lvlText w:val="(%2)"/>
      <w:lvlJc w:val="left"/>
      <w:pPr>
        <w:ind w:left="720" w:hanging="360"/>
      </w:pPr>
      <w:rPr>
        <w:rFonts w:hint="default"/>
      </w:rPr>
    </w:lvl>
    <w:lvl w:ilvl="2">
      <w:start w:val="1"/>
      <w:numFmt w:val="lowerRoman"/>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9BF79D0"/>
    <w:multiLevelType w:val="multilevel"/>
    <w:tmpl w:val="EE386DCA"/>
    <w:lvl w:ilvl="0">
      <w:start w:val="1"/>
      <w:numFmt w:val="decimal"/>
      <w:suff w:val="space"/>
      <w:lvlText w:val="(%1)"/>
      <w:lvlJc w:val="left"/>
      <w:pPr>
        <w:ind w:left="0" w:firstLine="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63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A317183"/>
    <w:multiLevelType w:val="hybridMultilevel"/>
    <w:tmpl w:val="B46C2266"/>
    <w:lvl w:ilvl="0" w:tplc="01E295A4">
      <w:start w:val="1"/>
      <w:numFmt w:val="lowerRoman"/>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27"/>
  </w:num>
  <w:num w:numId="3">
    <w:abstractNumId w:val="12"/>
  </w:num>
  <w:num w:numId="4">
    <w:abstractNumId w:val="25"/>
  </w:num>
  <w:num w:numId="5">
    <w:abstractNumId w:val="1"/>
  </w:num>
  <w:num w:numId="6">
    <w:abstractNumId w:val="14"/>
  </w:num>
  <w:num w:numId="7">
    <w:abstractNumId w:val="24"/>
  </w:num>
  <w:num w:numId="8">
    <w:abstractNumId w:val="29"/>
  </w:num>
  <w:num w:numId="9">
    <w:abstractNumId w:val="5"/>
  </w:num>
  <w:num w:numId="10">
    <w:abstractNumId w:val="15"/>
  </w:num>
  <w:num w:numId="11">
    <w:abstractNumId w:val="4"/>
  </w:num>
  <w:num w:numId="12">
    <w:abstractNumId w:val="9"/>
  </w:num>
  <w:num w:numId="13">
    <w:abstractNumId w:val="10"/>
  </w:num>
  <w:num w:numId="14">
    <w:abstractNumId w:val="18"/>
  </w:num>
  <w:num w:numId="15">
    <w:abstractNumId w:val="21"/>
  </w:num>
  <w:num w:numId="16">
    <w:abstractNumId w:val="23"/>
  </w:num>
  <w:num w:numId="17">
    <w:abstractNumId w:val="7"/>
  </w:num>
  <w:num w:numId="18">
    <w:abstractNumId w:val="3"/>
  </w:num>
  <w:num w:numId="19">
    <w:abstractNumId w:val="28"/>
  </w:num>
  <w:num w:numId="20">
    <w:abstractNumId w:val="6"/>
  </w:num>
  <w:num w:numId="21">
    <w:abstractNumId w:val="22"/>
  </w:num>
  <w:num w:numId="22">
    <w:abstractNumId w:val="17"/>
  </w:num>
  <w:num w:numId="23">
    <w:abstractNumId w:val="26"/>
  </w:num>
  <w:num w:numId="24">
    <w:abstractNumId w:val="13"/>
  </w:num>
  <w:num w:numId="25">
    <w:abstractNumId w:val="8"/>
  </w:num>
  <w:num w:numId="26">
    <w:abstractNumId w:val="20"/>
  </w:num>
  <w:num w:numId="27">
    <w:abstractNumId w:val="19"/>
  </w:num>
  <w:num w:numId="28">
    <w:abstractNumId w:val="16"/>
  </w:num>
  <w:num w:numId="29">
    <w:abstractNumId w:val="2"/>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8A6368"/>
    <w:rsid w:val="000011E9"/>
    <w:rsid w:val="000072A5"/>
    <w:rsid w:val="00035F6F"/>
    <w:rsid w:val="0006580D"/>
    <w:rsid w:val="00073DFC"/>
    <w:rsid w:val="00081D50"/>
    <w:rsid w:val="000921EB"/>
    <w:rsid w:val="00092220"/>
    <w:rsid w:val="000B4C13"/>
    <w:rsid w:val="000E640C"/>
    <w:rsid w:val="000F30E2"/>
    <w:rsid w:val="00101011"/>
    <w:rsid w:val="00101E2D"/>
    <w:rsid w:val="001071D8"/>
    <w:rsid w:val="001248D5"/>
    <w:rsid w:val="00133A79"/>
    <w:rsid w:val="00155778"/>
    <w:rsid w:val="00167112"/>
    <w:rsid w:val="00173A3B"/>
    <w:rsid w:val="001B304F"/>
    <w:rsid w:val="001B3F39"/>
    <w:rsid w:val="001C0FEC"/>
    <w:rsid w:val="001C5AB1"/>
    <w:rsid w:val="001E1D7A"/>
    <w:rsid w:val="00200153"/>
    <w:rsid w:val="002113CA"/>
    <w:rsid w:val="00214F86"/>
    <w:rsid w:val="0022233A"/>
    <w:rsid w:val="00225546"/>
    <w:rsid w:val="00227E30"/>
    <w:rsid w:val="00242C3B"/>
    <w:rsid w:val="00243A01"/>
    <w:rsid w:val="002469D7"/>
    <w:rsid w:val="002568D7"/>
    <w:rsid w:val="002653F9"/>
    <w:rsid w:val="002B5A54"/>
    <w:rsid w:val="002C039A"/>
    <w:rsid w:val="002E1122"/>
    <w:rsid w:val="002E1CAF"/>
    <w:rsid w:val="002E1F48"/>
    <w:rsid w:val="002E2044"/>
    <w:rsid w:val="002E4895"/>
    <w:rsid w:val="003168A2"/>
    <w:rsid w:val="00317B02"/>
    <w:rsid w:val="00324A1E"/>
    <w:rsid w:val="00326B03"/>
    <w:rsid w:val="00351261"/>
    <w:rsid w:val="00356C8A"/>
    <w:rsid w:val="0036286C"/>
    <w:rsid w:val="00366AE0"/>
    <w:rsid w:val="00366C0A"/>
    <w:rsid w:val="00373517"/>
    <w:rsid w:val="003755E7"/>
    <w:rsid w:val="00383F30"/>
    <w:rsid w:val="003910B5"/>
    <w:rsid w:val="003A1A6D"/>
    <w:rsid w:val="003B215B"/>
    <w:rsid w:val="003D3D34"/>
    <w:rsid w:val="003E36EA"/>
    <w:rsid w:val="003F4CD8"/>
    <w:rsid w:val="00430587"/>
    <w:rsid w:val="00434432"/>
    <w:rsid w:val="004403CE"/>
    <w:rsid w:val="004442B6"/>
    <w:rsid w:val="004445F9"/>
    <w:rsid w:val="004552C8"/>
    <w:rsid w:val="00465311"/>
    <w:rsid w:val="00477809"/>
    <w:rsid w:val="00486539"/>
    <w:rsid w:val="004B371D"/>
    <w:rsid w:val="004C389D"/>
    <w:rsid w:val="004F4189"/>
    <w:rsid w:val="00517602"/>
    <w:rsid w:val="00520CAC"/>
    <w:rsid w:val="005361BA"/>
    <w:rsid w:val="00552600"/>
    <w:rsid w:val="00570822"/>
    <w:rsid w:val="00575292"/>
    <w:rsid w:val="00580738"/>
    <w:rsid w:val="00590852"/>
    <w:rsid w:val="005917EC"/>
    <w:rsid w:val="00597D9C"/>
    <w:rsid w:val="00597EE9"/>
    <w:rsid w:val="005A6C74"/>
    <w:rsid w:val="005B3510"/>
    <w:rsid w:val="005C5A94"/>
    <w:rsid w:val="005D199B"/>
    <w:rsid w:val="005F1203"/>
    <w:rsid w:val="00600A63"/>
    <w:rsid w:val="00671412"/>
    <w:rsid w:val="00672C3E"/>
    <w:rsid w:val="00672F7B"/>
    <w:rsid w:val="00673194"/>
    <w:rsid w:val="00675C88"/>
    <w:rsid w:val="006779CD"/>
    <w:rsid w:val="00680787"/>
    <w:rsid w:val="006A28B1"/>
    <w:rsid w:val="006A41EE"/>
    <w:rsid w:val="006B5AE5"/>
    <w:rsid w:val="007211D4"/>
    <w:rsid w:val="00736F7A"/>
    <w:rsid w:val="0074762F"/>
    <w:rsid w:val="007636C1"/>
    <w:rsid w:val="007B0F12"/>
    <w:rsid w:val="007C2AAE"/>
    <w:rsid w:val="007D489C"/>
    <w:rsid w:val="007E00D9"/>
    <w:rsid w:val="007E4062"/>
    <w:rsid w:val="008043E4"/>
    <w:rsid w:val="0081165B"/>
    <w:rsid w:val="00811CD1"/>
    <w:rsid w:val="008251A1"/>
    <w:rsid w:val="00830CC3"/>
    <w:rsid w:val="008353FD"/>
    <w:rsid w:val="00847DAA"/>
    <w:rsid w:val="00856A33"/>
    <w:rsid w:val="00856F72"/>
    <w:rsid w:val="00867F25"/>
    <w:rsid w:val="00874822"/>
    <w:rsid w:val="00875CA1"/>
    <w:rsid w:val="00882783"/>
    <w:rsid w:val="008A6368"/>
    <w:rsid w:val="008D23BA"/>
    <w:rsid w:val="008D5263"/>
    <w:rsid w:val="00904F26"/>
    <w:rsid w:val="0090567C"/>
    <w:rsid w:val="009060BA"/>
    <w:rsid w:val="00921D75"/>
    <w:rsid w:val="009277B8"/>
    <w:rsid w:val="00946859"/>
    <w:rsid w:val="009621C5"/>
    <w:rsid w:val="009718EF"/>
    <w:rsid w:val="00971A26"/>
    <w:rsid w:val="00976BB5"/>
    <w:rsid w:val="009A0C71"/>
    <w:rsid w:val="009F6B32"/>
    <w:rsid w:val="009F6C74"/>
    <w:rsid w:val="00A04962"/>
    <w:rsid w:val="00A16A33"/>
    <w:rsid w:val="00A3631C"/>
    <w:rsid w:val="00A84C2A"/>
    <w:rsid w:val="00AA772D"/>
    <w:rsid w:val="00AC724D"/>
    <w:rsid w:val="00AD1B44"/>
    <w:rsid w:val="00AD3312"/>
    <w:rsid w:val="00AE273E"/>
    <w:rsid w:val="00AF0F62"/>
    <w:rsid w:val="00B12E23"/>
    <w:rsid w:val="00B13041"/>
    <w:rsid w:val="00B1693D"/>
    <w:rsid w:val="00B33CCD"/>
    <w:rsid w:val="00B56E10"/>
    <w:rsid w:val="00B60DB9"/>
    <w:rsid w:val="00B9460E"/>
    <w:rsid w:val="00BA3422"/>
    <w:rsid w:val="00BC1BC7"/>
    <w:rsid w:val="00BC7A69"/>
    <w:rsid w:val="00BC7E05"/>
    <w:rsid w:val="00BD7079"/>
    <w:rsid w:val="00BD7727"/>
    <w:rsid w:val="00BE04C1"/>
    <w:rsid w:val="00BE6895"/>
    <w:rsid w:val="00BF4D51"/>
    <w:rsid w:val="00BF596B"/>
    <w:rsid w:val="00C06008"/>
    <w:rsid w:val="00C13EC3"/>
    <w:rsid w:val="00C21CBD"/>
    <w:rsid w:val="00C23AB9"/>
    <w:rsid w:val="00C2547E"/>
    <w:rsid w:val="00C266C5"/>
    <w:rsid w:val="00C656B7"/>
    <w:rsid w:val="00C72F25"/>
    <w:rsid w:val="00C73669"/>
    <w:rsid w:val="00C96940"/>
    <w:rsid w:val="00CA701C"/>
    <w:rsid w:val="00CE33BB"/>
    <w:rsid w:val="00CF1C6D"/>
    <w:rsid w:val="00CF5B75"/>
    <w:rsid w:val="00D0054F"/>
    <w:rsid w:val="00D04E5A"/>
    <w:rsid w:val="00D246B1"/>
    <w:rsid w:val="00D41AF4"/>
    <w:rsid w:val="00D5266C"/>
    <w:rsid w:val="00D61655"/>
    <w:rsid w:val="00D66277"/>
    <w:rsid w:val="00D7114B"/>
    <w:rsid w:val="00D72C41"/>
    <w:rsid w:val="00D73C94"/>
    <w:rsid w:val="00D74176"/>
    <w:rsid w:val="00D745AD"/>
    <w:rsid w:val="00D76CC5"/>
    <w:rsid w:val="00D83F72"/>
    <w:rsid w:val="00DA1B86"/>
    <w:rsid w:val="00DD2A47"/>
    <w:rsid w:val="00E0306F"/>
    <w:rsid w:val="00E114C2"/>
    <w:rsid w:val="00E324A9"/>
    <w:rsid w:val="00E33F41"/>
    <w:rsid w:val="00E56755"/>
    <w:rsid w:val="00E63874"/>
    <w:rsid w:val="00E675FD"/>
    <w:rsid w:val="00E76042"/>
    <w:rsid w:val="00EA2EA9"/>
    <w:rsid w:val="00EB0A98"/>
    <w:rsid w:val="00EB4FE8"/>
    <w:rsid w:val="00EC0900"/>
    <w:rsid w:val="00EC4724"/>
    <w:rsid w:val="00ED0FC2"/>
    <w:rsid w:val="00ED33B5"/>
    <w:rsid w:val="00EE41AE"/>
    <w:rsid w:val="00F03836"/>
    <w:rsid w:val="00F05C58"/>
    <w:rsid w:val="00F1566A"/>
    <w:rsid w:val="00F21B68"/>
    <w:rsid w:val="00F221B7"/>
    <w:rsid w:val="00F234F7"/>
    <w:rsid w:val="00F27025"/>
    <w:rsid w:val="00F30723"/>
    <w:rsid w:val="00F31088"/>
    <w:rsid w:val="00F54911"/>
    <w:rsid w:val="00F640BF"/>
    <w:rsid w:val="00F641F6"/>
    <w:rsid w:val="00F642CB"/>
    <w:rsid w:val="00F830C4"/>
    <w:rsid w:val="00F84649"/>
    <w:rsid w:val="00F916AC"/>
    <w:rsid w:val="00FA1ED1"/>
    <w:rsid w:val="00FB6980"/>
    <w:rsid w:val="00FD2858"/>
    <w:rsid w:val="00FD396C"/>
    <w:rsid w:val="00FF7E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A6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6B32"/>
    <w:rPr>
      <w:color w:val="0000FF" w:themeColor="hyperlink"/>
      <w:u w:val="single"/>
    </w:rPr>
  </w:style>
  <w:style w:type="character" w:styleId="CommentReference">
    <w:name w:val="annotation reference"/>
    <w:basedOn w:val="DefaultParagraphFont"/>
    <w:uiPriority w:val="99"/>
    <w:semiHidden/>
    <w:unhideWhenUsed/>
    <w:rsid w:val="00200153"/>
    <w:rPr>
      <w:sz w:val="16"/>
      <w:szCs w:val="16"/>
    </w:rPr>
  </w:style>
  <w:style w:type="paragraph" w:styleId="CommentText">
    <w:name w:val="annotation text"/>
    <w:basedOn w:val="Normal"/>
    <w:link w:val="CommentTextChar"/>
    <w:uiPriority w:val="99"/>
    <w:semiHidden/>
    <w:unhideWhenUsed/>
    <w:rsid w:val="00200153"/>
    <w:pPr>
      <w:spacing w:after="200"/>
    </w:pPr>
    <w:rPr>
      <w:rFonts w:eastAsiaTheme="minorEastAsia"/>
      <w:sz w:val="20"/>
      <w:szCs w:val="20"/>
    </w:rPr>
  </w:style>
  <w:style w:type="character" w:customStyle="1" w:styleId="CommentTextChar">
    <w:name w:val="Comment Text Char"/>
    <w:basedOn w:val="DefaultParagraphFont"/>
    <w:link w:val="CommentText"/>
    <w:uiPriority w:val="99"/>
    <w:semiHidden/>
    <w:rsid w:val="00200153"/>
    <w:rPr>
      <w:rFonts w:eastAsiaTheme="minorEastAsia"/>
      <w:sz w:val="20"/>
      <w:szCs w:val="20"/>
    </w:rPr>
  </w:style>
  <w:style w:type="paragraph" w:styleId="BalloonText">
    <w:name w:val="Balloon Text"/>
    <w:basedOn w:val="Normal"/>
    <w:link w:val="BalloonTextChar"/>
    <w:uiPriority w:val="99"/>
    <w:semiHidden/>
    <w:unhideWhenUsed/>
    <w:rsid w:val="00200153"/>
    <w:rPr>
      <w:rFonts w:ascii="Tahoma" w:hAnsi="Tahoma" w:cs="Tahoma"/>
      <w:sz w:val="16"/>
      <w:szCs w:val="16"/>
    </w:rPr>
  </w:style>
  <w:style w:type="character" w:customStyle="1" w:styleId="BalloonTextChar">
    <w:name w:val="Balloon Text Char"/>
    <w:basedOn w:val="DefaultParagraphFont"/>
    <w:link w:val="BalloonText"/>
    <w:uiPriority w:val="99"/>
    <w:semiHidden/>
    <w:rsid w:val="00200153"/>
    <w:rPr>
      <w:rFonts w:ascii="Tahoma" w:hAnsi="Tahoma" w:cs="Tahoma"/>
      <w:sz w:val="16"/>
      <w:szCs w:val="16"/>
    </w:rPr>
  </w:style>
  <w:style w:type="paragraph" w:styleId="PlainText">
    <w:name w:val="Plain Text"/>
    <w:basedOn w:val="Normal"/>
    <w:link w:val="PlainTextChar"/>
    <w:uiPriority w:val="99"/>
    <w:unhideWhenUsed/>
    <w:rsid w:val="00200153"/>
    <w:rPr>
      <w:rFonts w:ascii="Consolas" w:eastAsiaTheme="minorEastAsia" w:hAnsi="Consolas"/>
      <w:sz w:val="21"/>
      <w:szCs w:val="21"/>
    </w:rPr>
  </w:style>
  <w:style w:type="character" w:customStyle="1" w:styleId="PlainTextChar">
    <w:name w:val="Plain Text Char"/>
    <w:basedOn w:val="DefaultParagraphFont"/>
    <w:link w:val="PlainText"/>
    <w:uiPriority w:val="99"/>
    <w:rsid w:val="00200153"/>
    <w:rPr>
      <w:rFonts w:ascii="Consolas" w:eastAsiaTheme="minorEastAsia" w:hAnsi="Consolas"/>
      <w:sz w:val="21"/>
      <w:szCs w:val="21"/>
    </w:rPr>
  </w:style>
  <w:style w:type="paragraph" w:styleId="ListParagraph">
    <w:name w:val="List Paragraph"/>
    <w:basedOn w:val="Normal"/>
    <w:uiPriority w:val="34"/>
    <w:qFormat/>
    <w:rsid w:val="00BC7A69"/>
    <w:pPr>
      <w:ind w:left="720"/>
      <w:contextualSpacing/>
    </w:pPr>
  </w:style>
  <w:style w:type="paragraph" w:styleId="FootnoteText">
    <w:name w:val="footnote text"/>
    <w:basedOn w:val="Normal"/>
    <w:link w:val="FootnoteTextChar"/>
    <w:unhideWhenUsed/>
    <w:rsid w:val="004403CE"/>
    <w:rPr>
      <w:sz w:val="20"/>
      <w:szCs w:val="20"/>
    </w:rPr>
  </w:style>
  <w:style w:type="character" w:customStyle="1" w:styleId="FootnoteTextChar">
    <w:name w:val="Footnote Text Char"/>
    <w:basedOn w:val="DefaultParagraphFont"/>
    <w:link w:val="FootnoteText"/>
    <w:rsid w:val="004403CE"/>
    <w:rPr>
      <w:sz w:val="20"/>
      <w:szCs w:val="20"/>
    </w:rPr>
  </w:style>
  <w:style w:type="character" w:styleId="FootnoteReference">
    <w:name w:val="footnote reference"/>
    <w:basedOn w:val="DefaultParagraphFont"/>
    <w:unhideWhenUsed/>
    <w:rsid w:val="004403CE"/>
    <w:rPr>
      <w:vertAlign w:val="superscript"/>
    </w:rPr>
  </w:style>
  <w:style w:type="paragraph" w:styleId="CommentSubject">
    <w:name w:val="annotation subject"/>
    <w:basedOn w:val="CommentText"/>
    <w:next w:val="CommentText"/>
    <w:link w:val="CommentSubjectChar"/>
    <w:uiPriority w:val="99"/>
    <w:semiHidden/>
    <w:unhideWhenUsed/>
    <w:rsid w:val="00B1693D"/>
    <w:pPr>
      <w:spacing w:after="0"/>
    </w:pPr>
    <w:rPr>
      <w:rFonts w:eastAsiaTheme="minorHAnsi"/>
      <w:b/>
      <w:bCs/>
    </w:rPr>
  </w:style>
  <w:style w:type="character" w:customStyle="1" w:styleId="CommentSubjectChar">
    <w:name w:val="Comment Subject Char"/>
    <w:basedOn w:val="CommentTextChar"/>
    <w:link w:val="CommentSubject"/>
    <w:uiPriority w:val="99"/>
    <w:semiHidden/>
    <w:rsid w:val="00B1693D"/>
    <w:rPr>
      <w:rFonts w:eastAsiaTheme="minorEastAsia"/>
      <w:b/>
      <w:bCs/>
      <w:sz w:val="20"/>
      <w:szCs w:val="20"/>
    </w:rPr>
  </w:style>
  <w:style w:type="paragraph" w:styleId="Header">
    <w:name w:val="header"/>
    <w:basedOn w:val="Normal"/>
    <w:link w:val="HeaderChar"/>
    <w:uiPriority w:val="99"/>
    <w:unhideWhenUsed/>
    <w:rsid w:val="00383F30"/>
    <w:pPr>
      <w:tabs>
        <w:tab w:val="center" w:pos="4680"/>
        <w:tab w:val="right" w:pos="9360"/>
      </w:tabs>
    </w:pPr>
  </w:style>
  <w:style w:type="character" w:customStyle="1" w:styleId="HeaderChar">
    <w:name w:val="Header Char"/>
    <w:basedOn w:val="DefaultParagraphFont"/>
    <w:link w:val="Header"/>
    <w:uiPriority w:val="99"/>
    <w:rsid w:val="00383F30"/>
  </w:style>
  <w:style w:type="paragraph" w:styleId="Footer">
    <w:name w:val="footer"/>
    <w:basedOn w:val="Normal"/>
    <w:link w:val="FooterChar"/>
    <w:uiPriority w:val="99"/>
    <w:unhideWhenUsed/>
    <w:rsid w:val="00383F30"/>
    <w:pPr>
      <w:tabs>
        <w:tab w:val="center" w:pos="4680"/>
        <w:tab w:val="right" w:pos="9360"/>
      </w:tabs>
    </w:pPr>
  </w:style>
  <w:style w:type="character" w:customStyle="1" w:styleId="FooterChar">
    <w:name w:val="Footer Char"/>
    <w:basedOn w:val="DefaultParagraphFont"/>
    <w:link w:val="Footer"/>
    <w:uiPriority w:val="99"/>
    <w:rsid w:val="00383F30"/>
  </w:style>
  <w:style w:type="paragraph" w:styleId="NoSpacing">
    <w:name w:val="No Spacing"/>
    <w:uiPriority w:val="1"/>
    <w:qFormat/>
    <w:rsid w:val="000F30E2"/>
  </w:style>
  <w:style w:type="paragraph" w:customStyle="1" w:styleId="Default">
    <w:name w:val="Default"/>
    <w:rsid w:val="00F1566A"/>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A6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6B32"/>
    <w:rPr>
      <w:color w:val="0000FF" w:themeColor="hyperlink"/>
      <w:u w:val="single"/>
    </w:rPr>
  </w:style>
  <w:style w:type="character" w:styleId="CommentReference">
    <w:name w:val="annotation reference"/>
    <w:basedOn w:val="DefaultParagraphFont"/>
    <w:uiPriority w:val="99"/>
    <w:semiHidden/>
    <w:unhideWhenUsed/>
    <w:rsid w:val="00200153"/>
    <w:rPr>
      <w:sz w:val="16"/>
      <w:szCs w:val="16"/>
    </w:rPr>
  </w:style>
  <w:style w:type="paragraph" w:styleId="CommentText">
    <w:name w:val="annotation text"/>
    <w:basedOn w:val="Normal"/>
    <w:link w:val="CommentTextChar"/>
    <w:uiPriority w:val="99"/>
    <w:semiHidden/>
    <w:unhideWhenUsed/>
    <w:rsid w:val="00200153"/>
    <w:pPr>
      <w:spacing w:after="200"/>
    </w:pPr>
    <w:rPr>
      <w:rFonts w:eastAsiaTheme="minorEastAsia"/>
      <w:sz w:val="20"/>
      <w:szCs w:val="20"/>
    </w:rPr>
  </w:style>
  <w:style w:type="character" w:customStyle="1" w:styleId="CommentTextChar">
    <w:name w:val="Comment Text Char"/>
    <w:basedOn w:val="DefaultParagraphFont"/>
    <w:link w:val="CommentText"/>
    <w:uiPriority w:val="99"/>
    <w:semiHidden/>
    <w:rsid w:val="00200153"/>
    <w:rPr>
      <w:rFonts w:eastAsiaTheme="minorEastAsia"/>
      <w:sz w:val="20"/>
      <w:szCs w:val="20"/>
    </w:rPr>
  </w:style>
  <w:style w:type="paragraph" w:styleId="BalloonText">
    <w:name w:val="Balloon Text"/>
    <w:basedOn w:val="Normal"/>
    <w:link w:val="BalloonTextChar"/>
    <w:uiPriority w:val="99"/>
    <w:semiHidden/>
    <w:unhideWhenUsed/>
    <w:rsid w:val="00200153"/>
    <w:rPr>
      <w:rFonts w:ascii="Tahoma" w:hAnsi="Tahoma" w:cs="Tahoma"/>
      <w:sz w:val="16"/>
      <w:szCs w:val="16"/>
    </w:rPr>
  </w:style>
  <w:style w:type="character" w:customStyle="1" w:styleId="BalloonTextChar">
    <w:name w:val="Balloon Text Char"/>
    <w:basedOn w:val="DefaultParagraphFont"/>
    <w:link w:val="BalloonText"/>
    <w:uiPriority w:val="99"/>
    <w:semiHidden/>
    <w:rsid w:val="00200153"/>
    <w:rPr>
      <w:rFonts w:ascii="Tahoma" w:hAnsi="Tahoma" w:cs="Tahoma"/>
      <w:sz w:val="16"/>
      <w:szCs w:val="16"/>
    </w:rPr>
  </w:style>
  <w:style w:type="paragraph" w:styleId="PlainText">
    <w:name w:val="Plain Text"/>
    <w:basedOn w:val="Normal"/>
    <w:link w:val="PlainTextChar"/>
    <w:uiPriority w:val="99"/>
    <w:unhideWhenUsed/>
    <w:rsid w:val="00200153"/>
    <w:rPr>
      <w:rFonts w:ascii="Consolas" w:eastAsiaTheme="minorEastAsia" w:hAnsi="Consolas"/>
      <w:sz w:val="21"/>
      <w:szCs w:val="21"/>
    </w:rPr>
  </w:style>
  <w:style w:type="character" w:customStyle="1" w:styleId="PlainTextChar">
    <w:name w:val="Plain Text Char"/>
    <w:basedOn w:val="DefaultParagraphFont"/>
    <w:link w:val="PlainText"/>
    <w:uiPriority w:val="99"/>
    <w:rsid w:val="00200153"/>
    <w:rPr>
      <w:rFonts w:ascii="Consolas" w:eastAsiaTheme="minorEastAsia" w:hAnsi="Consolas"/>
      <w:sz w:val="21"/>
      <w:szCs w:val="21"/>
    </w:rPr>
  </w:style>
  <w:style w:type="paragraph" w:styleId="ListParagraph">
    <w:name w:val="List Paragraph"/>
    <w:basedOn w:val="Normal"/>
    <w:uiPriority w:val="34"/>
    <w:qFormat/>
    <w:rsid w:val="00BC7A69"/>
    <w:pPr>
      <w:ind w:left="720"/>
      <w:contextualSpacing/>
    </w:pPr>
  </w:style>
  <w:style w:type="paragraph" w:styleId="FootnoteText">
    <w:name w:val="footnote text"/>
    <w:basedOn w:val="Normal"/>
    <w:link w:val="FootnoteTextChar"/>
    <w:unhideWhenUsed/>
    <w:rsid w:val="004403CE"/>
    <w:rPr>
      <w:sz w:val="20"/>
      <w:szCs w:val="20"/>
    </w:rPr>
  </w:style>
  <w:style w:type="character" w:customStyle="1" w:styleId="FootnoteTextChar">
    <w:name w:val="Footnote Text Char"/>
    <w:basedOn w:val="DefaultParagraphFont"/>
    <w:link w:val="FootnoteText"/>
    <w:rsid w:val="004403CE"/>
    <w:rPr>
      <w:sz w:val="20"/>
      <w:szCs w:val="20"/>
    </w:rPr>
  </w:style>
  <w:style w:type="character" w:styleId="FootnoteReference">
    <w:name w:val="footnote reference"/>
    <w:basedOn w:val="DefaultParagraphFont"/>
    <w:unhideWhenUsed/>
    <w:rsid w:val="004403CE"/>
    <w:rPr>
      <w:vertAlign w:val="superscript"/>
    </w:rPr>
  </w:style>
  <w:style w:type="paragraph" w:styleId="CommentSubject">
    <w:name w:val="annotation subject"/>
    <w:basedOn w:val="CommentText"/>
    <w:next w:val="CommentText"/>
    <w:link w:val="CommentSubjectChar"/>
    <w:uiPriority w:val="99"/>
    <w:semiHidden/>
    <w:unhideWhenUsed/>
    <w:rsid w:val="00B1693D"/>
    <w:pPr>
      <w:spacing w:after="0"/>
    </w:pPr>
    <w:rPr>
      <w:rFonts w:eastAsiaTheme="minorHAnsi"/>
      <w:b/>
      <w:bCs/>
    </w:rPr>
  </w:style>
  <w:style w:type="character" w:customStyle="1" w:styleId="CommentSubjectChar">
    <w:name w:val="Comment Subject Char"/>
    <w:basedOn w:val="CommentTextChar"/>
    <w:link w:val="CommentSubject"/>
    <w:uiPriority w:val="99"/>
    <w:semiHidden/>
    <w:rsid w:val="00B1693D"/>
    <w:rPr>
      <w:rFonts w:eastAsiaTheme="minorEastAsia"/>
      <w:b/>
      <w:bCs/>
      <w:sz w:val="20"/>
      <w:szCs w:val="20"/>
    </w:rPr>
  </w:style>
  <w:style w:type="paragraph" w:styleId="Header">
    <w:name w:val="header"/>
    <w:basedOn w:val="Normal"/>
    <w:link w:val="HeaderChar"/>
    <w:uiPriority w:val="99"/>
    <w:unhideWhenUsed/>
    <w:rsid w:val="00383F30"/>
    <w:pPr>
      <w:tabs>
        <w:tab w:val="center" w:pos="4680"/>
        <w:tab w:val="right" w:pos="9360"/>
      </w:tabs>
    </w:pPr>
  </w:style>
  <w:style w:type="character" w:customStyle="1" w:styleId="HeaderChar">
    <w:name w:val="Header Char"/>
    <w:basedOn w:val="DefaultParagraphFont"/>
    <w:link w:val="Header"/>
    <w:uiPriority w:val="99"/>
    <w:rsid w:val="00383F30"/>
  </w:style>
  <w:style w:type="paragraph" w:styleId="Footer">
    <w:name w:val="footer"/>
    <w:basedOn w:val="Normal"/>
    <w:link w:val="FooterChar"/>
    <w:uiPriority w:val="99"/>
    <w:unhideWhenUsed/>
    <w:rsid w:val="00383F30"/>
    <w:pPr>
      <w:tabs>
        <w:tab w:val="center" w:pos="4680"/>
        <w:tab w:val="right" w:pos="9360"/>
      </w:tabs>
    </w:pPr>
  </w:style>
  <w:style w:type="character" w:customStyle="1" w:styleId="FooterChar">
    <w:name w:val="Footer Char"/>
    <w:basedOn w:val="DefaultParagraphFont"/>
    <w:link w:val="Footer"/>
    <w:uiPriority w:val="99"/>
    <w:rsid w:val="00383F30"/>
  </w:style>
</w:styles>
</file>

<file path=word/webSettings.xml><?xml version="1.0" encoding="utf-8"?>
<w:webSettings xmlns:r="http://schemas.openxmlformats.org/officeDocument/2006/relationships" xmlns:w="http://schemas.openxmlformats.org/wordprocessingml/2006/main">
  <w:divs>
    <w:div w:id="94642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e-filing" TargetMode="External"/><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records@utc.wa.gov"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828D9AD7978C44B84C17DE6D43F527" ma:contentTypeVersion="135" ma:contentTypeDescription="" ma:contentTypeScope="" ma:versionID="aa66af37047f1ccfa431515b335d3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Formal</CaseStatus>
    <OpenedDate xmlns="dc463f71-b30c-4ab2-9473-d307f9d35888">2013-09-12T07:00:00+00:00</OpenedDate>
    <Date1 xmlns="dc463f71-b30c-4ab2-9473-d307f9d35888">2014-05-09T07:00:00+00:00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99C3CE0-0A49-4DFE-928D-2C742C1C0DB4}"/>
</file>

<file path=customXml/itemProps2.xml><?xml version="1.0" encoding="utf-8"?>
<ds:datastoreItem xmlns:ds="http://schemas.openxmlformats.org/officeDocument/2006/customXml" ds:itemID="{D1E62514-B279-48B9-8EA5-0051C495357C}"/>
</file>

<file path=customXml/itemProps3.xml><?xml version="1.0" encoding="utf-8"?>
<ds:datastoreItem xmlns:ds="http://schemas.openxmlformats.org/officeDocument/2006/customXml" ds:itemID="{8BECF848-F36E-41C0-BDE8-4401D77C3500}"/>
</file>

<file path=customXml/itemProps4.xml><?xml version="1.0" encoding="utf-8"?>
<ds:datastoreItem xmlns:ds="http://schemas.openxmlformats.org/officeDocument/2006/customXml" ds:itemID="{A38B511E-A61E-42C0-9AC8-5FF15189CAC8}"/>
</file>

<file path=customXml/itemProps5.xml><?xml version="1.0" encoding="utf-8"?>
<ds:datastoreItem xmlns:ds="http://schemas.openxmlformats.org/officeDocument/2006/customXml" ds:itemID="{3877BFE5-A845-40D9-A330-EDDE94146CB2}"/>
</file>

<file path=docProps/app.xml><?xml version="1.0" encoding="utf-8"?>
<Properties xmlns="http://schemas.openxmlformats.org/officeDocument/2006/extended-properties" xmlns:vt="http://schemas.openxmlformats.org/officeDocument/2006/docPropsVTypes">
  <Template>Normal</Template>
  <TotalTime>10</TotalTime>
  <Pages>10</Pages>
  <Words>2569</Words>
  <Characters>14647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Nightingale, David (UTC)</dc:creator>
  <cp:lastModifiedBy>Linda Gervais</cp:lastModifiedBy>
  <cp:revision>5</cp:revision>
  <cp:lastPrinted>2014-05-08T18:51:00Z</cp:lastPrinted>
  <dcterms:created xsi:type="dcterms:W3CDTF">2014-05-08T18:50:00Z</dcterms:created>
  <dcterms:modified xsi:type="dcterms:W3CDTF">2014-05-09T20:04:00Z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0x0101006E56B4D1795A2E4DB2F0B01679ED314A0031828D9AD7978C44B84C17DE6D43F527</vt:lpwstr>
  </property>
  <property fmtid="{D5CDD505-2E9C-101B-9397-08002B2CF9AE}" pid="3" name="_docset_NoMedatataSyncRequired">
    <vt:lpwstr>False</vt:lpwstr>
  </property>
</Properties>
</file>