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1103F6" w14:textId="77777777" w:rsidR="00A53B5B" w:rsidRDefault="00A53B5B" w:rsidP="003A5612">
      <w:pPr>
        <w:tabs>
          <w:tab w:val="left" w:pos="720"/>
        </w:tabs>
        <w:jc w:val="center"/>
        <w:rPr>
          <w:b/>
        </w:rPr>
      </w:pPr>
    </w:p>
    <w:p w14:paraId="71D1E355" w14:textId="77777777" w:rsidR="00995380" w:rsidRDefault="00966373" w:rsidP="003A5612">
      <w:pPr>
        <w:tabs>
          <w:tab w:val="left" w:pos="720"/>
        </w:tabs>
        <w:jc w:val="center"/>
        <w:rPr>
          <w:b/>
        </w:rPr>
      </w:pPr>
      <w:r>
        <w:rPr>
          <w:b/>
        </w:rPr>
        <w:t>Work Paper</w:t>
      </w:r>
    </w:p>
    <w:p w14:paraId="1C0B3475" w14:textId="1298203A" w:rsidR="00A166A8" w:rsidRPr="00E06B52" w:rsidRDefault="00E06B52" w:rsidP="00E06B52">
      <w:pPr>
        <w:tabs>
          <w:tab w:val="left" w:pos="720"/>
          <w:tab w:val="left" w:pos="960"/>
          <w:tab w:val="center" w:pos="4536"/>
        </w:tabs>
        <w:rPr>
          <w:b/>
        </w:rPr>
      </w:pPr>
      <w:r>
        <w:rPr>
          <w:b/>
        </w:rPr>
        <w:tab/>
      </w:r>
      <w:r>
        <w:rPr>
          <w:b/>
        </w:rPr>
        <w:tab/>
      </w:r>
      <w:r>
        <w:rPr>
          <w:b/>
        </w:rPr>
        <w:tab/>
      </w:r>
      <w:r w:rsidR="005B78B7" w:rsidRPr="00E06B52">
        <w:rPr>
          <w:b/>
        </w:rPr>
        <w:t xml:space="preserve">PacifiCorp </w:t>
      </w:r>
      <w:r w:rsidR="003A565B" w:rsidRPr="00E06B52">
        <w:rPr>
          <w:b/>
        </w:rPr>
        <w:t xml:space="preserve">Renewable </w:t>
      </w:r>
      <w:r w:rsidR="009E5815" w:rsidRPr="00E06B52">
        <w:rPr>
          <w:b/>
        </w:rPr>
        <w:t>Resources</w:t>
      </w:r>
      <w:r w:rsidR="00801C3B" w:rsidRPr="00E06B52">
        <w:rPr>
          <w:b/>
        </w:rPr>
        <w:t xml:space="preserve"> Cost</w:t>
      </w:r>
      <w:r w:rsidR="00744ECF" w:rsidRPr="00E06B52">
        <w:rPr>
          <w:b/>
        </w:rPr>
        <w:t xml:space="preserve"> Analysis</w:t>
      </w:r>
    </w:p>
    <w:p w14:paraId="74E83AA7" w14:textId="77777777" w:rsidR="00A53B5B" w:rsidRDefault="00A53B5B" w:rsidP="003A5612">
      <w:pPr>
        <w:jc w:val="both"/>
        <w:rPr>
          <w:rFonts w:eastAsia="MS Mincho"/>
          <w:u w:val="single"/>
          <w:lang w:eastAsia="ja-JP"/>
        </w:rPr>
      </w:pPr>
    </w:p>
    <w:p w14:paraId="0C1F03D2" w14:textId="77777777" w:rsidR="00A166A8" w:rsidRDefault="00A166A8" w:rsidP="003A5612">
      <w:pPr>
        <w:jc w:val="both"/>
        <w:rPr>
          <w:rFonts w:eastAsia="MS Mincho"/>
          <w:u w:val="single"/>
          <w:lang w:eastAsia="ja-JP"/>
        </w:rPr>
      </w:pPr>
      <w:r w:rsidRPr="00A166A8">
        <w:rPr>
          <w:rFonts w:eastAsia="MS Mincho"/>
          <w:u w:val="single"/>
          <w:lang w:eastAsia="ja-JP"/>
        </w:rPr>
        <w:t>Background</w:t>
      </w:r>
    </w:p>
    <w:p w14:paraId="1CE2392D" w14:textId="77777777" w:rsidR="00A166A8" w:rsidRPr="00A166A8" w:rsidRDefault="00A166A8" w:rsidP="003A5612">
      <w:pPr>
        <w:jc w:val="both"/>
        <w:rPr>
          <w:rFonts w:eastAsia="MS Mincho"/>
          <w:u w:val="single"/>
          <w:lang w:eastAsia="ja-JP"/>
        </w:rPr>
      </w:pPr>
    </w:p>
    <w:p w14:paraId="2DB83B6E" w14:textId="6CA56B06" w:rsidR="009E5815" w:rsidRDefault="00E61C69" w:rsidP="003A5612">
      <w:pPr>
        <w:jc w:val="both"/>
      </w:pPr>
      <w:r>
        <w:t xml:space="preserve">Under </w:t>
      </w:r>
      <w:r w:rsidR="003669C4">
        <w:t>Washington Administrative Code (</w:t>
      </w:r>
      <w:r w:rsidR="009E5815">
        <w:t>W</w:t>
      </w:r>
      <w:r w:rsidR="00331F33">
        <w:t>AC</w:t>
      </w:r>
      <w:r w:rsidR="003669C4">
        <w:t>)</w:t>
      </w:r>
      <w:r w:rsidR="00331F33">
        <w:t xml:space="preserve"> 480-109-</w:t>
      </w:r>
      <w:r w:rsidR="00F80DFC">
        <w:t>210</w:t>
      </w:r>
      <w:r w:rsidR="00F842D4">
        <w:t>(2)</w:t>
      </w:r>
      <w:r>
        <w:t>,</w:t>
      </w:r>
      <w:r w:rsidR="00331F33">
        <w:t xml:space="preserve"> </w:t>
      </w:r>
      <w:r w:rsidR="001D7208">
        <w:t xml:space="preserve">PacifiCorp dba </w:t>
      </w:r>
      <w:r w:rsidR="00BD4BB6">
        <w:t>Pacific Power &amp; Light Company</w:t>
      </w:r>
      <w:r w:rsidR="005C3AEB">
        <w:t xml:space="preserve"> (</w:t>
      </w:r>
      <w:r w:rsidR="001D7208">
        <w:t>PacifiCorp or Company</w:t>
      </w:r>
      <w:r w:rsidR="005C3AEB">
        <w:t>)</w:t>
      </w:r>
      <w:r w:rsidR="009E5815">
        <w:t xml:space="preserve"> </w:t>
      </w:r>
      <w:r w:rsidR="00BD4BB6">
        <w:t>must</w:t>
      </w:r>
      <w:r w:rsidR="009E5815">
        <w:t xml:space="preserve"> present </w:t>
      </w:r>
      <w:r w:rsidR="009E5815" w:rsidRPr="00331F33">
        <w:t xml:space="preserve">the incremental cost of eligible renewable resources and </w:t>
      </w:r>
      <w:r w:rsidR="00AD56EA">
        <w:t xml:space="preserve">the cost </w:t>
      </w:r>
      <w:r w:rsidR="00BD4BB6">
        <w:t xml:space="preserve">of </w:t>
      </w:r>
      <w:r w:rsidR="003A565B">
        <w:t xml:space="preserve">renewable energy credits, and </w:t>
      </w:r>
      <w:r w:rsidR="009E5815" w:rsidRPr="00331F33">
        <w:t xml:space="preserve">the ratio of this </w:t>
      </w:r>
      <w:r w:rsidR="00C90AF0">
        <w:t xml:space="preserve">additional </w:t>
      </w:r>
      <w:r w:rsidR="009E5815" w:rsidRPr="00331F33">
        <w:t xml:space="preserve">investment relative to </w:t>
      </w:r>
      <w:r w:rsidR="00C94F2C">
        <w:t>its</w:t>
      </w:r>
      <w:r w:rsidR="009E5815" w:rsidRPr="00331F33">
        <w:t xml:space="preserve"> total annual retail revenue requirement.</w:t>
      </w:r>
      <w:r w:rsidR="009E5815">
        <w:t xml:space="preserve"> </w:t>
      </w:r>
      <w:r>
        <w:t>WAC 480-109-</w:t>
      </w:r>
      <w:r w:rsidR="00F80DFC">
        <w:t>210</w:t>
      </w:r>
      <w:r w:rsidR="009E5815">
        <w:t xml:space="preserve"> </w:t>
      </w:r>
      <w:r w:rsidR="00BD4BB6">
        <w:t xml:space="preserve">describes </w:t>
      </w:r>
      <w:r w:rsidR="009E5815">
        <w:t xml:space="preserve">the incremental cost as the difference between </w:t>
      </w:r>
      <w:r w:rsidR="00796A2D">
        <w:t xml:space="preserve">an </w:t>
      </w:r>
      <w:r w:rsidR="009E5815" w:rsidRPr="00331F33">
        <w:t>eligible</w:t>
      </w:r>
      <w:bookmarkStart w:id="0" w:name="_GoBack"/>
      <w:bookmarkEnd w:id="0"/>
      <w:r w:rsidR="009E5815" w:rsidRPr="00331F33">
        <w:t xml:space="preserve"> resource</w:t>
      </w:r>
      <w:r w:rsidR="00796A2D">
        <w:t>’</w:t>
      </w:r>
      <w:r w:rsidR="00F842D4">
        <w:t>s</w:t>
      </w:r>
      <w:r w:rsidR="009E5815">
        <w:t xml:space="preserve"> </w:t>
      </w:r>
      <w:proofErr w:type="spellStart"/>
      <w:r w:rsidR="00F842D4">
        <w:t>levelized</w:t>
      </w:r>
      <w:proofErr w:type="spellEnd"/>
      <w:r w:rsidR="00F842D4">
        <w:t xml:space="preserve"> cost </w:t>
      </w:r>
      <w:r w:rsidR="009E5815">
        <w:t xml:space="preserve">and the </w:t>
      </w:r>
      <w:proofErr w:type="spellStart"/>
      <w:r>
        <w:t>levelized</w:t>
      </w:r>
      <w:proofErr w:type="spellEnd"/>
      <w:r>
        <w:t xml:space="preserve"> delivered </w:t>
      </w:r>
      <w:r w:rsidR="009E5815">
        <w:t>cost of</w:t>
      </w:r>
      <w:r w:rsidR="009E5815" w:rsidRPr="009E5815">
        <w:t xml:space="preserve"> </w:t>
      </w:r>
      <w:r>
        <w:t xml:space="preserve">an equivalent amount of </w:t>
      </w:r>
      <w:r w:rsidR="00F842D4">
        <w:t>a non</w:t>
      </w:r>
      <w:r w:rsidR="00757796">
        <w:t>-</w:t>
      </w:r>
      <w:r w:rsidR="00F842D4">
        <w:t>eligible resource</w:t>
      </w:r>
      <w:r w:rsidR="009E5815">
        <w:t xml:space="preserve">. </w:t>
      </w:r>
      <w:r w:rsidR="003A565B">
        <w:t xml:space="preserve">This </w:t>
      </w:r>
      <w:proofErr w:type="spellStart"/>
      <w:r w:rsidR="00796A2D">
        <w:t>workpaper</w:t>
      </w:r>
      <w:proofErr w:type="spellEnd"/>
      <w:r w:rsidR="00796A2D">
        <w:t xml:space="preserve"> </w:t>
      </w:r>
      <w:r w:rsidR="003A565B">
        <w:t xml:space="preserve">describes the methodology used to </w:t>
      </w:r>
      <w:r>
        <w:t xml:space="preserve">estimate the </w:t>
      </w:r>
      <w:r w:rsidR="00AD56EA">
        <w:t xml:space="preserve">incremental </w:t>
      </w:r>
      <w:r>
        <w:t>costs</w:t>
      </w:r>
      <w:r w:rsidR="00005550">
        <w:t xml:space="preserve">, as required under </w:t>
      </w:r>
      <w:r>
        <w:t>WAC 480-109-</w:t>
      </w:r>
      <w:r w:rsidR="00F842D4">
        <w:t>210.</w:t>
      </w:r>
    </w:p>
    <w:p w14:paraId="0FCCBAC3" w14:textId="77777777" w:rsidR="00F80DFC" w:rsidRDefault="00F80DFC" w:rsidP="003A5612">
      <w:pPr>
        <w:tabs>
          <w:tab w:val="left" w:pos="720"/>
        </w:tabs>
        <w:jc w:val="both"/>
      </w:pPr>
    </w:p>
    <w:p w14:paraId="3C258F7A" w14:textId="77777777" w:rsidR="00A166A8" w:rsidRDefault="00A166A8" w:rsidP="003A5612">
      <w:pPr>
        <w:jc w:val="both"/>
        <w:rPr>
          <w:rFonts w:eastAsia="MS Mincho"/>
          <w:u w:val="single"/>
          <w:lang w:eastAsia="ja-JP"/>
        </w:rPr>
      </w:pPr>
      <w:r>
        <w:rPr>
          <w:rFonts w:eastAsia="MS Mincho"/>
          <w:u w:val="single"/>
          <w:lang w:eastAsia="ja-JP"/>
        </w:rPr>
        <w:t>Methodology</w:t>
      </w:r>
    </w:p>
    <w:p w14:paraId="07FDFD7C" w14:textId="77777777" w:rsidR="00A166A8" w:rsidRDefault="00A166A8" w:rsidP="003A5612">
      <w:pPr>
        <w:jc w:val="both"/>
        <w:rPr>
          <w:rFonts w:eastAsia="MS Mincho"/>
          <w:u w:val="single"/>
          <w:lang w:eastAsia="ja-JP"/>
        </w:rPr>
      </w:pPr>
    </w:p>
    <w:p w14:paraId="35F2406F" w14:textId="6326AF83" w:rsidR="00E14BC4" w:rsidRDefault="00A166A8" w:rsidP="003A5612">
      <w:pPr>
        <w:jc w:val="both"/>
      </w:pPr>
      <w:r>
        <w:rPr>
          <w:rFonts w:eastAsia="MS Mincho"/>
          <w:lang w:eastAsia="ja-JP"/>
        </w:rPr>
        <w:t>The</w:t>
      </w:r>
      <w:r w:rsidR="00E14BC4">
        <w:rPr>
          <w:rFonts w:eastAsia="MS Mincho"/>
          <w:lang w:eastAsia="ja-JP"/>
        </w:rPr>
        <w:t xml:space="preserve"> </w:t>
      </w:r>
      <w:r>
        <w:rPr>
          <w:rFonts w:eastAsia="MS Mincho"/>
          <w:lang w:eastAsia="ja-JP"/>
        </w:rPr>
        <w:t>methodology</w:t>
      </w:r>
      <w:r w:rsidR="00331F33">
        <w:rPr>
          <w:rFonts w:eastAsia="MS Mincho"/>
          <w:lang w:eastAsia="ja-JP"/>
        </w:rPr>
        <w:t xml:space="preserve"> </w:t>
      </w:r>
      <w:r w:rsidR="000C299A">
        <w:rPr>
          <w:rFonts w:eastAsia="MS Mincho"/>
          <w:lang w:eastAsia="ja-JP"/>
        </w:rPr>
        <w:t>described in WAC 480-109-210</w:t>
      </w:r>
      <w:r w:rsidR="00E14BC4">
        <w:rPr>
          <w:rFonts w:eastAsia="MS Mincho"/>
          <w:lang w:eastAsia="ja-JP"/>
        </w:rPr>
        <w:t xml:space="preserve"> and used by PacifiCorp is a one-time </w:t>
      </w:r>
      <w:r w:rsidR="000C299A">
        <w:rPr>
          <w:rFonts w:eastAsia="MS Mincho"/>
          <w:lang w:eastAsia="ja-JP"/>
        </w:rPr>
        <w:t xml:space="preserve">calculation </w:t>
      </w:r>
      <w:r w:rsidR="00E14BC4">
        <w:rPr>
          <w:rFonts w:eastAsia="MS Mincho"/>
          <w:lang w:eastAsia="ja-JP"/>
        </w:rPr>
        <w:t xml:space="preserve">of incremental cost </w:t>
      </w:r>
      <w:r w:rsidR="00BD4BB6">
        <w:rPr>
          <w:rFonts w:eastAsia="MS Mincho"/>
          <w:lang w:eastAsia="ja-JP"/>
        </w:rPr>
        <w:t xml:space="preserve">comparing </w:t>
      </w:r>
      <w:r w:rsidR="00E14BC4">
        <w:rPr>
          <w:rFonts w:eastAsia="MS Mincho"/>
          <w:lang w:eastAsia="ja-JP"/>
        </w:rPr>
        <w:t>the</w:t>
      </w:r>
      <w:r w:rsidR="00E14BC4">
        <w:t xml:space="preserve"> </w:t>
      </w:r>
      <w:proofErr w:type="spellStart"/>
      <w:r w:rsidR="00E14BC4">
        <w:t>levelized</w:t>
      </w:r>
      <w:proofErr w:type="spellEnd"/>
      <w:r w:rsidR="00E14BC4">
        <w:t xml:space="preserve"> cost of each eligible renewable resource at the time of acquisition to the </w:t>
      </w:r>
      <w:proofErr w:type="spellStart"/>
      <w:r w:rsidR="00E14BC4">
        <w:t>levelized</w:t>
      </w:r>
      <w:proofErr w:type="spellEnd"/>
      <w:r w:rsidR="00E14BC4">
        <w:t xml:space="preserve"> cost of a non</w:t>
      </w:r>
      <w:r w:rsidR="00757796">
        <w:t>-</w:t>
      </w:r>
      <w:r w:rsidR="00E14BC4">
        <w:t xml:space="preserve">eligible resource available to the utility at the time of the eligible resource’s acquisition. </w:t>
      </w:r>
    </w:p>
    <w:p w14:paraId="299EB99E" w14:textId="77777777" w:rsidR="001C369E" w:rsidRDefault="001C369E" w:rsidP="003A5612">
      <w:pPr>
        <w:jc w:val="both"/>
      </w:pPr>
    </w:p>
    <w:p w14:paraId="4943AD54" w14:textId="7ADBF447" w:rsidR="003A1AF7" w:rsidRDefault="001C369E" w:rsidP="003A5612">
      <w:pPr>
        <w:jc w:val="both"/>
      </w:pPr>
      <w:r>
        <w:t xml:space="preserve">PacifiCorp is seeking a waiver </w:t>
      </w:r>
      <w:r w:rsidR="003A1AF7">
        <w:t xml:space="preserve">in its 2020 Renewable Portfolio Standard (RPS Report) </w:t>
      </w:r>
      <w:r>
        <w:t xml:space="preserve">of </w:t>
      </w:r>
      <w:r w:rsidR="00627454">
        <w:t xml:space="preserve">the one-time calculation methodology </w:t>
      </w:r>
      <w:r>
        <w:t xml:space="preserve">to </w:t>
      </w:r>
      <w:r w:rsidR="00BD4BB6">
        <w:t>(1)</w:t>
      </w:r>
      <w:r w:rsidR="003A1AF7">
        <w:t xml:space="preserve"> </w:t>
      </w:r>
      <w:r>
        <w:t xml:space="preserve">provide an updated incremental cost calculation for certain resources </w:t>
      </w:r>
      <w:r w:rsidR="00627454">
        <w:t xml:space="preserve">that underwent a capital upgrade or “repowering” </w:t>
      </w:r>
      <w:r w:rsidR="00920335">
        <w:t xml:space="preserve">that changed the capacity value, </w:t>
      </w:r>
      <w:r w:rsidR="00627454">
        <w:t xml:space="preserve">extended useful life, </w:t>
      </w:r>
      <w:r w:rsidR="00920335">
        <w:t>and changed</w:t>
      </w:r>
      <w:r w:rsidR="00627454">
        <w:t xml:space="preserve"> c</w:t>
      </w:r>
      <w:r w:rsidR="00920335">
        <w:t>osts and production tax credits</w:t>
      </w:r>
      <w:r w:rsidR="003A1AF7">
        <w:t xml:space="preserve">, and </w:t>
      </w:r>
      <w:r w:rsidR="00BD4BB6">
        <w:t>(2)</w:t>
      </w:r>
      <w:r w:rsidR="003A1AF7">
        <w:t xml:space="preserve"> identify the capacity value of one of the repowered eligible resources </w:t>
      </w:r>
      <w:r w:rsidR="00BD4BB6">
        <w:t xml:space="preserve">based </w:t>
      </w:r>
      <w:r w:rsidR="003A1AF7">
        <w:t>on its 2019 Integrated Resource Plan (IRP)</w:t>
      </w:r>
      <w:r w:rsidR="00AB2ADC">
        <w:t xml:space="preserve"> progress r</w:t>
      </w:r>
      <w:r w:rsidR="003A1AF7">
        <w:t xml:space="preserve">eport </w:t>
      </w:r>
      <w:r w:rsidR="00BD4BB6">
        <w:t xml:space="preserve">instead of </w:t>
      </w:r>
      <w:r w:rsidR="003A1AF7">
        <w:t xml:space="preserve">an IRP that has been </w:t>
      </w:r>
      <w:r w:rsidR="003A1AF7" w:rsidRPr="00E06B52">
        <w:t>acknowledged</w:t>
      </w:r>
      <w:r w:rsidR="003A1AF7">
        <w:t xml:space="preserve"> by the </w:t>
      </w:r>
      <w:r w:rsidR="00BD4BB6">
        <w:t>Washington Utilities and Transportation C</w:t>
      </w:r>
      <w:r w:rsidR="003A1AF7">
        <w:t>ommission</w:t>
      </w:r>
      <w:r w:rsidR="00BD4BB6">
        <w:t xml:space="preserve"> (Commission)</w:t>
      </w:r>
      <w:r w:rsidR="00627454">
        <w:t xml:space="preserve">.  </w:t>
      </w:r>
    </w:p>
    <w:p w14:paraId="445D3B91" w14:textId="77777777" w:rsidR="003A1AF7" w:rsidRDefault="003A1AF7" w:rsidP="003A5612">
      <w:pPr>
        <w:jc w:val="both"/>
      </w:pPr>
    </w:p>
    <w:p w14:paraId="47C31187" w14:textId="672C0C7D" w:rsidR="00627454" w:rsidRDefault="00695378" w:rsidP="003A5612">
      <w:pPr>
        <w:jc w:val="both"/>
      </w:pPr>
      <w:r>
        <w:t>In a c</w:t>
      </w:r>
      <w:r w:rsidR="00920335">
        <w:t>ollaborative</w:t>
      </w:r>
      <w:r>
        <w:t xml:space="preserve"> working group </w:t>
      </w:r>
      <w:r w:rsidR="00005C34">
        <w:t>facilitated</w:t>
      </w:r>
      <w:r>
        <w:t xml:space="preserve"> by </w:t>
      </w:r>
      <w:r w:rsidR="004F745C">
        <w:t xml:space="preserve">Commission </w:t>
      </w:r>
      <w:r w:rsidR="00920335">
        <w:t>Staff</w:t>
      </w:r>
      <w:r>
        <w:t xml:space="preserve">, </w:t>
      </w:r>
      <w:r w:rsidR="003E5F65">
        <w:t>participating parties agreed</w:t>
      </w:r>
      <w:r w:rsidR="00005C34">
        <w:t xml:space="preserve"> that the non-eligible</w:t>
      </w:r>
      <w:r w:rsidR="003A1AF7">
        <w:t xml:space="preserve"> “proxy”</w:t>
      </w:r>
      <w:r w:rsidR="00005C34">
        <w:t xml:space="preserve"> resource </w:t>
      </w:r>
      <w:r w:rsidR="00005C34" w:rsidRPr="00005C34">
        <w:t xml:space="preserve">selection </w:t>
      </w:r>
      <w:r w:rsidR="00FE59AB">
        <w:t>should</w:t>
      </w:r>
      <w:r w:rsidR="00005C34">
        <w:t xml:space="preserve"> align </w:t>
      </w:r>
      <w:r w:rsidR="0065349C">
        <w:t xml:space="preserve">to the timing of the repowering </w:t>
      </w:r>
      <w:r w:rsidR="00920335">
        <w:t>as follows</w:t>
      </w:r>
      <w:r w:rsidR="00005C34" w:rsidRPr="00005C34">
        <w:t xml:space="preserve">: from acquisition to repowering using a non-eligible resource selected from </w:t>
      </w:r>
      <w:r w:rsidR="004F745C">
        <w:t xml:space="preserve">the </w:t>
      </w:r>
      <w:r w:rsidR="0065349C">
        <w:t xml:space="preserve">company’s </w:t>
      </w:r>
      <w:r w:rsidR="003A1AF7">
        <w:t>IRP</w:t>
      </w:r>
      <w:r w:rsidR="00005C34" w:rsidRPr="00005C34">
        <w:t xml:space="preserve"> at the time of acquisition</w:t>
      </w:r>
      <w:r w:rsidR="003A1AF7">
        <w:t xml:space="preserve"> of the eligible resource</w:t>
      </w:r>
      <w:r w:rsidR="0065349C">
        <w:t>;</w:t>
      </w:r>
      <w:r w:rsidR="004F745C">
        <w:t xml:space="preserve"> and </w:t>
      </w:r>
      <w:r w:rsidR="003A1AF7">
        <w:t>using a</w:t>
      </w:r>
      <w:r w:rsidR="00BD4BB6">
        <w:t xml:space="preserve"> </w:t>
      </w:r>
      <w:r w:rsidR="00005C34" w:rsidRPr="00005C34">
        <w:t xml:space="preserve">non-eligible resource from the point of repowering forward from </w:t>
      </w:r>
      <w:r w:rsidR="004F745C">
        <w:t xml:space="preserve">PacifiCorp’s </w:t>
      </w:r>
      <w:r w:rsidR="00005C34" w:rsidRPr="00005C34">
        <w:t>IRP at the time of repowering.</w:t>
      </w:r>
      <w:r w:rsidR="00005C34">
        <w:t xml:space="preserve"> </w:t>
      </w:r>
    </w:p>
    <w:p w14:paraId="21843871" w14:textId="77777777" w:rsidR="009D3429" w:rsidRDefault="009D3429" w:rsidP="003A5612">
      <w:pPr>
        <w:jc w:val="both"/>
      </w:pPr>
    </w:p>
    <w:p w14:paraId="68761D11" w14:textId="4C43ACB3" w:rsidR="009D3429" w:rsidRDefault="009D3429" w:rsidP="003A5612">
      <w:pPr>
        <w:jc w:val="both"/>
      </w:pPr>
      <w:r>
        <w:t xml:space="preserve">PacifiCorp repowered four </w:t>
      </w:r>
      <w:r w:rsidR="00BA63A5">
        <w:t>resources in the west c</w:t>
      </w:r>
      <w:r>
        <w:t xml:space="preserve">ontrol </w:t>
      </w:r>
      <w:r w:rsidR="00BA63A5">
        <w:t>a</w:t>
      </w:r>
      <w:r>
        <w:t>rea in 2019</w:t>
      </w:r>
      <w:r w:rsidR="00BD4BB6">
        <w:t xml:space="preserve"> and </w:t>
      </w:r>
      <w:r>
        <w:t>2020</w:t>
      </w:r>
      <w:r w:rsidR="00BD4BB6">
        <w:t>—</w:t>
      </w:r>
      <w:r>
        <w:t>Marengo</w:t>
      </w:r>
      <w:r w:rsidR="003E5F65">
        <w:t> </w:t>
      </w:r>
      <w:r>
        <w:t xml:space="preserve">I, Marengo II, Leaning Juniper, and </w:t>
      </w:r>
      <w:proofErr w:type="spellStart"/>
      <w:r>
        <w:t>Goodnoe</w:t>
      </w:r>
      <w:proofErr w:type="spellEnd"/>
      <w:r>
        <w:t xml:space="preserve"> Hills. </w:t>
      </w:r>
      <w:r w:rsidR="00E92CB8">
        <w:t>A</w:t>
      </w:r>
      <w:r w:rsidR="00005C34">
        <w:t>s of January</w:t>
      </w:r>
      <w:r w:rsidR="00BD4BB6">
        <w:t> </w:t>
      </w:r>
      <w:r w:rsidR="00005C34">
        <w:t>1,</w:t>
      </w:r>
      <w:r w:rsidR="00BD4BB6">
        <w:t> </w:t>
      </w:r>
      <w:r w:rsidR="00005C34">
        <w:t>2020</w:t>
      </w:r>
      <w:r w:rsidR="003E5F65">
        <w:t>, repowering was complete at</w:t>
      </w:r>
      <w:r w:rsidR="00005C34">
        <w:t xml:space="preserve"> </w:t>
      </w:r>
      <w:r>
        <w:t xml:space="preserve">Leaning Juniper and </w:t>
      </w:r>
      <w:proofErr w:type="spellStart"/>
      <w:r>
        <w:t>Goodnoe</w:t>
      </w:r>
      <w:proofErr w:type="spellEnd"/>
      <w:r>
        <w:t xml:space="preserve"> Hills</w:t>
      </w:r>
      <w:r w:rsidR="00005C34" w:rsidRPr="0011020E">
        <w:t>.</w:t>
      </w:r>
      <w:r w:rsidR="00005C34">
        <w:t xml:space="preserve"> </w:t>
      </w:r>
      <w:r w:rsidR="003A1AF7">
        <w:t xml:space="preserve">PacifiCorp will therefore recalculate incremental costs for repowering for </w:t>
      </w:r>
      <w:r>
        <w:t>those two resources in its 2020</w:t>
      </w:r>
      <w:r w:rsidR="003A1AF7">
        <w:t xml:space="preserve"> compliance report. </w:t>
      </w:r>
      <w:r>
        <w:t>It will not recalculate the incremental costs of repowering for Marengo I and Marengo II.</w:t>
      </w:r>
    </w:p>
    <w:p w14:paraId="16460319" w14:textId="77777777" w:rsidR="009D3429" w:rsidRDefault="009D3429" w:rsidP="003A5612">
      <w:pPr>
        <w:jc w:val="both"/>
      </w:pPr>
    </w:p>
    <w:p w14:paraId="16F19B78" w14:textId="301B5792" w:rsidR="00CF3C1F" w:rsidRDefault="00920335" w:rsidP="003A5612">
      <w:pPr>
        <w:jc w:val="both"/>
      </w:pPr>
      <w:r>
        <w:t>For this analysis, Leaning Juniper align</w:t>
      </w:r>
      <w:r w:rsidR="003E5F65">
        <w:t>s</w:t>
      </w:r>
      <w:r>
        <w:t xml:space="preserve"> with </w:t>
      </w:r>
      <w:r w:rsidR="004F745C">
        <w:t>the</w:t>
      </w:r>
      <w:r w:rsidR="0012288E">
        <w:t xml:space="preserve"> 2017 IRP. </w:t>
      </w:r>
      <w:r w:rsidR="003E5F65">
        <w:t xml:space="preserve">But the </w:t>
      </w:r>
      <w:r w:rsidR="009D3429">
        <w:t xml:space="preserve">repowered capacity value and resource characteristics </w:t>
      </w:r>
      <w:r w:rsidR="003E5F65">
        <w:t xml:space="preserve">for </w:t>
      </w:r>
      <w:proofErr w:type="spellStart"/>
      <w:r w:rsidR="003E5F65">
        <w:t>Goodnoe</w:t>
      </w:r>
      <w:proofErr w:type="spellEnd"/>
      <w:r w:rsidR="003E5F65">
        <w:t xml:space="preserve"> Hills </w:t>
      </w:r>
      <w:r w:rsidR="009D3429">
        <w:t xml:space="preserve">were not included in the Company’s 2017 IRP, and will therefore </w:t>
      </w:r>
      <w:r w:rsidR="00E92CB8">
        <w:t xml:space="preserve">align </w:t>
      </w:r>
      <w:r w:rsidR="0012288E">
        <w:t>with</w:t>
      </w:r>
      <w:r w:rsidR="004F745C">
        <w:t xml:space="preserve"> the </w:t>
      </w:r>
      <w:r w:rsidR="003E5F65">
        <w:t xml:space="preserve">Company’s </w:t>
      </w:r>
      <w:r w:rsidR="001C369E">
        <w:t>2019 IRP progress report filed October 18, 2019</w:t>
      </w:r>
      <w:r w:rsidR="00CF3C1F">
        <w:t>.</w:t>
      </w:r>
    </w:p>
    <w:p w14:paraId="0C75FD06" w14:textId="0CE8B82A" w:rsidR="005B0540" w:rsidRDefault="005B0540" w:rsidP="005B0540">
      <w:pPr>
        <w:jc w:val="both"/>
      </w:pPr>
      <w:r>
        <w:lastRenderedPageBreak/>
        <w:t xml:space="preserve">Washington customers are also allocated RECs from some of PacifiCorp’s owned wind resources located outside of the </w:t>
      </w:r>
      <w:r w:rsidR="0065349C">
        <w:t>west control area</w:t>
      </w:r>
      <w:r>
        <w:rPr>
          <w:rStyle w:val="FootnoteReference"/>
        </w:rPr>
        <w:footnoteReference w:id="1"/>
      </w:r>
      <w:r>
        <w:t xml:space="preserve"> </w:t>
      </w:r>
      <w:r w:rsidR="0065349C">
        <w:t>using the c</w:t>
      </w:r>
      <w:r>
        <w:t xml:space="preserve">ontrol </w:t>
      </w:r>
      <w:r w:rsidR="0065349C">
        <w:t>a</w:t>
      </w:r>
      <w:r>
        <w:t xml:space="preserve">rea </w:t>
      </w:r>
      <w:r w:rsidR="0065349C">
        <w:t>ge</w:t>
      </w:r>
      <w:r>
        <w:t xml:space="preserve">neration </w:t>
      </w:r>
      <w:r w:rsidR="0065349C">
        <w:t>w</w:t>
      </w:r>
      <w:r>
        <w:t xml:space="preserve">est </w:t>
      </w:r>
      <w:r w:rsidR="0065349C">
        <w:t xml:space="preserve">or </w:t>
      </w:r>
      <w:r>
        <w:t>CAGW</w:t>
      </w:r>
      <w:r w:rsidR="0065349C">
        <w:t xml:space="preserve"> allocation factor</w:t>
      </w:r>
      <w:r>
        <w:t xml:space="preserve"> </w:t>
      </w:r>
      <w:r w:rsidR="0065349C">
        <w:t>in accordance with</w:t>
      </w:r>
      <w:r>
        <w:t xml:space="preserve"> the company’s inter</w:t>
      </w:r>
      <w:r w:rsidR="00A26B44">
        <w:t>-</w:t>
      </w:r>
      <w:r>
        <w:t>jurisdictional allocation methodology. These resource</w:t>
      </w:r>
      <w:r w:rsidR="00CF3C1F">
        <w:t xml:space="preserve">s </w:t>
      </w:r>
      <w:r>
        <w:t>are not included in Washington customers’ rates</w:t>
      </w:r>
      <w:r w:rsidR="00CF3C1F">
        <w:t xml:space="preserve"> </w:t>
      </w:r>
      <w:r>
        <w:t xml:space="preserve">so they are assigned a weighted average cost of the wind resources </w:t>
      </w:r>
      <w:r w:rsidRPr="00FA30D6">
        <w:t>within</w:t>
      </w:r>
      <w:r>
        <w:t xml:space="preserve"> the </w:t>
      </w:r>
      <w:r w:rsidR="0065349C">
        <w:t xml:space="preserve">west control area </w:t>
      </w:r>
      <w:r>
        <w:t>(</w:t>
      </w:r>
      <w:proofErr w:type="spellStart"/>
      <w:r>
        <w:t>Goodnoe</w:t>
      </w:r>
      <w:proofErr w:type="spellEnd"/>
      <w:r>
        <w:t xml:space="preserve"> Hills, Leaning Juniper, Marengo I and Marengo II) to approximate an incremental cost. The weighted average is calculated by multiplying each resource’s </w:t>
      </w:r>
      <w:proofErr w:type="spellStart"/>
      <w:r>
        <w:t>levelized</w:t>
      </w:r>
      <w:proofErr w:type="spellEnd"/>
      <w:r>
        <w:t xml:space="preserve"> incremental cost per </w:t>
      </w:r>
      <w:r w:rsidR="0065349C">
        <w:t>megawatt-hour</w:t>
      </w:r>
      <w:r>
        <w:t xml:space="preserve"> by its proportionate contribution to Washington’s RPS.</w:t>
      </w:r>
    </w:p>
    <w:p w14:paraId="257883DB" w14:textId="77777777" w:rsidR="005B0540" w:rsidRDefault="005B0540" w:rsidP="003A5612">
      <w:pPr>
        <w:jc w:val="both"/>
      </w:pPr>
    </w:p>
    <w:p w14:paraId="7CD80C1F" w14:textId="56EDE040" w:rsidR="00851A22" w:rsidRDefault="00205BEE" w:rsidP="003A5612">
      <w:pPr>
        <w:jc w:val="both"/>
        <w:rPr>
          <w:rFonts w:eastAsia="MS Mincho"/>
          <w:u w:val="single"/>
          <w:lang w:eastAsia="ja-JP"/>
        </w:rPr>
      </w:pPr>
      <w:r>
        <w:rPr>
          <w:rFonts w:eastAsia="MS Mincho"/>
          <w:u w:val="single"/>
          <w:lang w:eastAsia="ja-JP"/>
        </w:rPr>
        <w:t>Eligible Resource Costs</w:t>
      </w:r>
      <w:r w:rsidR="0065349C">
        <w:rPr>
          <w:rFonts w:eastAsia="MS Mincho"/>
          <w:u w:val="single"/>
          <w:lang w:eastAsia="ja-JP"/>
        </w:rPr>
        <w:t>—</w:t>
      </w:r>
      <w:r w:rsidR="00FB3B55">
        <w:rPr>
          <w:rFonts w:eastAsia="MS Mincho"/>
          <w:u w:val="single"/>
          <w:lang w:eastAsia="ja-JP"/>
        </w:rPr>
        <w:t>Wind</w:t>
      </w:r>
    </w:p>
    <w:p w14:paraId="075607C3" w14:textId="77777777" w:rsidR="00851A22" w:rsidRDefault="00851A22" w:rsidP="003A5612">
      <w:pPr>
        <w:jc w:val="both"/>
        <w:rPr>
          <w:rFonts w:eastAsia="MS Mincho"/>
          <w:u w:val="single"/>
          <w:lang w:eastAsia="ja-JP"/>
        </w:rPr>
      </w:pPr>
    </w:p>
    <w:p w14:paraId="0A74791E" w14:textId="454D7A99" w:rsidR="00DE190C" w:rsidRDefault="00DE190C" w:rsidP="003A5612">
      <w:pPr>
        <w:jc w:val="both"/>
        <w:rPr>
          <w:rFonts w:eastAsia="MS Mincho"/>
          <w:lang w:eastAsia="ja-JP"/>
        </w:rPr>
      </w:pPr>
      <w:r>
        <w:rPr>
          <w:rFonts w:eastAsia="MS Mincho"/>
          <w:lang w:eastAsia="ja-JP"/>
        </w:rPr>
        <w:t>As required under</w:t>
      </w:r>
      <w:r w:rsidR="001C02CA">
        <w:rPr>
          <w:rFonts w:eastAsia="MS Mincho"/>
          <w:lang w:eastAsia="ja-JP"/>
        </w:rPr>
        <w:t xml:space="preserve"> WAC 480-109-210(2</w:t>
      </w:r>
      <w:proofErr w:type="gramStart"/>
      <w:r w:rsidR="001C02CA">
        <w:rPr>
          <w:rFonts w:eastAsia="MS Mincho"/>
          <w:lang w:eastAsia="ja-JP"/>
        </w:rPr>
        <w:t>)</w:t>
      </w:r>
      <w:r w:rsidR="00A06065">
        <w:rPr>
          <w:rFonts w:eastAsia="MS Mincho"/>
          <w:lang w:eastAsia="ja-JP"/>
        </w:rPr>
        <w:t>(</w:t>
      </w:r>
      <w:proofErr w:type="gramEnd"/>
      <w:r w:rsidR="00A06065">
        <w:rPr>
          <w:rFonts w:eastAsia="MS Mincho"/>
          <w:lang w:eastAsia="ja-JP"/>
        </w:rPr>
        <w:t>a)(</w:t>
      </w:r>
      <w:proofErr w:type="spellStart"/>
      <w:r w:rsidR="00A06065">
        <w:rPr>
          <w:rFonts w:eastAsia="MS Mincho"/>
          <w:lang w:eastAsia="ja-JP"/>
        </w:rPr>
        <w:t>i</w:t>
      </w:r>
      <w:proofErr w:type="spellEnd"/>
      <w:r w:rsidR="00A06065">
        <w:rPr>
          <w:rFonts w:eastAsia="MS Mincho"/>
          <w:lang w:eastAsia="ja-JP"/>
        </w:rPr>
        <w:t>)</w:t>
      </w:r>
      <w:r w:rsidR="0069057F">
        <w:rPr>
          <w:rFonts w:eastAsia="MS Mincho"/>
          <w:lang w:eastAsia="ja-JP"/>
        </w:rPr>
        <w:t xml:space="preserve">, </w:t>
      </w:r>
      <w:r w:rsidR="00005550">
        <w:rPr>
          <w:rFonts w:eastAsia="MS Mincho"/>
          <w:lang w:eastAsia="ja-JP"/>
        </w:rPr>
        <w:t xml:space="preserve">each </w:t>
      </w:r>
      <w:r>
        <w:rPr>
          <w:rFonts w:eastAsia="MS Mincho"/>
          <w:lang w:eastAsia="ja-JP"/>
        </w:rPr>
        <w:t>eligible renewable resource</w:t>
      </w:r>
      <w:r w:rsidR="00005550">
        <w:rPr>
          <w:rFonts w:eastAsia="MS Mincho"/>
          <w:lang w:eastAsia="ja-JP"/>
        </w:rPr>
        <w:t>’s</w:t>
      </w:r>
      <w:r>
        <w:rPr>
          <w:rFonts w:eastAsia="MS Mincho"/>
          <w:lang w:eastAsia="ja-JP"/>
        </w:rPr>
        <w:t xml:space="preserve"> cost </w:t>
      </w:r>
      <w:r w:rsidR="00632D23">
        <w:rPr>
          <w:rFonts w:eastAsia="MS Mincho"/>
          <w:lang w:eastAsia="ja-JP"/>
        </w:rPr>
        <w:t xml:space="preserve">was </w:t>
      </w:r>
      <w:r>
        <w:rPr>
          <w:rFonts w:eastAsia="MS Mincho"/>
          <w:lang w:eastAsia="ja-JP"/>
        </w:rPr>
        <w:t xml:space="preserve">calculated using the </w:t>
      </w:r>
      <w:r w:rsidR="00F9014D">
        <w:rPr>
          <w:rFonts w:eastAsia="MS Mincho"/>
          <w:lang w:eastAsia="ja-JP"/>
        </w:rPr>
        <w:t xml:space="preserve">best information available at the time of acquisition, which was the </w:t>
      </w:r>
      <w:r w:rsidR="0065349C">
        <w:rPr>
          <w:rFonts w:eastAsia="MS Mincho"/>
          <w:lang w:eastAsia="ja-JP"/>
        </w:rPr>
        <w:t xml:space="preserve">company’s </w:t>
      </w:r>
      <w:r>
        <w:rPr>
          <w:rFonts w:eastAsia="MS Mincho"/>
          <w:lang w:eastAsia="ja-JP"/>
        </w:rPr>
        <w:t xml:space="preserve">resource acquisition analysis </w:t>
      </w:r>
      <w:r w:rsidR="008D6393">
        <w:rPr>
          <w:rFonts w:eastAsia="MS Mincho"/>
          <w:lang w:eastAsia="ja-JP"/>
        </w:rPr>
        <w:t>and the IRP from the time of ac</w:t>
      </w:r>
      <w:r w:rsidR="00F9014D">
        <w:rPr>
          <w:rFonts w:eastAsia="MS Mincho"/>
          <w:lang w:eastAsia="ja-JP"/>
        </w:rPr>
        <w:t>quisition</w:t>
      </w:r>
      <w:r>
        <w:rPr>
          <w:rFonts w:eastAsia="MS Mincho"/>
          <w:lang w:eastAsia="ja-JP"/>
        </w:rPr>
        <w:t xml:space="preserve">. </w:t>
      </w:r>
      <w:r w:rsidR="00F9014D">
        <w:rPr>
          <w:rFonts w:eastAsia="MS Mincho"/>
          <w:lang w:eastAsia="ja-JP"/>
        </w:rPr>
        <w:t>Eligible costs were derived using the following data:</w:t>
      </w:r>
    </w:p>
    <w:p w14:paraId="7865F5D8" w14:textId="77777777" w:rsidR="00696DE2" w:rsidRDefault="00696DE2" w:rsidP="003A5612">
      <w:pPr>
        <w:jc w:val="both"/>
        <w:rPr>
          <w:rFonts w:eastAsia="MS Mincho"/>
          <w:b/>
          <w:lang w:eastAsia="ja-JP"/>
        </w:rPr>
      </w:pPr>
    </w:p>
    <w:p w14:paraId="7A955D0C" w14:textId="77777777" w:rsidR="006B6461" w:rsidRDefault="00744ECF" w:rsidP="00E06B52">
      <w:pPr>
        <w:jc w:val="center"/>
        <w:rPr>
          <w:rFonts w:eastAsia="MS Mincho"/>
          <w:b/>
          <w:lang w:eastAsia="ja-JP"/>
        </w:rPr>
      </w:pPr>
      <w:r w:rsidRPr="000E6AF0">
        <w:rPr>
          <w:rFonts w:eastAsia="MS Mincho"/>
          <w:b/>
          <w:lang w:eastAsia="ja-JP"/>
        </w:rPr>
        <w:t>Table 1</w:t>
      </w:r>
    </w:p>
    <w:p w14:paraId="0AE179A6" w14:textId="77777777" w:rsidR="0065349C" w:rsidRPr="00E2623F" w:rsidRDefault="0065349C" w:rsidP="00E06B52">
      <w:pPr>
        <w:jc w:val="center"/>
        <w:rPr>
          <w:rFonts w:eastAsia="MS Mincho"/>
          <w:b/>
          <w:lang w:eastAsia="ja-JP"/>
        </w:rPr>
      </w:pPr>
    </w:p>
    <w:tbl>
      <w:tblPr>
        <w:tblStyle w:val="TableGrid"/>
        <w:tblW w:w="9085" w:type="dxa"/>
        <w:jc w:val="center"/>
        <w:tblLook w:val="04A0" w:firstRow="1" w:lastRow="0" w:firstColumn="1" w:lastColumn="0" w:noHBand="0" w:noVBand="1"/>
      </w:tblPr>
      <w:tblGrid>
        <w:gridCol w:w="3055"/>
        <w:gridCol w:w="6030"/>
      </w:tblGrid>
      <w:tr w:rsidR="006B6461" w:rsidRPr="007F7699" w14:paraId="652E62BB" w14:textId="77777777" w:rsidTr="00E06B52">
        <w:trPr>
          <w:trHeight w:val="485"/>
          <w:jc w:val="center"/>
        </w:trPr>
        <w:tc>
          <w:tcPr>
            <w:tcW w:w="3055" w:type="dxa"/>
            <w:shd w:val="clear" w:color="auto" w:fill="000000" w:themeFill="text1"/>
            <w:vAlign w:val="center"/>
          </w:tcPr>
          <w:p w14:paraId="4F1F7FAF" w14:textId="77777777" w:rsidR="006B6461" w:rsidRPr="000D2923" w:rsidRDefault="006B6461" w:rsidP="00E06B52">
            <w:pPr>
              <w:jc w:val="center"/>
              <w:rPr>
                <w:rFonts w:eastAsia="MS Mincho"/>
                <w:b/>
                <w:lang w:eastAsia="ja-JP"/>
              </w:rPr>
            </w:pPr>
            <w:r w:rsidRPr="000D2923">
              <w:rPr>
                <w:rFonts w:eastAsia="MS Mincho"/>
                <w:b/>
                <w:lang w:eastAsia="ja-JP"/>
              </w:rPr>
              <w:t>Resource</w:t>
            </w:r>
          </w:p>
        </w:tc>
        <w:tc>
          <w:tcPr>
            <w:tcW w:w="6030" w:type="dxa"/>
            <w:shd w:val="clear" w:color="auto" w:fill="000000" w:themeFill="text1"/>
            <w:vAlign w:val="center"/>
          </w:tcPr>
          <w:p w14:paraId="06722CD4" w14:textId="7C4D73BA" w:rsidR="006B6461" w:rsidRPr="000D2923" w:rsidRDefault="006B6461" w:rsidP="0065349C">
            <w:pPr>
              <w:jc w:val="center"/>
              <w:rPr>
                <w:rFonts w:eastAsia="MS Mincho"/>
                <w:b/>
                <w:lang w:eastAsia="ja-JP"/>
              </w:rPr>
            </w:pPr>
            <w:r>
              <w:rPr>
                <w:rFonts w:eastAsia="MS Mincho"/>
                <w:b/>
                <w:lang w:eastAsia="ja-JP"/>
              </w:rPr>
              <w:t>Cost Component Data Source</w:t>
            </w:r>
          </w:p>
        </w:tc>
      </w:tr>
      <w:tr w:rsidR="006B6461" w14:paraId="48BC5ABF" w14:textId="77777777" w:rsidTr="00E2623F">
        <w:trPr>
          <w:jc w:val="center"/>
        </w:trPr>
        <w:tc>
          <w:tcPr>
            <w:tcW w:w="3055" w:type="dxa"/>
          </w:tcPr>
          <w:p w14:paraId="3F8E9619" w14:textId="77777777" w:rsidR="006B6461" w:rsidRDefault="006B6461" w:rsidP="003C5994">
            <w:pPr>
              <w:rPr>
                <w:rFonts w:eastAsia="MS Mincho"/>
                <w:lang w:eastAsia="ja-JP"/>
              </w:rPr>
            </w:pPr>
            <w:proofErr w:type="spellStart"/>
            <w:r>
              <w:rPr>
                <w:rFonts w:eastAsia="MS Mincho"/>
                <w:lang w:eastAsia="ja-JP"/>
              </w:rPr>
              <w:t>Goodnoe</w:t>
            </w:r>
            <w:proofErr w:type="spellEnd"/>
            <w:r>
              <w:rPr>
                <w:rFonts w:eastAsia="MS Mincho"/>
                <w:lang w:eastAsia="ja-JP"/>
              </w:rPr>
              <w:t xml:space="preserve"> Hills</w:t>
            </w:r>
          </w:p>
        </w:tc>
        <w:tc>
          <w:tcPr>
            <w:tcW w:w="6030" w:type="dxa"/>
          </w:tcPr>
          <w:p w14:paraId="5C2101B7" w14:textId="77777777" w:rsidR="006B6461" w:rsidRPr="00E2623F" w:rsidRDefault="006B6461" w:rsidP="00E2623F">
            <w:pPr>
              <w:rPr>
                <w:rFonts w:eastAsia="MS Mincho"/>
                <w:b/>
                <w:lang w:eastAsia="ja-JP"/>
              </w:rPr>
            </w:pPr>
            <w:r w:rsidRPr="00E2623F">
              <w:rPr>
                <w:rFonts w:eastAsia="MS Mincho"/>
                <w:b/>
                <w:lang w:eastAsia="ja-JP"/>
              </w:rPr>
              <w:t xml:space="preserve">Pre-repowering </w:t>
            </w:r>
            <w:r>
              <w:rPr>
                <w:rFonts w:eastAsia="MS Mincho"/>
                <w:b/>
                <w:lang w:eastAsia="ja-JP"/>
              </w:rPr>
              <w:t>(</w:t>
            </w:r>
            <w:r w:rsidR="000D4464" w:rsidRPr="00E2623F">
              <w:rPr>
                <w:rFonts w:eastAsia="MS Mincho"/>
                <w:b/>
                <w:lang w:eastAsia="ja-JP"/>
              </w:rPr>
              <w:t>2007-201</w:t>
            </w:r>
            <w:r w:rsidRPr="00E2623F">
              <w:rPr>
                <w:rFonts w:eastAsia="MS Mincho"/>
                <w:b/>
                <w:lang w:eastAsia="ja-JP"/>
              </w:rPr>
              <w:t>8 data</w:t>
            </w:r>
            <w:r>
              <w:rPr>
                <w:rFonts w:eastAsia="MS Mincho"/>
                <w:b/>
                <w:lang w:eastAsia="ja-JP"/>
              </w:rPr>
              <w:t>)</w:t>
            </w:r>
          </w:p>
          <w:p w14:paraId="794BB201" w14:textId="77777777" w:rsidR="000D4464" w:rsidRPr="006B6461" w:rsidRDefault="000D4464" w:rsidP="000D4464">
            <w:pPr>
              <w:rPr>
                <w:rFonts w:eastAsia="MS Mincho"/>
                <w:lang w:eastAsia="ja-JP"/>
              </w:rPr>
            </w:pPr>
            <w:r>
              <w:rPr>
                <w:rFonts w:eastAsia="MS Mincho"/>
                <w:lang w:eastAsia="ja-JP"/>
              </w:rPr>
              <w:t>Resource acquisition analysis for each resource, with 2007 IRP Resource Capacity Contribution and Integration costs.</w:t>
            </w:r>
          </w:p>
          <w:p w14:paraId="67F8B91C" w14:textId="77777777" w:rsidR="000D4464" w:rsidRDefault="000D4464" w:rsidP="00E2623F">
            <w:pPr>
              <w:rPr>
                <w:rFonts w:eastAsia="MS Mincho"/>
                <w:lang w:eastAsia="ja-JP"/>
              </w:rPr>
            </w:pPr>
          </w:p>
          <w:p w14:paraId="4BE264FA" w14:textId="77777777" w:rsidR="006B6461" w:rsidRDefault="006B6461" w:rsidP="00E2623F">
            <w:pPr>
              <w:rPr>
                <w:rFonts w:eastAsia="MS Mincho"/>
                <w:lang w:eastAsia="ja-JP"/>
              </w:rPr>
            </w:pPr>
            <w:r>
              <w:rPr>
                <w:rFonts w:eastAsia="MS Mincho"/>
                <w:b/>
                <w:lang w:eastAsia="ja-JP"/>
              </w:rPr>
              <w:t>Post- Repowering (2019-2049 data)</w:t>
            </w:r>
          </w:p>
          <w:p w14:paraId="4748A3AF" w14:textId="48651706" w:rsidR="006B6461" w:rsidRDefault="006B6461" w:rsidP="00E2623F">
            <w:pPr>
              <w:rPr>
                <w:rFonts w:eastAsia="MS Mincho"/>
                <w:lang w:eastAsia="ja-JP"/>
              </w:rPr>
            </w:pPr>
            <w:r>
              <w:t xml:space="preserve">2019 IRP progress report filed on October 18, 2019. </w:t>
            </w:r>
            <w:r w:rsidR="000D4464">
              <w:t>V</w:t>
            </w:r>
            <w:r w:rsidRPr="002F4234">
              <w:rPr>
                <w:rFonts w:eastAsia="MS Mincho"/>
                <w:lang w:eastAsia="ja-JP"/>
              </w:rPr>
              <w:t>alues reflect IRP’s least-cost, least-risk resource portfolio (Preferred Portfolio)</w:t>
            </w:r>
          </w:p>
        </w:tc>
      </w:tr>
      <w:tr w:rsidR="006B6461" w14:paraId="7EE5D0CC" w14:textId="77777777" w:rsidTr="00E2623F">
        <w:trPr>
          <w:jc w:val="center"/>
        </w:trPr>
        <w:tc>
          <w:tcPr>
            <w:tcW w:w="3055" w:type="dxa"/>
          </w:tcPr>
          <w:p w14:paraId="7CF239FC" w14:textId="77777777" w:rsidR="006B6461" w:rsidRDefault="006B6461" w:rsidP="003C5994">
            <w:pPr>
              <w:rPr>
                <w:rFonts w:eastAsia="MS Mincho"/>
                <w:lang w:eastAsia="ja-JP"/>
              </w:rPr>
            </w:pPr>
            <w:r>
              <w:rPr>
                <w:rFonts w:eastAsia="MS Mincho"/>
                <w:lang w:eastAsia="ja-JP"/>
              </w:rPr>
              <w:t>Leaning Juniper</w:t>
            </w:r>
          </w:p>
        </w:tc>
        <w:tc>
          <w:tcPr>
            <w:tcW w:w="6030" w:type="dxa"/>
          </w:tcPr>
          <w:p w14:paraId="73A76843" w14:textId="77777777" w:rsidR="000D4464" w:rsidRPr="003C5994" w:rsidRDefault="000D4464" w:rsidP="000D4464">
            <w:pPr>
              <w:rPr>
                <w:rFonts w:eastAsia="MS Mincho"/>
                <w:b/>
                <w:lang w:eastAsia="ja-JP"/>
              </w:rPr>
            </w:pPr>
            <w:r w:rsidRPr="003C5994">
              <w:rPr>
                <w:rFonts w:eastAsia="MS Mincho"/>
                <w:b/>
                <w:lang w:eastAsia="ja-JP"/>
              </w:rPr>
              <w:t xml:space="preserve">Pre-repowering </w:t>
            </w:r>
            <w:r>
              <w:rPr>
                <w:rFonts w:eastAsia="MS Mincho"/>
                <w:b/>
                <w:lang w:eastAsia="ja-JP"/>
              </w:rPr>
              <w:t>(2006-201</w:t>
            </w:r>
            <w:r w:rsidRPr="003C5994">
              <w:rPr>
                <w:rFonts w:eastAsia="MS Mincho"/>
                <w:b/>
                <w:lang w:eastAsia="ja-JP"/>
              </w:rPr>
              <w:t>8 data</w:t>
            </w:r>
            <w:r>
              <w:rPr>
                <w:rFonts w:eastAsia="MS Mincho"/>
                <w:b/>
                <w:lang w:eastAsia="ja-JP"/>
              </w:rPr>
              <w:t>)</w:t>
            </w:r>
          </w:p>
          <w:p w14:paraId="7857CBF2" w14:textId="77777777" w:rsidR="000D4464" w:rsidRPr="006B6461" w:rsidRDefault="000D4464" w:rsidP="000D4464">
            <w:pPr>
              <w:rPr>
                <w:rFonts w:eastAsia="MS Mincho"/>
                <w:lang w:eastAsia="ja-JP"/>
              </w:rPr>
            </w:pPr>
            <w:r>
              <w:rPr>
                <w:rFonts w:eastAsia="MS Mincho"/>
                <w:lang w:eastAsia="ja-JP"/>
              </w:rPr>
              <w:t>Resource acquisition analysis for each resource, with 2007 IRP Resource Capacity Contribution and Integration costs.</w:t>
            </w:r>
          </w:p>
          <w:p w14:paraId="5B37FB9F" w14:textId="77777777" w:rsidR="000D4464" w:rsidRDefault="000D4464" w:rsidP="000D4464">
            <w:pPr>
              <w:rPr>
                <w:rFonts w:eastAsia="MS Mincho"/>
                <w:lang w:eastAsia="ja-JP"/>
              </w:rPr>
            </w:pPr>
          </w:p>
          <w:p w14:paraId="0DBCF495" w14:textId="77777777" w:rsidR="000D4464" w:rsidRDefault="000D4464" w:rsidP="000D4464">
            <w:pPr>
              <w:rPr>
                <w:rFonts w:eastAsia="MS Mincho"/>
                <w:lang w:eastAsia="ja-JP"/>
              </w:rPr>
            </w:pPr>
            <w:r>
              <w:rPr>
                <w:rFonts w:eastAsia="MS Mincho"/>
                <w:b/>
                <w:lang w:eastAsia="ja-JP"/>
              </w:rPr>
              <w:t>Post- Repowering (2019-2049 data)</w:t>
            </w:r>
          </w:p>
          <w:p w14:paraId="24FFA83C" w14:textId="77777777" w:rsidR="006B6461" w:rsidRDefault="000D4464" w:rsidP="00E2623F">
            <w:pPr>
              <w:rPr>
                <w:rFonts w:eastAsia="MS Mincho"/>
                <w:lang w:eastAsia="ja-JP"/>
              </w:rPr>
            </w:pPr>
            <w:r w:rsidRPr="003C5994">
              <w:rPr>
                <w:rFonts w:eastAsia="MS Mincho"/>
                <w:lang w:eastAsia="ja-JP"/>
              </w:rPr>
              <w:t xml:space="preserve">2017 IRP filed April 4, 2017. </w:t>
            </w:r>
            <w:r>
              <w:rPr>
                <w:rFonts w:eastAsia="MS Mincho"/>
                <w:lang w:eastAsia="ja-JP"/>
              </w:rPr>
              <w:t>V</w:t>
            </w:r>
            <w:r w:rsidRPr="003C5994">
              <w:rPr>
                <w:rFonts w:eastAsia="MS Mincho"/>
                <w:lang w:eastAsia="ja-JP"/>
              </w:rPr>
              <w:t>alues reflect IRP’s least-cost, least-risk resource portfolio (Preferred Portfolio)</w:t>
            </w:r>
          </w:p>
        </w:tc>
      </w:tr>
      <w:tr w:rsidR="006B6461" w14:paraId="2473E4DD" w14:textId="77777777" w:rsidTr="00E2623F">
        <w:trPr>
          <w:jc w:val="center"/>
        </w:trPr>
        <w:tc>
          <w:tcPr>
            <w:tcW w:w="3055" w:type="dxa"/>
          </w:tcPr>
          <w:p w14:paraId="51881B7E" w14:textId="77777777" w:rsidR="006B6461" w:rsidRDefault="006B6461" w:rsidP="003C5994">
            <w:pPr>
              <w:rPr>
                <w:rFonts w:eastAsia="MS Mincho"/>
                <w:lang w:eastAsia="ja-JP"/>
              </w:rPr>
            </w:pPr>
            <w:r>
              <w:rPr>
                <w:rFonts w:eastAsia="MS Mincho"/>
                <w:lang w:eastAsia="ja-JP"/>
              </w:rPr>
              <w:t>Marengo I  and II</w:t>
            </w:r>
          </w:p>
        </w:tc>
        <w:tc>
          <w:tcPr>
            <w:tcW w:w="6030" w:type="dxa"/>
            <w:vMerge w:val="restart"/>
          </w:tcPr>
          <w:p w14:paraId="6D939480" w14:textId="77777777" w:rsidR="006B6461" w:rsidRPr="006B6461" w:rsidRDefault="006B6461" w:rsidP="00E2623F">
            <w:pPr>
              <w:rPr>
                <w:rFonts w:eastAsia="MS Mincho"/>
                <w:lang w:eastAsia="ja-JP"/>
              </w:rPr>
            </w:pPr>
            <w:r>
              <w:rPr>
                <w:rFonts w:eastAsia="MS Mincho"/>
                <w:lang w:eastAsia="ja-JP"/>
              </w:rPr>
              <w:t>Resource acquisition analysis for each resource</w:t>
            </w:r>
            <w:r w:rsidR="000D4464">
              <w:rPr>
                <w:rFonts w:eastAsia="MS Mincho"/>
                <w:lang w:eastAsia="ja-JP"/>
              </w:rPr>
              <w:t xml:space="preserve">, with </w:t>
            </w:r>
            <w:r>
              <w:rPr>
                <w:rFonts w:eastAsia="MS Mincho"/>
                <w:lang w:eastAsia="ja-JP"/>
              </w:rPr>
              <w:t>2007 IRP Resource Capacity Contribution and Integration costs.</w:t>
            </w:r>
          </w:p>
          <w:p w14:paraId="51B4E9A3" w14:textId="77777777" w:rsidR="006B6461" w:rsidRDefault="006B6461" w:rsidP="003C5994">
            <w:pPr>
              <w:jc w:val="center"/>
              <w:rPr>
                <w:rFonts w:eastAsia="MS Mincho"/>
                <w:lang w:eastAsia="ja-JP"/>
              </w:rPr>
            </w:pPr>
          </w:p>
        </w:tc>
      </w:tr>
      <w:tr w:rsidR="006B6461" w14:paraId="17C7B469" w14:textId="77777777" w:rsidTr="00E2623F">
        <w:trPr>
          <w:jc w:val="center"/>
        </w:trPr>
        <w:tc>
          <w:tcPr>
            <w:tcW w:w="3055" w:type="dxa"/>
          </w:tcPr>
          <w:p w14:paraId="0D1FB32D" w14:textId="77777777" w:rsidR="006B6461" w:rsidRDefault="006B6461" w:rsidP="006B6461">
            <w:pPr>
              <w:rPr>
                <w:rFonts w:eastAsia="MS Mincho"/>
                <w:lang w:eastAsia="ja-JP"/>
              </w:rPr>
            </w:pPr>
            <w:proofErr w:type="spellStart"/>
            <w:r>
              <w:rPr>
                <w:rFonts w:eastAsia="MS Mincho"/>
                <w:lang w:eastAsia="ja-JP"/>
              </w:rPr>
              <w:t>Lemolo</w:t>
            </w:r>
            <w:proofErr w:type="spellEnd"/>
            <w:r>
              <w:rPr>
                <w:rFonts w:eastAsia="MS Mincho"/>
                <w:lang w:eastAsia="ja-JP"/>
              </w:rPr>
              <w:t xml:space="preserve"> 1 – Upgrade  2003</w:t>
            </w:r>
          </w:p>
        </w:tc>
        <w:tc>
          <w:tcPr>
            <w:tcW w:w="6030" w:type="dxa"/>
            <w:vMerge/>
          </w:tcPr>
          <w:p w14:paraId="1429845E" w14:textId="77777777" w:rsidR="006B6461" w:rsidRDefault="006B6461" w:rsidP="006B6461">
            <w:pPr>
              <w:jc w:val="center"/>
              <w:rPr>
                <w:rFonts w:eastAsia="MS Mincho"/>
                <w:lang w:eastAsia="ja-JP"/>
              </w:rPr>
            </w:pPr>
          </w:p>
        </w:tc>
      </w:tr>
      <w:tr w:rsidR="006B6461" w14:paraId="0E6E66CA" w14:textId="77777777" w:rsidTr="00E2623F">
        <w:trPr>
          <w:jc w:val="center"/>
        </w:trPr>
        <w:tc>
          <w:tcPr>
            <w:tcW w:w="3055" w:type="dxa"/>
          </w:tcPr>
          <w:p w14:paraId="6360E4B4" w14:textId="77777777" w:rsidR="006B6461" w:rsidRDefault="006B6461" w:rsidP="006B6461">
            <w:pPr>
              <w:rPr>
                <w:rFonts w:eastAsia="MS Mincho"/>
                <w:lang w:eastAsia="ja-JP"/>
              </w:rPr>
            </w:pPr>
            <w:proofErr w:type="spellStart"/>
            <w:r>
              <w:rPr>
                <w:rFonts w:eastAsia="MS Mincho"/>
                <w:lang w:eastAsia="ja-JP"/>
              </w:rPr>
              <w:t>Lemolo</w:t>
            </w:r>
            <w:proofErr w:type="spellEnd"/>
            <w:r>
              <w:rPr>
                <w:rFonts w:eastAsia="MS Mincho"/>
                <w:lang w:eastAsia="ja-JP"/>
              </w:rPr>
              <w:t xml:space="preserve"> 2 – Upgrade 2009</w:t>
            </w:r>
          </w:p>
        </w:tc>
        <w:tc>
          <w:tcPr>
            <w:tcW w:w="6030" w:type="dxa"/>
            <w:vMerge/>
          </w:tcPr>
          <w:p w14:paraId="1732AEF3" w14:textId="77777777" w:rsidR="006B6461" w:rsidRDefault="006B6461" w:rsidP="006B6461">
            <w:pPr>
              <w:jc w:val="center"/>
              <w:rPr>
                <w:rFonts w:eastAsia="MS Mincho"/>
                <w:lang w:eastAsia="ja-JP"/>
              </w:rPr>
            </w:pPr>
          </w:p>
        </w:tc>
      </w:tr>
      <w:tr w:rsidR="006B6461" w14:paraId="298E39E0" w14:textId="77777777" w:rsidTr="00E2623F">
        <w:trPr>
          <w:jc w:val="center"/>
        </w:trPr>
        <w:tc>
          <w:tcPr>
            <w:tcW w:w="3055" w:type="dxa"/>
          </w:tcPr>
          <w:p w14:paraId="3C6A03F0" w14:textId="77777777" w:rsidR="006B6461" w:rsidRDefault="006B6461" w:rsidP="006B6461">
            <w:pPr>
              <w:rPr>
                <w:rFonts w:eastAsia="MS Mincho"/>
                <w:lang w:eastAsia="ja-JP"/>
              </w:rPr>
            </w:pPr>
            <w:r>
              <w:rPr>
                <w:rFonts w:eastAsia="MS Mincho"/>
                <w:lang w:eastAsia="ja-JP"/>
              </w:rPr>
              <w:t>JC Boyle – Upgrade 2005</w:t>
            </w:r>
          </w:p>
        </w:tc>
        <w:tc>
          <w:tcPr>
            <w:tcW w:w="6030" w:type="dxa"/>
            <w:vMerge/>
          </w:tcPr>
          <w:p w14:paraId="4A25DCA3" w14:textId="77777777" w:rsidR="006B6461" w:rsidRDefault="006B6461" w:rsidP="006B6461">
            <w:pPr>
              <w:jc w:val="center"/>
              <w:rPr>
                <w:rFonts w:eastAsia="MS Mincho"/>
                <w:lang w:eastAsia="ja-JP"/>
              </w:rPr>
            </w:pPr>
          </w:p>
        </w:tc>
      </w:tr>
      <w:tr w:rsidR="006B6461" w14:paraId="2681AD54" w14:textId="77777777" w:rsidTr="00E2623F">
        <w:trPr>
          <w:jc w:val="center"/>
        </w:trPr>
        <w:tc>
          <w:tcPr>
            <w:tcW w:w="3055" w:type="dxa"/>
          </w:tcPr>
          <w:p w14:paraId="504F05FD" w14:textId="77777777" w:rsidR="006B6461" w:rsidRDefault="006B6461" w:rsidP="006B6461">
            <w:pPr>
              <w:rPr>
                <w:rFonts w:eastAsia="MS Mincho"/>
                <w:lang w:eastAsia="ja-JP"/>
              </w:rPr>
            </w:pPr>
            <w:r>
              <w:rPr>
                <w:rFonts w:eastAsia="MS Mincho"/>
                <w:lang w:eastAsia="ja-JP"/>
              </w:rPr>
              <w:t>Prospect 2 – Upgrade 1999</w:t>
            </w:r>
          </w:p>
        </w:tc>
        <w:tc>
          <w:tcPr>
            <w:tcW w:w="6030" w:type="dxa"/>
            <w:vMerge/>
          </w:tcPr>
          <w:p w14:paraId="02A59CEC" w14:textId="77777777" w:rsidR="006B6461" w:rsidRDefault="006B6461" w:rsidP="006B6461">
            <w:pPr>
              <w:jc w:val="center"/>
              <w:rPr>
                <w:rFonts w:eastAsia="MS Mincho"/>
                <w:lang w:eastAsia="ja-JP"/>
              </w:rPr>
            </w:pPr>
          </w:p>
        </w:tc>
      </w:tr>
    </w:tbl>
    <w:p w14:paraId="57E32DB5" w14:textId="77777777" w:rsidR="00485B0B" w:rsidRDefault="00485B0B">
      <w:pPr>
        <w:jc w:val="both"/>
        <w:rPr>
          <w:u w:val="single"/>
        </w:rPr>
      </w:pPr>
    </w:p>
    <w:p w14:paraId="415D6074" w14:textId="69311A0B" w:rsidR="00FB3B55" w:rsidRPr="000D2923" w:rsidRDefault="00FB3B55" w:rsidP="00E06B52">
      <w:pPr>
        <w:keepNext/>
        <w:jc w:val="both"/>
        <w:rPr>
          <w:u w:val="single"/>
        </w:rPr>
      </w:pPr>
      <w:r w:rsidRPr="000D2923">
        <w:rPr>
          <w:u w:val="single"/>
        </w:rPr>
        <w:lastRenderedPageBreak/>
        <w:t>Eligible Resource Costs</w:t>
      </w:r>
      <w:r w:rsidR="0065349C">
        <w:rPr>
          <w:u w:val="single"/>
        </w:rPr>
        <w:t>—</w:t>
      </w:r>
      <w:r w:rsidRPr="000D2923">
        <w:rPr>
          <w:u w:val="single"/>
        </w:rPr>
        <w:t>Incremental Hydro</w:t>
      </w:r>
      <w:r w:rsidR="00914771">
        <w:rPr>
          <w:u w:val="single"/>
        </w:rPr>
        <w:t>electric</w:t>
      </w:r>
      <w:r w:rsidRPr="000D2923">
        <w:rPr>
          <w:u w:val="single"/>
        </w:rPr>
        <w:t xml:space="preserve"> Upgrades </w:t>
      </w:r>
    </w:p>
    <w:p w14:paraId="364A2AF7" w14:textId="77777777" w:rsidR="00FB3B55" w:rsidRDefault="00FB3B55" w:rsidP="00E06B52">
      <w:pPr>
        <w:keepNext/>
        <w:jc w:val="both"/>
      </w:pPr>
    </w:p>
    <w:p w14:paraId="32FB880F" w14:textId="3D29D2E8" w:rsidR="00FB3B55" w:rsidRDefault="004F5CB8" w:rsidP="00273BAC">
      <w:pPr>
        <w:jc w:val="both"/>
      </w:pPr>
      <w:r w:rsidRPr="000D2923">
        <w:t>In PacifiCorp’s RPS compliance filings</w:t>
      </w:r>
      <w:r w:rsidR="00914771">
        <w:t xml:space="preserve"> before 2016</w:t>
      </w:r>
      <w:r w:rsidRPr="000D2923">
        <w:t xml:space="preserve">, the </w:t>
      </w:r>
      <w:r w:rsidR="00914771">
        <w:t>c</w:t>
      </w:r>
      <w:r w:rsidR="00914771" w:rsidRPr="000D2923">
        <w:t xml:space="preserve">ompany </w:t>
      </w:r>
      <w:r w:rsidRPr="000D2923">
        <w:t xml:space="preserve">reported the incremental costs associated with the equipment replacements for </w:t>
      </w:r>
      <w:proofErr w:type="spellStart"/>
      <w:r w:rsidRPr="000D2923">
        <w:t>Lemolo</w:t>
      </w:r>
      <w:proofErr w:type="spellEnd"/>
      <w:r w:rsidRPr="000D2923">
        <w:t xml:space="preserve"> 1, </w:t>
      </w:r>
      <w:proofErr w:type="spellStart"/>
      <w:r w:rsidRPr="000D2923">
        <w:t>Lemolo</w:t>
      </w:r>
      <w:proofErr w:type="spellEnd"/>
      <w:r w:rsidRPr="000D2923">
        <w:t xml:space="preserve"> 2, JC Boyle and Prospect 2 as zero, on the economic basis that the marginal cost of gaining output from these resources was less than the cost of an equivalent alternative.</w:t>
      </w:r>
      <w:r w:rsidR="00914771">
        <w:t xml:space="preserve"> B</w:t>
      </w:r>
      <w:r w:rsidR="00413D3B">
        <w:t xml:space="preserve">eginning with the company’s 2016 RPS </w:t>
      </w:r>
      <w:r w:rsidRPr="000D2923">
        <w:t xml:space="preserve">Report, as requested by Commission Staff, PacifiCorp has calculated the </w:t>
      </w:r>
      <w:proofErr w:type="spellStart"/>
      <w:r w:rsidRPr="000D2923">
        <w:t>levelized</w:t>
      </w:r>
      <w:proofErr w:type="spellEnd"/>
      <w:r w:rsidRPr="000D2923">
        <w:t xml:space="preserve"> incremental costs </w:t>
      </w:r>
      <w:r w:rsidR="00FB3B55" w:rsidRPr="000D2923">
        <w:t xml:space="preserve">associated with </w:t>
      </w:r>
      <w:r w:rsidRPr="000D2923">
        <w:t>these</w:t>
      </w:r>
      <w:r w:rsidR="00FB3B55" w:rsidRPr="000D2923">
        <w:t xml:space="preserve"> eligible hydro</w:t>
      </w:r>
      <w:r w:rsidR="00914771">
        <w:t>electric</w:t>
      </w:r>
      <w:r w:rsidR="00FB3B55" w:rsidRPr="000D2923">
        <w:t xml:space="preserve"> upgrades</w:t>
      </w:r>
      <w:r w:rsidR="007F7699">
        <w:t>, rather than assume a zero incremental cost</w:t>
      </w:r>
      <w:r w:rsidR="00914771">
        <w:t xml:space="preserve"> for RPS purposes</w:t>
      </w:r>
      <w:r w:rsidR="007F7699">
        <w:t>.</w:t>
      </w:r>
      <w:r w:rsidR="00632D23">
        <w:t xml:space="preserve"> </w:t>
      </w:r>
      <w:r w:rsidR="00914771">
        <w:t xml:space="preserve">Using </w:t>
      </w:r>
      <w:r w:rsidR="007F7699">
        <w:t xml:space="preserve">the same </w:t>
      </w:r>
      <w:r w:rsidR="00A53B5B" w:rsidRPr="000D2923">
        <w:t xml:space="preserve">methodology </w:t>
      </w:r>
      <w:r w:rsidR="007F7699">
        <w:t xml:space="preserve">described in </w:t>
      </w:r>
      <w:r w:rsidR="007F7699" w:rsidRPr="007F7699">
        <w:t>WAC 480-109-210(2</w:t>
      </w:r>
      <w:proofErr w:type="gramStart"/>
      <w:r w:rsidR="007F7699" w:rsidRPr="007F7699">
        <w:t>)(</w:t>
      </w:r>
      <w:proofErr w:type="gramEnd"/>
      <w:r w:rsidR="007F7699" w:rsidRPr="007F7699">
        <w:t>a)(</w:t>
      </w:r>
      <w:proofErr w:type="spellStart"/>
      <w:r w:rsidR="007F7699" w:rsidRPr="007F7699">
        <w:t>i</w:t>
      </w:r>
      <w:proofErr w:type="spellEnd"/>
      <w:r w:rsidR="007F7699" w:rsidRPr="007F7699">
        <w:t>)</w:t>
      </w:r>
      <w:r w:rsidR="007F7699">
        <w:t xml:space="preserve">, </w:t>
      </w:r>
      <w:r w:rsidR="00632D23">
        <w:t xml:space="preserve">the </w:t>
      </w:r>
      <w:r w:rsidR="00914771">
        <w:t>incremental</w:t>
      </w:r>
      <w:r w:rsidR="00914771" w:rsidRPr="007F7699">
        <w:t xml:space="preserve"> </w:t>
      </w:r>
      <w:r w:rsidR="007F7699" w:rsidRPr="007F7699">
        <w:t xml:space="preserve">costs </w:t>
      </w:r>
      <w:r w:rsidR="00914771">
        <w:t>for</w:t>
      </w:r>
      <w:r w:rsidR="007F7699">
        <w:t xml:space="preserve"> these hydro</w:t>
      </w:r>
      <w:r w:rsidR="00914771">
        <w:t>electric</w:t>
      </w:r>
      <w:r w:rsidR="007F7699">
        <w:t xml:space="preserve"> upgrades </w:t>
      </w:r>
      <w:r w:rsidR="007F7699" w:rsidRPr="007F7699">
        <w:t xml:space="preserve">were derived using the </w:t>
      </w:r>
      <w:r w:rsidR="007F7699">
        <w:t xml:space="preserve">best information available from the time of the resource acquisition. </w:t>
      </w:r>
    </w:p>
    <w:p w14:paraId="769F6569" w14:textId="77777777" w:rsidR="007F7699" w:rsidRDefault="007F7699">
      <w:pPr>
        <w:jc w:val="both"/>
      </w:pPr>
    </w:p>
    <w:p w14:paraId="5C0275AA" w14:textId="088CF1CA" w:rsidR="00851A22" w:rsidRPr="001C02CA" w:rsidRDefault="00744ECF" w:rsidP="003A5612">
      <w:pPr>
        <w:jc w:val="both"/>
        <w:rPr>
          <w:rFonts w:eastAsia="MS Mincho"/>
          <w:u w:val="single"/>
          <w:lang w:eastAsia="ja-JP"/>
        </w:rPr>
      </w:pPr>
      <w:r w:rsidRPr="000E6AF0">
        <w:rPr>
          <w:u w:val="single"/>
        </w:rPr>
        <w:t>Non</w:t>
      </w:r>
      <w:r w:rsidR="00757796">
        <w:rPr>
          <w:u w:val="single"/>
        </w:rPr>
        <w:t>-</w:t>
      </w:r>
      <w:r w:rsidR="00914771">
        <w:rPr>
          <w:u w:val="single"/>
        </w:rPr>
        <w:t>E</w:t>
      </w:r>
      <w:r w:rsidR="00914771" w:rsidRPr="000E6AF0">
        <w:rPr>
          <w:u w:val="single"/>
        </w:rPr>
        <w:t xml:space="preserve">ligible </w:t>
      </w:r>
      <w:r w:rsidR="00851A22" w:rsidRPr="001C02CA">
        <w:rPr>
          <w:rFonts w:eastAsia="MS Mincho"/>
          <w:u w:val="single"/>
          <w:lang w:eastAsia="ja-JP"/>
        </w:rPr>
        <w:t>Resource</w:t>
      </w:r>
      <w:r w:rsidRPr="001C02CA">
        <w:rPr>
          <w:rFonts w:eastAsia="MS Mincho"/>
          <w:u w:val="single"/>
          <w:lang w:eastAsia="ja-JP"/>
        </w:rPr>
        <w:t xml:space="preserve"> </w:t>
      </w:r>
      <w:r w:rsidR="0087351D">
        <w:rPr>
          <w:rFonts w:eastAsia="MS Mincho"/>
          <w:u w:val="single"/>
          <w:lang w:eastAsia="ja-JP"/>
        </w:rPr>
        <w:t xml:space="preserve">Selection </w:t>
      </w:r>
      <w:r w:rsidRPr="001C02CA">
        <w:rPr>
          <w:rFonts w:eastAsia="MS Mincho"/>
          <w:u w:val="single"/>
          <w:lang w:eastAsia="ja-JP"/>
        </w:rPr>
        <w:t xml:space="preserve">Costs </w:t>
      </w:r>
    </w:p>
    <w:p w14:paraId="6568D2CC" w14:textId="77777777" w:rsidR="00331F33" w:rsidRDefault="00331F33" w:rsidP="003A5612">
      <w:pPr>
        <w:jc w:val="both"/>
        <w:rPr>
          <w:rFonts w:eastAsia="MS Mincho"/>
          <w:lang w:eastAsia="ja-JP"/>
        </w:rPr>
      </w:pPr>
    </w:p>
    <w:p w14:paraId="016BC65D" w14:textId="1F2ECFAF" w:rsidR="001C02CA" w:rsidRDefault="0087351D" w:rsidP="003A5612">
      <w:pPr>
        <w:jc w:val="both"/>
      </w:pPr>
      <w:r>
        <w:rPr>
          <w:rFonts w:eastAsia="MS Mincho"/>
          <w:lang w:eastAsia="ja-JP"/>
        </w:rPr>
        <w:t>The</w:t>
      </w:r>
      <w:r w:rsidR="00A06065">
        <w:rPr>
          <w:rFonts w:eastAsia="MS Mincho"/>
          <w:lang w:eastAsia="ja-JP"/>
        </w:rPr>
        <w:t xml:space="preserve"> incremental cost methodology described in WAC 480-109-210(2</w:t>
      </w:r>
      <w:proofErr w:type="gramStart"/>
      <w:r w:rsidR="00A06065">
        <w:rPr>
          <w:rFonts w:eastAsia="MS Mincho"/>
          <w:lang w:eastAsia="ja-JP"/>
        </w:rPr>
        <w:t>)(</w:t>
      </w:r>
      <w:proofErr w:type="gramEnd"/>
      <w:r w:rsidR="00A06065">
        <w:rPr>
          <w:rFonts w:eastAsia="MS Mincho"/>
          <w:lang w:eastAsia="ja-JP"/>
        </w:rPr>
        <w:t>C)</w:t>
      </w:r>
      <w:r>
        <w:rPr>
          <w:rFonts w:eastAsia="MS Mincho"/>
          <w:lang w:eastAsia="ja-JP"/>
        </w:rPr>
        <w:t xml:space="preserve"> requires the selection of the </w:t>
      </w:r>
      <w:r w:rsidR="001C02CA">
        <w:rPr>
          <w:rFonts w:eastAsia="MS Mincho"/>
          <w:lang w:eastAsia="ja-JP"/>
        </w:rPr>
        <w:t>lowest-reasonable-cost non</w:t>
      </w:r>
      <w:r w:rsidR="00757796">
        <w:rPr>
          <w:rFonts w:eastAsia="MS Mincho"/>
          <w:lang w:eastAsia="ja-JP"/>
        </w:rPr>
        <w:t>-</w:t>
      </w:r>
      <w:r w:rsidR="001C02CA">
        <w:rPr>
          <w:rFonts w:eastAsia="MS Mincho"/>
          <w:lang w:eastAsia="ja-JP"/>
        </w:rPr>
        <w:t>eligible resourc</w:t>
      </w:r>
      <w:r w:rsidR="00A06065">
        <w:rPr>
          <w:rFonts w:eastAsia="MS Mincho"/>
          <w:lang w:eastAsia="ja-JP"/>
        </w:rPr>
        <w:t xml:space="preserve">e available to the utility at the time of the </w:t>
      </w:r>
      <w:r w:rsidR="00386CAE">
        <w:rPr>
          <w:rFonts w:eastAsia="MS Mincho"/>
          <w:lang w:eastAsia="ja-JP"/>
        </w:rPr>
        <w:t xml:space="preserve">eligible </w:t>
      </w:r>
      <w:r w:rsidR="00A06065">
        <w:rPr>
          <w:rFonts w:eastAsia="MS Mincho"/>
          <w:lang w:eastAsia="ja-JP"/>
        </w:rPr>
        <w:t xml:space="preserve">resource’s acquisition. </w:t>
      </w:r>
      <w:r w:rsidR="00D67758">
        <w:t xml:space="preserve">To meet the guidelines set forth in </w:t>
      </w:r>
      <w:r w:rsidR="00D67758">
        <w:rPr>
          <w:rFonts w:eastAsia="MS Mincho"/>
          <w:lang w:eastAsia="ja-JP"/>
        </w:rPr>
        <w:t>WAC 480-109-210(2)</w:t>
      </w:r>
      <w:r>
        <w:t xml:space="preserve">, the </w:t>
      </w:r>
      <w:r w:rsidR="0065349C">
        <w:t xml:space="preserve">company </w:t>
      </w:r>
      <w:r>
        <w:t>used the lowest-cost, non</w:t>
      </w:r>
      <w:r w:rsidR="00757796">
        <w:t>-</w:t>
      </w:r>
      <w:r>
        <w:t>eligible capacity resource identified in its most recent integrated resource plan acknowledged by the commission at the time of the acquisition</w:t>
      </w:r>
      <w:r w:rsidR="00F45497">
        <w:t>s</w:t>
      </w:r>
      <w:r>
        <w:t xml:space="preserve">. </w:t>
      </w:r>
      <w:r w:rsidR="00B01ED2">
        <w:t>As noted above,</w:t>
      </w:r>
      <w:r w:rsidR="00D41518">
        <w:t xml:space="preserve"> two </w:t>
      </w:r>
      <w:r w:rsidR="00B01ED2">
        <w:t>non-eligible resource</w:t>
      </w:r>
      <w:r w:rsidR="00D41518">
        <w:t>s are used for repowered resources. The</w:t>
      </w:r>
      <w:r w:rsidR="00B01ED2">
        <w:t xml:space="preserve"> </w:t>
      </w:r>
      <w:r w:rsidR="00B01ED2" w:rsidRPr="00005C34">
        <w:t>selection</w:t>
      </w:r>
      <w:r w:rsidR="00D41518">
        <w:t xml:space="preserve"> </w:t>
      </w:r>
      <w:r w:rsidR="004F745C">
        <w:t xml:space="preserve">of </w:t>
      </w:r>
      <w:r w:rsidR="00D41518">
        <w:t xml:space="preserve">non-eligible resources is aligned with </w:t>
      </w:r>
      <w:r w:rsidR="0065349C">
        <w:t xml:space="preserve">the </w:t>
      </w:r>
      <w:r w:rsidR="00D41518">
        <w:t xml:space="preserve">timing of </w:t>
      </w:r>
      <w:r w:rsidR="0065349C">
        <w:t xml:space="preserve">the </w:t>
      </w:r>
      <w:r w:rsidR="00D41518">
        <w:t>repowering as follows</w:t>
      </w:r>
      <w:r w:rsidR="00B01ED2" w:rsidRPr="00005C34">
        <w:t>: from acquisition to repowering using a non-eligible resource selected from</w:t>
      </w:r>
      <w:r w:rsidR="004F745C">
        <w:t xml:space="preserve"> the</w:t>
      </w:r>
      <w:r w:rsidR="00B01ED2" w:rsidRPr="00005C34">
        <w:t xml:space="preserve"> IRP at the time of acquisition</w:t>
      </w:r>
      <w:r w:rsidR="0065349C">
        <w:t>;</w:t>
      </w:r>
      <w:r w:rsidR="004F745C">
        <w:t xml:space="preserve"> and </w:t>
      </w:r>
      <w:r w:rsidR="00B01ED2" w:rsidRPr="00005C34">
        <w:t xml:space="preserve">from the point of repowering forward using a non-eligible selection from </w:t>
      </w:r>
      <w:r w:rsidR="004F745C">
        <w:t xml:space="preserve">the </w:t>
      </w:r>
      <w:r w:rsidR="00B01ED2" w:rsidRPr="00005C34">
        <w:t>IRP at the time of repowering.</w:t>
      </w:r>
      <w:r w:rsidR="00B01ED2">
        <w:t xml:space="preserve"> </w:t>
      </w:r>
      <w:r w:rsidR="005B0540">
        <w:t xml:space="preserve">As stated above, for this analysis, Leaning Juniper will align with the 2017 IRP. However, </w:t>
      </w:r>
      <w:proofErr w:type="spellStart"/>
      <w:r w:rsidR="005B0540">
        <w:t>Goodnoe</w:t>
      </w:r>
      <w:proofErr w:type="spellEnd"/>
      <w:r w:rsidR="005B0540">
        <w:t xml:space="preserve"> Hills repowered capacity value and resource characteristics were not included in the </w:t>
      </w:r>
      <w:r w:rsidR="0065349C">
        <w:t xml:space="preserve">company’s </w:t>
      </w:r>
      <w:r w:rsidR="005B0540">
        <w:t>2017 IRP and will therefore align with the company’s 2019 IRP progress report filed on October 18, 2019</w:t>
      </w:r>
    </w:p>
    <w:p w14:paraId="1EA580A1" w14:textId="77777777" w:rsidR="00915E55" w:rsidRDefault="00915E55" w:rsidP="003A5612">
      <w:pPr>
        <w:jc w:val="both"/>
      </w:pPr>
    </w:p>
    <w:p w14:paraId="4E4465B9" w14:textId="77777777" w:rsidR="00915E55" w:rsidRDefault="00632D23" w:rsidP="003A5612">
      <w:pPr>
        <w:jc w:val="both"/>
      </w:pPr>
      <w:r>
        <w:rPr>
          <w:rFonts w:eastAsia="MS Mincho"/>
          <w:lang w:eastAsia="ja-JP"/>
        </w:rPr>
        <w:t xml:space="preserve">For each of PacifiCorp’s eligible resources, </w:t>
      </w:r>
      <w:r w:rsidR="00A85597">
        <w:rPr>
          <w:rFonts w:eastAsia="MS Mincho"/>
          <w:lang w:eastAsia="ja-JP"/>
        </w:rPr>
        <w:t>the non</w:t>
      </w:r>
      <w:r w:rsidR="00757796">
        <w:rPr>
          <w:rFonts w:eastAsia="MS Mincho"/>
          <w:lang w:eastAsia="ja-JP"/>
        </w:rPr>
        <w:t>-</w:t>
      </w:r>
      <w:r w:rsidR="00A85597">
        <w:rPr>
          <w:rFonts w:eastAsia="MS Mincho"/>
          <w:lang w:eastAsia="ja-JP"/>
        </w:rPr>
        <w:t xml:space="preserve">eligible resources selected for the incremental costs are combined cycle combustion turbines (CCCTs). </w:t>
      </w:r>
      <w:r w:rsidR="00B0712B">
        <w:rPr>
          <w:rFonts w:eastAsia="MS Mincho"/>
          <w:lang w:eastAsia="ja-JP"/>
        </w:rPr>
        <w:t>T</w:t>
      </w:r>
      <w:r w:rsidR="0056742A">
        <w:rPr>
          <w:rFonts w:eastAsia="MS Mincho"/>
          <w:lang w:eastAsia="ja-JP"/>
        </w:rPr>
        <w:t xml:space="preserve">he table below identifies the relevant IRP and </w:t>
      </w:r>
      <w:r>
        <w:rPr>
          <w:rFonts w:eastAsia="MS Mincho"/>
          <w:lang w:eastAsia="ja-JP"/>
        </w:rPr>
        <w:t xml:space="preserve">the corresponding </w:t>
      </w:r>
      <w:r w:rsidR="00273BAC">
        <w:rPr>
          <w:rFonts w:eastAsia="MS Mincho"/>
          <w:lang w:eastAsia="ja-JP"/>
        </w:rPr>
        <w:t>non</w:t>
      </w:r>
      <w:r w:rsidR="00757796">
        <w:rPr>
          <w:rFonts w:eastAsia="MS Mincho"/>
          <w:lang w:eastAsia="ja-JP"/>
        </w:rPr>
        <w:t>-</w:t>
      </w:r>
      <w:r w:rsidR="00273BAC">
        <w:rPr>
          <w:rFonts w:eastAsia="MS Mincho"/>
          <w:lang w:eastAsia="ja-JP"/>
        </w:rPr>
        <w:t>eligible resource</w:t>
      </w:r>
      <w:r w:rsidR="0056742A">
        <w:rPr>
          <w:rFonts w:eastAsia="MS Mincho"/>
          <w:lang w:eastAsia="ja-JP"/>
        </w:rPr>
        <w:t xml:space="preserve"> </w:t>
      </w:r>
      <w:r w:rsidR="00273BAC">
        <w:rPr>
          <w:rFonts w:eastAsia="MS Mincho"/>
          <w:lang w:eastAsia="ja-JP"/>
        </w:rPr>
        <w:t xml:space="preserve">(proxy plant) </w:t>
      </w:r>
      <w:r w:rsidR="00273BAC" w:rsidRPr="00273BAC">
        <w:rPr>
          <w:rFonts w:eastAsia="MS Mincho"/>
          <w:lang w:eastAsia="ja-JP"/>
        </w:rPr>
        <w:t>selected for th</w:t>
      </w:r>
      <w:r w:rsidR="00273BAC">
        <w:rPr>
          <w:rFonts w:eastAsia="MS Mincho"/>
          <w:lang w:eastAsia="ja-JP"/>
        </w:rPr>
        <w:t>e incremental cost calculations:</w:t>
      </w:r>
    </w:p>
    <w:p w14:paraId="30FF4941" w14:textId="77777777" w:rsidR="007F7699" w:rsidRPr="000D2923" w:rsidRDefault="007F7699" w:rsidP="003A5612">
      <w:pPr>
        <w:jc w:val="both"/>
        <w:rPr>
          <w:b/>
        </w:rPr>
      </w:pPr>
    </w:p>
    <w:p w14:paraId="4CAA1915" w14:textId="77777777" w:rsidR="0056742A" w:rsidRDefault="0056742A" w:rsidP="00E06B52">
      <w:pPr>
        <w:jc w:val="center"/>
        <w:rPr>
          <w:b/>
        </w:rPr>
      </w:pPr>
      <w:r w:rsidRPr="000D2923">
        <w:rPr>
          <w:b/>
        </w:rPr>
        <w:t xml:space="preserve">Table </w:t>
      </w:r>
      <w:r w:rsidR="000D4464">
        <w:rPr>
          <w:b/>
        </w:rPr>
        <w:t>2</w:t>
      </w:r>
    </w:p>
    <w:p w14:paraId="25F611CF" w14:textId="77777777" w:rsidR="0065349C" w:rsidRDefault="0065349C" w:rsidP="00E06B52">
      <w:pPr>
        <w:jc w:val="center"/>
        <w:rPr>
          <w:b/>
        </w:rPr>
      </w:pPr>
    </w:p>
    <w:tbl>
      <w:tblPr>
        <w:tblStyle w:val="TableGrid"/>
        <w:tblW w:w="9023" w:type="dxa"/>
        <w:jc w:val="center"/>
        <w:tblLook w:val="04A0" w:firstRow="1" w:lastRow="0" w:firstColumn="1" w:lastColumn="0" w:noHBand="0" w:noVBand="1"/>
      </w:tblPr>
      <w:tblGrid>
        <w:gridCol w:w="2520"/>
        <w:gridCol w:w="2003"/>
        <w:gridCol w:w="4500"/>
      </w:tblGrid>
      <w:tr w:rsidR="00AE17D6" w:rsidRPr="007F7699" w14:paraId="26E259CC" w14:textId="77777777" w:rsidTr="00E06B52">
        <w:trPr>
          <w:cantSplit/>
          <w:trHeight w:val="485"/>
          <w:tblHeader/>
          <w:jc w:val="center"/>
        </w:trPr>
        <w:tc>
          <w:tcPr>
            <w:tcW w:w="2520" w:type="dxa"/>
            <w:shd w:val="clear" w:color="auto" w:fill="000000" w:themeFill="text1"/>
            <w:vAlign w:val="center"/>
          </w:tcPr>
          <w:p w14:paraId="349105A2" w14:textId="77777777" w:rsidR="00AE17D6" w:rsidRPr="000D2923" w:rsidRDefault="00AE17D6" w:rsidP="00E06B52">
            <w:pPr>
              <w:jc w:val="center"/>
              <w:rPr>
                <w:rFonts w:eastAsia="MS Mincho"/>
                <w:b/>
                <w:lang w:eastAsia="ja-JP"/>
              </w:rPr>
            </w:pPr>
            <w:r w:rsidRPr="000D2923">
              <w:rPr>
                <w:rFonts w:eastAsia="MS Mincho"/>
                <w:b/>
                <w:lang w:eastAsia="ja-JP"/>
              </w:rPr>
              <w:t>Resource</w:t>
            </w:r>
          </w:p>
        </w:tc>
        <w:tc>
          <w:tcPr>
            <w:tcW w:w="2003" w:type="dxa"/>
            <w:shd w:val="clear" w:color="auto" w:fill="000000" w:themeFill="text1"/>
            <w:vAlign w:val="center"/>
          </w:tcPr>
          <w:p w14:paraId="3A91EADF" w14:textId="77777777" w:rsidR="00AE17D6" w:rsidRPr="000D2923" w:rsidRDefault="00AE17D6" w:rsidP="0065349C">
            <w:pPr>
              <w:jc w:val="center"/>
              <w:rPr>
                <w:rFonts w:eastAsia="MS Mincho"/>
                <w:b/>
                <w:lang w:eastAsia="ja-JP"/>
              </w:rPr>
            </w:pPr>
            <w:r w:rsidRPr="000D2923">
              <w:rPr>
                <w:rFonts w:eastAsia="MS Mincho"/>
                <w:b/>
                <w:lang w:eastAsia="ja-JP"/>
              </w:rPr>
              <w:t>Relevant IRP</w:t>
            </w:r>
          </w:p>
        </w:tc>
        <w:tc>
          <w:tcPr>
            <w:tcW w:w="4500" w:type="dxa"/>
            <w:shd w:val="clear" w:color="auto" w:fill="000000" w:themeFill="text1"/>
            <w:vAlign w:val="center"/>
          </w:tcPr>
          <w:p w14:paraId="0AEC50BF" w14:textId="61E23481" w:rsidR="00AE17D6" w:rsidRPr="00273BAC" w:rsidRDefault="00AE17D6" w:rsidP="00E06B52">
            <w:pPr>
              <w:jc w:val="center"/>
              <w:rPr>
                <w:rFonts w:eastAsia="MS Mincho"/>
                <w:b/>
                <w:lang w:eastAsia="ja-JP"/>
              </w:rPr>
            </w:pPr>
            <w:r>
              <w:rPr>
                <w:rFonts w:eastAsia="MS Mincho"/>
                <w:b/>
                <w:lang w:eastAsia="ja-JP"/>
              </w:rPr>
              <w:t>Non</w:t>
            </w:r>
            <w:r w:rsidR="00796A2D">
              <w:rPr>
                <w:rFonts w:eastAsia="MS Mincho"/>
                <w:b/>
                <w:lang w:eastAsia="ja-JP"/>
              </w:rPr>
              <w:t>-</w:t>
            </w:r>
            <w:r w:rsidR="0065349C">
              <w:rPr>
                <w:rFonts w:eastAsia="MS Mincho"/>
                <w:b/>
                <w:lang w:eastAsia="ja-JP"/>
              </w:rPr>
              <w:t>E</w:t>
            </w:r>
            <w:r>
              <w:rPr>
                <w:rFonts w:eastAsia="MS Mincho"/>
                <w:b/>
                <w:lang w:eastAsia="ja-JP"/>
              </w:rPr>
              <w:t>ligible Resource from IRP</w:t>
            </w:r>
          </w:p>
        </w:tc>
      </w:tr>
      <w:tr w:rsidR="002B7115" w14:paraId="5508248D" w14:textId="77777777" w:rsidTr="00E06B52">
        <w:trPr>
          <w:jc w:val="center"/>
        </w:trPr>
        <w:tc>
          <w:tcPr>
            <w:tcW w:w="2520" w:type="dxa"/>
            <w:vMerge w:val="restart"/>
          </w:tcPr>
          <w:p w14:paraId="549BB99B" w14:textId="77777777" w:rsidR="002B7115" w:rsidRDefault="002B7115" w:rsidP="00846831">
            <w:pPr>
              <w:rPr>
                <w:rFonts w:eastAsia="MS Mincho"/>
                <w:lang w:eastAsia="ja-JP"/>
              </w:rPr>
            </w:pPr>
            <w:proofErr w:type="spellStart"/>
            <w:r>
              <w:rPr>
                <w:rFonts w:eastAsia="MS Mincho"/>
                <w:lang w:eastAsia="ja-JP"/>
              </w:rPr>
              <w:t>Goodnoe</w:t>
            </w:r>
            <w:proofErr w:type="spellEnd"/>
            <w:r>
              <w:rPr>
                <w:rFonts w:eastAsia="MS Mincho"/>
                <w:lang w:eastAsia="ja-JP"/>
              </w:rPr>
              <w:t xml:space="preserve"> Hills</w:t>
            </w:r>
          </w:p>
        </w:tc>
        <w:tc>
          <w:tcPr>
            <w:tcW w:w="2003" w:type="dxa"/>
          </w:tcPr>
          <w:p w14:paraId="752C489F" w14:textId="77777777" w:rsidR="002B7115" w:rsidRDefault="002B7115" w:rsidP="00AE17D6">
            <w:pPr>
              <w:jc w:val="center"/>
              <w:rPr>
                <w:rFonts w:eastAsia="MS Mincho"/>
                <w:lang w:eastAsia="ja-JP"/>
              </w:rPr>
            </w:pPr>
            <w:r>
              <w:rPr>
                <w:rFonts w:eastAsia="MS Mincho"/>
                <w:lang w:eastAsia="ja-JP"/>
              </w:rPr>
              <w:t>2007 IRP</w:t>
            </w:r>
          </w:p>
        </w:tc>
        <w:tc>
          <w:tcPr>
            <w:tcW w:w="4500" w:type="dxa"/>
          </w:tcPr>
          <w:p w14:paraId="3EEAE962" w14:textId="77777777" w:rsidR="002B7115" w:rsidRDefault="002B7115" w:rsidP="00AE17D6">
            <w:pPr>
              <w:rPr>
                <w:rFonts w:eastAsia="MS Mincho"/>
                <w:lang w:eastAsia="ja-JP"/>
              </w:rPr>
            </w:pPr>
            <w:r>
              <w:rPr>
                <w:rFonts w:eastAsia="MS Mincho"/>
                <w:lang w:eastAsia="ja-JP"/>
              </w:rPr>
              <w:t>602-megawatt west side CCCT water-cooled “F” class 2x1 with duct firing</w:t>
            </w:r>
          </w:p>
        </w:tc>
      </w:tr>
      <w:tr w:rsidR="002B7115" w14:paraId="0A62A33F" w14:textId="77777777" w:rsidTr="00E06B52">
        <w:trPr>
          <w:trHeight w:val="494"/>
          <w:jc w:val="center"/>
        </w:trPr>
        <w:tc>
          <w:tcPr>
            <w:tcW w:w="2520" w:type="dxa"/>
            <w:vMerge/>
          </w:tcPr>
          <w:p w14:paraId="346F07CB" w14:textId="77777777" w:rsidR="002B7115" w:rsidRDefault="002B7115" w:rsidP="002B7115">
            <w:pPr>
              <w:rPr>
                <w:rFonts w:eastAsia="MS Mincho"/>
                <w:lang w:eastAsia="ja-JP"/>
              </w:rPr>
            </w:pPr>
          </w:p>
        </w:tc>
        <w:tc>
          <w:tcPr>
            <w:tcW w:w="2003" w:type="dxa"/>
          </w:tcPr>
          <w:p w14:paraId="228AD708" w14:textId="77777777" w:rsidR="002B7115" w:rsidRDefault="002B7115" w:rsidP="00AE17D6">
            <w:pPr>
              <w:jc w:val="center"/>
              <w:rPr>
                <w:rFonts w:eastAsia="MS Mincho"/>
                <w:lang w:eastAsia="ja-JP"/>
              </w:rPr>
            </w:pPr>
            <w:r>
              <w:rPr>
                <w:rFonts w:eastAsia="MS Mincho"/>
                <w:lang w:eastAsia="ja-JP"/>
              </w:rPr>
              <w:t xml:space="preserve">2019 IRP </w:t>
            </w:r>
            <w:r w:rsidR="00AB2ADC">
              <w:rPr>
                <w:rFonts w:eastAsia="MS Mincho"/>
                <w:lang w:eastAsia="ja-JP"/>
              </w:rPr>
              <w:t>progress r</w:t>
            </w:r>
            <w:r w:rsidR="00413D3B">
              <w:rPr>
                <w:rFonts w:eastAsia="MS Mincho"/>
                <w:lang w:eastAsia="ja-JP"/>
              </w:rPr>
              <w:t>eport</w:t>
            </w:r>
          </w:p>
        </w:tc>
        <w:tc>
          <w:tcPr>
            <w:tcW w:w="4500" w:type="dxa"/>
          </w:tcPr>
          <w:p w14:paraId="4368110B" w14:textId="65D33C3B" w:rsidR="002B7115" w:rsidRDefault="002B7115" w:rsidP="00914771">
            <w:pPr>
              <w:rPr>
                <w:rFonts w:eastAsia="MS Mincho"/>
                <w:lang w:eastAsia="ja-JP"/>
              </w:rPr>
            </w:pPr>
            <w:r>
              <w:rPr>
                <w:rFonts w:eastAsia="MS Mincho"/>
                <w:lang w:eastAsia="ja-JP"/>
              </w:rPr>
              <w:t xml:space="preserve">505-megawatt east side CCCT Dry </w:t>
            </w:r>
            <w:r w:rsidR="00914771">
              <w:rPr>
                <w:rFonts w:eastAsia="MS Mincho"/>
                <w:lang w:eastAsia="ja-JP"/>
              </w:rPr>
              <w:t>“</w:t>
            </w:r>
            <w:r w:rsidRPr="002B7115">
              <w:rPr>
                <w:rFonts w:eastAsia="MS Mincho"/>
                <w:lang w:eastAsia="ja-JP"/>
              </w:rPr>
              <w:t>J/HA.02</w:t>
            </w:r>
            <w:r w:rsidR="00914771">
              <w:rPr>
                <w:rFonts w:eastAsia="MS Mincho"/>
                <w:lang w:eastAsia="ja-JP"/>
              </w:rPr>
              <w:t>”</w:t>
            </w:r>
            <w:r w:rsidRPr="002B7115">
              <w:rPr>
                <w:rFonts w:eastAsia="MS Mincho"/>
                <w:lang w:eastAsia="ja-JP"/>
              </w:rPr>
              <w:t xml:space="preserve"> </w:t>
            </w:r>
            <w:r>
              <w:rPr>
                <w:rFonts w:eastAsia="MS Mincho"/>
                <w:lang w:eastAsia="ja-JP"/>
              </w:rPr>
              <w:t>class 1x1 with duct firing</w:t>
            </w:r>
          </w:p>
        </w:tc>
      </w:tr>
      <w:tr w:rsidR="002B7115" w14:paraId="13C1D42E" w14:textId="77777777" w:rsidTr="00E06B52">
        <w:trPr>
          <w:jc w:val="center"/>
        </w:trPr>
        <w:tc>
          <w:tcPr>
            <w:tcW w:w="2520" w:type="dxa"/>
            <w:vMerge w:val="restart"/>
          </w:tcPr>
          <w:p w14:paraId="051D6FF9" w14:textId="77777777" w:rsidR="002B7115" w:rsidRDefault="002B7115" w:rsidP="002B7115">
            <w:pPr>
              <w:rPr>
                <w:rFonts w:eastAsia="MS Mincho"/>
                <w:lang w:eastAsia="ja-JP"/>
              </w:rPr>
            </w:pPr>
            <w:r>
              <w:rPr>
                <w:rFonts w:eastAsia="MS Mincho"/>
                <w:lang w:eastAsia="ja-JP"/>
              </w:rPr>
              <w:t>Leaning Juniper</w:t>
            </w:r>
          </w:p>
        </w:tc>
        <w:tc>
          <w:tcPr>
            <w:tcW w:w="2003" w:type="dxa"/>
          </w:tcPr>
          <w:p w14:paraId="555D4CE4" w14:textId="77777777" w:rsidR="002B7115" w:rsidRDefault="002B7115" w:rsidP="002B7115">
            <w:pPr>
              <w:jc w:val="center"/>
              <w:rPr>
                <w:rFonts w:eastAsia="MS Mincho"/>
                <w:lang w:eastAsia="ja-JP"/>
              </w:rPr>
            </w:pPr>
            <w:r>
              <w:rPr>
                <w:rFonts w:eastAsia="MS Mincho"/>
                <w:lang w:eastAsia="ja-JP"/>
              </w:rPr>
              <w:t>2007 IRP</w:t>
            </w:r>
          </w:p>
        </w:tc>
        <w:tc>
          <w:tcPr>
            <w:tcW w:w="4500" w:type="dxa"/>
          </w:tcPr>
          <w:p w14:paraId="775BB1D3" w14:textId="77777777" w:rsidR="002B7115" w:rsidRDefault="002B7115" w:rsidP="002B7115">
            <w:pPr>
              <w:rPr>
                <w:rFonts w:eastAsia="MS Mincho"/>
                <w:lang w:eastAsia="ja-JP"/>
              </w:rPr>
            </w:pPr>
            <w:r>
              <w:rPr>
                <w:rFonts w:eastAsia="MS Mincho"/>
                <w:lang w:eastAsia="ja-JP"/>
              </w:rPr>
              <w:t>602-megawatt west side CCCT water-cooled “F” class 2x1 with duct firing</w:t>
            </w:r>
          </w:p>
        </w:tc>
      </w:tr>
      <w:tr w:rsidR="002B7115" w14:paraId="0D2D7118" w14:textId="77777777" w:rsidTr="00E06B52">
        <w:trPr>
          <w:trHeight w:val="512"/>
          <w:jc w:val="center"/>
        </w:trPr>
        <w:tc>
          <w:tcPr>
            <w:tcW w:w="2520" w:type="dxa"/>
            <w:vMerge/>
          </w:tcPr>
          <w:p w14:paraId="0DF5AB2D" w14:textId="77777777" w:rsidR="002B7115" w:rsidRDefault="002B7115" w:rsidP="002B7115">
            <w:pPr>
              <w:rPr>
                <w:rFonts w:eastAsia="MS Mincho"/>
                <w:lang w:eastAsia="ja-JP"/>
              </w:rPr>
            </w:pPr>
          </w:p>
        </w:tc>
        <w:tc>
          <w:tcPr>
            <w:tcW w:w="2003" w:type="dxa"/>
          </w:tcPr>
          <w:p w14:paraId="24B4953F" w14:textId="77777777" w:rsidR="002B7115" w:rsidRDefault="002B7115" w:rsidP="002B7115">
            <w:pPr>
              <w:jc w:val="center"/>
              <w:rPr>
                <w:rFonts w:eastAsia="MS Mincho"/>
                <w:lang w:eastAsia="ja-JP"/>
              </w:rPr>
            </w:pPr>
            <w:r>
              <w:rPr>
                <w:rFonts w:eastAsia="MS Mincho"/>
                <w:lang w:eastAsia="ja-JP"/>
              </w:rPr>
              <w:t>2017 IRP</w:t>
            </w:r>
          </w:p>
        </w:tc>
        <w:tc>
          <w:tcPr>
            <w:tcW w:w="4500" w:type="dxa"/>
          </w:tcPr>
          <w:p w14:paraId="3ECE58B2" w14:textId="567B600C" w:rsidR="002B7115" w:rsidRDefault="002B7115" w:rsidP="002B7115">
            <w:pPr>
              <w:rPr>
                <w:rFonts w:eastAsia="MS Mincho"/>
                <w:lang w:eastAsia="ja-JP"/>
              </w:rPr>
            </w:pPr>
            <w:r>
              <w:rPr>
                <w:rFonts w:eastAsia="MS Mincho"/>
                <w:lang w:eastAsia="ja-JP"/>
              </w:rPr>
              <w:t xml:space="preserve">436-megawatt west side CCCT </w:t>
            </w:r>
            <w:r w:rsidRPr="002B7115">
              <w:rPr>
                <w:rFonts w:eastAsia="MS Mincho"/>
                <w:lang w:eastAsia="ja-JP"/>
              </w:rPr>
              <w:t xml:space="preserve">Dry </w:t>
            </w:r>
            <w:r w:rsidR="00914771">
              <w:rPr>
                <w:rFonts w:eastAsia="MS Mincho"/>
                <w:lang w:eastAsia="ja-JP"/>
              </w:rPr>
              <w:t>“</w:t>
            </w:r>
            <w:r w:rsidRPr="002B7115">
              <w:rPr>
                <w:rFonts w:eastAsia="MS Mincho"/>
                <w:lang w:eastAsia="ja-JP"/>
              </w:rPr>
              <w:t>G/H</w:t>
            </w:r>
            <w:r w:rsidR="00914771">
              <w:rPr>
                <w:rFonts w:eastAsia="MS Mincho"/>
                <w:lang w:eastAsia="ja-JP"/>
              </w:rPr>
              <w:t>”</w:t>
            </w:r>
            <w:r w:rsidRPr="002B7115">
              <w:rPr>
                <w:rFonts w:eastAsia="MS Mincho"/>
                <w:lang w:eastAsia="ja-JP"/>
              </w:rPr>
              <w:t xml:space="preserve"> </w:t>
            </w:r>
            <w:r>
              <w:rPr>
                <w:rFonts w:eastAsia="MS Mincho"/>
                <w:lang w:eastAsia="ja-JP"/>
              </w:rPr>
              <w:t>class 1x1 with duct firing</w:t>
            </w:r>
          </w:p>
        </w:tc>
      </w:tr>
      <w:tr w:rsidR="002B7115" w14:paraId="3687E5F7" w14:textId="77777777" w:rsidTr="00E06B52">
        <w:trPr>
          <w:jc w:val="center"/>
        </w:trPr>
        <w:tc>
          <w:tcPr>
            <w:tcW w:w="2520" w:type="dxa"/>
          </w:tcPr>
          <w:p w14:paraId="235863B0" w14:textId="77777777" w:rsidR="002B7115" w:rsidRDefault="002B7115" w:rsidP="002B7115">
            <w:pPr>
              <w:rPr>
                <w:rFonts w:eastAsia="MS Mincho"/>
                <w:lang w:eastAsia="ja-JP"/>
              </w:rPr>
            </w:pPr>
            <w:r>
              <w:rPr>
                <w:rFonts w:eastAsia="MS Mincho"/>
                <w:lang w:eastAsia="ja-JP"/>
              </w:rPr>
              <w:lastRenderedPageBreak/>
              <w:t>Marengo I  and II</w:t>
            </w:r>
          </w:p>
        </w:tc>
        <w:tc>
          <w:tcPr>
            <w:tcW w:w="2003" w:type="dxa"/>
          </w:tcPr>
          <w:p w14:paraId="10F512BC" w14:textId="77777777" w:rsidR="002B7115" w:rsidRDefault="002B7115" w:rsidP="002B7115">
            <w:pPr>
              <w:jc w:val="center"/>
              <w:rPr>
                <w:rFonts w:eastAsia="MS Mincho"/>
                <w:lang w:eastAsia="ja-JP"/>
              </w:rPr>
            </w:pPr>
            <w:r>
              <w:rPr>
                <w:rFonts w:eastAsia="MS Mincho"/>
                <w:lang w:eastAsia="ja-JP"/>
              </w:rPr>
              <w:t>2007 IRP</w:t>
            </w:r>
          </w:p>
        </w:tc>
        <w:tc>
          <w:tcPr>
            <w:tcW w:w="4500" w:type="dxa"/>
          </w:tcPr>
          <w:p w14:paraId="24DC67D4" w14:textId="77777777" w:rsidR="002B7115" w:rsidRDefault="002B7115" w:rsidP="002B7115">
            <w:pPr>
              <w:rPr>
                <w:rFonts w:eastAsia="MS Mincho"/>
                <w:lang w:eastAsia="ja-JP"/>
              </w:rPr>
            </w:pPr>
            <w:r>
              <w:rPr>
                <w:rFonts w:eastAsia="MS Mincho"/>
                <w:lang w:eastAsia="ja-JP"/>
              </w:rPr>
              <w:t>602-megawatt west side CCCT water-cooled “F” class 2x1 with duct firing</w:t>
            </w:r>
          </w:p>
        </w:tc>
      </w:tr>
      <w:tr w:rsidR="002B7115" w14:paraId="2B487DBE" w14:textId="77777777" w:rsidTr="00E06B52">
        <w:trPr>
          <w:jc w:val="center"/>
        </w:trPr>
        <w:tc>
          <w:tcPr>
            <w:tcW w:w="2520" w:type="dxa"/>
          </w:tcPr>
          <w:p w14:paraId="168E062E" w14:textId="77777777" w:rsidR="002B7115" w:rsidRDefault="002B7115" w:rsidP="002B7115">
            <w:pPr>
              <w:rPr>
                <w:rFonts w:eastAsia="MS Mincho"/>
                <w:lang w:eastAsia="ja-JP"/>
              </w:rPr>
            </w:pPr>
            <w:proofErr w:type="spellStart"/>
            <w:r>
              <w:rPr>
                <w:rFonts w:eastAsia="MS Mincho"/>
                <w:lang w:eastAsia="ja-JP"/>
              </w:rPr>
              <w:t>Lemolo</w:t>
            </w:r>
            <w:proofErr w:type="spellEnd"/>
            <w:r>
              <w:rPr>
                <w:rFonts w:eastAsia="MS Mincho"/>
                <w:lang w:eastAsia="ja-JP"/>
              </w:rPr>
              <w:t xml:space="preserve"> 1 – Upgrade  2003</w:t>
            </w:r>
          </w:p>
        </w:tc>
        <w:tc>
          <w:tcPr>
            <w:tcW w:w="2003" w:type="dxa"/>
          </w:tcPr>
          <w:p w14:paraId="618FD732" w14:textId="77777777" w:rsidR="002B7115" w:rsidRDefault="002B7115" w:rsidP="002B7115">
            <w:pPr>
              <w:jc w:val="center"/>
              <w:rPr>
                <w:rFonts w:eastAsia="MS Mincho"/>
                <w:lang w:eastAsia="ja-JP"/>
              </w:rPr>
            </w:pPr>
            <w:r>
              <w:rPr>
                <w:rFonts w:eastAsia="MS Mincho"/>
                <w:lang w:eastAsia="ja-JP"/>
              </w:rPr>
              <w:t>2003 IRP</w:t>
            </w:r>
          </w:p>
        </w:tc>
        <w:tc>
          <w:tcPr>
            <w:tcW w:w="4500" w:type="dxa"/>
          </w:tcPr>
          <w:p w14:paraId="663F73C0" w14:textId="77777777" w:rsidR="002B7115" w:rsidRDefault="002B7115" w:rsidP="002B7115">
            <w:pPr>
              <w:rPr>
                <w:rFonts w:eastAsia="MS Mincho"/>
                <w:lang w:eastAsia="ja-JP"/>
              </w:rPr>
            </w:pPr>
            <w:r>
              <w:rPr>
                <w:rFonts w:eastAsia="MS Mincho"/>
                <w:lang w:eastAsia="ja-JP"/>
              </w:rPr>
              <w:t>570-megawatt west side CCCT “7FA” class 2x1 with duct firing</w:t>
            </w:r>
          </w:p>
        </w:tc>
      </w:tr>
      <w:tr w:rsidR="002B7115" w14:paraId="5E3AC5FE" w14:textId="77777777" w:rsidTr="00E06B52">
        <w:trPr>
          <w:jc w:val="center"/>
        </w:trPr>
        <w:tc>
          <w:tcPr>
            <w:tcW w:w="2520" w:type="dxa"/>
          </w:tcPr>
          <w:p w14:paraId="170CB892" w14:textId="77777777" w:rsidR="002B7115" w:rsidRDefault="002B7115" w:rsidP="002B7115">
            <w:pPr>
              <w:rPr>
                <w:rFonts w:eastAsia="MS Mincho"/>
                <w:lang w:eastAsia="ja-JP"/>
              </w:rPr>
            </w:pPr>
            <w:proofErr w:type="spellStart"/>
            <w:r>
              <w:rPr>
                <w:rFonts w:eastAsia="MS Mincho"/>
                <w:lang w:eastAsia="ja-JP"/>
              </w:rPr>
              <w:t>Lemolo</w:t>
            </w:r>
            <w:proofErr w:type="spellEnd"/>
            <w:r>
              <w:rPr>
                <w:rFonts w:eastAsia="MS Mincho"/>
                <w:lang w:eastAsia="ja-JP"/>
              </w:rPr>
              <w:t xml:space="preserve"> 2 – Upgrade 2009</w:t>
            </w:r>
          </w:p>
        </w:tc>
        <w:tc>
          <w:tcPr>
            <w:tcW w:w="2003" w:type="dxa"/>
          </w:tcPr>
          <w:p w14:paraId="5E1164A5" w14:textId="77777777" w:rsidR="002B7115" w:rsidRDefault="002B7115" w:rsidP="002B7115">
            <w:pPr>
              <w:jc w:val="center"/>
              <w:rPr>
                <w:rFonts w:eastAsia="MS Mincho"/>
                <w:lang w:eastAsia="ja-JP"/>
              </w:rPr>
            </w:pPr>
            <w:r>
              <w:rPr>
                <w:rFonts w:eastAsia="MS Mincho"/>
                <w:lang w:eastAsia="ja-JP"/>
              </w:rPr>
              <w:t>2008 IRP</w:t>
            </w:r>
          </w:p>
        </w:tc>
        <w:tc>
          <w:tcPr>
            <w:tcW w:w="4500" w:type="dxa"/>
          </w:tcPr>
          <w:p w14:paraId="5C4F0334" w14:textId="77777777" w:rsidR="002B7115" w:rsidRDefault="002B7115" w:rsidP="002B7115">
            <w:pPr>
              <w:rPr>
                <w:rFonts w:eastAsia="MS Mincho"/>
                <w:lang w:eastAsia="ja-JP"/>
              </w:rPr>
            </w:pPr>
            <w:r>
              <w:rPr>
                <w:rFonts w:eastAsia="MS Mincho"/>
                <w:lang w:eastAsia="ja-JP"/>
              </w:rPr>
              <w:t>569.67-megawatt west side CCCT water-cooled “F” class 2x1 with duct firing</w:t>
            </w:r>
          </w:p>
        </w:tc>
      </w:tr>
      <w:tr w:rsidR="002B7115" w14:paraId="18C310EC" w14:textId="77777777" w:rsidTr="00E06B52">
        <w:trPr>
          <w:jc w:val="center"/>
        </w:trPr>
        <w:tc>
          <w:tcPr>
            <w:tcW w:w="2520" w:type="dxa"/>
          </w:tcPr>
          <w:p w14:paraId="0FCA94E4" w14:textId="77777777" w:rsidR="002B7115" w:rsidRDefault="002B7115" w:rsidP="002B7115">
            <w:pPr>
              <w:rPr>
                <w:rFonts w:eastAsia="MS Mincho"/>
                <w:lang w:eastAsia="ja-JP"/>
              </w:rPr>
            </w:pPr>
            <w:r>
              <w:rPr>
                <w:rFonts w:eastAsia="MS Mincho"/>
                <w:lang w:eastAsia="ja-JP"/>
              </w:rPr>
              <w:t>JC Boyle – Upgrade 2005</w:t>
            </w:r>
          </w:p>
        </w:tc>
        <w:tc>
          <w:tcPr>
            <w:tcW w:w="2003" w:type="dxa"/>
          </w:tcPr>
          <w:p w14:paraId="69BEACB7" w14:textId="77777777" w:rsidR="002B7115" w:rsidRDefault="002B7115" w:rsidP="002B7115">
            <w:pPr>
              <w:jc w:val="center"/>
              <w:rPr>
                <w:rFonts w:eastAsia="MS Mincho"/>
                <w:lang w:eastAsia="ja-JP"/>
              </w:rPr>
            </w:pPr>
            <w:r>
              <w:rPr>
                <w:rFonts w:eastAsia="MS Mincho"/>
                <w:lang w:eastAsia="ja-JP"/>
              </w:rPr>
              <w:t>2004 IRP</w:t>
            </w:r>
          </w:p>
        </w:tc>
        <w:tc>
          <w:tcPr>
            <w:tcW w:w="4500" w:type="dxa"/>
          </w:tcPr>
          <w:p w14:paraId="52F4EA08" w14:textId="77777777" w:rsidR="002B7115" w:rsidRDefault="002B7115" w:rsidP="002B7115">
            <w:pPr>
              <w:rPr>
                <w:rFonts w:eastAsia="MS Mincho"/>
                <w:lang w:eastAsia="ja-JP"/>
              </w:rPr>
            </w:pPr>
            <w:r>
              <w:rPr>
                <w:rFonts w:eastAsia="MS Mincho"/>
                <w:lang w:eastAsia="ja-JP"/>
              </w:rPr>
              <w:t>525-megawatt east side CCCT air-cooled “F” class 2x1 with duct firing</w:t>
            </w:r>
          </w:p>
        </w:tc>
      </w:tr>
      <w:tr w:rsidR="002B7115" w14:paraId="321A9756" w14:textId="77777777" w:rsidTr="00E06B52">
        <w:trPr>
          <w:jc w:val="center"/>
        </w:trPr>
        <w:tc>
          <w:tcPr>
            <w:tcW w:w="2520" w:type="dxa"/>
          </w:tcPr>
          <w:p w14:paraId="0E6CE350" w14:textId="77777777" w:rsidR="002B7115" w:rsidRDefault="002B7115" w:rsidP="002B7115">
            <w:pPr>
              <w:rPr>
                <w:rFonts w:eastAsia="MS Mincho"/>
                <w:lang w:eastAsia="ja-JP"/>
              </w:rPr>
            </w:pPr>
            <w:r>
              <w:rPr>
                <w:rFonts w:eastAsia="MS Mincho"/>
                <w:lang w:eastAsia="ja-JP"/>
              </w:rPr>
              <w:t>Prospect 2 – Upgrade 1999</w:t>
            </w:r>
          </w:p>
        </w:tc>
        <w:tc>
          <w:tcPr>
            <w:tcW w:w="2003" w:type="dxa"/>
          </w:tcPr>
          <w:p w14:paraId="025922AC" w14:textId="77777777" w:rsidR="002B7115" w:rsidRDefault="002B7115" w:rsidP="002B7115">
            <w:pPr>
              <w:jc w:val="center"/>
              <w:rPr>
                <w:rFonts w:eastAsia="MS Mincho"/>
                <w:lang w:eastAsia="ja-JP"/>
              </w:rPr>
            </w:pPr>
            <w:r>
              <w:rPr>
                <w:rFonts w:eastAsia="MS Mincho"/>
                <w:lang w:eastAsia="ja-JP"/>
              </w:rPr>
              <w:t>2003 IRP</w:t>
            </w:r>
            <w:r>
              <w:rPr>
                <w:rStyle w:val="FootnoteReference"/>
                <w:rFonts w:eastAsia="MS Mincho"/>
                <w:lang w:eastAsia="ja-JP"/>
              </w:rPr>
              <w:footnoteReference w:id="2"/>
            </w:r>
          </w:p>
        </w:tc>
        <w:tc>
          <w:tcPr>
            <w:tcW w:w="4500" w:type="dxa"/>
          </w:tcPr>
          <w:p w14:paraId="3093D336" w14:textId="77777777" w:rsidR="002B7115" w:rsidRDefault="002B7115" w:rsidP="002B7115">
            <w:pPr>
              <w:rPr>
                <w:rFonts w:eastAsia="MS Mincho"/>
                <w:lang w:eastAsia="ja-JP"/>
              </w:rPr>
            </w:pPr>
            <w:r>
              <w:rPr>
                <w:rFonts w:eastAsia="MS Mincho"/>
                <w:lang w:eastAsia="ja-JP"/>
              </w:rPr>
              <w:t>570-megawatt west side CCCT “7FA” class 2x1 with duct firing</w:t>
            </w:r>
          </w:p>
        </w:tc>
      </w:tr>
    </w:tbl>
    <w:p w14:paraId="412C8B1E" w14:textId="77777777" w:rsidR="007F7699" w:rsidRDefault="007F7699" w:rsidP="003A5612">
      <w:pPr>
        <w:jc w:val="both"/>
        <w:rPr>
          <w:rFonts w:eastAsia="MS Mincho"/>
          <w:lang w:eastAsia="ja-JP"/>
        </w:rPr>
      </w:pPr>
    </w:p>
    <w:p w14:paraId="4934E747" w14:textId="5F1F480E" w:rsidR="0009191C" w:rsidRDefault="00B87C0B" w:rsidP="003A5612">
      <w:pPr>
        <w:jc w:val="both"/>
        <w:rPr>
          <w:rFonts w:eastAsia="MS Mincho"/>
          <w:lang w:eastAsia="ja-JP"/>
        </w:rPr>
      </w:pPr>
      <w:r>
        <w:rPr>
          <w:rFonts w:eastAsia="MS Mincho"/>
          <w:lang w:eastAsia="ja-JP"/>
        </w:rPr>
        <w:t>C</w:t>
      </w:r>
      <w:r w:rsidR="00DC2E79">
        <w:rPr>
          <w:rFonts w:eastAsia="MS Mincho"/>
          <w:lang w:eastAsia="ja-JP"/>
        </w:rPr>
        <w:t xml:space="preserve">apital and energy costs for </w:t>
      </w:r>
      <w:r w:rsidR="00273BAC">
        <w:rPr>
          <w:rFonts w:eastAsia="MS Mincho"/>
          <w:lang w:eastAsia="ja-JP"/>
        </w:rPr>
        <w:t xml:space="preserve">the </w:t>
      </w:r>
      <w:r w:rsidR="00632D23">
        <w:rPr>
          <w:rFonts w:eastAsia="MS Mincho"/>
          <w:lang w:eastAsia="ja-JP"/>
        </w:rPr>
        <w:t>non</w:t>
      </w:r>
      <w:r w:rsidR="00757796">
        <w:rPr>
          <w:rFonts w:eastAsia="MS Mincho"/>
          <w:lang w:eastAsia="ja-JP"/>
        </w:rPr>
        <w:t>-</w:t>
      </w:r>
      <w:r w:rsidR="00632D23">
        <w:rPr>
          <w:rFonts w:eastAsia="MS Mincho"/>
          <w:lang w:eastAsia="ja-JP"/>
        </w:rPr>
        <w:t xml:space="preserve">eligible </w:t>
      </w:r>
      <w:r w:rsidR="00DC2E79">
        <w:rPr>
          <w:rFonts w:eastAsia="MS Mincho"/>
          <w:lang w:eastAsia="ja-JP"/>
        </w:rPr>
        <w:t>resource are based on the</w:t>
      </w:r>
      <w:r w:rsidR="00273BAC">
        <w:rPr>
          <w:rFonts w:eastAsia="MS Mincho"/>
          <w:lang w:eastAsia="ja-JP"/>
        </w:rPr>
        <w:t xml:space="preserve"> IRP</w:t>
      </w:r>
      <w:r w:rsidR="0065349C">
        <w:rPr>
          <w:rFonts w:eastAsia="MS Mincho"/>
          <w:lang w:eastAsia="ja-JP"/>
        </w:rPr>
        <w:t>,</w:t>
      </w:r>
      <w:r w:rsidR="00273BAC">
        <w:rPr>
          <w:rFonts w:eastAsia="MS Mincho"/>
          <w:lang w:eastAsia="ja-JP"/>
        </w:rPr>
        <w:t xml:space="preserve"> and the</w:t>
      </w:r>
      <w:r w:rsidR="0009191C">
        <w:rPr>
          <w:rFonts w:eastAsia="MS Mincho"/>
          <w:lang w:eastAsia="ja-JP"/>
        </w:rPr>
        <w:t xml:space="preserve"> non</w:t>
      </w:r>
      <w:r w:rsidR="00757796">
        <w:rPr>
          <w:rFonts w:eastAsia="MS Mincho"/>
          <w:lang w:eastAsia="ja-JP"/>
        </w:rPr>
        <w:t>-</w:t>
      </w:r>
      <w:r w:rsidR="0009191C">
        <w:rPr>
          <w:rFonts w:eastAsia="MS Mincho"/>
          <w:lang w:eastAsia="ja-JP"/>
        </w:rPr>
        <w:t xml:space="preserve">eligible resource is sized to produce the same amount of energy as expected to be produced by the eligible resource.  </w:t>
      </w:r>
    </w:p>
    <w:p w14:paraId="0D9968EF" w14:textId="77777777" w:rsidR="0009191C" w:rsidRDefault="0009191C" w:rsidP="003A5612">
      <w:pPr>
        <w:jc w:val="both"/>
        <w:rPr>
          <w:rFonts w:eastAsia="MS Mincho"/>
          <w:lang w:eastAsia="ja-JP"/>
        </w:rPr>
      </w:pPr>
    </w:p>
    <w:p w14:paraId="515B6001" w14:textId="77777777" w:rsidR="009B6FC7" w:rsidRDefault="0009191C" w:rsidP="003A5612">
      <w:pPr>
        <w:jc w:val="both"/>
        <w:rPr>
          <w:rFonts w:eastAsia="MS Mincho"/>
          <w:lang w:eastAsia="ja-JP"/>
        </w:rPr>
      </w:pPr>
      <w:r w:rsidRPr="0009191C">
        <w:rPr>
          <w:rFonts w:eastAsia="MS Mincho"/>
          <w:lang w:eastAsia="ja-JP"/>
        </w:rPr>
        <w:t>Energy cost of the non</w:t>
      </w:r>
      <w:r w:rsidR="00757796">
        <w:rPr>
          <w:rFonts w:eastAsia="MS Mincho"/>
          <w:lang w:eastAsia="ja-JP"/>
        </w:rPr>
        <w:t>-</w:t>
      </w:r>
      <w:r w:rsidRPr="0009191C">
        <w:rPr>
          <w:rFonts w:eastAsia="MS Mincho"/>
          <w:lang w:eastAsia="ja-JP"/>
        </w:rPr>
        <w:t xml:space="preserve">eligible resource includes fuel and emission costs associated with producing the same amount of energy as expected to be produced by the eligible resource, </w:t>
      </w:r>
      <w:proofErr w:type="spellStart"/>
      <w:r w:rsidRPr="0009191C">
        <w:rPr>
          <w:rFonts w:eastAsia="MS Mincho"/>
          <w:lang w:eastAsia="ja-JP"/>
        </w:rPr>
        <w:t>levelized</w:t>
      </w:r>
      <w:proofErr w:type="spellEnd"/>
      <w:r w:rsidRPr="0009191C">
        <w:rPr>
          <w:rFonts w:eastAsia="MS Mincho"/>
          <w:lang w:eastAsia="ja-JP"/>
        </w:rPr>
        <w:t xml:space="preserve"> over the time period equal to facility life of the eligible resource. Capital cost</w:t>
      </w:r>
      <w:r w:rsidR="00A85597">
        <w:rPr>
          <w:rFonts w:eastAsia="MS Mincho"/>
          <w:lang w:eastAsia="ja-JP"/>
        </w:rPr>
        <w:t>s</w:t>
      </w:r>
      <w:r w:rsidRPr="0009191C">
        <w:rPr>
          <w:rFonts w:eastAsia="MS Mincho"/>
          <w:lang w:eastAsia="ja-JP"/>
        </w:rPr>
        <w:t xml:space="preserve"> of the non</w:t>
      </w:r>
      <w:r w:rsidR="00757796">
        <w:rPr>
          <w:rFonts w:eastAsia="MS Mincho"/>
          <w:lang w:eastAsia="ja-JP"/>
        </w:rPr>
        <w:t>-</w:t>
      </w:r>
      <w:r w:rsidRPr="0009191C">
        <w:rPr>
          <w:rFonts w:eastAsia="MS Mincho"/>
          <w:lang w:eastAsia="ja-JP"/>
        </w:rPr>
        <w:t xml:space="preserve">eligible resource include fixed costs of the CCCT (including operation and maintenance costs). </w:t>
      </w:r>
      <w:r w:rsidR="00FF7A5F">
        <w:rPr>
          <w:rFonts w:eastAsia="MS Mincho"/>
          <w:lang w:eastAsia="ja-JP"/>
        </w:rPr>
        <w:t xml:space="preserve">The capacity costs of the energy-equivalent combined cycle combustion turbine are reduced, based on the fixed costs of a simple cycle combustion turbine </w:t>
      </w:r>
      <w:r>
        <w:rPr>
          <w:rFonts w:eastAsia="MS Mincho"/>
          <w:lang w:eastAsia="ja-JP"/>
        </w:rPr>
        <w:t xml:space="preserve">(SCCT) </w:t>
      </w:r>
      <w:r w:rsidR="00FF7A5F">
        <w:rPr>
          <w:rFonts w:eastAsia="MS Mincho"/>
          <w:lang w:eastAsia="ja-JP"/>
        </w:rPr>
        <w:t xml:space="preserve">identified in </w:t>
      </w:r>
      <w:r w:rsidR="00273BAC">
        <w:rPr>
          <w:rFonts w:eastAsia="MS Mincho"/>
          <w:lang w:eastAsia="ja-JP"/>
        </w:rPr>
        <w:t>each relevant IRP</w:t>
      </w:r>
      <w:r w:rsidR="00FF7A5F">
        <w:rPr>
          <w:rFonts w:eastAsia="MS Mincho"/>
          <w:lang w:eastAsia="ja-JP"/>
        </w:rPr>
        <w:t>, until the non</w:t>
      </w:r>
      <w:r w:rsidR="00757796">
        <w:rPr>
          <w:rFonts w:eastAsia="MS Mincho"/>
          <w:lang w:eastAsia="ja-JP"/>
        </w:rPr>
        <w:t>-</w:t>
      </w:r>
      <w:r w:rsidR="00FF7A5F">
        <w:rPr>
          <w:rFonts w:eastAsia="MS Mincho"/>
          <w:lang w:eastAsia="ja-JP"/>
        </w:rPr>
        <w:t xml:space="preserve">eligible resource capacity is equivalent to </w:t>
      </w:r>
      <w:r w:rsidR="003E741D">
        <w:rPr>
          <w:rFonts w:eastAsia="MS Mincho"/>
          <w:lang w:eastAsia="ja-JP"/>
        </w:rPr>
        <w:t xml:space="preserve">the </w:t>
      </w:r>
      <w:r w:rsidR="00FF7A5F">
        <w:rPr>
          <w:rFonts w:eastAsia="MS Mincho"/>
          <w:lang w:eastAsia="ja-JP"/>
        </w:rPr>
        <w:t xml:space="preserve">capacity value of the eligible resource.  </w:t>
      </w:r>
      <w:r w:rsidR="00D67758">
        <w:rPr>
          <w:rFonts w:eastAsia="MS Mincho"/>
          <w:lang w:eastAsia="ja-JP"/>
        </w:rPr>
        <w:t xml:space="preserve"> </w:t>
      </w:r>
      <w:r w:rsidR="00B87C0B">
        <w:rPr>
          <w:rFonts w:eastAsia="MS Mincho"/>
          <w:lang w:eastAsia="ja-JP"/>
        </w:rPr>
        <w:t xml:space="preserve"> </w:t>
      </w:r>
    </w:p>
    <w:p w14:paraId="56A21793" w14:textId="77777777" w:rsidR="00345AA6" w:rsidRDefault="00345AA6" w:rsidP="003A5612">
      <w:pPr>
        <w:jc w:val="both"/>
        <w:rPr>
          <w:rFonts w:eastAsia="MS Mincho"/>
          <w:u w:val="single"/>
          <w:lang w:eastAsia="ja-JP"/>
        </w:rPr>
      </w:pPr>
    </w:p>
    <w:p w14:paraId="236F466F" w14:textId="38D4A3AF" w:rsidR="00C90AF0" w:rsidRDefault="00C90AF0" w:rsidP="003A5612">
      <w:pPr>
        <w:jc w:val="both"/>
        <w:rPr>
          <w:u w:val="single"/>
        </w:rPr>
      </w:pPr>
      <w:r w:rsidRPr="00C90AF0">
        <w:rPr>
          <w:u w:val="single"/>
        </w:rPr>
        <w:t xml:space="preserve">Comparison of </w:t>
      </w:r>
      <w:r w:rsidR="00DC2E79">
        <w:rPr>
          <w:u w:val="single"/>
        </w:rPr>
        <w:t xml:space="preserve">Eligible </w:t>
      </w:r>
      <w:r w:rsidRPr="00C90AF0">
        <w:rPr>
          <w:u w:val="single"/>
        </w:rPr>
        <w:t xml:space="preserve">Resource Cost to </w:t>
      </w:r>
      <w:r w:rsidR="00DC2E79">
        <w:rPr>
          <w:u w:val="single"/>
        </w:rPr>
        <w:t>Non</w:t>
      </w:r>
      <w:r w:rsidR="00757796">
        <w:rPr>
          <w:u w:val="single"/>
        </w:rPr>
        <w:t>-</w:t>
      </w:r>
      <w:r w:rsidR="0065349C">
        <w:rPr>
          <w:u w:val="single"/>
        </w:rPr>
        <w:t>Eligible</w:t>
      </w:r>
      <w:r w:rsidR="0065349C" w:rsidRPr="00C90AF0">
        <w:rPr>
          <w:u w:val="single"/>
        </w:rPr>
        <w:t xml:space="preserve"> </w:t>
      </w:r>
      <w:r w:rsidRPr="00C90AF0">
        <w:rPr>
          <w:u w:val="single"/>
        </w:rPr>
        <w:t>Resource</w:t>
      </w:r>
      <w:r w:rsidR="0065349C">
        <w:rPr>
          <w:u w:val="single"/>
        </w:rPr>
        <w:t xml:space="preserve"> Cost</w:t>
      </w:r>
    </w:p>
    <w:p w14:paraId="7EEDD69A" w14:textId="77777777" w:rsidR="00C90AF0" w:rsidRDefault="00C90AF0" w:rsidP="003A5612">
      <w:pPr>
        <w:jc w:val="both"/>
        <w:rPr>
          <w:u w:val="single"/>
        </w:rPr>
      </w:pPr>
    </w:p>
    <w:p w14:paraId="054EE0B0" w14:textId="4748B1EC" w:rsidR="003A565B" w:rsidRDefault="00C90AF0" w:rsidP="003A5612">
      <w:pPr>
        <w:jc w:val="both"/>
      </w:pPr>
      <w:r>
        <w:t xml:space="preserve">To arrive at the </w:t>
      </w:r>
      <w:r w:rsidR="003A565B">
        <w:t xml:space="preserve">cost </w:t>
      </w:r>
      <w:r w:rsidR="008E146E">
        <w:t>per</w:t>
      </w:r>
      <w:r w:rsidR="00DB7772">
        <w:t xml:space="preserve"> </w:t>
      </w:r>
      <w:r w:rsidR="0065349C">
        <w:t>megawatt-hour</w:t>
      </w:r>
      <w:r w:rsidR="003A565B">
        <w:t xml:space="preserve"> or the </w:t>
      </w:r>
      <w:r>
        <w:t>incremental cost of</w:t>
      </w:r>
      <w:r w:rsidR="000660D5">
        <w:t xml:space="preserve"> the</w:t>
      </w:r>
      <w:r>
        <w:t xml:space="preserve"> </w:t>
      </w:r>
      <w:r w:rsidR="00D7447D">
        <w:t xml:space="preserve">eligible </w:t>
      </w:r>
      <w:r>
        <w:t xml:space="preserve">renewable </w:t>
      </w:r>
      <w:r w:rsidR="00D7447D">
        <w:t xml:space="preserve">resource, </w:t>
      </w:r>
      <w:r>
        <w:t xml:space="preserve">the </w:t>
      </w:r>
      <w:r w:rsidR="00914771">
        <w:t xml:space="preserve">company </w:t>
      </w:r>
      <w:r w:rsidR="00D601C6">
        <w:t xml:space="preserve">calculated </w:t>
      </w:r>
      <w:r w:rsidR="000660D5">
        <w:t xml:space="preserve">the cost </w:t>
      </w:r>
      <w:r w:rsidR="00B0712B">
        <w:t xml:space="preserve">difference </w:t>
      </w:r>
      <w:r w:rsidR="000660D5">
        <w:t xml:space="preserve">between the </w:t>
      </w:r>
      <w:r w:rsidR="00D7447D">
        <w:t xml:space="preserve">eligible renewable </w:t>
      </w:r>
      <w:r w:rsidR="00B44466">
        <w:t xml:space="preserve">resource and </w:t>
      </w:r>
      <w:r w:rsidR="00D601C6">
        <w:t xml:space="preserve">the </w:t>
      </w:r>
      <w:r w:rsidR="00D7447D">
        <w:t>non</w:t>
      </w:r>
      <w:r w:rsidR="00757796">
        <w:t>-</w:t>
      </w:r>
      <w:r w:rsidR="00D7447D">
        <w:t>eligible</w:t>
      </w:r>
      <w:r w:rsidR="00D601C6">
        <w:t xml:space="preserve"> resource</w:t>
      </w:r>
      <w:r w:rsidR="00D7447D">
        <w:t xml:space="preserve"> for each year, beginning with the year the resource was placed into service</w:t>
      </w:r>
      <w:r w:rsidR="00B44466">
        <w:t xml:space="preserve">. </w:t>
      </w:r>
      <w:r w:rsidR="000660D5">
        <w:t>The result</w:t>
      </w:r>
      <w:r w:rsidR="00BA63A5">
        <w:t>ing</w:t>
      </w:r>
      <w:r w:rsidR="000660D5">
        <w:t xml:space="preserve"> annual values are nominal </w:t>
      </w:r>
      <w:r w:rsidR="006802AC">
        <w:t xml:space="preserve">and </w:t>
      </w:r>
      <w:proofErr w:type="spellStart"/>
      <w:r w:rsidR="000660D5">
        <w:t>levelized</w:t>
      </w:r>
      <w:proofErr w:type="spellEnd"/>
      <w:r w:rsidR="000660D5">
        <w:t xml:space="preserve"> over the life of the </w:t>
      </w:r>
      <w:r w:rsidR="00B210AE">
        <w:t xml:space="preserve">eligible </w:t>
      </w:r>
      <w:r w:rsidR="000660D5">
        <w:t xml:space="preserve">resource to arrive at a single nominal cost value applicable to </w:t>
      </w:r>
      <w:r w:rsidR="00D7447D">
        <w:t xml:space="preserve">the facility </w:t>
      </w:r>
      <w:r w:rsidR="000660D5">
        <w:t xml:space="preserve">life. </w:t>
      </w:r>
      <w:r w:rsidR="00B44466">
        <w:t>T</w:t>
      </w:r>
      <w:r w:rsidR="000660D5">
        <w:t xml:space="preserve">he annual cost differential </w:t>
      </w:r>
      <w:r w:rsidR="00B44466">
        <w:t xml:space="preserve">is calculated </w:t>
      </w:r>
      <w:r w:rsidR="00383DE8">
        <w:t>in</w:t>
      </w:r>
      <w:r w:rsidR="00B44466">
        <w:t xml:space="preserve"> dollars </w:t>
      </w:r>
      <w:r w:rsidR="00383DE8">
        <w:t xml:space="preserve">and </w:t>
      </w:r>
      <w:r w:rsidR="000660D5">
        <w:t>is</w:t>
      </w:r>
      <w:r w:rsidR="00B44466">
        <w:t xml:space="preserve"> d</w:t>
      </w:r>
      <w:r w:rsidR="000660D5">
        <w:t xml:space="preserve">ivided by the annual generation to arrive at an annual </w:t>
      </w:r>
      <w:r w:rsidR="00B44466">
        <w:t>dollars-per-</w:t>
      </w:r>
      <w:r w:rsidR="000660D5">
        <w:t xml:space="preserve">megawatt-hour resource cost, which is also nominal </w:t>
      </w:r>
      <w:proofErr w:type="spellStart"/>
      <w:r w:rsidR="000660D5">
        <w:t>levelized</w:t>
      </w:r>
      <w:proofErr w:type="spellEnd"/>
      <w:r w:rsidR="000660D5">
        <w:t xml:space="preserve"> over the life of the </w:t>
      </w:r>
      <w:r w:rsidR="00B210AE">
        <w:t xml:space="preserve">eligible </w:t>
      </w:r>
      <w:r w:rsidR="003A565B">
        <w:t xml:space="preserve">renewable </w:t>
      </w:r>
      <w:r w:rsidR="000660D5">
        <w:t xml:space="preserve">resource. </w:t>
      </w:r>
    </w:p>
    <w:p w14:paraId="3E0E7476" w14:textId="77777777" w:rsidR="00D7447D" w:rsidRDefault="00D7447D" w:rsidP="003A5612">
      <w:pPr>
        <w:jc w:val="both"/>
      </w:pPr>
    </w:p>
    <w:p w14:paraId="4B96B95E" w14:textId="77777777" w:rsidR="00D7447D" w:rsidRPr="000E6AF0" w:rsidRDefault="00B210AE" w:rsidP="003A5612">
      <w:pPr>
        <w:jc w:val="both"/>
        <w:rPr>
          <w:u w:val="single"/>
        </w:rPr>
      </w:pPr>
      <w:r w:rsidRPr="000E6AF0">
        <w:rPr>
          <w:u w:val="single"/>
        </w:rPr>
        <w:t>Annual Calculation of Revenue Requirement Ratio</w:t>
      </w:r>
    </w:p>
    <w:p w14:paraId="70523791" w14:textId="77777777" w:rsidR="00D7447D" w:rsidRPr="00371560" w:rsidRDefault="00D7447D" w:rsidP="003A5612">
      <w:pPr>
        <w:jc w:val="both"/>
        <w:rPr>
          <w:b/>
          <w:u w:val="single"/>
        </w:rPr>
      </w:pPr>
    </w:p>
    <w:p w14:paraId="1D2AAF83" w14:textId="672F2CD9" w:rsidR="00B210AE" w:rsidRDefault="00B210AE" w:rsidP="003A5612">
      <w:pPr>
        <w:jc w:val="both"/>
      </w:pPr>
      <w:r>
        <w:t xml:space="preserve">The revenue requirement ratio for a given compliance year </w:t>
      </w:r>
      <w:r w:rsidR="00BA63A5">
        <w:t>wa</w:t>
      </w:r>
      <w:r>
        <w:t xml:space="preserve">s calculated by summing the costs of compliance (incremental costs of all eligible resources used plus the cost of any unbundled RECs purchased </w:t>
      </w:r>
      <w:r w:rsidR="00BA63A5">
        <w:t xml:space="preserve">for compliance in </w:t>
      </w:r>
      <w:r>
        <w:t>the target year) and dividing the total renewable costs by the utility’s annual revenue requirement for the target year</w:t>
      </w:r>
      <w:r w:rsidR="00B0712B">
        <w:t>.</w:t>
      </w:r>
    </w:p>
    <w:p w14:paraId="099BF58E" w14:textId="77777777" w:rsidR="00B210AE" w:rsidRDefault="00B210AE" w:rsidP="003A5612">
      <w:pPr>
        <w:jc w:val="both"/>
      </w:pPr>
    </w:p>
    <w:p w14:paraId="7EC3C38A" w14:textId="77777777" w:rsidR="003A565B" w:rsidRPr="00C90AF0" w:rsidRDefault="003A565B" w:rsidP="00BA63A5">
      <w:pPr>
        <w:jc w:val="both"/>
      </w:pPr>
    </w:p>
    <w:sectPr w:rsidR="003A565B" w:rsidRPr="00C90AF0" w:rsidSect="00B0712B">
      <w:headerReference w:type="default" r:id="rId8"/>
      <w:footerReference w:type="default" r:id="rId9"/>
      <w:headerReference w:type="first" r:id="rId10"/>
      <w:footerReference w:type="first" r:id="rId11"/>
      <w:pgSz w:w="12240" w:h="15840"/>
      <w:pgMar w:top="1440" w:right="1584" w:bottom="1440" w:left="158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E83171" w14:textId="77777777" w:rsidR="00F206FF" w:rsidRDefault="00F206FF" w:rsidP="003A565B">
      <w:r>
        <w:separator/>
      </w:r>
    </w:p>
  </w:endnote>
  <w:endnote w:type="continuationSeparator" w:id="0">
    <w:p w14:paraId="1BC176BB" w14:textId="77777777" w:rsidR="00F206FF" w:rsidRDefault="00F206FF" w:rsidP="003A5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EC7D03" w14:textId="08B740A9" w:rsidR="00BA63A5" w:rsidRDefault="00BA63A5" w:rsidP="00E06B52">
    <w:pPr>
      <w:pStyle w:val="Footer"/>
      <w:jc w:val="center"/>
    </w:pPr>
    <w:r>
      <w:fldChar w:fldCharType="begin"/>
    </w:r>
    <w:r>
      <w:instrText xml:space="preserve"> PAGE   \* MERGEFORMAT </w:instrText>
    </w:r>
    <w:r>
      <w:fldChar w:fldCharType="separate"/>
    </w:r>
    <w:r w:rsidR="001D7208">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EAAD7" w14:textId="17D865B0" w:rsidR="00733BEB" w:rsidRDefault="00880776" w:rsidP="00EF6275">
    <w:pPr>
      <w:pStyle w:val="Footer"/>
    </w:pPr>
    <w:r>
      <w:t>Updated May 31, 20</w:t>
    </w:r>
    <w:r w:rsidR="000D4464">
      <w:t>20</w:t>
    </w:r>
    <w:r w:rsidR="003E5F65">
      <w:tab/>
    </w:r>
    <w:r w:rsidR="003E5F65">
      <w:tab/>
    </w:r>
    <w:r w:rsidR="003E5F65">
      <w:fldChar w:fldCharType="begin"/>
    </w:r>
    <w:r w:rsidR="003E5F65">
      <w:instrText xml:space="preserve"> PAGE   \* MERGEFORMAT </w:instrText>
    </w:r>
    <w:r w:rsidR="003E5F65">
      <w:fldChar w:fldCharType="separate"/>
    </w:r>
    <w:r w:rsidR="001D7208">
      <w:rPr>
        <w:noProof/>
      </w:rPr>
      <w:t>1</w:t>
    </w:r>
    <w:r w:rsidR="003E5F65">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EBA111" w14:textId="77777777" w:rsidR="00F206FF" w:rsidRDefault="00F206FF" w:rsidP="003A565B">
      <w:r>
        <w:separator/>
      </w:r>
    </w:p>
  </w:footnote>
  <w:footnote w:type="continuationSeparator" w:id="0">
    <w:p w14:paraId="20D4053F" w14:textId="77777777" w:rsidR="00F206FF" w:rsidRDefault="00F206FF" w:rsidP="003A565B">
      <w:r>
        <w:continuationSeparator/>
      </w:r>
    </w:p>
  </w:footnote>
  <w:footnote w:id="1">
    <w:p w14:paraId="4E064F52" w14:textId="3E4D345D" w:rsidR="005B0540" w:rsidRDefault="005B0540" w:rsidP="00E06B52">
      <w:pPr>
        <w:pStyle w:val="FootnoteText"/>
        <w:jc w:val="both"/>
      </w:pPr>
      <w:r>
        <w:rPr>
          <w:rStyle w:val="FootnoteReference"/>
        </w:rPr>
        <w:footnoteRef/>
      </w:r>
      <w:r>
        <w:t xml:space="preserve"> Only refers to the portion of PacifiCorp resources allocated to Washington in order to fulfill Washington’s total CAGW share of west control area resources. Washington’s resource allocations are explained in detail on p</w:t>
      </w:r>
      <w:r w:rsidR="00914771">
        <w:t>ages</w:t>
      </w:r>
      <w:r w:rsidR="000F1705">
        <w:t> </w:t>
      </w:r>
      <w:r>
        <w:t xml:space="preserve">15-17 of PacifiCorp’s 2020 </w:t>
      </w:r>
      <w:r w:rsidRPr="00FB582E">
        <w:t>Renewable Portfolio Standard Report</w:t>
      </w:r>
      <w:r>
        <w:t>.</w:t>
      </w:r>
    </w:p>
  </w:footnote>
  <w:footnote w:id="2">
    <w:p w14:paraId="631DD8B9" w14:textId="21E5F9C0" w:rsidR="002B7115" w:rsidRDefault="002B7115" w:rsidP="00E06B52">
      <w:pPr>
        <w:pStyle w:val="FootnoteText"/>
        <w:jc w:val="both"/>
      </w:pPr>
      <w:r>
        <w:rPr>
          <w:rStyle w:val="FootnoteReference"/>
        </w:rPr>
        <w:footnoteRef/>
      </w:r>
      <w:r>
        <w:t xml:space="preserve"> The 2003 IRP was used </w:t>
      </w:r>
      <w:r w:rsidR="00413D3B">
        <w:t xml:space="preserve">for </w:t>
      </w:r>
      <w:r>
        <w:t>Prospect 2</w:t>
      </w:r>
      <w:r w:rsidR="00BA63A5">
        <w:t xml:space="preserve"> because</w:t>
      </w:r>
      <w:r>
        <w:t xml:space="preserve"> this is the e</w:t>
      </w:r>
      <w:r>
        <w:rPr>
          <w:rFonts w:eastAsia="MS Mincho"/>
          <w:lang w:eastAsia="ja-JP"/>
        </w:rPr>
        <w:t xml:space="preserve">arliest IRP from which the </w:t>
      </w:r>
      <w:r w:rsidR="00BA63A5">
        <w:rPr>
          <w:rFonts w:eastAsia="MS Mincho"/>
          <w:lang w:eastAsia="ja-JP"/>
        </w:rPr>
        <w:t xml:space="preserve">company </w:t>
      </w:r>
      <w:r>
        <w:rPr>
          <w:rFonts w:eastAsia="MS Mincho"/>
          <w:lang w:eastAsia="ja-JP"/>
        </w:rPr>
        <w:t xml:space="preserve">has data.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DD62B" w14:textId="77777777" w:rsidR="00733BEB" w:rsidRDefault="00733BEB" w:rsidP="00EE40A1">
    <w:pPr>
      <w:pStyle w:val="Header"/>
      <w:ind w:left="-720"/>
    </w:pPr>
  </w:p>
  <w:p w14:paraId="1CFE2124" w14:textId="77777777" w:rsidR="00733BEB" w:rsidRDefault="00733B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3DADD8" w14:textId="03F0E281" w:rsidR="00733BEB" w:rsidRDefault="005C3AEB" w:rsidP="009F1787">
    <w:pPr>
      <w:pStyle w:val="Header"/>
      <w:ind w:left="-720"/>
    </w:pPr>
    <w:r>
      <w:rPr>
        <w:noProof/>
      </w:rPr>
      <w:drawing>
        <wp:inline distT="0" distB="0" distL="0" distR="0" wp14:anchorId="4B2E25EF" wp14:editId="2250BC98">
          <wp:extent cx="2542974" cy="4466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579535" cy="4530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0F7F43"/>
    <w:multiLevelType w:val="hybridMultilevel"/>
    <w:tmpl w:val="100E5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6E152F"/>
    <w:multiLevelType w:val="hybridMultilevel"/>
    <w:tmpl w:val="ADAC15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1C413D4"/>
    <w:multiLevelType w:val="hybridMultilevel"/>
    <w:tmpl w:val="8E363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9748D1"/>
    <w:multiLevelType w:val="hybridMultilevel"/>
    <w:tmpl w:val="74A69F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6F1EBA"/>
    <w:multiLevelType w:val="hybridMultilevel"/>
    <w:tmpl w:val="DE46D2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466"/>
    <w:rsid w:val="00005550"/>
    <w:rsid w:val="00005C34"/>
    <w:rsid w:val="000660D5"/>
    <w:rsid w:val="000879B8"/>
    <w:rsid w:val="0009191C"/>
    <w:rsid w:val="000C299A"/>
    <w:rsid w:val="000D2923"/>
    <w:rsid w:val="000D3158"/>
    <w:rsid w:val="000D4464"/>
    <w:rsid w:val="000E6AF0"/>
    <w:rsid w:val="000F1705"/>
    <w:rsid w:val="000F5872"/>
    <w:rsid w:val="001042CF"/>
    <w:rsid w:val="00110138"/>
    <w:rsid w:val="0011020E"/>
    <w:rsid w:val="00113630"/>
    <w:rsid w:val="0012288E"/>
    <w:rsid w:val="001405C6"/>
    <w:rsid w:val="00143BD3"/>
    <w:rsid w:val="00147937"/>
    <w:rsid w:val="00165683"/>
    <w:rsid w:val="00192270"/>
    <w:rsid w:val="001A2645"/>
    <w:rsid w:val="001A6446"/>
    <w:rsid w:val="001C02CA"/>
    <w:rsid w:val="001C369E"/>
    <w:rsid w:val="001D7208"/>
    <w:rsid w:val="00205BEE"/>
    <w:rsid w:val="00212DD2"/>
    <w:rsid w:val="0023743B"/>
    <w:rsid w:val="00263CAD"/>
    <w:rsid w:val="00273BAC"/>
    <w:rsid w:val="002856AE"/>
    <w:rsid w:val="00285E68"/>
    <w:rsid w:val="002B3569"/>
    <w:rsid w:val="002B7115"/>
    <w:rsid w:val="002C3B96"/>
    <w:rsid w:val="002E3472"/>
    <w:rsid w:val="0030442D"/>
    <w:rsid w:val="003129CB"/>
    <w:rsid w:val="003233E8"/>
    <w:rsid w:val="0032409D"/>
    <w:rsid w:val="00331F33"/>
    <w:rsid w:val="0033730D"/>
    <w:rsid w:val="00345AA6"/>
    <w:rsid w:val="00350317"/>
    <w:rsid w:val="00351652"/>
    <w:rsid w:val="003669C4"/>
    <w:rsid w:val="00383DE8"/>
    <w:rsid w:val="00386CAE"/>
    <w:rsid w:val="003A1AF7"/>
    <w:rsid w:val="003A5612"/>
    <w:rsid w:val="003A565B"/>
    <w:rsid w:val="003D3FA6"/>
    <w:rsid w:val="003E5F65"/>
    <w:rsid w:val="003E741D"/>
    <w:rsid w:val="003F6909"/>
    <w:rsid w:val="003F757D"/>
    <w:rsid w:val="00413D3B"/>
    <w:rsid w:val="004224FA"/>
    <w:rsid w:val="00426663"/>
    <w:rsid w:val="00433314"/>
    <w:rsid w:val="00441572"/>
    <w:rsid w:val="00485B0B"/>
    <w:rsid w:val="004D24AA"/>
    <w:rsid w:val="004D5950"/>
    <w:rsid w:val="004F2841"/>
    <w:rsid w:val="004F5CB8"/>
    <w:rsid w:val="004F745C"/>
    <w:rsid w:val="005279BC"/>
    <w:rsid w:val="0055043B"/>
    <w:rsid w:val="0056742A"/>
    <w:rsid w:val="005B0540"/>
    <w:rsid w:val="005B08B3"/>
    <w:rsid w:val="005B78B7"/>
    <w:rsid w:val="005C3AEB"/>
    <w:rsid w:val="005E5112"/>
    <w:rsid w:val="005F0C36"/>
    <w:rsid w:val="006134EE"/>
    <w:rsid w:val="00625E55"/>
    <w:rsid w:val="00627454"/>
    <w:rsid w:val="00632D23"/>
    <w:rsid w:val="00635466"/>
    <w:rsid w:val="0065349C"/>
    <w:rsid w:val="00653BF5"/>
    <w:rsid w:val="006802AC"/>
    <w:rsid w:val="0068219A"/>
    <w:rsid w:val="006838D0"/>
    <w:rsid w:val="006900F2"/>
    <w:rsid w:val="0069057F"/>
    <w:rsid w:val="00695378"/>
    <w:rsid w:val="0069699F"/>
    <w:rsid w:val="00696DE2"/>
    <w:rsid w:val="006B6461"/>
    <w:rsid w:val="006E1860"/>
    <w:rsid w:val="007100DA"/>
    <w:rsid w:val="00733BEB"/>
    <w:rsid w:val="00744ECF"/>
    <w:rsid w:val="00754647"/>
    <w:rsid w:val="0075747C"/>
    <w:rsid w:val="00757796"/>
    <w:rsid w:val="007665BE"/>
    <w:rsid w:val="00790FDE"/>
    <w:rsid w:val="007949FD"/>
    <w:rsid w:val="00795962"/>
    <w:rsid w:val="00796A2D"/>
    <w:rsid w:val="007A70E2"/>
    <w:rsid w:val="007B71CF"/>
    <w:rsid w:val="007C4E9A"/>
    <w:rsid w:val="007E5E76"/>
    <w:rsid w:val="007F4106"/>
    <w:rsid w:val="007F5E32"/>
    <w:rsid w:val="007F7699"/>
    <w:rsid w:val="00801C3B"/>
    <w:rsid w:val="0080363E"/>
    <w:rsid w:val="00813500"/>
    <w:rsid w:val="00830807"/>
    <w:rsid w:val="00833077"/>
    <w:rsid w:val="00846831"/>
    <w:rsid w:val="00851399"/>
    <w:rsid w:val="00851A22"/>
    <w:rsid w:val="0087351D"/>
    <w:rsid w:val="00874D3B"/>
    <w:rsid w:val="00880776"/>
    <w:rsid w:val="00897064"/>
    <w:rsid w:val="008A5EC0"/>
    <w:rsid w:val="008D06C9"/>
    <w:rsid w:val="008D6393"/>
    <w:rsid w:val="008E146E"/>
    <w:rsid w:val="00914771"/>
    <w:rsid w:val="00915E55"/>
    <w:rsid w:val="00920335"/>
    <w:rsid w:val="00923086"/>
    <w:rsid w:val="00925DFB"/>
    <w:rsid w:val="00927FCF"/>
    <w:rsid w:val="00962520"/>
    <w:rsid w:val="009638BA"/>
    <w:rsid w:val="00966373"/>
    <w:rsid w:val="00971C14"/>
    <w:rsid w:val="009921CB"/>
    <w:rsid w:val="00992F77"/>
    <w:rsid w:val="00995380"/>
    <w:rsid w:val="009A68AE"/>
    <w:rsid w:val="009B6FC7"/>
    <w:rsid w:val="009C2142"/>
    <w:rsid w:val="009C4D5C"/>
    <w:rsid w:val="009D3429"/>
    <w:rsid w:val="009D3A90"/>
    <w:rsid w:val="009D6084"/>
    <w:rsid w:val="009E5815"/>
    <w:rsid w:val="009F1787"/>
    <w:rsid w:val="00A06065"/>
    <w:rsid w:val="00A166A8"/>
    <w:rsid w:val="00A26B44"/>
    <w:rsid w:val="00A2733A"/>
    <w:rsid w:val="00A411C0"/>
    <w:rsid w:val="00A41369"/>
    <w:rsid w:val="00A53B5B"/>
    <w:rsid w:val="00A63A67"/>
    <w:rsid w:val="00A8085C"/>
    <w:rsid w:val="00A85597"/>
    <w:rsid w:val="00A866C0"/>
    <w:rsid w:val="00A86B26"/>
    <w:rsid w:val="00AA509D"/>
    <w:rsid w:val="00AB2ADC"/>
    <w:rsid w:val="00AB7BE9"/>
    <w:rsid w:val="00AC37A3"/>
    <w:rsid w:val="00AC7DAA"/>
    <w:rsid w:val="00AD56EA"/>
    <w:rsid w:val="00AE17D6"/>
    <w:rsid w:val="00B01B1B"/>
    <w:rsid w:val="00B01ED2"/>
    <w:rsid w:val="00B02AD9"/>
    <w:rsid w:val="00B03E49"/>
    <w:rsid w:val="00B0712B"/>
    <w:rsid w:val="00B210AE"/>
    <w:rsid w:val="00B24E33"/>
    <w:rsid w:val="00B270AE"/>
    <w:rsid w:val="00B271F0"/>
    <w:rsid w:val="00B42344"/>
    <w:rsid w:val="00B44466"/>
    <w:rsid w:val="00B52AA6"/>
    <w:rsid w:val="00B54B73"/>
    <w:rsid w:val="00B7539B"/>
    <w:rsid w:val="00B86C96"/>
    <w:rsid w:val="00B87C0B"/>
    <w:rsid w:val="00BA63A5"/>
    <w:rsid w:val="00BD4BB6"/>
    <w:rsid w:val="00BF2851"/>
    <w:rsid w:val="00C00446"/>
    <w:rsid w:val="00C14371"/>
    <w:rsid w:val="00C22730"/>
    <w:rsid w:val="00C2795A"/>
    <w:rsid w:val="00C41B6D"/>
    <w:rsid w:val="00C90AF0"/>
    <w:rsid w:val="00C938C6"/>
    <w:rsid w:val="00C94F2C"/>
    <w:rsid w:val="00C9698B"/>
    <w:rsid w:val="00CC1805"/>
    <w:rsid w:val="00CC41DA"/>
    <w:rsid w:val="00CE02D0"/>
    <w:rsid w:val="00CF3C1F"/>
    <w:rsid w:val="00D15465"/>
    <w:rsid w:val="00D41518"/>
    <w:rsid w:val="00D43506"/>
    <w:rsid w:val="00D57477"/>
    <w:rsid w:val="00D601C6"/>
    <w:rsid w:val="00D67758"/>
    <w:rsid w:val="00D7447D"/>
    <w:rsid w:val="00DA0207"/>
    <w:rsid w:val="00DB6495"/>
    <w:rsid w:val="00DB6E0A"/>
    <w:rsid w:val="00DB7772"/>
    <w:rsid w:val="00DC2E79"/>
    <w:rsid w:val="00DC6690"/>
    <w:rsid w:val="00DE190C"/>
    <w:rsid w:val="00DE66E7"/>
    <w:rsid w:val="00DF2105"/>
    <w:rsid w:val="00E06B52"/>
    <w:rsid w:val="00E113AD"/>
    <w:rsid w:val="00E1242E"/>
    <w:rsid w:val="00E14BC4"/>
    <w:rsid w:val="00E2623F"/>
    <w:rsid w:val="00E45868"/>
    <w:rsid w:val="00E61C69"/>
    <w:rsid w:val="00E755B3"/>
    <w:rsid w:val="00E92CB8"/>
    <w:rsid w:val="00EC0712"/>
    <w:rsid w:val="00EE2D80"/>
    <w:rsid w:val="00EE40A1"/>
    <w:rsid w:val="00EF350B"/>
    <w:rsid w:val="00EF35CE"/>
    <w:rsid w:val="00EF6275"/>
    <w:rsid w:val="00F206FF"/>
    <w:rsid w:val="00F31490"/>
    <w:rsid w:val="00F357B5"/>
    <w:rsid w:val="00F45497"/>
    <w:rsid w:val="00F47AC3"/>
    <w:rsid w:val="00F50399"/>
    <w:rsid w:val="00F62AAF"/>
    <w:rsid w:val="00F70C62"/>
    <w:rsid w:val="00F71473"/>
    <w:rsid w:val="00F80DA6"/>
    <w:rsid w:val="00F80DFC"/>
    <w:rsid w:val="00F842D4"/>
    <w:rsid w:val="00F852E4"/>
    <w:rsid w:val="00F86FD8"/>
    <w:rsid w:val="00F9014D"/>
    <w:rsid w:val="00F96AEC"/>
    <w:rsid w:val="00F97410"/>
    <w:rsid w:val="00FA30D6"/>
    <w:rsid w:val="00FB05E7"/>
    <w:rsid w:val="00FB1A11"/>
    <w:rsid w:val="00FB224C"/>
    <w:rsid w:val="00FB3B55"/>
    <w:rsid w:val="00FB4C3B"/>
    <w:rsid w:val="00FB582E"/>
    <w:rsid w:val="00FE59AB"/>
    <w:rsid w:val="00FF7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47BFA6C"/>
  <w15:docId w15:val="{6EB0FE38-9360-4395-BBFE-B7DC13C15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A90"/>
    <w:rPr>
      <w:sz w:val="24"/>
      <w:szCs w:val="24"/>
    </w:rPr>
  </w:style>
  <w:style w:type="paragraph" w:styleId="Heading3">
    <w:name w:val="heading 3"/>
    <w:basedOn w:val="Normal"/>
    <w:next w:val="Normal"/>
    <w:qFormat/>
    <w:rsid w:val="00B54B73"/>
    <w:pPr>
      <w:keepNext/>
      <w:outlineLvl w:val="2"/>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33077"/>
    <w:rPr>
      <w:rFonts w:ascii="Tahoma" w:hAnsi="Tahoma" w:cs="Tahoma"/>
      <w:sz w:val="16"/>
      <w:szCs w:val="16"/>
    </w:rPr>
  </w:style>
  <w:style w:type="paragraph" w:styleId="Header">
    <w:name w:val="header"/>
    <w:basedOn w:val="Normal"/>
    <w:rsid w:val="00874D3B"/>
    <w:pPr>
      <w:tabs>
        <w:tab w:val="center" w:pos="4320"/>
        <w:tab w:val="right" w:pos="8640"/>
      </w:tabs>
    </w:pPr>
  </w:style>
  <w:style w:type="paragraph" w:styleId="Footer">
    <w:name w:val="footer"/>
    <w:basedOn w:val="Normal"/>
    <w:link w:val="FooterChar"/>
    <w:uiPriority w:val="99"/>
    <w:rsid w:val="00874D3B"/>
    <w:pPr>
      <w:tabs>
        <w:tab w:val="center" w:pos="4320"/>
        <w:tab w:val="right" w:pos="8640"/>
      </w:tabs>
    </w:pPr>
  </w:style>
  <w:style w:type="paragraph" w:styleId="ListParagraph">
    <w:name w:val="List Paragraph"/>
    <w:basedOn w:val="Normal"/>
    <w:uiPriority w:val="34"/>
    <w:qFormat/>
    <w:rsid w:val="00B52AA6"/>
    <w:pPr>
      <w:ind w:left="720"/>
      <w:contextualSpacing/>
    </w:pPr>
    <w:rPr>
      <w:rFonts w:ascii="Times" w:eastAsia="Times" w:hAnsi="Times"/>
      <w:szCs w:val="20"/>
    </w:rPr>
  </w:style>
  <w:style w:type="paragraph" w:styleId="FootnoteText">
    <w:name w:val="footnote text"/>
    <w:aliases w:val="Footnote Text1 Char,Footnote Text Char Ch,Car,Footnote Text Char1 Char,Footnote Text Char Char Char,Footnote Text Char1 Char Char Char,Footnote Text Char Char Char Char Char,Footnote Text Char Char1 Char,Footnote Text Char1 Char1 Char"/>
    <w:basedOn w:val="Normal"/>
    <w:link w:val="FootnoteTextChar"/>
    <w:unhideWhenUsed/>
    <w:qFormat/>
    <w:rsid w:val="00B52AA6"/>
    <w:rPr>
      <w:sz w:val="20"/>
      <w:szCs w:val="20"/>
    </w:rPr>
  </w:style>
  <w:style w:type="character" w:customStyle="1" w:styleId="FootnoteTextChar">
    <w:name w:val="Footnote Text Char"/>
    <w:aliases w:val="Footnote Text1 Char Char,Footnote Text Char Ch Char,Car Char,Footnote Text Char1 Char Char,Footnote Text Char Char Char Char,Footnote Text Char1 Char Char Char Char,Footnote Text Char Char Char Char Char Char"/>
    <w:basedOn w:val="DefaultParagraphFont"/>
    <w:link w:val="FootnoteText"/>
    <w:rsid w:val="00B52AA6"/>
  </w:style>
  <w:style w:type="character" w:styleId="FootnoteReference">
    <w:name w:val="footnote reference"/>
    <w:basedOn w:val="DefaultParagraphFont"/>
    <w:unhideWhenUsed/>
    <w:rsid w:val="00B52AA6"/>
    <w:rPr>
      <w:vertAlign w:val="superscript"/>
    </w:rPr>
  </w:style>
  <w:style w:type="character" w:styleId="CommentReference">
    <w:name w:val="annotation reference"/>
    <w:basedOn w:val="DefaultParagraphFont"/>
    <w:uiPriority w:val="99"/>
    <w:semiHidden/>
    <w:unhideWhenUsed/>
    <w:rsid w:val="00E61C69"/>
    <w:rPr>
      <w:sz w:val="16"/>
      <w:szCs w:val="16"/>
    </w:rPr>
  </w:style>
  <w:style w:type="paragraph" w:styleId="CommentText">
    <w:name w:val="annotation text"/>
    <w:basedOn w:val="Normal"/>
    <w:link w:val="CommentTextChar"/>
    <w:uiPriority w:val="99"/>
    <w:semiHidden/>
    <w:unhideWhenUsed/>
    <w:rsid w:val="00E61C69"/>
    <w:rPr>
      <w:sz w:val="20"/>
      <w:szCs w:val="20"/>
    </w:rPr>
  </w:style>
  <w:style w:type="character" w:customStyle="1" w:styleId="CommentTextChar">
    <w:name w:val="Comment Text Char"/>
    <w:basedOn w:val="DefaultParagraphFont"/>
    <w:link w:val="CommentText"/>
    <w:uiPriority w:val="99"/>
    <w:semiHidden/>
    <w:rsid w:val="00E61C69"/>
  </w:style>
  <w:style w:type="paragraph" w:styleId="CommentSubject">
    <w:name w:val="annotation subject"/>
    <w:basedOn w:val="CommentText"/>
    <w:next w:val="CommentText"/>
    <w:link w:val="CommentSubjectChar"/>
    <w:uiPriority w:val="99"/>
    <w:semiHidden/>
    <w:unhideWhenUsed/>
    <w:rsid w:val="00E61C69"/>
    <w:rPr>
      <w:b/>
      <w:bCs/>
    </w:rPr>
  </w:style>
  <w:style w:type="character" w:customStyle="1" w:styleId="CommentSubjectChar">
    <w:name w:val="Comment Subject Char"/>
    <w:basedOn w:val="CommentTextChar"/>
    <w:link w:val="CommentSubject"/>
    <w:uiPriority w:val="99"/>
    <w:semiHidden/>
    <w:rsid w:val="00E61C69"/>
    <w:rPr>
      <w:b/>
      <w:bCs/>
    </w:rPr>
  </w:style>
  <w:style w:type="table" w:styleId="TableGrid">
    <w:name w:val="Table Grid"/>
    <w:basedOn w:val="TableNormal"/>
    <w:uiPriority w:val="59"/>
    <w:rsid w:val="00F90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C02CA"/>
    <w:rPr>
      <w:sz w:val="24"/>
      <w:szCs w:val="24"/>
    </w:rPr>
  </w:style>
  <w:style w:type="character" w:customStyle="1" w:styleId="FooterChar">
    <w:name w:val="Footer Char"/>
    <w:basedOn w:val="DefaultParagraphFont"/>
    <w:link w:val="Footer"/>
    <w:uiPriority w:val="99"/>
    <w:rsid w:val="00632D2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41160">
      <w:bodyDiv w:val="1"/>
      <w:marLeft w:val="0"/>
      <w:marRight w:val="0"/>
      <w:marTop w:val="0"/>
      <w:marBottom w:val="0"/>
      <w:divBdr>
        <w:top w:val="none" w:sz="0" w:space="0" w:color="auto"/>
        <w:left w:val="none" w:sz="0" w:space="0" w:color="auto"/>
        <w:bottom w:val="none" w:sz="0" w:space="0" w:color="auto"/>
        <w:right w:val="none" w:sz="0" w:space="0" w:color="auto"/>
      </w:divBdr>
    </w:div>
    <w:div w:id="772091258">
      <w:bodyDiv w:val="1"/>
      <w:marLeft w:val="0"/>
      <w:marRight w:val="0"/>
      <w:marTop w:val="0"/>
      <w:marBottom w:val="0"/>
      <w:divBdr>
        <w:top w:val="none" w:sz="0" w:space="0" w:color="auto"/>
        <w:left w:val="none" w:sz="0" w:space="0" w:color="auto"/>
        <w:bottom w:val="none" w:sz="0" w:space="0" w:color="auto"/>
        <w:right w:val="none" w:sz="0" w:space="0" w:color="auto"/>
      </w:divBdr>
    </w:div>
    <w:div w:id="206432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2B5673FA0501147ACAABB0ECE39764D" ma:contentTypeVersion="52" ma:contentTypeDescription="" ma:contentTypeScope="" ma:versionID="66cf1b85f12af691bb24db10aa61b64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9af6b0a9aa2de783aac4f3d36dbacc3c"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Workpapers</DocumentSetType>
    <Visibility xmlns="dc463f71-b30c-4ab2-9473-d307f9d35888">Full Visibility</Visibility>
    <IsConfidential xmlns="dc463f71-b30c-4ab2-9473-d307f9d35888">false</IsConfidential>
    <AgendaOrder xmlns="dc463f71-b30c-4ab2-9473-d307f9d35888">false</AgendaOrder>
    <CaseType xmlns="dc463f71-b30c-4ab2-9473-d307f9d35888">Staff Investigation</CaseType>
    <IndustryCode xmlns="dc463f71-b30c-4ab2-9473-d307f9d35888">140</IndustryCode>
    <CaseStatus xmlns="dc463f71-b30c-4ab2-9473-d307f9d35888">Closed</CaseStatus>
    <OpenedDate xmlns="dc463f71-b30c-4ab2-9473-d307f9d35888">2020-06-01T07:00:00+00:00</OpenedDate>
    <SignificantOrder xmlns="dc463f71-b30c-4ab2-9473-d307f9d35888">false</SignificantOrder>
    <Date1 xmlns="dc463f71-b30c-4ab2-9473-d307f9d35888">2020-06-01T07:00:00+00:00</Date1>
    <IsDocumentOrder xmlns="dc463f71-b30c-4ab2-9473-d307f9d35888">false</IsDocumentOrder>
    <IsHighlyConfidential xmlns="dc463f71-b30c-4ab2-9473-d307f9d35888">false</IsHighlyConfidential>
    <CaseCompanyNames xmlns="dc463f71-b30c-4ab2-9473-d307f9d35888">PacifiCorp</CaseCompanyNames>
    <Nickname xmlns="http://schemas.microsoft.com/sharepoint/v3" xsi:nil="true"/>
    <DocketNumber xmlns="dc463f71-b30c-4ab2-9473-d307f9d35888">200506</DocketNumber>
    <DelegatedOrder xmlns="dc463f71-b30c-4ab2-9473-d307f9d35888">false</DelegatedOrder>
  </documentManagement>
</p:properties>
</file>

<file path=customXml/itemProps1.xml><?xml version="1.0" encoding="utf-8"?>
<ds:datastoreItem xmlns:ds="http://schemas.openxmlformats.org/officeDocument/2006/customXml" ds:itemID="{1D9218BF-B9E3-46BC-9927-B93416528E04}">
  <ds:schemaRefs>
    <ds:schemaRef ds:uri="http://schemas.openxmlformats.org/officeDocument/2006/bibliography"/>
  </ds:schemaRefs>
</ds:datastoreItem>
</file>

<file path=customXml/itemProps2.xml><?xml version="1.0" encoding="utf-8"?>
<ds:datastoreItem xmlns:ds="http://schemas.openxmlformats.org/officeDocument/2006/customXml" ds:itemID="{894993BE-E450-47A9-96BF-147E5D24E069}"/>
</file>

<file path=customXml/itemProps3.xml><?xml version="1.0" encoding="utf-8"?>
<ds:datastoreItem xmlns:ds="http://schemas.openxmlformats.org/officeDocument/2006/customXml" ds:itemID="{EFC8A62C-F167-4B9C-A1F5-AB4D4203A40F}"/>
</file>

<file path=customXml/itemProps4.xml><?xml version="1.0" encoding="utf-8"?>
<ds:datastoreItem xmlns:ds="http://schemas.openxmlformats.org/officeDocument/2006/customXml" ds:itemID="{761D6180-EA25-47C0-9836-E6FC36603EEC}"/>
</file>

<file path=customXml/itemProps5.xml><?xml version="1.0" encoding="utf-8"?>
<ds:datastoreItem xmlns:ds="http://schemas.openxmlformats.org/officeDocument/2006/customXml" ds:itemID="{21AFA12C-CDED-4029-8583-6E89D8A9A50F}"/>
</file>

<file path=docProps/app.xml><?xml version="1.0" encoding="utf-8"?>
<Properties xmlns="http://schemas.openxmlformats.org/officeDocument/2006/extended-properties" xmlns:vt="http://schemas.openxmlformats.org/officeDocument/2006/docPropsVTypes">
  <Template>Normal.dotm</Template>
  <TotalTime>1</TotalTime>
  <Pages>4</Pages>
  <Words>1496</Words>
  <Characters>8716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We received the Special Districts membership list from Dave Hendricks by fax on March 9, 2007</vt:lpstr>
    </vt:vector>
  </TitlesOfParts>
  <Company>PacifiCorp</Company>
  <LinksUpToDate>false</LinksUpToDate>
  <CharactersWithSpaces>10192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received the Special Districts membership list from Dave Hendricks by fax on March 9, 2007</dc:title>
  <dc:creator>Morgan Herring</dc:creator>
  <cp:lastModifiedBy>Son, Ariel</cp:lastModifiedBy>
  <cp:revision>3</cp:revision>
  <cp:lastPrinted>2020-05-29T18:37:00Z</cp:lastPrinted>
  <dcterms:created xsi:type="dcterms:W3CDTF">2020-05-29T18:37:00Z</dcterms:created>
  <dcterms:modified xsi:type="dcterms:W3CDTF">2020-05-29T19:53:00Z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0x0101006E56B4D1795A2E4DB2F0B01679ED314A00A2B5673FA0501147ACAABB0ECE39764D</vt:lpwstr>
  </property>
  <property fmtid="{D5CDD505-2E9C-101B-9397-08002B2CF9AE}" pid="4" name="_docset_NoMedatataSyncRequired">
    <vt:lpwstr>False</vt:lpwstr>
  </property>
  <property fmtid="{D5CDD505-2E9C-101B-9397-08002B2CF9AE}" pid="5" name="IsEFSEC">
    <vt:bool>false</vt:bool>
  </property>
</Properties>
</file>