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77" w:rsidRDefault="00877946" w:rsidP="00BD0577">
      <w:pPr>
        <w:jc w:val="right"/>
        <w:rPr>
          <w:sz w:val="20"/>
        </w:rPr>
      </w:pPr>
      <w:r>
        <w:rPr>
          <w:sz w:val="20"/>
        </w:rPr>
        <w:t>May 24, 2019</w:t>
      </w:r>
    </w:p>
    <w:p w:rsidR="00BD0577" w:rsidRDefault="00BD0577" w:rsidP="00BD0577">
      <w:pPr>
        <w:rPr>
          <w:sz w:val="20"/>
        </w:rPr>
      </w:pPr>
      <w:r>
        <w:rPr>
          <w:sz w:val="20"/>
        </w:rPr>
        <w:t>Dear Valued Customer,</w:t>
      </w:r>
    </w:p>
    <w:p w:rsidR="00CC6174" w:rsidRDefault="00CC6174" w:rsidP="00BD0577">
      <w:pPr>
        <w:rPr>
          <w:sz w:val="20"/>
        </w:rPr>
      </w:pPr>
    </w:p>
    <w:p w:rsidR="00BD0577" w:rsidRDefault="00877946" w:rsidP="00BD0577">
      <w:pPr>
        <w:rPr>
          <w:b/>
          <w:sz w:val="20"/>
        </w:rPr>
      </w:pPr>
      <w:r>
        <w:rPr>
          <w:sz w:val="20"/>
        </w:rPr>
        <w:t xml:space="preserve">Island </w:t>
      </w:r>
      <w:r w:rsidR="00BD0577">
        <w:rPr>
          <w:sz w:val="20"/>
        </w:rPr>
        <w:t>Disposal</w:t>
      </w:r>
      <w:r>
        <w:rPr>
          <w:sz w:val="20"/>
        </w:rPr>
        <w:t xml:space="preserve">, Inc. </w:t>
      </w:r>
      <w:r w:rsidR="00BD0577">
        <w:rPr>
          <w:sz w:val="20"/>
        </w:rPr>
        <w:t>is notifying you of a change in your solid waste service. We are transitioning from a customer-owned 32-gallon refuse can to a compa</w:t>
      </w:r>
      <w:r w:rsidR="00E67908">
        <w:rPr>
          <w:sz w:val="20"/>
        </w:rPr>
        <w:t xml:space="preserve">ny-provided refuse cart service. </w:t>
      </w:r>
      <w:r w:rsidR="00BD0577">
        <w:rPr>
          <w:sz w:val="20"/>
        </w:rPr>
        <w:t xml:space="preserve">This will improve safety for our employees, our customers, and the public. Please note, </w:t>
      </w:r>
      <w:r w:rsidR="00BD0577">
        <w:rPr>
          <w:b/>
          <w:sz w:val="20"/>
        </w:rPr>
        <w:t>YOUR SERVICE DAY WILL NOT CHANGE.</w:t>
      </w:r>
    </w:p>
    <w:p w:rsidR="00133DC4" w:rsidRPr="00D12BF4" w:rsidRDefault="00133DC4" w:rsidP="00BD0577">
      <w:pPr>
        <w:rPr>
          <w:b/>
          <w:sz w:val="20"/>
        </w:rPr>
      </w:pPr>
      <w:bookmarkStart w:id="0" w:name="_GoBack"/>
      <w:bookmarkEnd w:id="0"/>
    </w:p>
    <w:p w:rsidR="00BD0577" w:rsidRDefault="00BD0577" w:rsidP="00BD0577">
      <w:pPr>
        <w:rPr>
          <w:sz w:val="20"/>
        </w:rPr>
      </w:pPr>
      <w:r w:rsidRPr="00133DC4">
        <w:rPr>
          <w:b/>
          <w:sz w:val="20"/>
        </w:rPr>
        <w:t xml:space="preserve">We will begin delivering the carts the week </w:t>
      </w:r>
      <w:r w:rsidR="00E67908" w:rsidRPr="00133DC4">
        <w:rPr>
          <w:b/>
          <w:sz w:val="20"/>
        </w:rPr>
        <w:t xml:space="preserve">of </w:t>
      </w:r>
      <w:r w:rsidR="00877946">
        <w:rPr>
          <w:b/>
          <w:sz w:val="20"/>
        </w:rPr>
        <w:t xml:space="preserve">June </w:t>
      </w:r>
      <w:r w:rsidR="002A295B">
        <w:rPr>
          <w:b/>
          <w:sz w:val="20"/>
        </w:rPr>
        <w:t>17</w:t>
      </w:r>
      <w:r w:rsidRPr="00133DC4">
        <w:rPr>
          <w:b/>
          <w:sz w:val="20"/>
          <w:vertAlign w:val="superscript"/>
        </w:rPr>
        <w:t>th</w:t>
      </w:r>
      <w:r>
        <w:rPr>
          <w:sz w:val="20"/>
        </w:rPr>
        <w:t xml:space="preserve"> and will start the new service pick-ups </w:t>
      </w:r>
      <w:r w:rsidR="00E67908">
        <w:rPr>
          <w:sz w:val="20"/>
        </w:rPr>
        <w:t xml:space="preserve">as </w:t>
      </w:r>
      <w:r w:rsidR="00877946">
        <w:rPr>
          <w:sz w:val="20"/>
        </w:rPr>
        <w:t>of July 1</w:t>
      </w:r>
      <w:r w:rsidR="00877946" w:rsidRPr="00877946">
        <w:rPr>
          <w:sz w:val="20"/>
          <w:vertAlign w:val="superscript"/>
        </w:rPr>
        <w:t>st</w:t>
      </w:r>
      <w:r w:rsidR="00877946">
        <w:rPr>
          <w:sz w:val="20"/>
          <w:vertAlign w:val="superscript"/>
        </w:rPr>
        <w:t xml:space="preserve">.   </w:t>
      </w:r>
      <w:r w:rsidR="00E67908">
        <w:rPr>
          <w:sz w:val="20"/>
        </w:rPr>
        <w:t xml:space="preserve"> </w:t>
      </w:r>
      <w:r>
        <w:rPr>
          <w:sz w:val="20"/>
        </w:rPr>
        <w:t xml:space="preserve">If your current service is on an every-other-week schedule, monthly, or on-call we will maintain that schedule. </w:t>
      </w:r>
      <w:r w:rsidR="00353C18">
        <w:rPr>
          <w:sz w:val="20"/>
        </w:rPr>
        <w:t>P</w:t>
      </w:r>
      <w:r>
        <w:rPr>
          <w:sz w:val="20"/>
        </w:rPr>
        <w:t xml:space="preserve">lease do not hesitate to contact our office with any questions about the cart, service day, or your level of service. </w:t>
      </w:r>
      <w:r w:rsidRPr="00353C18">
        <w:rPr>
          <w:b/>
          <w:i/>
          <w:sz w:val="20"/>
        </w:rPr>
        <w:t>You will receive a cart to align as much as possible with your curre</w:t>
      </w:r>
      <w:r w:rsidR="00877946" w:rsidRPr="00353C18">
        <w:rPr>
          <w:b/>
          <w:i/>
          <w:sz w:val="20"/>
        </w:rPr>
        <w:t>nt service level</w:t>
      </w:r>
      <w:r w:rsidR="00353C18" w:rsidRPr="00353C18">
        <w:rPr>
          <w:b/>
          <w:i/>
          <w:sz w:val="20"/>
        </w:rPr>
        <w:t>, unless you request a different container size.</w:t>
      </w:r>
      <w:r w:rsidR="00353C18">
        <w:rPr>
          <w:sz w:val="20"/>
        </w:rPr>
        <w:t xml:space="preserve">  </w:t>
      </w:r>
      <w:r w:rsidR="00E67908">
        <w:rPr>
          <w:sz w:val="20"/>
        </w:rPr>
        <w:t xml:space="preserve">New billing rates will go into effect </w:t>
      </w:r>
      <w:r w:rsidR="00877946">
        <w:rPr>
          <w:sz w:val="20"/>
        </w:rPr>
        <w:t>July 1, 2019</w:t>
      </w:r>
      <w:r w:rsidR="00CE7391">
        <w:rPr>
          <w:sz w:val="20"/>
        </w:rPr>
        <w:t>.</w:t>
      </w:r>
    </w:p>
    <w:p w:rsidR="00353C18" w:rsidRDefault="00353C18" w:rsidP="00BD0577">
      <w:pPr>
        <w:rPr>
          <w:sz w:val="20"/>
        </w:rPr>
      </w:pPr>
    </w:p>
    <w:p w:rsidR="00BD0577" w:rsidRDefault="00BD0577" w:rsidP="00BD0577">
      <w:pPr>
        <w:jc w:val="center"/>
        <w:rPr>
          <w:b/>
          <w:bCs/>
          <w:sz w:val="20"/>
        </w:rPr>
      </w:pPr>
      <w:r>
        <w:rPr>
          <w:rFonts w:ascii="Copperplate Gothic Bold" w:hAnsi="Copperplate Gothic Bold"/>
          <w:b/>
        </w:rPr>
        <w:t>GARBAGE SERVICE OPTIONS AND RATES</w:t>
      </w:r>
    </w:p>
    <w:p w:rsidR="00BD0577" w:rsidRDefault="00BD0577" w:rsidP="00BF2C85">
      <w:pPr>
        <w:ind w:left="1440" w:firstLine="720"/>
        <w:rPr>
          <w:b/>
          <w:bCs/>
          <w:sz w:val="20"/>
        </w:rPr>
      </w:pPr>
      <w:r>
        <w:rPr>
          <w:b/>
          <w:bCs/>
          <w:sz w:val="20"/>
        </w:rPr>
        <w:t>Current Service:</w:t>
      </w:r>
      <w:r w:rsidR="00D26318">
        <w:rPr>
          <w:sz w:val="20"/>
        </w:rPr>
        <w:t xml:space="preserve"> </w:t>
      </w:r>
      <w:r>
        <w:rPr>
          <w:sz w:val="20"/>
        </w:rPr>
        <w:tab/>
        <w:t xml:space="preserve">           </w:t>
      </w:r>
      <w:r>
        <w:rPr>
          <w:sz w:val="20"/>
        </w:rPr>
        <w:tab/>
      </w:r>
      <w:r>
        <w:rPr>
          <w:sz w:val="20"/>
        </w:rPr>
        <w:tab/>
        <w:t>N</w:t>
      </w:r>
      <w:r>
        <w:rPr>
          <w:b/>
          <w:bCs/>
          <w:sz w:val="20"/>
        </w:rPr>
        <w:t>ew Service:</w:t>
      </w:r>
    </w:p>
    <w:tbl>
      <w:tblPr>
        <w:tblStyle w:val="TableGrid"/>
        <w:tblW w:w="0" w:type="auto"/>
        <w:jc w:val="center"/>
        <w:tblLook w:val="04A0" w:firstRow="1" w:lastRow="0" w:firstColumn="1" w:lastColumn="0" w:noHBand="0" w:noVBand="1"/>
      </w:tblPr>
      <w:tblGrid>
        <w:gridCol w:w="1905"/>
        <w:gridCol w:w="1899"/>
        <w:gridCol w:w="2460"/>
        <w:gridCol w:w="1733"/>
      </w:tblGrid>
      <w:tr w:rsidR="00BD0577" w:rsidTr="009C57BF">
        <w:trPr>
          <w:jc w:val="center"/>
        </w:trPr>
        <w:tc>
          <w:tcPr>
            <w:tcW w:w="1905" w:type="dxa"/>
          </w:tcPr>
          <w:p w:rsidR="00BD0577" w:rsidRDefault="00BD0577" w:rsidP="009C57BF">
            <w:pPr>
              <w:jc w:val="center"/>
              <w:rPr>
                <w:b/>
                <w:bCs/>
                <w:sz w:val="20"/>
              </w:rPr>
            </w:pPr>
            <w:r>
              <w:rPr>
                <w:b/>
                <w:bCs/>
                <w:sz w:val="20"/>
              </w:rPr>
              <w:t>Service Level</w:t>
            </w:r>
          </w:p>
        </w:tc>
        <w:tc>
          <w:tcPr>
            <w:tcW w:w="1899" w:type="dxa"/>
          </w:tcPr>
          <w:p w:rsidR="00BD0577" w:rsidRDefault="00BD0577" w:rsidP="009C57BF">
            <w:pPr>
              <w:jc w:val="center"/>
              <w:rPr>
                <w:b/>
                <w:bCs/>
                <w:sz w:val="20"/>
              </w:rPr>
            </w:pPr>
            <w:r>
              <w:rPr>
                <w:b/>
                <w:bCs/>
                <w:sz w:val="20"/>
              </w:rPr>
              <w:t>Service Frequency</w:t>
            </w:r>
          </w:p>
        </w:tc>
        <w:tc>
          <w:tcPr>
            <w:tcW w:w="2460" w:type="dxa"/>
          </w:tcPr>
          <w:p w:rsidR="00BD0577" w:rsidRDefault="00BD0577" w:rsidP="009C57BF">
            <w:pPr>
              <w:jc w:val="center"/>
              <w:rPr>
                <w:b/>
                <w:bCs/>
                <w:sz w:val="20"/>
              </w:rPr>
            </w:pPr>
            <w:r>
              <w:rPr>
                <w:b/>
                <w:bCs/>
                <w:sz w:val="20"/>
              </w:rPr>
              <w:t>Automated Cart Size</w:t>
            </w:r>
          </w:p>
        </w:tc>
        <w:tc>
          <w:tcPr>
            <w:tcW w:w="1733" w:type="dxa"/>
          </w:tcPr>
          <w:p w:rsidR="00BD0577" w:rsidRDefault="00877946" w:rsidP="009C57BF">
            <w:pPr>
              <w:jc w:val="center"/>
              <w:rPr>
                <w:b/>
                <w:bCs/>
                <w:sz w:val="20"/>
              </w:rPr>
            </w:pPr>
            <w:r>
              <w:rPr>
                <w:b/>
                <w:bCs/>
                <w:sz w:val="20"/>
              </w:rPr>
              <w:t>2019</w:t>
            </w:r>
            <w:r w:rsidR="00BD0577">
              <w:rPr>
                <w:b/>
                <w:bCs/>
                <w:sz w:val="20"/>
              </w:rPr>
              <w:t xml:space="preserve"> Rate</w:t>
            </w:r>
          </w:p>
        </w:tc>
      </w:tr>
      <w:tr w:rsidR="005A5474" w:rsidTr="009C57BF">
        <w:trPr>
          <w:jc w:val="center"/>
        </w:trPr>
        <w:tc>
          <w:tcPr>
            <w:tcW w:w="1905" w:type="dxa"/>
          </w:tcPr>
          <w:p w:rsidR="005A5474" w:rsidRDefault="00877946" w:rsidP="009A6D7B">
            <w:pPr>
              <w:jc w:val="center"/>
              <w:rPr>
                <w:b/>
                <w:bCs/>
                <w:sz w:val="20"/>
              </w:rPr>
            </w:pPr>
            <w:r>
              <w:rPr>
                <w:sz w:val="20"/>
              </w:rPr>
              <w:t xml:space="preserve">One </w:t>
            </w:r>
            <w:r w:rsidR="009A6D7B">
              <w:rPr>
                <w:sz w:val="20"/>
              </w:rPr>
              <w:t>20</w:t>
            </w:r>
            <w:r w:rsidR="005A5474">
              <w:rPr>
                <w:sz w:val="20"/>
              </w:rPr>
              <w:t>-gallon can</w:t>
            </w:r>
          </w:p>
        </w:tc>
        <w:tc>
          <w:tcPr>
            <w:tcW w:w="1899" w:type="dxa"/>
          </w:tcPr>
          <w:p w:rsidR="005A5474" w:rsidRPr="009A6D7B" w:rsidRDefault="009A6D7B" w:rsidP="009A6D7B">
            <w:pPr>
              <w:rPr>
                <w:bCs/>
                <w:sz w:val="20"/>
              </w:rPr>
            </w:pPr>
            <w:r>
              <w:rPr>
                <w:bCs/>
                <w:sz w:val="20"/>
              </w:rPr>
              <w:t>Every-other-week</w:t>
            </w:r>
          </w:p>
        </w:tc>
        <w:tc>
          <w:tcPr>
            <w:tcW w:w="2460" w:type="dxa"/>
          </w:tcPr>
          <w:p w:rsidR="005A5474" w:rsidRDefault="005A5474" w:rsidP="009C57BF">
            <w:pPr>
              <w:jc w:val="center"/>
            </w:pPr>
            <w:r>
              <w:rPr>
                <w:sz w:val="20"/>
              </w:rPr>
              <w:t>One 35-gallon cart</w:t>
            </w:r>
          </w:p>
        </w:tc>
        <w:tc>
          <w:tcPr>
            <w:tcW w:w="1733" w:type="dxa"/>
          </w:tcPr>
          <w:p w:rsidR="005A5474" w:rsidRDefault="005A5474" w:rsidP="009A6D7B">
            <w:r w:rsidRPr="002225F2">
              <w:rPr>
                <w:sz w:val="20"/>
              </w:rPr>
              <w:t>$</w:t>
            </w:r>
            <w:r w:rsidR="009A6D7B">
              <w:rPr>
                <w:sz w:val="20"/>
              </w:rPr>
              <w:t>13.86</w:t>
            </w:r>
            <w:r>
              <w:rPr>
                <w:sz w:val="20"/>
              </w:rPr>
              <w:t xml:space="preserve"> </w:t>
            </w:r>
            <w:r w:rsidRPr="002225F2">
              <w:rPr>
                <w:sz w:val="20"/>
              </w:rPr>
              <w:t>per month</w:t>
            </w:r>
          </w:p>
        </w:tc>
      </w:tr>
      <w:tr w:rsidR="009A6D7B" w:rsidTr="009C57BF">
        <w:trPr>
          <w:jc w:val="center"/>
        </w:trPr>
        <w:tc>
          <w:tcPr>
            <w:tcW w:w="1905" w:type="dxa"/>
          </w:tcPr>
          <w:p w:rsidR="009A6D7B" w:rsidRDefault="009A6D7B" w:rsidP="00094A1A">
            <w:pPr>
              <w:jc w:val="center"/>
              <w:rPr>
                <w:b/>
                <w:bCs/>
                <w:sz w:val="20"/>
              </w:rPr>
            </w:pPr>
            <w:r>
              <w:rPr>
                <w:sz w:val="20"/>
              </w:rPr>
              <w:t>One 32-gallon can</w:t>
            </w:r>
          </w:p>
        </w:tc>
        <w:tc>
          <w:tcPr>
            <w:tcW w:w="1899" w:type="dxa"/>
          </w:tcPr>
          <w:p w:rsidR="009A6D7B" w:rsidRDefault="009A6D7B" w:rsidP="00094A1A">
            <w:pPr>
              <w:jc w:val="center"/>
              <w:rPr>
                <w:b/>
                <w:bCs/>
                <w:sz w:val="20"/>
              </w:rPr>
            </w:pPr>
            <w:r>
              <w:rPr>
                <w:sz w:val="20"/>
              </w:rPr>
              <w:t>Once-a-month</w:t>
            </w:r>
          </w:p>
        </w:tc>
        <w:tc>
          <w:tcPr>
            <w:tcW w:w="2460" w:type="dxa"/>
          </w:tcPr>
          <w:p w:rsidR="009A6D7B" w:rsidRDefault="009A6D7B" w:rsidP="00094A1A">
            <w:pPr>
              <w:jc w:val="center"/>
            </w:pPr>
            <w:r>
              <w:rPr>
                <w:sz w:val="20"/>
              </w:rPr>
              <w:t>One 35-gallon cart</w:t>
            </w:r>
          </w:p>
        </w:tc>
        <w:tc>
          <w:tcPr>
            <w:tcW w:w="1733" w:type="dxa"/>
          </w:tcPr>
          <w:p w:rsidR="009A6D7B" w:rsidRDefault="009A6D7B" w:rsidP="00094A1A">
            <w:r w:rsidRPr="002225F2">
              <w:rPr>
                <w:sz w:val="20"/>
              </w:rPr>
              <w:t>$</w:t>
            </w:r>
            <w:r>
              <w:rPr>
                <w:sz w:val="20"/>
              </w:rPr>
              <w:t xml:space="preserve">7.68 </w:t>
            </w:r>
            <w:r w:rsidRPr="002225F2">
              <w:rPr>
                <w:sz w:val="20"/>
              </w:rPr>
              <w:t>per month</w:t>
            </w:r>
          </w:p>
        </w:tc>
      </w:tr>
      <w:tr w:rsidR="009A6D7B" w:rsidTr="009C57BF">
        <w:trPr>
          <w:jc w:val="center"/>
        </w:trPr>
        <w:tc>
          <w:tcPr>
            <w:tcW w:w="1905" w:type="dxa"/>
          </w:tcPr>
          <w:p w:rsidR="009A6D7B" w:rsidRPr="002375FF" w:rsidRDefault="009A6D7B" w:rsidP="0040758C">
            <w:pPr>
              <w:rPr>
                <w:sz w:val="20"/>
                <w:szCs w:val="20"/>
              </w:rPr>
            </w:pPr>
            <w:r>
              <w:rPr>
                <w:sz w:val="20"/>
                <w:szCs w:val="20"/>
              </w:rPr>
              <w:t xml:space="preserve">  </w:t>
            </w:r>
            <w:r w:rsidRPr="002375FF">
              <w:rPr>
                <w:sz w:val="20"/>
                <w:szCs w:val="20"/>
              </w:rPr>
              <w:t>One 32-gallon can</w:t>
            </w:r>
          </w:p>
        </w:tc>
        <w:tc>
          <w:tcPr>
            <w:tcW w:w="1899" w:type="dxa"/>
          </w:tcPr>
          <w:p w:rsidR="009A6D7B" w:rsidRPr="002375FF" w:rsidRDefault="009A6D7B" w:rsidP="0040758C">
            <w:pPr>
              <w:rPr>
                <w:sz w:val="20"/>
                <w:szCs w:val="20"/>
              </w:rPr>
            </w:pPr>
            <w:r w:rsidRPr="002375FF">
              <w:rPr>
                <w:sz w:val="20"/>
                <w:szCs w:val="20"/>
              </w:rPr>
              <w:t>Every-other-week</w:t>
            </w:r>
          </w:p>
        </w:tc>
        <w:tc>
          <w:tcPr>
            <w:tcW w:w="2460" w:type="dxa"/>
          </w:tcPr>
          <w:p w:rsidR="009A6D7B" w:rsidRPr="002375FF" w:rsidRDefault="009A6D7B" w:rsidP="0040758C">
            <w:pPr>
              <w:jc w:val="center"/>
              <w:rPr>
                <w:sz w:val="20"/>
                <w:szCs w:val="20"/>
              </w:rPr>
            </w:pPr>
            <w:r>
              <w:rPr>
                <w:sz w:val="20"/>
                <w:szCs w:val="20"/>
              </w:rPr>
              <w:t>One 35-</w:t>
            </w:r>
            <w:r w:rsidRPr="002375FF">
              <w:rPr>
                <w:sz w:val="20"/>
                <w:szCs w:val="20"/>
              </w:rPr>
              <w:t>gallon cart</w:t>
            </w:r>
          </w:p>
        </w:tc>
        <w:tc>
          <w:tcPr>
            <w:tcW w:w="1733" w:type="dxa"/>
          </w:tcPr>
          <w:p w:rsidR="009A6D7B" w:rsidRPr="002375FF" w:rsidRDefault="009A6D7B" w:rsidP="0040758C">
            <w:pPr>
              <w:rPr>
                <w:sz w:val="20"/>
                <w:szCs w:val="20"/>
              </w:rPr>
            </w:pPr>
            <w:r w:rsidRPr="002375FF">
              <w:rPr>
                <w:sz w:val="20"/>
                <w:szCs w:val="20"/>
              </w:rPr>
              <w:t>$</w:t>
            </w:r>
            <w:r>
              <w:rPr>
                <w:sz w:val="20"/>
                <w:szCs w:val="20"/>
              </w:rPr>
              <w:t>13.86</w:t>
            </w:r>
            <w:r w:rsidRPr="002375FF">
              <w:rPr>
                <w:sz w:val="20"/>
                <w:szCs w:val="20"/>
              </w:rPr>
              <w:t xml:space="preserve"> per month</w:t>
            </w:r>
          </w:p>
        </w:tc>
      </w:tr>
      <w:tr w:rsidR="009A6D7B" w:rsidTr="009C57BF">
        <w:trPr>
          <w:jc w:val="center"/>
        </w:trPr>
        <w:tc>
          <w:tcPr>
            <w:tcW w:w="1905" w:type="dxa"/>
          </w:tcPr>
          <w:p w:rsidR="009A6D7B" w:rsidRDefault="009A6D7B" w:rsidP="009C57BF">
            <w:pPr>
              <w:jc w:val="center"/>
              <w:rPr>
                <w:b/>
                <w:bCs/>
                <w:sz w:val="20"/>
              </w:rPr>
            </w:pPr>
            <w:r>
              <w:rPr>
                <w:sz w:val="20"/>
              </w:rPr>
              <w:t>One 32-gallon can</w:t>
            </w:r>
          </w:p>
        </w:tc>
        <w:tc>
          <w:tcPr>
            <w:tcW w:w="1899" w:type="dxa"/>
          </w:tcPr>
          <w:p w:rsidR="009A6D7B" w:rsidRDefault="009A6D7B" w:rsidP="009C57BF">
            <w:pPr>
              <w:jc w:val="center"/>
              <w:rPr>
                <w:b/>
                <w:bCs/>
                <w:sz w:val="20"/>
              </w:rPr>
            </w:pPr>
            <w:r>
              <w:rPr>
                <w:sz w:val="20"/>
              </w:rPr>
              <w:t>Weekly</w:t>
            </w:r>
          </w:p>
        </w:tc>
        <w:tc>
          <w:tcPr>
            <w:tcW w:w="2460" w:type="dxa"/>
          </w:tcPr>
          <w:p w:rsidR="009A6D7B" w:rsidRDefault="009A6D7B" w:rsidP="009C57BF">
            <w:pPr>
              <w:jc w:val="center"/>
              <w:rPr>
                <w:b/>
                <w:bCs/>
                <w:sz w:val="20"/>
              </w:rPr>
            </w:pPr>
            <w:r>
              <w:rPr>
                <w:sz w:val="20"/>
              </w:rPr>
              <w:t>One 35-gallon cart</w:t>
            </w:r>
          </w:p>
        </w:tc>
        <w:tc>
          <w:tcPr>
            <w:tcW w:w="1733" w:type="dxa"/>
          </w:tcPr>
          <w:p w:rsidR="009A6D7B" w:rsidRDefault="009A6D7B" w:rsidP="009C57BF">
            <w:r w:rsidRPr="002225F2">
              <w:rPr>
                <w:sz w:val="20"/>
              </w:rPr>
              <w:t>$</w:t>
            </w:r>
            <w:r>
              <w:rPr>
                <w:sz w:val="20"/>
              </w:rPr>
              <w:t>17.83</w:t>
            </w:r>
            <w:r w:rsidRPr="002225F2">
              <w:rPr>
                <w:sz w:val="20"/>
              </w:rPr>
              <w:t xml:space="preserve"> per month</w:t>
            </w:r>
          </w:p>
        </w:tc>
      </w:tr>
      <w:tr w:rsidR="009A6D7B" w:rsidTr="009C57BF">
        <w:trPr>
          <w:jc w:val="center"/>
        </w:trPr>
        <w:tc>
          <w:tcPr>
            <w:tcW w:w="1905" w:type="dxa"/>
          </w:tcPr>
          <w:p w:rsidR="009A6D7B" w:rsidRPr="00755194" w:rsidRDefault="009A6D7B" w:rsidP="009C57BF">
            <w:pPr>
              <w:jc w:val="center"/>
              <w:rPr>
                <w:sz w:val="20"/>
              </w:rPr>
            </w:pPr>
            <w:r>
              <w:rPr>
                <w:sz w:val="20"/>
              </w:rPr>
              <w:t>32-gallon can on call</w:t>
            </w:r>
          </w:p>
        </w:tc>
        <w:tc>
          <w:tcPr>
            <w:tcW w:w="1899" w:type="dxa"/>
          </w:tcPr>
          <w:p w:rsidR="009A6D7B" w:rsidRDefault="009A6D7B" w:rsidP="009C57BF">
            <w:pPr>
              <w:jc w:val="center"/>
              <w:rPr>
                <w:sz w:val="20"/>
              </w:rPr>
            </w:pPr>
            <w:r>
              <w:rPr>
                <w:sz w:val="20"/>
              </w:rPr>
              <w:t>On Call</w:t>
            </w:r>
          </w:p>
        </w:tc>
        <w:tc>
          <w:tcPr>
            <w:tcW w:w="2460" w:type="dxa"/>
          </w:tcPr>
          <w:p w:rsidR="009A6D7B" w:rsidRDefault="009A6D7B" w:rsidP="009C57BF">
            <w:pPr>
              <w:jc w:val="center"/>
              <w:rPr>
                <w:sz w:val="20"/>
              </w:rPr>
            </w:pPr>
            <w:r>
              <w:rPr>
                <w:sz w:val="20"/>
              </w:rPr>
              <w:t>One 35-gallon cart</w:t>
            </w:r>
          </w:p>
        </w:tc>
        <w:tc>
          <w:tcPr>
            <w:tcW w:w="1733" w:type="dxa"/>
          </w:tcPr>
          <w:p w:rsidR="009A6D7B" w:rsidRPr="002225F2" w:rsidRDefault="009A6D7B" w:rsidP="009C57BF">
            <w:pPr>
              <w:rPr>
                <w:sz w:val="20"/>
              </w:rPr>
            </w:pPr>
            <w:r>
              <w:rPr>
                <w:sz w:val="20"/>
              </w:rPr>
              <w:t>$7.84 per pick up</w:t>
            </w:r>
          </w:p>
        </w:tc>
      </w:tr>
      <w:tr w:rsidR="009A6D7B" w:rsidTr="009C57BF">
        <w:trPr>
          <w:jc w:val="center"/>
        </w:trPr>
        <w:tc>
          <w:tcPr>
            <w:tcW w:w="1905" w:type="dxa"/>
          </w:tcPr>
          <w:p w:rsidR="009A6D7B" w:rsidRDefault="009A6D7B" w:rsidP="009C57BF">
            <w:pPr>
              <w:jc w:val="center"/>
              <w:rPr>
                <w:b/>
                <w:bCs/>
                <w:sz w:val="20"/>
              </w:rPr>
            </w:pPr>
            <w:r>
              <w:rPr>
                <w:sz w:val="20"/>
              </w:rPr>
              <w:t>Two 32-gallon cans</w:t>
            </w:r>
          </w:p>
        </w:tc>
        <w:tc>
          <w:tcPr>
            <w:tcW w:w="1899" w:type="dxa"/>
          </w:tcPr>
          <w:p w:rsidR="009A6D7B" w:rsidRDefault="009A6D7B" w:rsidP="009C57BF">
            <w:pPr>
              <w:jc w:val="center"/>
              <w:rPr>
                <w:b/>
                <w:bCs/>
                <w:sz w:val="20"/>
              </w:rPr>
            </w:pPr>
            <w:r>
              <w:rPr>
                <w:sz w:val="20"/>
              </w:rPr>
              <w:t>Weekly</w:t>
            </w:r>
          </w:p>
        </w:tc>
        <w:tc>
          <w:tcPr>
            <w:tcW w:w="2460" w:type="dxa"/>
          </w:tcPr>
          <w:p w:rsidR="009A6D7B" w:rsidRDefault="009A6D7B" w:rsidP="00A04185">
            <w:pPr>
              <w:jc w:val="center"/>
            </w:pPr>
            <w:r>
              <w:rPr>
                <w:sz w:val="20"/>
              </w:rPr>
              <w:t>One 64-gallon cart</w:t>
            </w:r>
          </w:p>
        </w:tc>
        <w:tc>
          <w:tcPr>
            <w:tcW w:w="1733" w:type="dxa"/>
          </w:tcPr>
          <w:p w:rsidR="009A6D7B" w:rsidRDefault="009A6D7B" w:rsidP="00EC0CB3">
            <w:r w:rsidRPr="002225F2">
              <w:rPr>
                <w:sz w:val="20"/>
              </w:rPr>
              <w:t>$</w:t>
            </w:r>
            <w:r>
              <w:rPr>
                <w:sz w:val="20"/>
              </w:rPr>
              <w:t xml:space="preserve">25.66 </w:t>
            </w:r>
            <w:r w:rsidRPr="002225F2">
              <w:rPr>
                <w:sz w:val="20"/>
              </w:rPr>
              <w:t>per month</w:t>
            </w:r>
          </w:p>
        </w:tc>
      </w:tr>
      <w:tr w:rsidR="009A6D7B" w:rsidTr="009C57BF">
        <w:trPr>
          <w:jc w:val="center"/>
        </w:trPr>
        <w:tc>
          <w:tcPr>
            <w:tcW w:w="1905" w:type="dxa"/>
          </w:tcPr>
          <w:p w:rsidR="009A6D7B" w:rsidRDefault="009A6D7B" w:rsidP="00094A1A">
            <w:pPr>
              <w:jc w:val="center"/>
              <w:rPr>
                <w:b/>
                <w:bCs/>
                <w:sz w:val="20"/>
              </w:rPr>
            </w:pPr>
            <w:r>
              <w:rPr>
                <w:sz w:val="20"/>
              </w:rPr>
              <w:t>Three 32-gallon cans</w:t>
            </w:r>
          </w:p>
        </w:tc>
        <w:tc>
          <w:tcPr>
            <w:tcW w:w="1899" w:type="dxa"/>
          </w:tcPr>
          <w:p w:rsidR="009A6D7B" w:rsidRDefault="009A6D7B" w:rsidP="00094A1A">
            <w:pPr>
              <w:jc w:val="center"/>
              <w:rPr>
                <w:b/>
                <w:bCs/>
                <w:sz w:val="20"/>
              </w:rPr>
            </w:pPr>
            <w:r>
              <w:rPr>
                <w:sz w:val="20"/>
              </w:rPr>
              <w:t>Weekly</w:t>
            </w:r>
          </w:p>
        </w:tc>
        <w:tc>
          <w:tcPr>
            <w:tcW w:w="2460" w:type="dxa"/>
          </w:tcPr>
          <w:p w:rsidR="009A6D7B" w:rsidRDefault="009A6D7B" w:rsidP="00094A1A">
            <w:pPr>
              <w:jc w:val="center"/>
              <w:rPr>
                <w:b/>
                <w:bCs/>
                <w:sz w:val="20"/>
              </w:rPr>
            </w:pPr>
            <w:r>
              <w:rPr>
                <w:sz w:val="20"/>
              </w:rPr>
              <w:t>One 96-gallon cart</w:t>
            </w:r>
          </w:p>
        </w:tc>
        <w:tc>
          <w:tcPr>
            <w:tcW w:w="1733" w:type="dxa"/>
          </w:tcPr>
          <w:p w:rsidR="009A6D7B" w:rsidRDefault="009A6D7B" w:rsidP="00755194">
            <w:r>
              <w:rPr>
                <w:sz w:val="20"/>
              </w:rPr>
              <w:t>$36.88 per month</w:t>
            </w:r>
          </w:p>
        </w:tc>
      </w:tr>
      <w:tr w:rsidR="009A6D7B" w:rsidTr="009C57BF">
        <w:trPr>
          <w:jc w:val="center"/>
        </w:trPr>
        <w:tc>
          <w:tcPr>
            <w:tcW w:w="1905" w:type="dxa"/>
          </w:tcPr>
          <w:p w:rsidR="009A6D7B" w:rsidRDefault="009A6D7B" w:rsidP="00094A1A">
            <w:pPr>
              <w:jc w:val="center"/>
              <w:rPr>
                <w:sz w:val="20"/>
              </w:rPr>
            </w:pPr>
            <w:r>
              <w:rPr>
                <w:sz w:val="20"/>
              </w:rPr>
              <w:t>Four 32-gallon cans</w:t>
            </w:r>
          </w:p>
        </w:tc>
        <w:tc>
          <w:tcPr>
            <w:tcW w:w="1899" w:type="dxa"/>
          </w:tcPr>
          <w:p w:rsidR="009A6D7B" w:rsidRDefault="009A6D7B" w:rsidP="00094A1A">
            <w:pPr>
              <w:jc w:val="center"/>
              <w:rPr>
                <w:sz w:val="20"/>
              </w:rPr>
            </w:pPr>
            <w:r>
              <w:rPr>
                <w:sz w:val="20"/>
              </w:rPr>
              <w:t>Weekly</w:t>
            </w:r>
          </w:p>
        </w:tc>
        <w:tc>
          <w:tcPr>
            <w:tcW w:w="2460" w:type="dxa"/>
          </w:tcPr>
          <w:p w:rsidR="009A6D7B" w:rsidRDefault="009A6D7B" w:rsidP="00D5672B">
            <w:pPr>
              <w:jc w:val="center"/>
              <w:rPr>
                <w:sz w:val="20"/>
              </w:rPr>
            </w:pPr>
            <w:r>
              <w:rPr>
                <w:sz w:val="20"/>
              </w:rPr>
              <w:t xml:space="preserve">Two 64-gallon carts </w:t>
            </w:r>
          </w:p>
        </w:tc>
        <w:tc>
          <w:tcPr>
            <w:tcW w:w="1733" w:type="dxa"/>
          </w:tcPr>
          <w:p w:rsidR="009A6D7B" w:rsidRDefault="009A6D7B" w:rsidP="00094A1A">
            <w:pPr>
              <w:rPr>
                <w:sz w:val="20"/>
              </w:rPr>
            </w:pPr>
            <w:r>
              <w:rPr>
                <w:sz w:val="20"/>
              </w:rPr>
              <w:t>$51.32 per month</w:t>
            </w:r>
          </w:p>
        </w:tc>
      </w:tr>
      <w:tr w:rsidR="009A6D7B" w:rsidTr="009C57BF">
        <w:trPr>
          <w:jc w:val="center"/>
        </w:trPr>
        <w:tc>
          <w:tcPr>
            <w:tcW w:w="1905" w:type="dxa"/>
          </w:tcPr>
          <w:p w:rsidR="009A6D7B" w:rsidRDefault="009A6D7B" w:rsidP="00094A1A">
            <w:pPr>
              <w:jc w:val="center"/>
              <w:rPr>
                <w:sz w:val="20"/>
              </w:rPr>
            </w:pPr>
            <w:r>
              <w:rPr>
                <w:sz w:val="20"/>
              </w:rPr>
              <w:t>Five 32-gallon cans</w:t>
            </w:r>
          </w:p>
        </w:tc>
        <w:tc>
          <w:tcPr>
            <w:tcW w:w="1899" w:type="dxa"/>
          </w:tcPr>
          <w:p w:rsidR="009A6D7B" w:rsidRDefault="009A6D7B" w:rsidP="00094A1A">
            <w:pPr>
              <w:jc w:val="center"/>
              <w:rPr>
                <w:sz w:val="20"/>
              </w:rPr>
            </w:pPr>
            <w:r>
              <w:rPr>
                <w:sz w:val="20"/>
              </w:rPr>
              <w:t>Weekly</w:t>
            </w:r>
          </w:p>
        </w:tc>
        <w:tc>
          <w:tcPr>
            <w:tcW w:w="2460" w:type="dxa"/>
          </w:tcPr>
          <w:p w:rsidR="009A6D7B" w:rsidRDefault="002A295B" w:rsidP="002A295B">
            <w:pPr>
              <w:jc w:val="center"/>
              <w:rPr>
                <w:sz w:val="20"/>
              </w:rPr>
            </w:pPr>
            <w:r>
              <w:rPr>
                <w:sz w:val="20"/>
              </w:rPr>
              <w:t>Two 96-gallon carts</w:t>
            </w:r>
          </w:p>
        </w:tc>
        <w:tc>
          <w:tcPr>
            <w:tcW w:w="1733" w:type="dxa"/>
          </w:tcPr>
          <w:p w:rsidR="009A6D7B" w:rsidRDefault="009A6D7B" w:rsidP="002A295B">
            <w:pPr>
              <w:rPr>
                <w:sz w:val="20"/>
              </w:rPr>
            </w:pPr>
            <w:r>
              <w:rPr>
                <w:sz w:val="20"/>
              </w:rPr>
              <w:t>$</w:t>
            </w:r>
            <w:r w:rsidR="002A295B">
              <w:rPr>
                <w:sz w:val="20"/>
              </w:rPr>
              <w:t>73.76</w:t>
            </w:r>
            <w:r>
              <w:rPr>
                <w:sz w:val="20"/>
              </w:rPr>
              <w:t xml:space="preserve"> per month</w:t>
            </w:r>
          </w:p>
        </w:tc>
      </w:tr>
      <w:tr w:rsidR="009A6D7B" w:rsidTr="009C57BF">
        <w:trPr>
          <w:jc w:val="center"/>
        </w:trPr>
        <w:tc>
          <w:tcPr>
            <w:tcW w:w="1905" w:type="dxa"/>
          </w:tcPr>
          <w:p w:rsidR="009A6D7B" w:rsidRDefault="009A6D7B" w:rsidP="00094A1A">
            <w:pPr>
              <w:jc w:val="center"/>
              <w:rPr>
                <w:sz w:val="20"/>
              </w:rPr>
            </w:pPr>
            <w:r>
              <w:rPr>
                <w:sz w:val="20"/>
              </w:rPr>
              <w:t>Six 32-gallon cans</w:t>
            </w:r>
          </w:p>
        </w:tc>
        <w:tc>
          <w:tcPr>
            <w:tcW w:w="1899" w:type="dxa"/>
          </w:tcPr>
          <w:p w:rsidR="009A6D7B" w:rsidRDefault="009A6D7B" w:rsidP="00094A1A">
            <w:pPr>
              <w:jc w:val="center"/>
              <w:rPr>
                <w:sz w:val="20"/>
              </w:rPr>
            </w:pPr>
            <w:r>
              <w:rPr>
                <w:sz w:val="20"/>
              </w:rPr>
              <w:t>Weekly</w:t>
            </w:r>
          </w:p>
        </w:tc>
        <w:tc>
          <w:tcPr>
            <w:tcW w:w="2460" w:type="dxa"/>
          </w:tcPr>
          <w:p w:rsidR="009A6D7B" w:rsidRDefault="009A6D7B" w:rsidP="00D5672B">
            <w:pPr>
              <w:jc w:val="center"/>
              <w:rPr>
                <w:sz w:val="20"/>
              </w:rPr>
            </w:pPr>
            <w:r>
              <w:rPr>
                <w:sz w:val="20"/>
              </w:rPr>
              <w:t>Two 96-gallon carts</w:t>
            </w:r>
          </w:p>
        </w:tc>
        <w:tc>
          <w:tcPr>
            <w:tcW w:w="1733" w:type="dxa"/>
          </w:tcPr>
          <w:p w:rsidR="009A6D7B" w:rsidRDefault="009A6D7B" w:rsidP="00094A1A">
            <w:pPr>
              <w:rPr>
                <w:sz w:val="20"/>
              </w:rPr>
            </w:pPr>
            <w:r>
              <w:rPr>
                <w:sz w:val="20"/>
              </w:rPr>
              <w:t>$73.76 per month</w:t>
            </w:r>
          </w:p>
        </w:tc>
      </w:tr>
    </w:tbl>
    <w:p w:rsidR="00BD0577" w:rsidRPr="00D12BF4" w:rsidRDefault="00BD0577" w:rsidP="00BD0577">
      <w:pPr>
        <w:jc w:val="center"/>
        <w:rPr>
          <w:b/>
          <w:sz w:val="20"/>
          <w:szCs w:val="20"/>
        </w:rPr>
      </w:pPr>
      <w:r>
        <w:rPr>
          <w:b/>
          <w:sz w:val="20"/>
          <w:szCs w:val="20"/>
        </w:rPr>
        <w:t xml:space="preserve">**Please </w:t>
      </w:r>
      <w:r w:rsidR="00353C18">
        <w:rPr>
          <w:b/>
          <w:sz w:val="20"/>
          <w:szCs w:val="20"/>
        </w:rPr>
        <w:t xml:space="preserve">note not all personal can services will be available in your area as Island Disposal phases to automation services.   </w:t>
      </w:r>
      <w:r>
        <w:rPr>
          <w:b/>
          <w:sz w:val="20"/>
          <w:szCs w:val="20"/>
        </w:rPr>
        <w:t xml:space="preserve"> </w:t>
      </w:r>
      <w:r w:rsidR="005A5474">
        <w:rPr>
          <w:b/>
          <w:sz w:val="20"/>
          <w:szCs w:val="20"/>
        </w:rPr>
        <w:t xml:space="preserve"> Please contact our office via email for additional options and pricing</w:t>
      </w:r>
      <w:r w:rsidR="009A6D7B">
        <w:rPr>
          <w:b/>
          <w:sz w:val="20"/>
          <w:szCs w:val="20"/>
        </w:rPr>
        <w:t>. *</w:t>
      </w:r>
      <w:r w:rsidR="005A5474">
        <w:rPr>
          <w:b/>
          <w:sz w:val="20"/>
          <w:szCs w:val="20"/>
        </w:rPr>
        <w:t>*</w:t>
      </w:r>
    </w:p>
    <w:p w:rsidR="00BD0577" w:rsidRPr="000911C3" w:rsidRDefault="00BD0577" w:rsidP="00BD0577">
      <w:pPr>
        <w:ind w:left="3600" w:firstLine="720"/>
        <w:jc w:val="center"/>
        <w:rPr>
          <w:sz w:val="20"/>
        </w:rPr>
      </w:pPr>
      <w:r w:rsidRPr="000911C3">
        <w:rPr>
          <w:rFonts w:ascii="Copperplate Gothic Bold" w:hAnsi="Copperplate Gothic Bold"/>
          <w:b/>
        </w:rPr>
        <w:t>CART PLACEMENT DETAILS</w:t>
      </w:r>
    </w:p>
    <w:p w:rsidR="00BD0577" w:rsidRPr="000F131C" w:rsidRDefault="00BD0577" w:rsidP="00BD0577">
      <w:pPr>
        <w:jc w:val="center"/>
        <w:rPr>
          <w:sz w:val="20"/>
          <w:szCs w:val="20"/>
        </w:rPr>
      </w:pPr>
      <w:r w:rsidRPr="000911C3">
        <w:rPr>
          <w:rFonts w:ascii="Copperplate Gothic Bold" w:hAnsi="Copperplate Gothic Bold"/>
          <w:b/>
          <w:noProof/>
        </w:rPr>
        <w:drawing>
          <wp:anchor distT="0" distB="0" distL="114300" distR="114300" simplePos="0" relativeHeight="251659264" behindDoc="0" locked="0" layoutInCell="1" allowOverlap="1" wp14:anchorId="15986205" wp14:editId="11F50C8C">
            <wp:simplePos x="0" y="0"/>
            <wp:positionH relativeFrom="column">
              <wp:align>left</wp:align>
            </wp:positionH>
            <wp:positionV relativeFrom="paragraph">
              <wp:align>top</wp:align>
            </wp:positionV>
            <wp:extent cx="2863850" cy="1952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63850" cy="1952625"/>
                    </a:xfrm>
                    <a:prstGeom prst="rect">
                      <a:avLst/>
                    </a:prstGeom>
                  </pic:spPr>
                </pic:pic>
              </a:graphicData>
            </a:graphic>
            <wp14:sizeRelH relativeFrom="margin">
              <wp14:pctWidth>0</wp14:pctWidth>
            </wp14:sizeRelH>
            <wp14:sizeRelV relativeFrom="margin">
              <wp14:pctHeight>0</wp14:pctHeight>
            </wp14:sizeRelV>
          </wp:anchor>
        </w:drawing>
      </w:r>
      <w:r>
        <w:rPr>
          <w:sz w:val="20"/>
        </w:rPr>
        <w:t xml:space="preserve">Cart placement is critical to the success of automated service. </w:t>
      </w:r>
      <w:r>
        <w:rPr>
          <w:sz w:val="20"/>
          <w:szCs w:val="20"/>
        </w:rPr>
        <w:t xml:space="preserve">Please place your garbage cart no more than 5 feet from the sidewalk or curb by </w:t>
      </w:r>
      <w:r w:rsidR="00D26318">
        <w:rPr>
          <w:sz w:val="20"/>
          <w:szCs w:val="20"/>
        </w:rPr>
        <w:t>6</w:t>
      </w:r>
      <w:r>
        <w:rPr>
          <w:sz w:val="20"/>
          <w:szCs w:val="20"/>
        </w:rPr>
        <w:t xml:space="preserve">:00am to ensure collection. Carts require 3-5 feet of clearance on all sides and 18 feet of clearance overhead to allow for safe collection. Please make sure the opening is facing the road (handle towards you) and the lid closes completely to avoid any extra unit fees. </w:t>
      </w:r>
    </w:p>
    <w:p w:rsidR="00BD0577" w:rsidRDefault="00BD0577" w:rsidP="00BD0577">
      <w:pPr>
        <w:jc w:val="center"/>
        <w:rPr>
          <w:rFonts w:ascii="Copperplate Gothic Bold" w:hAnsi="Copperplate Gothic Bold"/>
          <w:b/>
        </w:rPr>
      </w:pPr>
      <w:r>
        <w:rPr>
          <w:rFonts w:ascii="Copperplate Gothic Bold" w:hAnsi="Copperplate Gothic Bold"/>
          <w:b/>
        </w:rPr>
        <w:t>BENEFITS OF ROLL CARTS VS. CANS</w:t>
      </w:r>
    </w:p>
    <w:p w:rsidR="00BD0577" w:rsidRPr="00DE7E13" w:rsidRDefault="00BD0577" w:rsidP="00BD0577">
      <w:pPr>
        <w:pStyle w:val="ListParagraph"/>
        <w:numPr>
          <w:ilvl w:val="0"/>
          <w:numId w:val="2"/>
        </w:numPr>
        <w:rPr>
          <w:sz w:val="20"/>
        </w:rPr>
      </w:pPr>
      <w:r w:rsidRPr="00DE7E13">
        <w:rPr>
          <w:sz w:val="20"/>
        </w:rPr>
        <w:t>Carts are easier to roll to the curb.</w:t>
      </w:r>
    </w:p>
    <w:p w:rsidR="00BD0577" w:rsidRDefault="00BD0577" w:rsidP="00BD0577">
      <w:pPr>
        <w:numPr>
          <w:ilvl w:val="0"/>
          <w:numId w:val="2"/>
        </w:numPr>
        <w:rPr>
          <w:sz w:val="20"/>
        </w:rPr>
      </w:pPr>
      <w:r>
        <w:rPr>
          <w:sz w:val="20"/>
        </w:rPr>
        <w:t>Lids are permanently attached and will not blow away.</w:t>
      </w:r>
    </w:p>
    <w:p w:rsidR="00BD0577" w:rsidRDefault="00BD0577" w:rsidP="00BD0577">
      <w:pPr>
        <w:numPr>
          <w:ilvl w:val="0"/>
          <w:numId w:val="2"/>
        </w:numPr>
        <w:rPr>
          <w:sz w:val="20"/>
        </w:rPr>
      </w:pPr>
      <w:r>
        <w:rPr>
          <w:sz w:val="20"/>
        </w:rPr>
        <w:t>Carts are animal resistant.</w:t>
      </w:r>
    </w:p>
    <w:p w:rsidR="00BD0577" w:rsidRDefault="00BD0577" w:rsidP="00BD0577">
      <w:pPr>
        <w:numPr>
          <w:ilvl w:val="0"/>
          <w:numId w:val="2"/>
        </w:numPr>
        <w:rPr>
          <w:sz w:val="20"/>
        </w:rPr>
      </w:pPr>
      <w:r>
        <w:rPr>
          <w:sz w:val="20"/>
        </w:rPr>
        <w:t>Carts contribute to a clean and more attractive neighborhood.</w:t>
      </w:r>
    </w:p>
    <w:p w:rsidR="00BD0577" w:rsidRDefault="00BD0577" w:rsidP="00BD0577">
      <w:pPr>
        <w:numPr>
          <w:ilvl w:val="0"/>
          <w:numId w:val="2"/>
        </w:numPr>
        <w:rPr>
          <w:sz w:val="20"/>
        </w:rPr>
      </w:pPr>
      <w:r>
        <w:rPr>
          <w:sz w:val="20"/>
        </w:rPr>
        <w:t>Carts are more effective in reducing odors.</w:t>
      </w:r>
    </w:p>
    <w:p w:rsidR="00BD0577" w:rsidRDefault="00BD0577" w:rsidP="00BD0577">
      <w:pPr>
        <w:numPr>
          <w:ilvl w:val="0"/>
          <w:numId w:val="2"/>
        </w:numPr>
        <w:rPr>
          <w:sz w:val="20"/>
        </w:rPr>
      </w:pPr>
      <w:r>
        <w:rPr>
          <w:sz w:val="20"/>
        </w:rPr>
        <w:t>Carts provide added safety for your route driver.</w:t>
      </w:r>
    </w:p>
    <w:p w:rsidR="00BD0577" w:rsidRPr="000F131C" w:rsidRDefault="00BD0577" w:rsidP="00BD0577">
      <w:pPr>
        <w:numPr>
          <w:ilvl w:val="0"/>
          <w:numId w:val="2"/>
        </w:numPr>
        <w:rPr>
          <w:sz w:val="20"/>
        </w:rPr>
      </w:pPr>
      <w:r>
        <w:rPr>
          <w:sz w:val="20"/>
        </w:rPr>
        <w:t xml:space="preserve">Carts broken by normal wear/tear are replaced by </w:t>
      </w:r>
      <w:r w:rsidR="00D26318">
        <w:rPr>
          <w:sz w:val="20"/>
        </w:rPr>
        <w:t xml:space="preserve">Island </w:t>
      </w:r>
      <w:r w:rsidR="00CC6174">
        <w:rPr>
          <w:sz w:val="20"/>
        </w:rPr>
        <w:t>Disposal</w:t>
      </w:r>
      <w:r w:rsidR="00D26318">
        <w:rPr>
          <w:sz w:val="20"/>
        </w:rPr>
        <w:t>, Inc.</w:t>
      </w:r>
      <w:r>
        <w:rPr>
          <w:sz w:val="20"/>
        </w:rPr>
        <w:t xml:space="preserve"> </w:t>
      </w:r>
    </w:p>
    <w:p w:rsidR="00BD0577" w:rsidRDefault="00583A85" w:rsidP="00BD0577">
      <w:pPr>
        <w:numPr>
          <w:ilvl w:val="0"/>
          <w:numId w:val="1"/>
        </w:numPr>
        <w:rPr>
          <w:b/>
          <w:bCs/>
          <w:sz w:val="20"/>
        </w:rPr>
      </w:pPr>
      <w:r>
        <w:rPr>
          <w:sz w:val="20"/>
        </w:rPr>
        <w:t xml:space="preserve">If you have any extra bags, they will be collected at an additional charge. </w:t>
      </w:r>
      <w:r w:rsidR="00BD0577" w:rsidRPr="00660073">
        <w:rPr>
          <w:sz w:val="20"/>
        </w:rPr>
        <w:t>Please place any extra garbage bags by the cart</w:t>
      </w:r>
      <w:r>
        <w:rPr>
          <w:sz w:val="20"/>
        </w:rPr>
        <w:t>.</w:t>
      </w:r>
      <w:r w:rsidR="00E67908">
        <w:rPr>
          <w:sz w:val="20"/>
        </w:rPr>
        <w:t xml:space="preserve"> </w:t>
      </w:r>
      <w:r w:rsidR="00BD0577" w:rsidRPr="00660073">
        <w:rPr>
          <w:sz w:val="20"/>
        </w:rPr>
        <w:t xml:space="preserve"> The driver will need to load</w:t>
      </w:r>
      <w:r>
        <w:rPr>
          <w:sz w:val="20"/>
        </w:rPr>
        <w:t xml:space="preserve"> the bags</w:t>
      </w:r>
      <w:r w:rsidR="00BD0577" w:rsidRPr="00660073">
        <w:rPr>
          <w:sz w:val="20"/>
        </w:rPr>
        <w:t xml:space="preserve"> into the cart to dump </w:t>
      </w:r>
      <w:r>
        <w:rPr>
          <w:sz w:val="20"/>
        </w:rPr>
        <w:t xml:space="preserve">them </w:t>
      </w:r>
      <w:r w:rsidR="00BD0577" w:rsidRPr="00660073">
        <w:rPr>
          <w:sz w:val="20"/>
        </w:rPr>
        <w:t xml:space="preserve">into the truck. Any garbage above the top of the cart </w:t>
      </w:r>
      <w:r w:rsidR="00BD0577">
        <w:rPr>
          <w:sz w:val="20"/>
        </w:rPr>
        <w:t xml:space="preserve">(i.e. the lid is not closed completely) </w:t>
      </w:r>
      <w:r w:rsidR="00BD0577" w:rsidRPr="00660073">
        <w:rPr>
          <w:sz w:val="20"/>
        </w:rPr>
        <w:t xml:space="preserve">will </w:t>
      </w:r>
      <w:r>
        <w:rPr>
          <w:sz w:val="20"/>
        </w:rPr>
        <w:t xml:space="preserve">also </w:t>
      </w:r>
      <w:r w:rsidR="00BD0577" w:rsidRPr="00660073">
        <w:rPr>
          <w:sz w:val="20"/>
        </w:rPr>
        <w:t xml:space="preserve">be charged </w:t>
      </w:r>
      <w:r>
        <w:rPr>
          <w:sz w:val="20"/>
        </w:rPr>
        <w:t xml:space="preserve"> as</w:t>
      </w:r>
      <w:r w:rsidR="00BD0577" w:rsidRPr="00660073">
        <w:rPr>
          <w:sz w:val="20"/>
        </w:rPr>
        <w:t xml:space="preserve"> an extra unit.</w:t>
      </w:r>
    </w:p>
    <w:p w:rsidR="00BD0577" w:rsidRDefault="00BD0577" w:rsidP="00BD0577">
      <w:pPr>
        <w:numPr>
          <w:ilvl w:val="0"/>
          <w:numId w:val="1"/>
        </w:numPr>
        <w:rPr>
          <w:sz w:val="20"/>
        </w:rPr>
      </w:pPr>
      <w:r>
        <w:rPr>
          <w:sz w:val="20"/>
        </w:rPr>
        <w:t xml:space="preserve">If you are moving and stopping the service, please notify our office to make arrangements to return the cart. We will pick up the cart within seven business days. Please be advised, all carts are property of </w:t>
      </w:r>
      <w:r w:rsidR="00D26318">
        <w:rPr>
          <w:sz w:val="20"/>
        </w:rPr>
        <w:t xml:space="preserve">Island Disposal, Inc. </w:t>
      </w:r>
      <w:r>
        <w:rPr>
          <w:sz w:val="20"/>
        </w:rPr>
        <w:t>and a fee may be applied for any unreturned containers.</w:t>
      </w:r>
    </w:p>
    <w:p w:rsidR="00D26318" w:rsidRPr="009079F1" w:rsidRDefault="00D26318" w:rsidP="00BD0577">
      <w:pPr>
        <w:numPr>
          <w:ilvl w:val="0"/>
          <w:numId w:val="1"/>
        </w:numPr>
        <w:rPr>
          <w:sz w:val="20"/>
        </w:rPr>
      </w:pPr>
      <w:r>
        <w:rPr>
          <w:sz w:val="20"/>
        </w:rPr>
        <w:t xml:space="preserve">Each container has a serial </w:t>
      </w:r>
      <w:r w:rsidR="009A6D7B">
        <w:rPr>
          <w:sz w:val="20"/>
        </w:rPr>
        <w:t>number;</w:t>
      </w:r>
      <w:r>
        <w:rPr>
          <w:sz w:val="20"/>
        </w:rPr>
        <w:t xml:space="preserve"> residents will be responsible for</w:t>
      </w:r>
      <w:r w:rsidR="009A6D7B">
        <w:rPr>
          <w:sz w:val="20"/>
        </w:rPr>
        <w:t xml:space="preserve"> the container that has been assigned to your household.</w:t>
      </w:r>
    </w:p>
    <w:p w:rsidR="00B83CC3" w:rsidRDefault="00B83CC3">
      <w:pPr>
        <w:rPr>
          <w:sz w:val="20"/>
        </w:rPr>
      </w:pPr>
    </w:p>
    <w:p w:rsidR="00CE7391" w:rsidRDefault="00BD0577" w:rsidP="00CC6174">
      <w:pPr>
        <w:jc w:val="center"/>
      </w:pPr>
      <w:r w:rsidRPr="00017C53">
        <w:rPr>
          <w:sz w:val="20"/>
        </w:rPr>
        <w:lastRenderedPageBreak/>
        <w:t xml:space="preserve">Thank you for </w:t>
      </w:r>
      <w:r>
        <w:rPr>
          <w:sz w:val="20"/>
        </w:rPr>
        <w:t xml:space="preserve">your patience </w:t>
      </w:r>
      <w:r w:rsidRPr="00017C53">
        <w:rPr>
          <w:sz w:val="20"/>
        </w:rPr>
        <w:t>in thi</w:t>
      </w:r>
      <w:r>
        <w:rPr>
          <w:sz w:val="20"/>
        </w:rPr>
        <w:t>s transition and your continued</w:t>
      </w:r>
      <w:r w:rsidRPr="00017C53">
        <w:rPr>
          <w:sz w:val="20"/>
        </w:rPr>
        <w:t xml:space="preserve"> business. Please call if you have any </w:t>
      </w:r>
      <w:r>
        <w:rPr>
          <w:sz w:val="20"/>
        </w:rPr>
        <w:t>questions or concerns.</w:t>
      </w:r>
    </w:p>
    <w:sectPr w:rsidR="00CE7391" w:rsidSect="003E1455">
      <w:headerReference w:type="default" r:id="rId9"/>
      <w:footerReference w:type="default" r:id="rId1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4D" w:rsidRDefault="0015134D" w:rsidP="005A5474">
      <w:r>
        <w:separator/>
      </w:r>
    </w:p>
  </w:endnote>
  <w:endnote w:type="continuationSeparator" w:id="0">
    <w:p w:rsidR="0015134D" w:rsidRDefault="0015134D" w:rsidP="005A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8C" w:rsidRDefault="009130CE" w:rsidP="005F00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4D" w:rsidRDefault="0015134D" w:rsidP="005A5474">
      <w:r>
        <w:separator/>
      </w:r>
    </w:p>
  </w:footnote>
  <w:footnote w:type="continuationSeparator" w:id="0">
    <w:p w:rsidR="0015134D" w:rsidRDefault="0015134D" w:rsidP="005A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13" w:rsidRPr="009E1E44" w:rsidRDefault="009E1E44" w:rsidP="00B83CC3">
    <w:pPr>
      <w:pStyle w:val="Header"/>
      <w:ind w:left="720" w:right="720"/>
      <w:jc w:val="right"/>
      <w:rPr>
        <w:sz w:val="30"/>
        <w:szCs w:val="30"/>
      </w:rPr>
    </w:pPr>
    <w:r w:rsidRPr="009E1E44">
      <w:rPr>
        <w:noProof/>
        <w:sz w:val="30"/>
        <w:szCs w:val="30"/>
      </w:rPr>
      <w:drawing>
        <wp:anchor distT="0" distB="0" distL="114300" distR="114300" simplePos="0" relativeHeight="251658240" behindDoc="1" locked="0" layoutInCell="1" allowOverlap="1" wp14:anchorId="39C98737" wp14:editId="03550B25">
          <wp:simplePos x="0" y="0"/>
          <wp:positionH relativeFrom="column">
            <wp:posOffset>179070</wp:posOffset>
          </wp:positionH>
          <wp:positionV relativeFrom="paragraph">
            <wp:posOffset>-69850</wp:posOffset>
          </wp:positionV>
          <wp:extent cx="2788920" cy="1169035"/>
          <wp:effectExtent l="0" t="0" r="0" b="0"/>
          <wp:wrapTight wrapText="bothSides">
            <wp:wrapPolygon edited="0">
              <wp:start x="0" y="0"/>
              <wp:lineTo x="0" y="21119"/>
              <wp:lineTo x="21393" y="21119"/>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88920" cy="1169035"/>
                  </a:xfrm>
                  <a:prstGeom prst="rect">
                    <a:avLst/>
                  </a:prstGeom>
                </pic:spPr>
              </pic:pic>
            </a:graphicData>
          </a:graphic>
          <wp14:sizeRelH relativeFrom="page">
            <wp14:pctWidth>0</wp14:pctWidth>
          </wp14:sizeRelH>
          <wp14:sizeRelV relativeFrom="page">
            <wp14:pctHeight>0</wp14:pctHeight>
          </wp14:sizeRelV>
        </wp:anchor>
      </w:drawing>
    </w:r>
    <w:r w:rsidR="00877946">
      <w:rPr>
        <w:sz w:val="30"/>
        <w:szCs w:val="30"/>
      </w:rPr>
      <w:t>19832 State Route 20</w:t>
    </w:r>
  </w:p>
  <w:p w:rsidR="009E1E44" w:rsidRPr="009E1E44" w:rsidRDefault="00877946" w:rsidP="00B83CC3">
    <w:pPr>
      <w:pStyle w:val="Header"/>
      <w:ind w:left="720" w:right="720"/>
      <w:jc w:val="right"/>
      <w:rPr>
        <w:sz w:val="30"/>
        <w:szCs w:val="30"/>
      </w:rPr>
    </w:pPr>
    <w:r>
      <w:rPr>
        <w:sz w:val="30"/>
        <w:szCs w:val="30"/>
      </w:rPr>
      <w:t>Coupeville, WA 98239</w:t>
    </w:r>
  </w:p>
  <w:p w:rsidR="009E1E44" w:rsidRPr="009E1E44" w:rsidRDefault="009E1E44" w:rsidP="00B83CC3">
    <w:pPr>
      <w:pStyle w:val="Header"/>
      <w:ind w:left="720" w:right="720"/>
      <w:jc w:val="right"/>
      <w:rPr>
        <w:sz w:val="30"/>
        <w:szCs w:val="30"/>
      </w:rPr>
    </w:pPr>
    <w:r w:rsidRPr="009E1E44">
      <w:rPr>
        <w:sz w:val="30"/>
        <w:szCs w:val="30"/>
      </w:rPr>
      <w:t>360-</w:t>
    </w:r>
    <w:r w:rsidR="00877946">
      <w:rPr>
        <w:sz w:val="30"/>
        <w:szCs w:val="30"/>
      </w:rPr>
      <w:t>678-5701</w:t>
    </w:r>
    <w:r w:rsidRPr="009E1E44">
      <w:rPr>
        <w:sz w:val="30"/>
        <w:szCs w:val="30"/>
      </w:rPr>
      <w:t xml:space="preserve"> or 1-800-</w:t>
    </w:r>
    <w:r w:rsidR="00877946">
      <w:rPr>
        <w:sz w:val="30"/>
        <w:szCs w:val="30"/>
      </w:rPr>
      <w:t>610-2315</w:t>
    </w:r>
  </w:p>
  <w:p w:rsidR="009E1E44" w:rsidRPr="00877946" w:rsidRDefault="00877946" w:rsidP="00B83CC3">
    <w:pPr>
      <w:pStyle w:val="Header"/>
      <w:ind w:left="720" w:right="720"/>
      <w:jc w:val="right"/>
    </w:pPr>
    <w:r w:rsidRPr="00877946">
      <w:t>c</w:t>
    </w:r>
    <w:r w:rsidR="009E1E44" w:rsidRPr="00877946">
      <w:t>ust</w:t>
    </w:r>
    <w:r w:rsidRPr="00877946">
      <w:t>omerservice2144@wasteconnections.com</w:t>
    </w:r>
  </w:p>
  <w:p w:rsidR="009E1E44" w:rsidRDefault="009E1E44" w:rsidP="00B83CC3">
    <w:pPr>
      <w:pStyle w:val="Header"/>
      <w:ind w:left="720" w:right="720"/>
      <w:jc w:val="right"/>
      <w:rPr>
        <w:i/>
      </w:rPr>
    </w:pPr>
  </w:p>
  <w:p w:rsidR="00877946" w:rsidRDefault="006C62AC" w:rsidP="00B83CC3">
    <w:pPr>
      <w:pStyle w:val="Header"/>
      <w:ind w:left="720" w:right="720"/>
      <w:jc w:val="center"/>
      <w:rPr>
        <w:i/>
      </w:rPr>
    </w:pPr>
    <w:r>
      <w:rPr>
        <w:i/>
      </w:rPr>
      <w:t xml:space="preserve">Coming Soon </w:t>
    </w:r>
  </w:p>
  <w:p w:rsidR="00C55010" w:rsidRDefault="006C62AC" w:rsidP="00B83CC3">
    <w:pPr>
      <w:pStyle w:val="Header"/>
      <w:ind w:left="720" w:right="720"/>
      <w:jc w:val="center"/>
    </w:pPr>
    <w:r w:rsidRPr="007B1022">
      <w:rPr>
        <w:rFonts w:ascii="Copperplate Gothic Bold" w:hAnsi="Copperplate Gothic Bold"/>
      </w:rPr>
      <w:t>AUTOMATED GARBAGE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93802"/>
    <w:multiLevelType w:val="hybridMultilevel"/>
    <w:tmpl w:val="135C1EB2"/>
    <w:lvl w:ilvl="0" w:tplc="8D30E8E0">
      <w:start w:val="1"/>
      <w:numFmt w:val="decimal"/>
      <w:lvlText w:val="%1."/>
      <w:lvlJc w:val="left"/>
      <w:pPr>
        <w:tabs>
          <w:tab w:val="num" w:pos="360"/>
        </w:tabs>
        <w:ind w:left="360" w:hanging="360"/>
      </w:pPr>
      <w:rPr>
        <w:rFonts w:ascii="Times New Roman" w:hAnsi="Times New Roman" w:cs="Times New Roman" w:hint="default"/>
        <w:spacing w:val="-6"/>
        <w:position w:val="0"/>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CF04D03"/>
    <w:multiLevelType w:val="hybridMultilevel"/>
    <w:tmpl w:val="55948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77"/>
    <w:rsid w:val="00133DC4"/>
    <w:rsid w:val="0015134D"/>
    <w:rsid w:val="002A295B"/>
    <w:rsid w:val="00353C18"/>
    <w:rsid w:val="00583A85"/>
    <w:rsid w:val="005A5474"/>
    <w:rsid w:val="006C62AC"/>
    <w:rsid w:val="00755194"/>
    <w:rsid w:val="007801AD"/>
    <w:rsid w:val="00877946"/>
    <w:rsid w:val="008A3CD4"/>
    <w:rsid w:val="009130CE"/>
    <w:rsid w:val="009A6D7B"/>
    <w:rsid w:val="009E1E44"/>
    <w:rsid w:val="00A04185"/>
    <w:rsid w:val="00B0691B"/>
    <w:rsid w:val="00B83CC3"/>
    <w:rsid w:val="00BD0577"/>
    <w:rsid w:val="00BF2C85"/>
    <w:rsid w:val="00CC6174"/>
    <w:rsid w:val="00CE7391"/>
    <w:rsid w:val="00D26318"/>
    <w:rsid w:val="00D5672B"/>
    <w:rsid w:val="00D70DAD"/>
    <w:rsid w:val="00E67908"/>
    <w:rsid w:val="00EC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0577"/>
    <w:pPr>
      <w:tabs>
        <w:tab w:val="center" w:pos="4320"/>
        <w:tab w:val="right" w:pos="8640"/>
      </w:tabs>
    </w:pPr>
  </w:style>
  <w:style w:type="character" w:customStyle="1" w:styleId="HeaderChar">
    <w:name w:val="Header Char"/>
    <w:basedOn w:val="DefaultParagraphFont"/>
    <w:link w:val="Header"/>
    <w:uiPriority w:val="99"/>
    <w:rsid w:val="00BD0577"/>
    <w:rPr>
      <w:rFonts w:ascii="Times New Roman" w:eastAsia="Times New Roman" w:hAnsi="Times New Roman" w:cs="Times New Roman"/>
      <w:sz w:val="24"/>
      <w:szCs w:val="24"/>
    </w:rPr>
  </w:style>
  <w:style w:type="paragraph" w:styleId="Footer">
    <w:name w:val="footer"/>
    <w:basedOn w:val="Normal"/>
    <w:link w:val="FooterChar"/>
    <w:rsid w:val="00BD0577"/>
    <w:pPr>
      <w:tabs>
        <w:tab w:val="center" w:pos="4320"/>
        <w:tab w:val="right" w:pos="8640"/>
      </w:tabs>
    </w:pPr>
  </w:style>
  <w:style w:type="character" w:customStyle="1" w:styleId="FooterChar">
    <w:name w:val="Footer Char"/>
    <w:basedOn w:val="DefaultParagraphFont"/>
    <w:link w:val="Footer"/>
    <w:rsid w:val="00BD0577"/>
    <w:rPr>
      <w:rFonts w:ascii="Times New Roman" w:eastAsia="Times New Roman" w:hAnsi="Times New Roman" w:cs="Times New Roman"/>
      <w:sz w:val="24"/>
      <w:szCs w:val="24"/>
    </w:rPr>
  </w:style>
  <w:style w:type="paragraph" w:styleId="ListParagraph">
    <w:name w:val="List Paragraph"/>
    <w:basedOn w:val="Normal"/>
    <w:uiPriority w:val="34"/>
    <w:qFormat/>
    <w:rsid w:val="00BD0577"/>
    <w:pPr>
      <w:ind w:left="720"/>
      <w:contextualSpacing/>
    </w:pPr>
  </w:style>
  <w:style w:type="table" w:styleId="TableGrid">
    <w:name w:val="Table Grid"/>
    <w:basedOn w:val="TableNormal"/>
    <w:uiPriority w:val="59"/>
    <w:rsid w:val="00BD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577"/>
    <w:rPr>
      <w:rFonts w:ascii="Tahoma" w:hAnsi="Tahoma" w:cs="Tahoma"/>
      <w:sz w:val="16"/>
      <w:szCs w:val="16"/>
    </w:rPr>
  </w:style>
  <w:style w:type="character" w:customStyle="1" w:styleId="BalloonTextChar">
    <w:name w:val="Balloon Text Char"/>
    <w:basedOn w:val="DefaultParagraphFont"/>
    <w:link w:val="BalloonText"/>
    <w:uiPriority w:val="99"/>
    <w:semiHidden/>
    <w:rsid w:val="00BD0577"/>
    <w:rPr>
      <w:rFonts w:ascii="Tahoma" w:eastAsia="Times New Roman" w:hAnsi="Tahoma" w:cs="Tahoma"/>
      <w:sz w:val="16"/>
      <w:szCs w:val="16"/>
    </w:rPr>
  </w:style>
  <w:style w:type="character" w:styleId="Hyperlink">
    <w:name w:val="Hyperlink"/>
    <w:basedOn w:val="DefaultParagraphFont"/>
    <w:uiPriority w:val="99"/>
    <w:unhideWhenUsed/>
    <w:rsid w:val="009E1E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0577"/>
    <w:pPr>
      <w:tabs>
        <w:tab w:val="center" w:pos="4320"/>
        <w:tab w:val="right" w:pos="8640"/>
      </w:tabs>
    </w:pPr>
  </w:style>
  <w:style w:type="character" w:customStyle="1" w:styleId="HeaderChar">
    <w:name w:val="Header Char"/>
    <w:basedOn w:val="DefaultParagraphFont"/>
    <w:link w:val="Header"/>
    <w:uiPriority w:val="99"/>
    <w:rsid w:val="00BD0577"/>
    <w:rPr>
      <w:rFonts w:ascii="Times New Roman" w:eastAsia="Times New Roman" w:hAnsi="Times New Roman" w:cs="Times New Roman"/>
      <w:sz w:val="24"/>
      <w:szCs w:val="24"/>
    </w:rPr>
  </w:style>
  <w:style w:type="paragraph" w:styleId="Footer">
    <w:name w:val="footer"/>
    <w:basedOn w:val="Normal"/>
    <w:link w:val="FooterChar"/>
    <w:rsid w:val="00BD0577"/>
    <w:pPr>
      <w:tabs>
        <w:tab w:val="center" w:pos="4320"/>
        <w:tab w:val="right" w:pos="8640"/>
      </w:tabs>
    </w:pPr>
  </w:style>
  <w:style w:type="character" w:customStyle="1" w:styleId="FooterChar">
    <w:name w:val="Footer Char"/>
    <w:basedOn w:val="DefaultParagraphFont"/>
    <w:link w:val="Footer"/>
    <w:rsid w:val="00BD0577"/>
    <w:rPr>
      <w:rFonts w:ascii="Times New Roman" w:eastAsia="Times New Roman" w:hAnsi="Times New Roman" w:cs="Times New Roman"/>
      <w:sz w:val="24"/>
      <w:szCs w:val="24"/>
    </w:rPr>
  </w:style>
  <w:style w:type="paragraph" w:styleId="ListParagraph">
    <w:name w:val="List Paragraph"/>
    <w:basedOn w:val="Normal"/>
    <w:uiPriority w:val="34"/>
    <w:qFormat/>
    <w:rsid w:val="00BD0577"/>
    <w:pPr>
      <w:ind w:left="720"/>
      <w:contextualSpacing/>
    </w:pPr>
  </w:style>
  <w:style w:type="table" w:styleId="TableGrid">
    <w:name w:val="Table Grid"/>
    <w:basedOn w:val="TableNormal"/>
    <w:uiPriority w:val="59"/>
    <w:rsid w:val="00BD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577"/>
    <w:rPr>
      <w:rFonts w:ascii="Tahoma" w:hAnsi="Tahoma" w:cs="Tahoma"/>
      <w:sz w:val="16"/>
      <w:szCs w:val="16"/>
    </w:rPr>
  </w:style>
  <w:style w:type="character" w:customStyle="1" w:styleId="BalloonTextChar">
    <w:name w:val="Balloon Text Char"/>
    <w:basedOn w:val="DefaultParagraphFont"/>
    <w:link w:val="BalloonText"/>
    <w:uiPriority w:val="99"/>
    <w:semiHidden/>
    <w:rsid w:val="00BD0577"/>
    <w:rPr>
      <w:rFonts w:ascii="Tahoma" w:eastAsia="Times New Roman" w:hAnsi="Tahoma" w:cs="Tahoma"/>
      <w:sz w:val="16"/>
      <w:szCs w:val="16"/>
    </w:rPr>
  </w:style>
  <w:style w:type="character" w:styleId="Hyperlink">
    <w:name w:val="Hyperlink"/>
    <w:basedOn w:val="DefaultParagraphFont"/>
    <w:uiPriority w:val="99"/>
    <w:unhideWhenUsed/>
    <w:rsid w:val="009E1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9444E766EBB144809637EC1C32A279" ma:contentTypeVersion="56" ma:contentTypeDescription="" ma:contentTypeScope="" ma:versionID="9581149332dc53af1ad362b543bc8d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2019-05-23T07:00:00+00:00</OpenedDate>
    <SignificantOrder xmlns="dc463f71-b30c-4ab2-9473-d307f9d35888">false</SignificantOrder>
    <Date1 xmlns="dc463f71-b30c-4ab2-9473-d307f9d35888">2019-05-23T07:00:00+00:00</Date1>
    <IsDocumentOrder xmlns="dc463f71-b30c-4ab2-9473-d307f9d35888">false</IsDocumentOrder>
    <IsHighlyConfidential xmlns="dc463f71-b30c-4ab2-9473-d307f9d35888">false</IsHighlyConfidential>
    <CaseCompanyNames xmlns="dc463f71-b30c-4ab2-9473-d307f9d35888">Island Disposal, Inc. </CaseCompanyNames>
    <Nickname xmlns="http://schemas.microsoft.com/sharepoint/v3" xsi:nil="true"/>
    <DocketNumber xmlns="dc463f71-b30c-4ab2-9473-d307f9d35888">190421</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FF7FCCF-B3D0-49C4-998C-47285E33F4E4}"/>
</file>

<file path=customXml/itemProps2.xml><?xml version="1.0" encoding="utf-8"?>
<ds:datastoreItem xmlns:ds="http://schemas.openxmlformats.org/officeDocument/2006/customXml" ds:itemID="{8AB7FCAD-9588-4484-8366-534A77B93F85}"/>
</file>

<file path=customXml/itemProps3.xml><?xml version="1.0" encoding="utf-8"?>
<ds:datastoreItem xmlns:ds="http://schemas.openxmlformats.org/officeDocument/2006/customXml" ds:itemID="{2FF819FE-E6CF-4035-9900-7127F8CEAE01}"/>
</file>

<file path=customXml/itemProps4.xml><?xml version="1.0" encoding="utf-8"?>
<ds:datastoreItem xmlns:ds="http://schemas.openxmlformats.org/officeDocument/2006/customXml" ds:itemID="{83E48A96-43EB-4461-AEB2-9BBBC88EE0CC}"/>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R360 Environmental Solutions</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Most</dc:creator>
  <cp:lastModifiedBy>Heather Garland</cp:lastModifiedBy>
  <cp:revision>3</cp:revision>
  <cp:lastPrinted>2019-05-21T18:16:00Z</cp:lastPrinted>
  <dcterms:created xsi:type="dcterms:W3CDTF">2019-05-22T22:47:00Z</dcterms:created>
  <dcterms:modified xsi:type="dcterms:W3CDTF">2019-05-23T15:36:00Z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0x0101006E56B4D1795A2E4DB2F0B01679ED314A00409444E766EBB144809637EC1C32A279</vt:lpwstr>
  </property>
  <property fmtid="{D5CDD505-2E9C-101B-9397-08002B2CF9AE}" pid="3" name="_docset_NoMedatataSyncRequired">
    <vt:lpwstr>False</vt:lpwstr>
  </property>
  <property fmtid="{D5CDD505-2E9C-101B-9397-08002B2CF9AE}" pid="4" name="IsEFSEC">
    <vt:bool>false</vt:bool>
  </property>
</Properties>
</file>