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6890B" w14:textId="6C361B08" w:rsidR="00B34231" w:rsidRPr="00757B82" w:rsidRDefault="00B34231" w:rsidP="00B34231">
      <w:pPr>
        <w:rPr>
          <w:rFonts w:asciiTheme="minorHAnsi" w:hAnsiTheme="minorHAnsi"/>
          <w:sz w:val="24"/>
        </w:rPr>
      </w:pPr>
      <w:r w:rsidRPr="00757B82">
        <w:rPr>
          <w:rFonts w:asciiTheme="minorHAnsi" w:hAnsiTheme="minorHAnsi"/>
          <w:sz w:val="24"/>
        </w:rPr>
        <w:t xml:space="preserve">August </w:t>
      </w:r>
      <w:r w:rsidR="0028749F">
        <w:rPr>
          <w:rFonts w:asciiTheme="minorHAnsi" w:hAnsiTheme="minorHAnsi"/>
          <w:sz w:val="24"/>
        </w:rPr>
        <w:t>2</w:t>
      </w:r>
      <w:r w:rsidRPr="00757B82">
        <w:rPr>
          <w:rFonts w:asciiTheme="minorHAnsi" w:hAnsiTheme="minorHAnsi"/>
          <w:sz w:val="24"/>
        </w:rPr>
        <w:t>, 2018</w:t>
      </w:r>
    </w:p>
    <w:p w14:paraId="54A4158E" w14:textId="77777777" w:rsidR="00B34231" w:rsidRPr="00757B82" w:rsidRDefault="00B34231" w:rsidP="00B34231">
      <w:pPr>
        <w:rPr>
          <w:rFonts w:asciiTheme="minorHAnsi" w:hAnsiTheme="minorHAnsi"/>
          <w:sz w:val="24"/>
        </w:rPr>
      </w:pPr>
    </w:p>
    <w:p w14:paraId="62D1F7B4" w14:textId="77777777" w:rsidR="00F42171" w:rsidRDefault="00F42171" w:rsidP="00B34231">
      <w:pPr>
        <w:rPr>
          <w:rFonts w:asciiTheme="minorHAnsi" w:hAnsiTheme="minorHAnsi"/>
          <w:sz w:val="24"/>
        </w:rPr>
      </w:pPr>
    </w:p>
    <w:p w14:paraId="4967ED51" w14:textId="77777777" w:rsidR="00F42171" w:rsidRDefault="00F42171" w:rsidP="00B34231">
      <w:pPr>
        <w:rPr>
          <w:rFonts w:asciiTheme="minorHAnsi" w:hAnsiTheme="minorHAnsi"/>
          <w:sz w:val="24"/>
        </w:rPr>
      </w:pPr>
    </w:p>
    <w:p w14:paraId="35DBC905" w14:textId="2C18AB14" w:rsidR="00B34231" w:rsidRPr="00757B82" w:rsidRDefault="00B34231" w:rsidP="00B34231">
      <w:pPr>
        <w:rPr>
          <w:rFonts w:asciiTheme="minorHAnsi" w:hAnsiTheme="minorHAnsi"/>
          <w:sz w:val="24"/>
        </w:rPr>
      </w:pPr>
      <w:r w:rsidRPr="00757B82">
        <w:rPr>
          <w:rFonts w:asciiTheme="minorHAnsi" w:hAnsiTheme="minorHAnsi"/>
          <w:sz w:val="24"/>
        </w:rPr>
        <w:t>Mr. Mark L. Johnson</w:t>
      </w:r>
    </w:p>
    <w:p w14:paraId="4BBB95E3" w14:textId="77777777" w:rsidR="00B34231" w:rsidRPr="00757B82" w:rsidRDefault="00B34231" w:rsidP="00B34231">
      <w:pPr>
        <w:rPr>
          <w:rFonts w:asciiTheme="minorHAnsi" w:hAnsiTheme="minorHAnsi"/>
          <w:sz w:val="24"/>
        </w:rPr>
      </w:pPr>
      <w:r w:rsidRPr="00757B82">
        <w:rPr>
          <w:rFonts w:asciiTheme="minorHAnsi" w:hAnsiTheme="minorHAnsi"/>
          <w:sz w:val="24"/>
        </w:rPr>
        <w:t>Executive Director and Secretary</w:t>
      </w:r>
    </w:p>
    <w:p w14:paraId="767213D5" w14:textId="77777777" w:rsidR="00B34231" w:rsidRPr="00757B82" w:rsidRDefault="00B34231" w:rsidP="00B34231">
      <w:pPr>
        <w:rPr>
          <w:rFonts w:asciiTheme="minorHAnsi" w:hAnsiTheme="minorHAnsi"/>
          <w:sz w:val="24"/>
        </w:rPr>
      </w:pPr>
      <w:r w:rsidRPr="00757B82">
        <w:rPr>
          <w:rFonts w:asciiTheme="minorHAnsi" w:hAnsiTheme="minorHAnsi"/>
          <w:sz w:val="24"/>
        </w:rPr>
        <w:t>Washington Utilities &amp; Transportation Commission</w:t>
      </w:r>
    </w:p>
    <w:p w14:paraId="116FC193" w14:textId="77777777" w:rsidR="00B34231" w:rsidRPr="00757B82" w:rsidRDefault="00B34231" w:rsidP="00B34231">
      <w:pPr>
        <w:rPr>
          <w:rFonts w:asciiTheme="minorHAnsi" w:hAnsiTheme="minorHAnsi"/>
          <w:sz w:val="24"/>
        </w:rPr>
      </w:pPr>
      <w:r w:rsidRPr="00757B82">
        <w:rPr>
          <w:rFonts w:asciiTheme="minorHAnsi" w:hAnsiTheme="minorHAnsi"/>
          <w:sz w:val="24"/>
        </w:rPr>
        <w:t>P.O. Box 47250</w:t>
      </w:r>
    </w:p>
    <w:p w14:paraId="530BBE58" w14:textId="0761ED29" w:rsidR="005E2FD0" w:rsidRPr="00757B82" w:rsidRDefault="00B34231" w:rsidP="00B34231">
      <w:pPr>
        <w:rPr>
          <w:rFonts w:asciiTheme="minorHAnsi" w:hAnsiTheme="minorHAnsi"/>
          <w:sz w:val="24"/>
        </w:rPr>
      </w:pPr>
      <w:r w:rsidRPr="00757B82">
        <w:rPr>
          <w:rFonts w:asciiTheme="minorHAnsi" w:hAnsiTheme="minorHAnsi"/>
          <w:sz w:val="24"/>
        </w:rPr>
        <w:t>Olympia, WA  98504-7250</w:t>
      </w:r>
    </w:p>
    <w:p w14:paraId="73FC3848" w14:textId="77777777" w:rsidR="005E2FD0" w:rsidRPr="00757B82" w:rsidRDefault="005E2FD0" w:rsidP="00E352E5">
      <w:pPr>
        <w:rPr>
          <w:rFonts w:asciiTheme="minorHAnsi" w:hAnsiTheme="minorHAnsi"/>
          <w:sz w:val="24"/>
        </w:rPr>
      </w:pPr>
    </w:p>
    <w:p w14:paraId="661D270A" w14:textId="388F88B9" w:rsidR="00B34231" w:rsidRPr="00757B82" w:rsidRDefault="00B34231" w:rsidP="00B34231">
      <w:pPr>
        <w:rPr>
          <w:rFonts w:asciiTheme="minorHAnsi" w:hAnsiTheme="minorHAnsi"/>
          <w:b/>
          <w:sz w:val="24"/>
        </w:rPr>
      </w:pPr>
      <w:r w:rsidRPr="00757B82">
        <w:rPr>
          <w:rFonts w:asciiTheme="minorHAnsi" w:hAnsiTheme="minorHAnsi"/>
          <w:b/>
          <w:sz w:val="24"/>
        </w:rPr>
        <w:t>Re:</w:t>
      </w:r>
      <w:r w:rsidRPr="00757B82">
        <w:rPr>
          <w:rFonts w:asciiTheme="minorHAnsi" w:hAnsiTheme="minorHAnsi"/>
          <w:b/>
          <w:sz w:val="24"/>
        </w:rPr>
        <w:tab/>
        <w:t>UG-</w:t>
      </w:r>
      <w:r w:rsidR="009F4E11">
        <w:rPr>
          <w:rFonts w:asciiTheme="minorHAnsi" w:hAnsiTheme="minorHAnsi"/>
          <w:b/>
          <w:sz w:val="24"/>
        </w:rPr>
        <w:t>160967</w:t>
      </w:r>
      <w:r w:rsidRPr="00757B82">
        <w:rPr>
          <w:rFonts w:asciiTheme="minorHAnsi" w:hAnsiTheme="minorHAnsi"/>
          <w:b/>
          <w:sz w:val="24"/>
        </w:rPr>
        <w:t xml:space="preserve">, Advice No. 18-08-01 </w:t>
      </w:r>
    </w:p>
    <w:p w14:paraId="076F85F9" w14:textId="77777777" w:rsidR="00B34231" w:rsidRPr="00757B82" w:rsidRDefault="00B34231" w:rsidP="00B34231">
      <w:pPr>
        <w:rPr>
          <w:rFonts w:asciiTheme="minorHAnsi" w:hAnsiTheme="minorHAnsi"/>
          <w:b/>
          <w:sz w:val="24"/>
        </w:rPr>
      </w:pPr>
      <w:r w:rsidRPr="00757B82">
        <w:rPr>
          <w:rFonts w:asciiTheme="minorHAnsi" w:hAnsiTheme="minorHAnsi"/>
          <w:b/>
          <w:sz w:val="24"/>
        </w:rPr>
        <w:tab/>
        <w:t>Schedule 12, Rule 8, Extension of Distribution Facilities</w:t>
      </w:r>
    </w:p>
    <w:p w14:paraId="5C73650A" w14:textId="77777777" w:rsidR="00B34231" w:rsidRPr="00757B82" w:rsidRDefault="00B34231" w:rsidP="00B34231">
      <w:pPr>
        <w:rPr>
          <w:rFonts w:asciiTheme="minorHAnsi" w:hAnsiTheme="minorHAnsi"/>
          <w:b/>
          <w:sz w:val="24"/>
        </w:rPr>
      </w:pPr>
    </w:p>
    <w:p w14:paraId="562BB8D1" w14:textId="77777777" w:rsidR="00F42171" w:rsidRDefault="00F42171" w:rsidP="00B34231">
      <w:pPr>
        <w:rPr>
          <w:rFonts w:asciiTheme="minorHAnsi" w:hAnsiTheme="minorHAnsi"/>
          <w:sz w:val="24"/>
        </w:rPr>
      </w:pPr>
    </w:p>
    <w:p w14:paraId="51F82AB1" w14:textId="3308081B" w:rsidR="00B34231" w:rsidRPr="00757B82" w:rsidRDefault="00B34231" w:rsidP="00B34231">
      <w:pPr>
        <w:rPr>
          <w:rFonts w:asciiTheme="minorHAnsi" w:hAnsiTheme="minorHAnsi"/>
          <w:sz w:val="24"/>
        </w:rPr>
      </w:pPr>
      <w:r w:rsidRPr="00757B82">
        <w:rPr>
          <w:rFonts w:asciiTheme="minorHAnsi" w:hAnsiTheme="minorHAnsi"/>
          <w:sz w:val="24"/>
        </w:rPr>
        <w:t>Dear Mr. Johnson,</w:t>
      </w:r>
    </w:p>
    <w:p w14:paraId="388A9E05" w14:textId="77777777" w:rsidR="00B34231" w:rsidRPr="00757B82" w:rsidRDefault="00B34231" w:rsidP="00B34231">
      <w:pPr>
        <w:rPr>
          <w:rFonts w:asciiTheme="minorHAnsi" w:hAnsiTheme="minorHAnsi"/>
          <w:sz w:val="24"/>
        </w:rPr>
      </w:pPr>
    </w:p>
    <w:p w14:paraId="38DCF7DD" w14:textId="77777777" w:rsidR="00B34231" w:rsidRPr="00757B82" w:rsidRDefault="00B34231" w:rsidP="00B34231">
      <w:pPr>
        <w:rPr>
          <w:rFonts w:asciiTheme="minorHAnsi" w:hAnsiTheme="minorHAnsi"/>
          <w:sz w:val="24"/>
        </w:rPr>
      </w:pPr>
      <w:r w:rsidRPr="00757B82">
        <w:rPr>
          <w:rFonts w:asciiTheme="minorHAnsi" w:hAnsiTheme="minorHAnsi"/>
          <w:sz w:val="24"/>
        </w:rPr>
        <w:t xml:space="preserve">Cascade Natural Gas Corporation (“Cascade” or the “Company”) files herewith the following revisions to its Tariff, WN U-3, stated to become effective with service on and after </w:t>
      </w:r>
      <w:r w:rsidRPr="00757B82">
        <w:rPr>
          <w:rFonts w:asciiTheme="minorHAnsi" w:hAnsiTheme="minorHAnsi"/>
          <w:sz w:val="24"/>
          <w:u w:val="single"/>
        </w:rPr>
        <w:t>September 1, 2018</w:t>
      </w:r>
      <w:r w:rsidRPr="00757B82">
        <w:rPr>
          <w:rFonts w:asciiTheme="minorHAnsi" w:hAnsiTheme="minorHAnsi"/>
          <w:sz w:val="24"/>
        </w:rPr>
        <w:t>:</w:t>
      </w:r>
    </w:p>
    <w:p w14:paraId="7497BE2E" w14:textId="23C5397F" w:rsidR="00B34231" w:rsidRPr="00757B82" w:rsidRDefault="00B34231" w:rsidP="00B34231">
      <w:pPr>
        <w:rPr>
          <w:rFonts w:asciiTheme="minorHAnsi" w:hAnsiTheme="minorHAnsi"/>
          <w:sz w:val="24"/>
        </w:rPr>
      </w:pPr>
    </w:p>
    <w:p w14:paraId="6FE67732" w14:textId="77777777" w:rsidR="00B34231" w:rsidRPr="00757B82" w:rsidRDefault="00B34231" w:rsidP="00B34231">
      <w:pPr>
        <w:rPr>
          <w:rFonts w:asciiTheme="minorHAnsi" w:hAnsiTheme="minorHAnsi"/>
          <w:sz w:val="24"/>
        </w:rPr>
      </w:pPr>
      <w:r w:rsidRPr="00757B82">
        <w:rPr>
          <w:rFonts w:asciiTheme="minorHAnsi" w:hAnsiTheme="minorHAnsi"/>
          <w:sz w:val="24"/>
        </w:rPr>
        <w:t>Twelfth Revision of Sheet No. 12</w:t>
      </w:r>
    </w:p>
    <w:p w14:paraId="7777A44F" w14:textId="77777777" w:rsidR="00B34231" w:rsidRPr="00757B82" w:rsidRDefault="00B34231" w:rsidP="00B34231">
      <w:pPr>
        <w:rPr>
          <w:rFonts w:asciiTheme="minorHAnsi" w:hAnsiTheme="minorHAnsi"/>
          <w:sz w:val="24"/>
        </w:rPr>
      </w:pPr>
      <w:r w:rsidRPr="00757B82">
        <w:rPr>
          <w:rFonts w:asciiTheme="minorHAnsi" w:hAnsiTheme="minorHAnsi"/>
          <w:sz w:val="24"/>
        </w:rPr>
        <w:t xml:space="preserve">Third Revision of Sheet No. 12-A </w:t>
      </w:r>
    </w:p>
    <w:p w14:paraId="667B24C1" w14:textId="1E8D0239" w:rsidR="00B34231" w:rsidRPr="00757B82" w:rsidRDefault="00B34231" w:rsidP="00B34231">
      <w:pPr>
        <w:rPr>
          <w:rFonts w:asciiTheme="minorHAnsi" w:hAnsiTheme="minorHAnsi"/>
          <w:sz w:val="24"/>
        </w:rPr>
      </w:pPr>
      <w:r w:rsidRPr="00757B82">
        <w:rPr>
          <w:rFonts w:asciiTheme="minorHAnsi" w:hAnsiTheme="minorHAnsi"/>
          <w:sz w:val="24"/>
        </w:rPr>
        <w:t>Third Revision of Sheet No. 12-B</w:t>
      </w:r>
    </w:p>
    <w:p w14:paraId="229AF51D" w14:textId="77777777" w:rsidR="00B34231" w:rsidRPr="00757B82" w:rsidRDefault="00B34231" w:rsidP="00B34231">
      <w:pPr>
        <w:rPr>
          <w:rFonts w:asciiTheme="minorHAnsi" w:hAnsiTheme="minorHAnsi"/>
          <w:sz w:val="24"/>
        </w:rPr>
      </w:pPr>
    </w:p>
    <w:p w14:paraId="7C67F21A" w14:textId="722706EC" w:rsidR="00B34231" w:rsidRDefault="00B34231" w:rsidP="00B34231">
      <w:pPr>
        <w:rPr>
          <w:rFonts w:asciiTheme="minorHAnsi" w:hAnsiTheme="minorHAnsi"/>
          <w:sz w:val="24"/>
        </w:rPr>
      </w:pPr>
      <w:r w:rsidRPr="00757B82">
        <w:rPr>
          <w:rFonts w:asciiTheme="minorHAnsi" w:hAnsiTheme="minorHAnsi"/>
          <w:sz w:val="24"/>
        </w:rPr>
        <w:t xml:space="preserve">The purpose of this filing is to revise the Company’s line extension allowance amounts for residential customers on rate schedule 503 and commercial customers on rate schedule 504.  The allowances have been revised to reflect the Company’s new authorized rate of return and revenues per customer class as approved per Commission Order No. 06 issued in UG-170929. </w:t>
      </w:r>
    </w:p>
    <w:p w14:paraId="5E417C80" w14:textId="165D4738" w:rsidR="00757B82" w:rsidRDefault="00757B82" w:rsidP="00B34231">
      <w:pPr>
        <w:rPr>
          <w:rFonts w:asciiTheme="minorHAnsi" w:hAnsiTheme="minorHAnsi"/>
          <w:sz w:val="24"/>
        </w:rPr>
      </w:pPr>
    </w:p>
    <w:p w14:paraId="1381FA5A" w14:textId="7118CC50" w:rsidR="009F4E11" w:rsidRPr="009F4E11" w:rsidRDefault="009F4E11" w:rsidP="009F4E11">
      <w:pPr>
        <w:jc w:val="center"/>
        <w:rPr>
          <w:rFonts w:asciiTheme="minorHAnsi" w:hAnsiTheme="minorHAnsi"/>
          <w:b/>
          <w:sz w:val="24"/>
        </w:rPr>
      </w:pPr>
      <w:r w:rsidRPr="009F4E11">
        <w:rPr>
          <w:rFonts w:asciiTheme="minorHAnsi" w:hAnsiTheme="minorHAnsi"/>
          <w:b/>
          <w:sz w:val="24"/>
        </w:rPr>
        <w:t>Background</w:t>
      </w:r>
    </w:p>
    <w:p w14:paraId="22508F6D" w14:textId="77777777" w:rsidR="009F4E11" w:rsidRDefault="009F4E11" w:rsidP="00B34231">
      <w:pPr>
        <w:rPr>
          <w:rFonts w:asciiTheme="minorHAnsi" w:hAnsiTheme="minorHAnsi"/>
          <w:sz w:val="24"/>
        </w:rPr>
      </w:pPr>
    </w:p>
    <w:p w14:paraId="170546B5" w14:textId="4441C729" w:rsidR="00757B82" w:rsidRDefault="00757B82" w:rsidP="00757B82">
      <w:pPr>
        <w:rPr>
          <w:rFonts w:ascii="Calibri" w:hAnsi="Calibri"/>
          <w:sz w:val="24"/>
        </w:rPr>
      </w:pPr>
      <w:r>
        <w:rPr>
          <w:rFonts w:asciiTheme="minorHAnsi" w:hAnsiTheme="minorHAnsi"/>
          <w:sz w:val="24"/>
        </w:rPr>
        <w:t xml:space="preserve">The Company currently uses the Perpetual New Present Value </w:t>
      </w:r>
      <w:r w:rsidR="00F42171">
        <w:rPr>
          <w:rFonts w:asciiTheme="minorHAnsi" w:hAnsiTheme="minorHAnsi"/>
          <w:sz w:val="24"/>
        </w:rPr>
        <w:t xml:space="preserve">(PNPV) </w:t>
      </w:r>
      <w:r>
        <w:rPr>
          <w:rFonts w:asciiTheme="minorHAnsi" w:hAnsiTheme="minorHAnsi"/>
          <w:sz w:val="24"/>
        </w:rPr>
        <w:t xml:space="preserve">methodology for calculating its line extension allowances.  </w:t>
      </w:r>
      <w:r>
        <w:rPr>
          <w:rFonts w:ascii="Calibri" w:hAnsi="Calibri"/>
          <w:sz w:val="24"/>
        </w:rPr>
        <w:t>Commission staff has expressed</w:t>
      </w:r>
      <w:r w:rsidRPr="00757B82">
        <w:rPr>
          <w:rFonts w:ascii="Calibri" w:hAnsi="Calibri"/>
          <w:sz w:val="24"/>
        </w:rPr>
        <w:t xml:space="preserve"> </w:t>
      </w:r>
      <w:r>
        <w:rPr>
          <w:rFonts w:ascii="Calibri" w:hAnsi="Calibri"/>
          <w:sz w:val="24"/>
        </w:rPr>
        <w:t>support for t</w:t>
      </w:r>
      <w:r w:rsidRPr="00757B82">
        <w:rPr>
          <w:rFonts w:ascii="Calibri" w:hAnsi="Calibri"/>
          <w:sz w:val="24"/>
        </w:rPr>
        <w:t>his methodology because it produces the maximum line extension allowance that is</w:t>
      </w:r>
      <w:r>
        <w:rPr>
          <w:rFonts w:ascii="Calibri" w:hAnsi="Calibri"/>
          <w:sz w:val="24"/>
        </w:rPr>
        <w:t xml:space="preserve"> </w:t>
      </w:r>
      <w:r w:rsidRPr="00757B82">
        <w:rPr>
          <w:rFonts w:ascii="Calibri" w:hAnsi="Calibri"/>
          <w:sz w:val="24"/>
        </w:rPr>
        <w:t>economically-viable for the company.</w:t>
      </w:r>
      <w:r>
        <w:rPr>
          <w:rStyle w:val="FootnoteReference"/>
          <w:rFonts w:ascii="Calibri" w:hAnsi="Calibri"/>
          <w:sz w:val="24"/>
        </w:rPr>
        <w:footnoteReference w:id="1"/>
      </w:r>
    </w:p>
    <w:p w14:paraId="5B9CA377" w14:textId="383541A6" w:rsidR="00757B82" w:rsidRDefault="00757B82" w:rsidP="00757B82">
      <w:pPr>
        <w:rPr>
          <w:rFonts w:ascii="Calibri" w:hAnsi="Calibri"/>
          <w:sz w:val="24"/>
        </w:rPr>
      </w:pPr>
    </w:p>
    <w:p w14:paraId="6E244A1B" w14:textId="6284A5CB" w:rsidR="00757B82" w:rsidRPr="00757B82" w:rsidRDefault="00757B82" w:rsidP="00757B82">
      <w:pPr>
        <w:rPr>
          <w:rFonts w:ascii="Calibri" w:hAnsi="Calibri"/>
          <w:sz w:val="24"/>
        </w:rPr>
      </w:pPr>
      <w:r w:rsidRPr="00757B82">
        <w:rPr>
          <w:rFonts w:ascii="Calibri" w:hAnsi="Calibri"/>
          <w:sz w:val="24"/>
          <w:szCs w:val="24"/>
        </w:rPr>
        <w:lastRenderedPageBreak/>
        <w:t>A PNPV allowance is the annual basic service charge and distribution revenue for the average residential or average commercial custo</w:t>
      </w:r>
      <w:bookmarkStart w:id="0" w:name="_GoBack"/>
      <w:bookmarkEnd w:id="0"/>
      <w:r w:rsidRPr="00757B82">
        <w:rPr>
          <w:rFonts w:ascii="Calibri" w:hAnsi="Calibri"/>
          <w:sz w:val="24"/>
          <w:szCs w:val="24"/>
        </w:rPr>
        <w:t>mers, as applicable, divided by 7.3</w:t>
      </w:r>
      <w:r>
        <w:rPr>
          <w:rFonts w:ascii="Calibri" w:hAnsi="Calibri"/>
          <w:sz w:val="24"/>
          <w:szCs w:val="24"/>
        </w:rPr>
        <w:t>1</w:t>
      </w:r>
      <w:r w:rsidRPr="00757B82">
        <w:rPr>
          <w:rFonts w:ascii="Calibri" w:hAnsi="Calibri"/>
          <w:sz w:val="24"/>
          <w:szCs w:val="24"/>
        </w:rPr>
        <w:t>%, which is the Company’s approved pre-tax rate of return as approved in Commission Order No. 0</w:t>
      </w:r>
      <w:r>
        <w:rPr>
          <w:rFonts w:ascii="Calibri" w:hAnsi="Calibri"/>
          <w:sz w:val="24"/>
          <w:szCs w:val="24"/>
        </w:rPr>
        <w:t>6</w:t>
      </w:r>
      <w:r w:rsidRPr="00757B82">
        <w:rPr>
          <w:rFonts w:ascii="Calibri" w:hAnsi="Calibri"/>
          <w:sz w:val="24"/>
          <w:szCs w:val="24"/>
        </w:rPr>
        <w:t xml:space="preserve"> issued in UG-1</w:t>
      </w:r>
      <w:r>
        <w:rPr>
          <w:rFonts w:ascii="Calibri" w:hAnsi="Calibri"/>
          <w:sz w:val="24"/>
          <w:szCs w:val="24"/>
        </w:rPr>
        <w:t>70929</w:t>
      </w:r>
      <w:r w:rsidRPr="00757B82">
        <w:rPr>
          <w:rFonts w:ascii="Calibri" w:hAnsi="Calibri"/>
          <w:sz w:val="24"/>
          <w:szCs w:val="24"/>
        </w:rPr>
        <w:t>.  This methodology results in an upfront allowance for residential customers not to exceed $3</w:t>
      </w:r>
      <w:r w:rsidR="009C0B3D">
        <w:rPr>
          <w:rFonts w:ascii="Calibri" w:hAnsi="Calibri"/>
          <w:sz w:val="24"/>
          <w:szCs w:val="24"/>
        </w:rPr>
        <w:t>,</w:t>
      </w:r>
      <w:r>
        <w:rPr>
          <w:rFonts w:ascii="Calibri" w:hAnsi="Calibri"/>
          <w:sz w:val="24"/>
          <w:szCs w:val="24"/>
        </w:rPr>
        <w:t>275</w:t>
      </w:r>
      <w:r w:rsidRPr="00757B82">
        <w:rPr>
          <w:rFonts w:ascii="Calibri" w:hAnsi="Calibri"/>
          <w:sz w:val="24"/>
          <w:szCs w:val="24"/>
        </w:rPr>
        <w:t xml:space="preserve"> and an allowance of no more than $</w:t>
      </w:r>
      <w:r>
        <w:rPr>
          <w:rFonts w:ascii="Calibri" w:hAnsi="Calibri"/>
          <w:sz w:val="24"/>
          <w:szCs w:val="24"/>
        </w:rPr>
        <w:t>12,500</w:t>
      </w:r>
      <w:r w:rsidRPr="00757B82">
        <w:rPr>
          <w:rFonts w:ascii="Calibri" w:hAnsi="Calibri"/>
          <w:sz w:val="24"/>
          <w:szCs w:val="24"/>
        </w:rPr>
        <w:t xml:space="preserve"> for commercial customers.  Attached is a work paper that shows how the line extension allowance was derived.  </w:t>
      </w:r>
    </w:p>
    <w:p w14:paraId="3ABFD857" w14:textId="5F630209" w:rsidR="00B34231" w:rsidRDefault="00B34231" w:rsidP="00B34231">
      <w:pPr>
        <w:rPr>
          <w:rFonts w:asciiTheme="minorHAnsi" w:hAnsiTheme="minorHAnsi"/>
          <w:sz w:val="24"/>
        </w:rPr>
      </w:pPr>
    </w:p>
    <w:p w14:paraId="6CDB560C" w14:textId="77777777" w:rsidR="00B34231" w:rsidRPr="00757B82" w:rsidRDefault="00B34231" w:rsidP="00B34231">
      <w:pPr>
        <w:rPr>
          <w:rFonts w:asciiTheme="minorHAnsi" w:hAnsiTheme="minorHAnsi"/>
          <w:sz w:val="24"/>
        </w:rPr>
      </w:pPr>
      <w:r w:rsidRPr="00757B82">
        <w:rPr>
          <w:rFonts w:asciiTheme="minorHAnsi" w:hAnsiTheme="minorHAnsi"/>
          <w:sz w:val="24"/>
        </w:rPr>
        <w:t>This filing is comprised of the following electronic files:</w:t>
      </w:r>
    </w:p>
    <w:p w14:paraId="3580FF66" w14:textId="77777777" w:rsidR="00B34231" w:rsidRPr="00757B82" w:rsidRDefault="00B34231" w:rsidP="00B34231">
      <w:pPr>
        <w:rPr>
          <w:rFonts w:asciiTheme="minorHAnsi" w:hAnsiTheme="minorHAnsi"/>
          <w:sz w:val="24"/>
        </w:rPr>
      </w:pPr>
    </w:p>
    <w:p w14:paraId="30D2BB68" w14:textId="28825FA8" w:rsidR="00B34231" w:rsidRPr="00757B82" w:rsidRDefault="00311F85" w:rsidP="00B34231">
      <w:pPr>
        <w:rPr>
          <w:rFonts w:asciiTheme="minorHAnsi" w:hAnsiTheme="minorHAnsi"/>
          <w:sz w:val="24"/>
        </w:rPr>
      </w:pPr>
      <w:r>
        <w:rPr>
          <w:rFonts w:asciiTheme="minorHAnsi" w:hAnsiTheme="minorHAnsi"/>
          <w:sz w:val="24"/>
        </w:rPr>
        <w:t>UG-160967</w:t>
      </w:r>
      <w:r w:rsidR="00B34231" w:rsidRPr="00757B82">
        <w:rPr>
          <w:rFonts w:asciiTheme="minorHAnsi" w:hAnsiTheme="minorHAnsi"/>
          <w:sz w:val="24"/>
        </w:rPr>
        <w:t>, CNGC Advice No. W18-0</w:t>
      </w:r>
      <w:r>
        <w:rPr>
          <w:rFonts w:asciiTheme="minorHAnsi" w:hAnsiTheme="minorHAnsi"/>
          <w:sz w:val="24"/>
        </w:rPr>
        <w:t>8</w:t>
      </w:r>
      <w:r w:rsidR="00B34231" w:rsidRPr="00757B82">
        <w:rPr>
          <w:rFonts w:asciiTheme="minorHAnsi" w:hAnsiTheme="minorHAnsi"/>
          <w:sz w:val="24"/>
        </w:rPr>
        <w:t xml:space="preserve">-01, </w:t>
      </w:r>
      <w:proofErr w:type="spellStart"/>
      <w:r w:rsidR="00B34231" w:rsidRPr="00757B82">
        <w:rPr>
          <w:rFonts w:asciiTheme="minorHAnsi" w:hAnsiTheme="minorHAnsi"/>
          <w:sz w:val="24"/>
        </w:rPr>
        <w:t>CLtr</w:t>
      </w:r>
      <w:proofErr w:type="spellEnd"/>
      <w:r w:rsidR="00B34231" w:rsidRPr="00757B82">
        <w:rPr>
          <w:rFonts w:asciiTheme="minorHAnsi" w:hAnsiTheme="minorHAnsi"/>
          <w:sz w:val="24"/>
        </w:rPr>
        <w:t>, 08.0</w:t>
      </w:r>
      <w:r w:rsidR="00172D3E">
        <w:rPr>
          <w:rFonts w:asciiTheme="minorHAnsi" w:hAnsiTheme="minorHAnsi"/>
          <w:sz w:val="24"/>
        </w:rPr>
        <w:t>2</w:t>
      </w:r>
      <w:r w:rsidR="00B34231" w:rsidRPr="00757B82">
        <w:rPr>
          <w:rFonts w:asciiTheme="minorHAnsi" w:hAnsiTheme="minorHAnsi"/>
          <w:sz w:val="24"/>
        </w:rPr>
        <w:t>.18.pdf</w:t>
      </w:r>
    </w:p>
    <w:p w14:paraId="1F6C45F9" w14:textId="7D8ECDC1" w:rsidR="00B34231" w:rsidRPr="00757B82" w:rsidRDefault="00311F85" w:rsidP="00B34231">
      <w:pPr>
        <w:rPr>
          <w:rFonts w:asciiTheme="minorHAnsi" w:hAnsiTheme="minorHAnsi"/>
          <w:sz w:val="24"/>
        </w:rPr>
      </w:pPr>
      <w:r w:rsidRPr="00311F85">
        <w:rPr>
          <w:rFonts w:ascii="Calibri" w:hAnsi="Calibri"/>
          <w:sz w:val="24"/>
        </w:rPr>
        <w:t>UG-160967</w:t>
      </w:r>
      <w:r w:rsidR="00B34231" w:rsidRPr="00757B82">
        <w:rPr>
          <w:rFonts w:asciiTheme="minorHAnsi" w:hAnsiTheme="minorHAnsi"/>
          <w:sz w:val="24"/>
        </w:rPr>
        <w:t>, CNGC Advice No. W18-08-01, Sch. 12 Rule 8, Leg Tariffs, 08</w:t>
      </w:r>
      <w:r w:rsidR="00CB3CAF">
        <w:rPr>
          <w:rFonts w:asciiTheme="minorHAnsi" w:hAnsiTheme="minorHAnsi"/>
          <w:sz w:val="24"/>
        </w:rPr>
        <w:t>.</w:t>
      </w:r>
      <w:r w:rsidR="00B34231" w:rsidRPr="00757B82">
        <w:rPr>
          <w:rFonts w:asciiTheme="minorHAnsi" w:hAnsiTheme="minorHAnsi"/>
          <w:sz w:val="24"/>
        </w:rPr>
        <w:t>0</w:t>
      </w:r>
      <w:r w:rsidR="00172D3E">
        <w:rPr>
          <w:rFonts w:asciiTheme="minorHAnsi" w:hAnsiTheme="minorHAnsi"/>
          <w:sz w:val="24"/>
        </w:rPr>
        <w:t>2</w:t>
      </w:r>
      <w:r w:rsidR="00CB3CAF">
        <w:rPr>
          <w:rFonts w:asciiTheme="minorHAnsi" w:hAnsiTheme="minorHAnsi"/>
          <w:sz w:val="24"/>
        </w:rPr>
        <w:t>.</w:t>
      </w:r>
      <w:r w:rsidR="00B34231" w:rsidRPr="00757B82">
        <w:rPr>
          <w:rFonts w:asciiTheme="minorHAnsi" w:hAnsiTheme="minorHAnsi"/>
          <w:sz w:val="24"/>
        </w:rPr>
        <w:t>18.pdf</w:t>
      </w:r>
    </w:p>
    <w:p w14:paraId="17C515FC" w14:textId="66652A8B" w:rsidR="00B34231" w:rsidRDefault="00311F85" w:rsidP="00B34231">
      <w:pPr>
        <w:rPr>
          <w:rFonts w:asciiTheme="minorHAnsi" w:hAnsiTheme="minorHAnsi"/>
          <w:sz w:val="24"/>
        </w:rPr>
      </w:pPr>
      <w:r w:rsidRPr="00311F85">
        <w:rPr>
          <w:rFonts w:ascii="Calibri" w:hAnsi="Calibri"/>
          <w:sz w:val="24"/>
        </w:rPr>
        <w:t>UG-160967</w:t>
      </w:r>
      <w:r w:rsidR="00B34231" w:rsidRPr="00757B82">
        <w:rPr>
          <w:rFonts w:asciiTheme="minorHAnsi" w:hAnsiTheme="minorHAnsi"/>
          <w:sz w:val="24"/>
        </w:rPr>
        <w:t>, CNGC Advice No. W18-08-01, Sch. 12 Rule 8, Tariffs, 08</w:t>
      </w:r>
      <w:r w:rsidR="00CB3CAF">
        <w:rPr>
          <w:rFonts w:asciiTheme="minorHAnsi" w:hAnsiTheme="minorHAnsi"/>
          <w:sz w:val="24"/>
        </w:rPr>
        <w:t>.</w:t>
      </w:r>
      <w:r w:rsidR="00B34231" w:rsidRPr="00757B82">
        <w:rPr>
          <w:rFonts w:asciiTheme="minorHAnsi" w:hAnsiTheme="minorHAnsi"/>
          <w:sz w:val="24"/>
        </w:rPr>
        <w:t>0</w:t>
      </w:r>
      <w:r w:rsidR="00172D3E">
        <w:rPr>
          <w:rFonts w:asciiTheme="minorHAnsi" w:hAnsiTheme="minorHAnsi"/>
          <w:sz w:val="24"/>
        </w:rPr>
        <w:t>2</w:t>
      </w:r>
      <w:r w:rsidR="00CB3CAF">
        <w:rPr>
          <w:rFonts w:asciiTheme="minorHAnsi" w:hAnsiTheme="minorHAnsi"/>
          <w:sz w:val="24"/>
        </w:rPr>
        <w:t>.</w:t>
      </w:r>
      <w:r w:rsidR="00B34231" w:rsidRPr="00757B82">
        <w:rPr>
          <w:rFonts w:asciiTheme="minorHAnsi" w:hAnsiTheme="minorHAnsi"/>
          <w:sz w:val="24"/>
        </w:rPr>
        <w:t>18.pdf</w:t>
      </w:r>
    </w:p>
    <w:p w14:paraId="70BBA179" w14:textId="6E439AC7" w:rsidR="009A28F7" w:rsidRPr="00757B82" w:rsidRDefault="00311F85" w:rsidP="00B34231">
      <w:pPr>
        <w:rPr>
          <w:rFonts w:asciiTheme="minorHAnsi" w:hAnsiTheme="minorHAnsi"/>
          <w:sz w:val="24"/>
        </w:rPr>
      </w:pPr>
      <w:r w:rsidRPr="00311F85">
        <w:rPr>
          <w:rFonts w:ascii="Calibri" w:hAnsi="Calibri"/>
          <w:sz w:val="24"/>
        </w:rPr>
        <w:t>UG-160967</w:t>
      </w:r>
      <w:r w:rsidR="00CB3F58" w:rsidRPr="00CB3F58">
        <w:rPr>
          <w:rFonts w:ascii="Calibri" w:hAnsi="Calibri"/>
          <w:sz w:val="24"/>
        </w:rPr>
        <w:t>, CNGC Advice No. W18-08-01, WP, 08.0</w:t>
      </w:r>
      <w:r w:rsidR="00172D3E">
        <w:rPr>
          <w:rFonts w:ascii="Calibri" w:hAnsi="Calibri"/>
          <w:sz w:val="24"/>
        </w:rPr>
        <w:t>2</w:t>
      </w:r>
      <w:r w:rsidR="00CB3F58" w:rsidRPr="00CB3F58">
        <w:rPr>
          <w:rFonts w:ascii="Calibri" w:hAnsi="Calibri"/>
          <w:sz w:val="24"/>
        </w:rPr>
        <w:t>.18.xlsx</w:t>
      </w:r>
    </w:p>
    <w:p w14:paraId="7EE924AF" w14:textId="77777777" w:rsidR="00B34231" w:rsidRPr="00757B82" w:rsidRDefault="00B34231" w:rsidP="00B34231">
      <w:pPr>
        <w:rPr>
          <w:rFonts w:asciiTheme="minorHAnsi" w:hAnsiTheme="minorHAnsi"/>
          <w:sz w:val="24"/>
        </w:rPr>
      </w:pPr>
    </w:p>
    <w:p w14:paraId="513139FF" w14:textId="77777777" w:rsidR="00B34231" w:rsidRPr="00757B82" w:rsidRDefault="00B34231" w:rsidP="00B34231">
      <w:pPr>
        <w:rPr>
          <w:rFonts w:asciiTheme="minorHAnsi" w:hAnsiTheme="minorHAnsi"/>
          <w:sz w:val="24"/>
        </w:rPr>
      </w:pPr>
      <w:r w:rsidRPr="00757B82">
        <w:rPr>
          <w:rFonts w:asciiTheme="minorHAnsi" w:hAnsiTheme="minorHAnsi"/>
          <w:sz w:val="24"/>
        </w:rPr>
        <w:t xml:space="preserve">Questions regarding this filing should be directed to me at (509) 734-4593. </w:t>
      </w:r>
    </w:p>
    <w:p w14:paraId="79B42BAD" w14:textId="77777777" w:rsidR="00757B82" w:rsidRDefault="00757B82" w:rsidP="00B34231">
      <w:pPr>
        <w:rPr>
          <w:rFonts w:asciiTheme="minorHAnsi" w:hAnsiTheme="minorHAnsi"/>
          <w:sz w:val="24"/>
        </w:rPr>
      </w:pPr>
    </w:p>
    <w:p w14:paraId="688ABF2E" w14:textId="20FBDF59" w:rsidR="00B34231" w:rsidRPr="00757B82" w:rsidRDefault="00B34231" w:rsidP="00B34231">
      <w:pPr>
        <w:rPr>
          <w:rFonts w:asciiTheme="minorHAnsi" w:hAnsiTheme="minorHAnsi"/>
          <w:sz w:val="24"/>
        </w:rPr>
      </w:pPr>
      <w:r w:rsidRPr="00757B82">
        <w:rPr>
          <w:rFonts w:asciiTheme="minorHAnsi" w:hAnsiTheme="minorHAnsi"/>
          <w:sz w:val="24"/>
        </w:rPr>
        <w:t>Sincerely,</w:t>
      </w:r>
    </w:p>
    <w:p w14:paraId="2C8B43A7" w14:textId="77777777" w:rsidR="006326E2" w:rsidRDefault="006326E2" w:rsidP="00B34231">
      <w:pPr>
        <w:rPr>
          <w:rFonts w:asciiTheme="minorHAnsi" w:hAnsiTheme="minorHAnsi"/>
          <w:i/>
          <w:sz w:val="24"/>
        </w:rPr>
      </w:pPr>
    </w:p>
    <w:p w14:paraId="2DD535DB" w14:textId="3D1011E5" w:rsidR="00B34231" w:rsidRPr="00757B82" w:rsidRDefault="00B34231" w:rsidP="00B34231">
      <w:pPr>
        <w:rPr>
          <w:rFonts w:asciiTheme="minorHAnsi" w:hAnsiTheme="minorHAnsi"/>
          <w:i/>
          <w:sz w:val="24"/>
        </w:rPr>
      </w:pPr>
      <w:r w:rsidRPr="00757B82">
        <w:rPr>
          <w:rFonts w:asciiTheme="minorHAnsi" w:hAnsiTheme="minorHAnsi"/>
          <w:i/>
          <w:sz w:val="24"/>
        </w:rPr>
        <w:t>/s/ Michael Parvinen</w:t>
      </w:r>
    </w:p>
    <w:p w14:paraId="646AD981" w14:textId="77777777" w:rsidR="00757B82" w:rsidRDefault="00757B82" w:rsidP="00B34231">
      <w:pPr>
        <w:rPr>
          <w:rFonts w:asciiTheme="minorHAnsi" w:hAnsiTheme="minorHAnsi"/>
          <w:sz w:val="24"/>
        </w:rPr>
      </w:pPr>
    </w:p>
    <w:p w14:paraId="31AE15F4" w14:textId="0FFC7D98" w:rsidR="00B34231" w:rsidRPr="00757B82" w:rsidRDefault="00B34231" w:rsidP="00B34231">
      <w:pPr>
        <w:rPr>
          <w:rFonts w:asciiTheme="minorHAnsi" w:hAnsiTheme="minorHAnsi"/>
          <w:sz w:val="24"/>
        </w:rPr>
      </w:pPr>
      <w:r w:rsidRPr="00757B82">
        <w:rPr>
          <w:rFonts w:asciiTheme="minorHAnsi" w:hAnsiTheme="minorHAnsi"/>
          <w:sz w:val="24"/>
        </w:rPr>
        <w:t>Michael Parvinen</w:t>
      </w:r>
    </w:p>
    <w:p w14:paraId="57862742" w14:textId="77777777" w:rsidR="00B34231" w:rsidRPr="00757B82" w:rsidRDefault="00B34231" w:rsidP="00B34231">
      <w:pPr>
        <w:rPr>
          <w:rFonts w:asciiTheme="minorHAnsi" w:hAnsiTheme="minorHAnsi"/>
          <w:sz w:val="24"/>
        </w:rPr>
      </w:pPr>
      <w:r w:rsidRPr="00757B82">
        <w:rPr>
          <w:rFonts w:asciiTheme="minorHAnsi" w:hAnsiTheme="minorHAnsi"/>
          <w:sz w:val="24"/>
        </w:rPr>
        <w:t xml:space="preserve">Director, Regulatory Affairs </w:t>
      </w:r>
    </w:p>
    <w:p w14:paraId="305157F1" w14:textId="77777777" w:rsidR="00B34231" w:rsidRPr="00757B82" w:rsidRDefault="00B34231" w:rsidP="00B34231">
      <w:pPr>
        <w:rPr>
          <w:rFonts w:asciiTheme="minorHAnsi" w:hAnsiTheme="minorHAnsi"/>
          <w:sz w:val="24"/>
        </w:rPr>
      </w:pPr>
      <w:r w:rsidRPr="00757B82">
        <w:rPr>
          <w:rFonts w:asciiTheme="minorHAnsi" w:hAnsiTheme="minorHAnsi"/>
          <w:sz w:val="24"/>
        </w:rPr>
        <w:t xml:space="preserve">Cascade Natural Gas Corporation </w:t>
      </w:r>
    </w:p>
    <w:p w14:paraId="24B3AE81" w14:textId="77777777" w:rsidR="00B34231" w:rsidRPr="00757B82" w:rsidRDefault="00B34231" w:rsidP="00B34231">
      <w:pPr>
        <w:rPr>
          <w:rFonts w:asciiTheme="minorHAnsi" w:hAnsiTheme="minorHAnsi"/>
          <w:sz w:val="24"/>
        </w:rPr>
      </w:pPr>
      <w:r w:rsidRPr="00757B82">
        <w:rPr>
          <w:rFonts w:asciiTheme="minorHAnsi" w:hAnsiTheme="minorHAnsi"/>
          <w:sz w:val="24"/>
        </w:rPr>
        <w:t xml:space="preserve">8113 W </w:t>
      </w:r>
      <w:proofErr w:type="spellStart"/>
      <w:r w:rsidRPr="00757B82">
        <w:rPr>
          <w:rFonts w:asciiTheme="minorHAnsi" w:hAnsiTheme="minorHAnsi"/>
          <w:sz w:val="24"/>
        </w:rPr>
        <w:t>Grandridge</w:t>
      </w:r>
      <w:proofErr w:type="spellEnd"/>
      <w:r w:rsidRPr="00757B82">
        <w:rPr>
          <w:rFonts w:asciiTheme="minorHAnsi" w:hAnsiTheme="minorHAnsi"/>
          <w:sz w:val="24"/>
        </w:rPr>
        <w:t xml:space="preserve"> Blvd </w:t>
      </w:r>
    </w:p>
    <w:p w14:paraId="055EB447" w14:textId="77777777" w:rsidR="00B34231" w:rsidRPr="00757B82" w:rsidRDefault="00B34231" w:rsidP="00B34231">
      <w:pPr>
        <w:rPr>
          <w:rFonts w:asciiTheme="minorHAnsi" w:hAnsiTheme="minorHAnsi"/>
          <w:sz w:val="24"/>
        </w:rPr>
      </w:pPr>
      <w:r w:rsidRPr="00757B82">
        <w:rPr>
          <w:rFonts w:asciiTheme="minorHAnsi" w:hAnsiTheme="minorHAnsi"/>
          <w:sz w:val="24"/>
        </w:rPr>
        <w:t xml:space="preserve">Kennewick, WA 99336-7166 </w:t>
      </w:r>
    </w:p>
    <w:p w14:paraId="7E8CF24D" w14:textId="3BDFE593" w:rsidR="00B34231" w:rsidRPr="00757B82" w:rsidRDefault="009C0B3D" w:rsidP="00B34231">
      <w:pPr>
        <w:rPr>
          <w:rFonts w:asciiTheme="minorHAnsi" w:hAnsiTheme="minorHAnsi"/>
          <w:sz w:val="24"/>
        </w:rPr>
      </w:pPr>
      <w:hyperlink r:id="rId7" w:history="1">
        <w:r w:rsidR="00B34231" w:rsidRPr="00757B82">
          <w:rPr>
            <w:rStyle w:val="Hyperlink"/>
            <w:rFonts w:asciiTheme="minorHAnsi" w:hAnsiTheme="minorHAnsi"/>
            <w:sz w:val="24"/>
          </w:rPr>
          <w:t>michael.parvinen@cngc.com</w:t>
        </w:r>
      </w:hyperlink>
    </w:p>
    <w:p w14:paraId="00386AD0" w14:textId="77777777" w:rsidR="00B34231" w:rsidRPr="00757B82" w:rsidRDefault="00B34231" w:rsidP="00B34231">
      <w:pPr>
        <w:rPr>
          <w:rFonts w:asciiTheme="minorHAnsi" w:hAnsiTheme="minorHAnsi"/>
          <w:sz w:val="24"/>
        </w:rPr>
      </w:pPr>
    </w:p>
    <w:p w14:paraId="0F666457" w14:textId="77777777" w:rsidR="00B34231" w:rsidRPr="00757B82" w:rsidRDefault="00B34231" w:rsidP="00B34231">
      <w:pPr>
        <w:rPr>
          <w:rFonts w:asciiTheme="minorHAnsi" w:hAnsiTheme="minorHAnsi"/>
          <w:sz w:val="24"/>
        </w:rPr>
      </w:pPr>
    </w:p>
    <w:p w14:paraId="6624089D" w14:textId="77777777" w:rsidR="00B34231" w:rsidRPr="00757B82" w:rsidRDefault="00B34231" w:rsidP="00B34231">
      <w:pPr>
        <w:rPr>
          <w:rFonts w:asciiTheme="minorHAnsi" w:hAnsiTheme="minorHAnsi"/>
          <w:sz w:val="24"/>
        </w:rPr>
      </w:pPr>
    </w:p>
    <w:p w14:paraId="37FDEA0B" w14:textId="580B401C" w:rsidR="00FB4661" w:rsidRDefault="009C0B3D" w:rsidP="00B34231">
      <w:pPr>
        <w:tabs>
          <w:tab w:val="left" w:pos="450"/>
        </w:tabs>
        <w:rPr>
          <w:sz w:val="24"/>
        </w:rPr>
      </w:pPr>
      <w:r>
        <w:rPr>
          <w:noProof/>
          <w:sz w:val="24"/>
        </w:rPr>
        <w:pict w14:anchorId="23087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pt;margin-top:280.2pt;width:192.25pt;height:19.2pt;z-index:251657728;mso-position-horizontal-relative:text;mso-position-vertical-relative:text">
            <v:imagedata r:id="rId8" o:title="CNG-Color-300dpi" croptop="49648f"/>
          </v:shape>
        </w:pict>
      </w:r>
      <w:r w:rsidR="00B34231" w:rsidRPr="00757B82">
        <w:rPr>
          <w:rFonts w:asciiTheme="minorHAnsi" w:hAnsiTheme="minorHAnsi"/>
          <w:sz w:val="24"/>
        </w:rPr>
        <w:t>Enclosure</w:t>
      </w:r>
      <w:r w:rsidR="00CB3F58">
        <w:rPr>
          <w:rFonts w:asciiTheme="minorHAnsi" w:hAnsiTheme="minorHAnsi"/>
          <w:sz w:val="24"/>
        </w:rPr>
        <w:t>s</w:t>
      </w:r>
    </w:p>
    <w:sectPr w:rsidR="00FB4661" w:rsidSect="00E352E5">
      <w:headerReference w:type="default" r:id="rId9"/>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19931" w14:textId="77777777" w:rsidR="003F63C0" w:rsidRDefault="003F63C0" w:rsidP="00261259">
      <w:r>
        <w:separator/>
      </w:r>
    </w:p>
  </w:endnote>
  <w:endnote w:type="continuationSeparator" w:id="0">
    <w:p w14:paraId="37CDBAE2" w14:textId="77777777" w:rsidR="003F63C0" w:rsidRDefault="003F63C0" w:rsidP="0026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F11A" w14:textId="77777777" w:rsidR="003F63C0" w:rsidRDefault="003F63C0" w:rsidP="00261259">
      <w:r>
        <w:separator/>
      </w:r>
    </w:p>
  </w:footnote>
  <w:footnote w:type="continuationSeparator" w:id="0">
    <w:p w14:paraId="0CB48AA0" w14:textId="77777777" w:rsidR="003F63C0" w:rsidRDefault="003F63C0" w:rsidP="00261259">
      <w:r>
        <w:continuationSeparator/>
      </w:r>
    </w:p>
  </w:footnote>
  <w:footnote w:id="1">
    <w:p w14:paraId="61EFD78F" w14:textId="56F7D816" w:rsidR="00757B82" w:rsidRDefault="00757B82">
      <w:pPr>
        <w:pStyle w:val="FootnoteText"/>
      </w:pPr>
      <w:r>
        <w:rPr>
          <w:rStyle w:val="FootnoteReference"/>
        </w:rPr>
        <w:footnoteRef/>
      </w:r>
      <w:r>
        <w:t xml:space="preserve"> See UG-160967, </w:t>
      </w:r>
      <w:r w:rsidR="00955E15">
        <w:t xml:space="preserve">Washington Utilities and Transportation Commission, </w:t>
      </w:r>
      <w:r>
        <w:t>Open Meeting Memo dated 08/30/2016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256"/>
      <w:gridCol w:w="5807"/>
    </w:tblGrid>
    <w:tr w:rsidR="00261259" w14:paraId="1172BB99" w14:textId="77777777" w:rsidTr="00FB4661">
      <w:trPr>
        <w:cantSplit/>
        <w:trHeight w:hRule="exact" w:val="1982"/>
        <w:jc w:val="center"/>
      </w:trPr>
      <w:tc>
        <w:tcPr>
          <w:tcW w:w="5256" w:type="dxa"/>
        </w:tcPr>
        <w:p w14:paraId="5F4FA0B6" w14:textId="0DDE78ED" w:rsidR="00261259" w:rsidRDefault="009C0B3D">
          <w:pPr>
            <w:pStyle w:val="Header"/>
            <w:ind w:left="-3"/>
            <w:rPr>
              <w:sz w:val="32"/>
            </w:rPr>
          </w:pPr>
          <w:r>
            <w:rPr>
              <w:noProof/>
              <w:sz w:val="32"/>
            </w:rPr>
            <w:pict w14:anchorId="62AE6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35pt;margin-top:9pt;width:211pt;height:73.65pt;z-index:251657728;mso-wrap-distance-bottom:21.6pt">
                <v:imagedata r:id="rId1" o:title="CNG-Color-300dpi" cropbottom="9930f"/>
                <w10:wrap type="topAndBottom"/>
              </v:shape>
            </w:pict>
          </w:r>
        </w:p>
      </w:tc>
      <w:tc>
        <w:tcPr>
          <w:tcW w:w="5807" w:type="dxa"/>
        </w:tcPr>
        <w:p w14:paraId="0CD53DB6" w14:textId="77777777" w:rsidR="00261259" w:rsidRDefault="00261259">
          <w:pPr>
            <w:pStyle w:val="Header"/>
            <w:tabs>
              <w:tab w:val="clear" w:pos="4320"/>
            </w:tabs>
            <w:spacing w:line="60" w:lineRule="exact"/>
            <w:jc w:val="center"/>
            <w:rPr>
              <w:rFonts w:ascii="Century Gothic" w:hAnsi="Century Gothic"/>
              <w:position w:val="-96"/>
              <w:sz w:val="12"/>
            </w:rPr>
          </w:pPr>
        </w:p>
        <w:p w14:paraId="6BAD2F8E" w14:textId="77777777" w:rsidR="00261259" w:rsidRDefault="00261259">
          <w:pPr>
            <w:pStyle w:val="Header"/>
            <w:tabs>
              <w:tab w:val="clear" w:pos="4320"/>
            </w:tabs>
            <w:spacing w:line="120" w:lineRule="exact"/>
            <w:jc w:val="center"/>
            <w:rPr>
              <w:rFonts w:ascii="Century Gothic" w:hAnsi="Century Gothic"/>
              <w:position w:val="-96"/>
              <w:sz w:val="12"/>
            </w:rPr>
          </w:pPr>
        </w:p>
        <w:p w14:paraId="6E063C84" w14:textId="77777777" w:rsidR="00261259" w:rsidRDefault="00FB4661" w:rsidP="00FB4661">
          <w:pPr>
            <w:pStyle w:val="Header"/>
            <w:tabs>
              <w:tab w:val="clear" w:pos="4320"/>
            </w:tabs>
            <w:ind w:right="806"/>
            <w:jc w:val="center"/>
            <w:rPr>
              <w:rFonts w:ascii="Century Gothic" w:hAnsi="Century Gothic"/>
              <w:sz w:val="12"/>
            </w:rPr>
          </w:pPr>
          <w:r>
            <w:rPr>
              <w:rFonts w:ascii="Century Gothic" w:hAnsi="Century Gothic"/>
              <w:position w:val="-96"/>
              <w:sz w:val="12"/>
            </w:rPr>
            <w:t>8113 W. GRANDRIDGE BLVD.</w:t>
          </w:r>
          <w:proofErr w:type="gramStart"/>
          <w:r>
            <w:rPr>
              <w:rFonts w:ascii="Century Gothic" w:hAnsi="Century Gothic"/>
              <w:position w:val="-96"/>
              <w:sz w:val="12"/>
            </w:rPr>
            <w:t>,  KENNEWICK</w:t>
          </w:r>
          <w:proofErr w:type="gramEnd"/>
          <w:r>
            <w:rPr>
              <w:rFonts w:ascii="Century Gothic" w:hAnsi="Century Gothic"/>
              <w:position w:val="-96"/>
              <w:sz w:val="12"/>
            </w:rPr>
            <w:t>, WASHINGTON  9</w:t>
          </w:r>
          <w:r w:rsidR="006245E9">
            <w:rPr>
              <w:rFonts w:ascii="Century Gothic" w:hAnsi="Century Gothic"/>
              <w:position w:val="-96"/>
              <w:sz w:val="12"/>
            </w:rPr>
            <w:t>9</w:t>
          </w:r>
          <w:r>
            <w:rPr>
              <w:rFonts w:ascii="Century Gothic" w:hAnsi="Century Gothic"/>
              <w:position w:val="-96"/>
              <w:sz w:val="12"/>
            </w:rPr>
            <w:t>336-7166</w:t>
          </w:r>
          <w:r w:rsidR="00261259">
            <w:rPr>
              <w:rFonts w:ascii="Century Gothic" w:hAnsi="Century Gothic"/>
              <w:position w:val="-80"/>
              <w:sz w:val="12"/>
            </w:rPr>
            <w:br/>
          </w:r>
          <w:r>
            <w:rPr>
              <w:rFonts w:ascii="Century Gothic" w:hAnsi="Century Gothic"/>
              <w:sz w:val="12"/>
            </w:rPr>
            <w:t xml:space="preserve">TELEPHONE 509-734-4500  </w:t>
          </w:r>
          <w:r w:rsidR="00261259">
            <w:rPr>
              <w:rFonts w:ascii="Century Gothic" w:hAnsi="Century Gothic"/>
              <w:sz w:val="12"/>
            </w:rPr>
            <w:t xml:space="preserve">FACSIMILE  </w:t>
          </w:r>
          <w:r>
            <w:rPr>
              <w:rFonts w:ascii="Century Gothic" w:hAnsi="Century Gothic"/>
              <w:sz w:val="12"/>
            </w:rPr>
            <w:t>509-737-7166</w:t>
          </w:r>
        </w:p>
        <w:p w14:paraId="004C7D62" w14:textId="77777777" w:rsidR="00FB4661" w:rsidRDefault="00FB4661" w:rsidP="00FB4661">
          <w:pPr>
            <w:pStyle w:val="Header"/>
            <w:tabs>
              <w:tab w:val="clear" w:pos="4320"/>
            </w:tabs>
            <w:ind w:right="806"/>
            <w:jc w:val="center"/>
            <w:rPr>
              <w:rFonts w:ascii="Century Gothic" w:hAnsi="Century Gothic"/>
              <w:position w:val="-80"/>
              <w:sz w:val="12"/>
            </w:rPr>
          </w:pPr>
          <w:r>
            <w:rPr>
              <w:rFonts w:ascii="Century Gothic" w:hAnsi="Century Gothic"/>
              <w:sz w:val="12"/>
            </w:rPr>
            <w:t>www.cngc.com</w:t>
          </w:r>
        </w:p>
      </w:tc>
    </w:tr>
  </w:tbl>
  <w:p w14:paraId="79938963" w14:textId="77777777" w:rsidR="00261259" w:rsidRDefault="00261259">
    <w:pPr>
      <w:pStyle w:val="Head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1259"/>
    <w:rsid w:val="000038DA"/>
    <w:rsid w:val="00006021"/>
    <w:rsid w:val="00013199"/>
    <w:rsid w:val="00013618"/>
    <w:rsid w:val="000250CA"/>
    <w:rsid w:val="0002757C"/>
    <w:rsid w:val="0004671E"/>
    <w:rsid w:val="0005193E"/>
    <w:rsid w:val="00053BC5"/>
    <w:rsid w:val="00054551"/>
    <w:rsid w:val="00065B32"/>
    <w:rsid w:val="000979DB"/>
    <w:rsid w:val="000A6A5A"/>
    <w:rsid w:val="000A71B7"/>
    <w:rsid w:val="000B33D2"/>
    <w:rsid w:val="000C01C7"/>
    <w:rsid w:val="000C434B"/>
    <w:rsid w:val="000F2B14"/>
    <w:rsid w:val="000F48D0"/>
    <w:rsid w:val="000F566B"/>
    <w:rsid w:val="00101EAF"/>
    <w:rsid w:val="00102026"/>
    <w:rsid w:val="00106FF9"/>
    <w:rsid w:val="00117A27"/>
    <w:rsid w:val="00131A94"/>
    <w:rsid w:val="00131E15"/>
    <w:rsid w:val="00172D3E"/>
    <w:rsid w:val="0017581A"/>
    <w:rsid w:val="001841C2"/>
    <w:rsid w:val="00192E7F"/>
    <w:rsid w:val="001A73B6"/>
    <w:rsid w:val="001D399F"/>
    <w:rsid w:val="001D5228"/>
    <w:rsid w:val="001F4412"/>
    <w:rsid w:val="002043FC"/>
    <w:rsid w:val="00241027"/>
    <w:rsid w:val="00241B2E"/>
    <w:rsid w:val="00251413"/>
    <w:rsid w:val="00256D01"/>
    <w:rsid w:val="00261259"/>
    <w:rsid w:val="00282AD5"/>
    <w:rsid w:val="002862DF"/>
    <w:rsid w:val="0028749F"/>
    <w:rsid w:val="0029034C"/>
    <w:rsid w:val="002A3C28"/>
    <w:rsid w:val="002C7A31"/>
    <w:rsid w:val="002D3053"/>
    <w:rsid w:val="002E1343"/>
    <w:rsid w:val="002E491D"/>
    <w:rsid w:val="002E730A"/>
    <w:rsid w:val="002E73A7"/>
    <w:rsid w:val="002F348D"/>
    <w:rsid w:val="00311F85"/>
    <w:rsid w:val="00344DFB"/>
    <w:rsid w:val="003A3B6E"/>
    <w:rsid w:val="003A4C5B"/>
    <w:rsid w:val="003B261A"/>
    <w:rsid w:val="003B66FC"/>
    <w:rsid w:val="003E27A8"/>
    <w:rsid w:val="003E283B"/>
    <w:rsid w:val="003F462F"/>
    <w:rsid w:val="003F63C0"/>
    <w:rsid w:val="00417BBD"/>
    <w:rsid w:val="0043361F"/>
    <w:rsid w:val="00450B5D"/>
    <w:rsid w:val="00467AA0"/>
    <w:rsid w:val="0047628C"/>
    <w:rsid w:val="00493E58"/>
    <w:rsid w:val="00501A4B"/>
    <w:rsid w:val="00503265"/>
    <w:rsid w:val="005115CD"/>
    <w:rsid w:val="0052783F"/>
    <w:rsid w:val="00530DDA"/>
    <w:rsid w:val="005616C7"/>
    <w:rsid w:val="00571DA2"/>
    <w:rsid w:val="00574988"/>
    <w:rsid w:val="005A46FA"/>
    <w:rsid w:val="005A788A"/>
    <w:rsid w:val="005B13BC"/>
    <w:rsid w:val="005E22E4"/>
    <w:rsid w:val="005E2FD0"/>
    <w:rsid w:val="005F7EEA"/>
    <w:rsid w:val="0061100E"/>
    <w:rsid w:val="0061348A"/>
    <w:rsid w:val="006210D9"/>
    <w:rsid w:val="006245E9"/>
    <w:rsid w:val="006270CD"/>
    <w:rsid w:val="006326E2"/>
    <w:rsid w:val="00634DF7"/>
    <w:rsid w:val="00645E80"/>
    <w:rsid w:val="00671236"/>
    <w:rsid w:val="00673820"/>
    <w:rsid w:val="00674E0B"/>
    <w:rsid w:val="00680AEC"/>
    <w:rsid w:val="00682EB9"/>
    <w:rsid w:val="006C2D46"/>
    <w:rsid w:val="006F1566"/>
    <w:rsid w:val="00723441"/>
    <w:rsid w:val="00726837"/>
    <w:rsid w:val="007318EC"/>
    <w:rsid w:val="00732097"/>
    <w:rsid w:val="00736DCE"/>
    <w:rsid w:val="00740BDC"/>
    <w:rsid w:val="0075542E"/>
    <w:rsid w:val="00757B82"/>
    <w:rsid w:val="00777EF9"/>
    <w:rsid w:val="007A5A79"/>
    <w:rsid w:val="007C2F45"/>
    <w:rsid w:val="007C7AC6"/>
    <w:rsid w:val="007C7F2F"/>
    <w:rsid w:val="007E2F93"/>
    <w:rsid w:val="00800BA1"/>
    <w:rsid w:val="008057FC"/>
    <w:rsid w:val="00816AD1"/>
    <w:rsid w:val="00816C33"/>
    <w:rsid w:val="008334FB"/>
    <w:rsid w:val="00845005"/>
    <w:rsid w:val="00880EB3"/>
    <w:rsid w:val="00892504"/>
    <w:rsid w:val="008A23DB"/>
    <w:rsid w:val="008B09E6"/>
    <w:rsid w:val="008B0BA4"/>
    <w:rsid w:val="008C15ED"/>
    <w:rsid w:val="008D2409"/>
    <w:rsid w:val="008D5F34"/>
    <w:rsid w:val="008E76CE"/>
    <w:rsid w:val="008E7CC1"/>
    <w:rsid w:val="008F4FFC"/>
    <w:rsid w:val="0090592E"/>
    <w:rsid w:val="00925E0C"/>
    <w:rsid w:val="00926552"/>
    <w:rsid w:val="00930B49"/>
    <w:rsid w:val="00933F6B"/>
    <w:rsid w:val="00935662"/>
    <w:rsid w:val="00944F7F"/>
    <w:rsid w:val="00955E15"/>
    <w:rsid w:val="009566F2"/>
    <w:rsid w:val="00963C7F"/>
    <w:rsid w:val="00973F05"/>
    <w:rsid w:val="00984A0E"/>
    <w:rsid w:val="0098505A"/>
    <w:rsid w:val="009939E6"/>
    <w:rsid w:val="00993F34"/>
    <w:rsid w:val="009A28F7"/>
    <w:rsid w:val="009A37FA"/>
    <w:rsid w:val="009A6AF3"/>
    <w:rsid w:val="009B1E37"/>
    <w:rsid w:val="009C0B3D"/>
    <w:rsid w:val="009C2E52"/>
    <w:rsid w:val="009D5187"/>
    <w:rsid w:val="009E2FF2"/>
    <w:rsid w:val="009E68CE"/>
    <w:rsid w:val="009F4E11"/>
    <w:rsid w:val="00A007D5"/>
    <w:rsid w:val="00A01F3F"/>
    <w:rsid w:val="00A24185"/>
    <w:rsid w:val="00A37483"/>
    <w:rsid w:val="00A425C5"/>
    <w:rsid w:val="00A6540E"/>
    <w:rsid w:val="00A65896"/>
    <w:rsid w:val="00AB0D84"/>
    <w:rsid w:val="00AB3EC4"/>
    <w:rsid w:val="00AC3A86"/>
    <w:rsid w:val="00AC5F90"/>
    <w:rsid w:val="00AD4DF6"/>
    <w:rsid w:val="00B15BF6"/>
    <w:rsid w:val="00B31CFD"/>
    <w:rsid w:val="00B34231"/>
    <w:rsid w:val="00B37129"/>
    <w:rsid w:val="00B44465"/>
    <w:rsid w:val="00B56BC3"/>
    <w:rsid w:val="00B615E7"/>
    <w:rsid w:val="00B6306E"/>
    <w:rsid w:val="00B65141"/>
    <w:rsid w:val="00B77ABA"/>
    <w:rsid w:val="00B80C8B"/>
    <w:rsid w:val="00B86479"/>
    <w:rsid w:val="00BB661F"/>
    <w:rsid w:val="00BC405A"/>
    <w:rsid w:val="00BD2EF9"/>
    <w:rsid w:val="00BD7246"/>
    <w:rsid w:val="00BE445F"/>
    <w:rsid w:val="00BE6937"/>
    <w:rsid w:val="00C064D6"/>
    <w:rsid w:val="00C17801"/>
    <w:rsid w:val="00C21B8C"/>
    <w:rsid w:val="00C25E1D"/>
    <w:rsid w:val="00C30C38"/>
    <w:rsid w:val="00C348F2"/>
    <w:rsid w:val="00C43750"/>
    <w:rsid w:val="00C80FA7"/>
    <w:rsid w:val="00C82CB1"/>
    <w:rsid w:val="00C94912"/>
    <w:rsid w:val="00C960DC"/>
    <w:rsid w:val="00CA7FF0"/>
    <w:rsid w:val="00CB3CAF"/>
    <w:rsid w:val="00CB3F58"/>
    <w:rsid w:val="00CC3B99"/>
    <w:rsid w:val="00CC5AF8"/>
    <w:rsid w:val="00D0452D"/>
    <w:rsid w:val="00D055C6"/>
    <w:rsid w:val="00D1372A"/>
    <w:rsid w:val="00D171DF"/>
    <w:rsid w:val="00D30DE6"/>
    <w:rsid w:val="00D32D42"/>
    <w:rsid w:val="00D531BE"/>
    <w:rsid w:val="00D64426"/>
    <w:rsid w:val="00D96E1D"/>
    <w:rsid w:val="00D9706B"/>
    <w:rsid w:val="00DB01F6"/>
    <w:rsid w:val="00DB0D87"/>
    <w:rsid w:val="00DB7B19"/>
    <w:rsid w:val="00DC76C3"/>
    <w:rsid w:val="00DE4A34"/>
    <w:rsid w:val="00DF27EA"/>
    <w:rsid w:val="00E00CAE"/>
    <w:rsid w:val="00E069AC"/>
    <w:rsid w:val="00E352E5"/>
    <w:rsid w:val="00E4496F"/>
    <w:rsid w:val="00E623A4"/>
    <w:rsid w:val="00E6459E"/>
    <w:rsid w:val="00E7345A"/>
    <w:rsid w:val="00E741C9"/>
    <w:rsid w:val="00E81267"/>
    <w:rsid w:val="00EA1633"/>
    <w:rsid w:val="00EA4846"/>
    <w:rsid w:val="00EA61AB"/>
    <w:rsid w:val="00EB742E"/>
    <w:rsid w:val="00EC596F"/>
    <w:rsid w:val="00ED629C"/>
    <w:rsid w:val="00EE4171"/>
    <w:rsid w:val="00EF2607"/>
    <w:rsid w:val="00EF4FE4"/>
    <w:rsid w:val="00F158F9"/>
    <w:rsid w:val="00F23823"/>
    <w:rsid w:val="00F36BBC"/>
    <w:rsid w:val="00F42171"/>
    <w:rsid w:val="00F552AB"/>
    <w:rsid w:val="00F64B9D"/>
    <w:rsid w:val="00F720C4"/>
    <w:rsid w:val="00F72DB1"/>
    <w:rsid w:val="00F74F15"/>
    <w:rsid w:val="00FA2EA8"/>
    <w:rsid w:val="00FB23B1"/>
    <w:rsid w:val="00FB4661"/>
    <w:rsid w:val="00FB7966"/>
    <w:rsid w:val="00FC7A1C"/>
    <w:rsid w:val="00FD1AF2"/>
    <w:rsid w:val="00FD3D4C"/>
    <w:rsid w:val="00FD4067"/>
    <w:rsid w:val="00FF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347946"/>
  <w15:chartTrackingRefBased/>
  <w15:docId w15:val="{E520F02A-5A31-4439-A369-F966D252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66B"/>
  </w:style>
  <w:style w:type="paragraph" w:styleId="Heading1">
    <w:name w:val="heading 1"/>
    <w:basedOn w:val="Normal"/>
    <w:next w:val="Normal"/>
    <w:link w:val="Heading1Char"/>
    <w:qFormat/>
    <w:rsid w:val="00E352E5"/>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F566B"/>
    <w:pPr>
      <w:tabs>
        <w:tab w:val="center" w:pos="4320"/>
        <w:tab w:val="right" w:pos="8640"/>
      </w:tabs>
    </w:pPr>
  </w:style>
  <w:style w:type="paragraph" w:styleId="Footer">
    <w:name w:val="footer"/>
    <w:basedOn w:val="Normal"/>
    <w:semiHidden/>
    <w:rsid w:val="000F566B"/>
    <w:pPr>
      <w:tabs>
        <w:tab w:val="center" w:pos="4320"/>
        <w:tab w:val="right" w:pos="8640"/>
      </w:tabs>
    </w:pPr>
  </w:style>
  <w:style w:type="character" w:customStyle="1" w:styleId="Heading1Char">
    <w:name w:val="Heading 1 Char"/>
    <w:link w:val="Heading1"/>
    <w:rsid w:val="00E352E5"/>
    <w:rPr>
      <w:rFonts w:ascii="Arial" w:hAnsi="Arial"/>
      <w:sz w:val="24"/>
    </w:rPr>
  </w:style>
  <w:style w:type="paragraph" w:styleId="BalloonText">
    <w:name w:val="Balloon Text"/>
    <w:basedOn w:val="Normal"/>
    <w:link w:val="BalloonTextChar"/>
    <w:uiPriority w:val="99"/>
    <w:semiHidden/>
    <w:unhideWhenUsed/>
    <w:rsid w:val="00E352E5"/>
    <w:rPr>
      <w:rFonts w:ascii="Tahoma" w:hAnsi="Tahoma" w:cs="Tahoma"/>
      <w:sz w:val="16"/>
      <w:szCs w:val="16"/>
    </w:rPr>
  </w:style>
  <w:style w:type="character" w:customStyle="1" w:styleId="BalloonTextChar">
    <w:name w:val="Balloon Text Char"/>
    <w:link w:val="BalloonText"/>
    <w:uiPriority w:val="99"/>
    <w:semiHidden/>
    <w:rsid w:val="00E352E5"/>
    <w:rPr>
      <w:rFonts w:ascii="Tahoma" w:hAnsi="Tahoma" w:cs="Tahoma"/>
      <w:sz w:val="16"/>
      <w:szCs w:val="16"/>
    </w:rPr>
  </w:style>
  <w:style w:type="character" w:styleId="Hyperlink">
    <w:name w:val="Hyperlink"/>
    <w:uiPriority w:val="99"/>
    <w:unhideWhenUsed/>
    <w:rsid w:val="001D5228"/>
    <w:rPr>
      <w:color w:val="0563C1"/>
      <w:u w:val="single"/>
    </w:rPr>
  </w:style>
  <w:style w:type="character" w:styleId="UnresolvedMention">
    <w:name w:val="Unresolved Mention"/>
    <w:uiPriority w:val="99"/>
    <w:semiHidden/>
    <w:unhideWhenUsed/>
    <w:rsid w:val="001D5228"/>
    <w:rPr>
      <w:color w:val="808080"/>
      <w:shd w:val="clear" w:color="auto" w:fill="E6E6E6"/>
    </w:rPr>
  </w:style>
  <w:style w:type="paragraph" w:styleId="FootnoteText">
    <w:name w:val="footnote text"/>
    <w:basedOn w:val="Normal"/>
    <w:link w:val="FootnoteTextChar"/>
    <w:uiPriority w:val="99"/>
    <w:semiHidden/>
    <w:unhideWhenUsed/>
    <w:rsid w:val="00757B82"/>
  </w:style>
  <w:style w:type="character" w:customStyle="1" w:styleId="FootnoteTextChar">
    <w:name w:val="Footnote Text Char"/>
    <w:basedOn w:val="DefaultParagraphFont"/>
    <w:link w:val="FootnoteText"/>
    <w:uiPriority w:val="99"/>
    <w:semiHidden/>
    <w:rsid w:val="00757B82"/>
  </w:style>
  <w:style w:type="character" w:styleId="FootnoteReference">
    <w:name w:val="footnote reference"/>
    <w:basedOn w:val="DefaultParagraphFont"/>
    <w:uiPriority w:val="99"/>
    <w:semiHidden/>
    <w:unhideWhenUsed/>
    <w:rsid w:val="00757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596965">
      <w:bodyDiv w:val="1"/>
      <w:marLeft w:val="0"/>
      <w:marRight w:val="0"/>
      <w:marTop w:val="0"/>
      <w:marBottom w:val="0"/>
      <w:divBdr>
        <w:top w:val="none" w:sz="0" w:space="0" w:color="auto"/>
        <w:left w:val="none" w:sz="0" w:space="0" w:color="auto"/>
        <w:bottom w:val="none" w:sz="0" w:space="0" w:color="auto"/>
        <w:right w:val="none" w:sz="0" w:space="0" w:color="auto"/>
      </w:divBdr>
    </w:div>
    <w:div w:id="18500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ichael.parvinen@cngc.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264B4A0500D540B5DB1527B51E0F69" ma:contentTypeVersion="76" ma:contentTypeDescription="" ma:contentTypeScope="" ma:versionID="c187243b8aeb4f2988ddf30175e76c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2018-08-02T07:00:00+00:00</OpenedDate>
    <SignificantOrder xmlns="dc463f71-b30c-4ab2-9473-d307f9d35888">false</SignificantOrder>
    <Date1 xmlns="dc463f71-b30c-4ab2-9473-d307f9d35888">2018-08-02T07:00:00+00:00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180673</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DBB2A24-4739-46B5-A45C-E5A87D076824}">
  <ds:schemaRefs>
    <ds:schemaRef ds:uri="http://schemas.openxmlformats.org/officeDocument/2006/bibliography"/>
  </ds:schemaRefs>
</ds:datastoreItem>
</file>

<file path=customXml/itemProps2.xml><?xml version="1.0" encoding="utf-8"?>
<ds:datastoreItem xmlns:ds="http://schemas.openxmlformats.org/officeDocument/2006/customXml" ds:itemID="{B2ADFEF5-C428-4678-B209-4BF1949C2C47}"/>
</file>

<file path=customXml/itemProps3.xml><?xml version="1.0" encoding="utf-8"?>
<ds:datastoreItem xmlns:ds="http://schemas.openxmlformats.org/officeDocument/2006/customXml" ds:itemID="{2E7B568B-41D3-451C-AE15-4E64912CF0A0}"/>
</file>

<file path=customXml/itemProps4.xml><?xml version="1.0" encoding="utf-8"?>
<ds:datastoreItem xmlns:ds="http://schemas.openxmlformats.org/officeDocument/2006/customXml" ds:itemID="{E396EE1D-726A-4F19-BC50-2A38B633E72A}"/>
</file>

<file path=customXml/itemProps5.xml><?xml version="1.0" encoding="utf-8"?>
<ds:datastoreItem xmlns:ds="http://schemas.openxmlformats.org/officeDocument/2006/customXml" ds:itemID="{F7FBF5C0-A0E3-41C2-9624-27F57800026A}"/>
</file>

<file path=docProps/app.xml><?xml version="1.0" encoding="utf-8"?>
<Properties xmlns="http://schemas.openxmlformats.org/officeDocument/2006/extended-properties" xmlns:vt="http://schemas.openxmlformats.org/officeDocument/2006/docPropsVTypes">
  <Template>Normal.dotm</Template>
  <TotalTime>64</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May 29, 1997</vt:lpstr>
    </vt:vector>
  </TitlesOfParts>
  <Company>Cascade Nautral Gas Corporation</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1997</dc:title>
  <dc:subject/>
  <dc:creator>LMURRAY</dc:creator>
  <cp:keywords/>
  <cp:lastModifiedBy>Myhrum, Isaac</cp:lastModifiedBy>
  <cp:revision>19</cp:revision>
  <cp:lastPrinted>2018-08-02T21:04:00Z</cp:lastPrinted>
  <dcterms:created xsi:type="dcterms:W3CDTF">2018-07-31T15:55:00Z</dcterms:created>
  <dcterms:modified xsi:type="dcterms:W3CDTF">2018-08-02T21:08:00Z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0x0101006E56B4D1795A2E4DB2F0B01679ED314A0007264B4A0500D540B5DB1527B51E0F69</vt:lpwstr>
  </property>
  <property fmtid="{D5CDD505-2E9C-101B-9397-08002B2CF9AE}" pid="3" name="_docset_NoMedatataSyncRequired">
    <vt:lpwstr>False</vt:lpwstr>
  </property>
  <property fmtid="{D5CDD505-2E9C-101B-9397-08002B2CF9AE}" pid="4" name="IsEFSEC">
    <vt:bool>false</vt:bool>
  </property>
</Properties>
</file>