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3B801" w14:textId="77777777" w:rsidR="00076BB3" w:rsidRDefault="00076BB3" w:rsidP="00076BB3">
      <w:pPr>
        <w:pStyle w:val="Heading2"/>
        <w:tabs>
          <w:tab w:val="left" w:pos="720"/>
        </w:tabs>
        <w:rPr>
          <w:rFonts w:ascii="Times New Roman" w:eastAsia="Times New Roman" w:hAnsi="Times New Roman" w:cs="Times New Roman"/>
          <w:color w:val="auto"/>
          <w:sz w:val="24"/>
          <w:szCs w:val="24"/>
        </w:rPr>
      </w:pPr>
      <w:r>
        <w:rPr>
          <w:rFonts w:ascii="Times New Roman" w:eastAsia="Times New Roman" w:hAnsi="Times New Roman" w:cs="Times New Roman"/>
          <w:noProof/>
          <w:color w:val="auto"/>
          <w:sz w:val="24"/>
          <w:szCs w:val="24"/>
        </w:rPr>
        <w:drawing>
          <wp:anchor distT="0" distB="0" distL="114300" distR="114300" simplePos="0" relativeHeight="251659264" behindDoc="0" locked="0" layoutInCell="1" allowOverlap="1" wp14:anchorId="0B53B84C" wp14:editId="52CB531F">
            <wp:simplePos x="0" y="0"/>
            <wp:positionH relativeFrom="column">
              <wp:posOffset>2019981</wp:posOffset>
            </wp:positionH>
            <wp:positionV relativeFrom="paragraph">
              <wp:posOffset>-722264</wp:posOffset>
            </wp:positionV>
            <wp:extent cx="1749368" cy="8096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c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49368" cy="809625"/>
                    </a:xfrm>
                    <a:prstGeom prst="rect">
                      <a:avLst/>
                    </a:prstGeom>
                    <a:noFill/>
                  </pic:spPr>
                </pic:pic>
              </a:graphicData>
            </a:graphic>
            <wp14:sizeRelH relativeFrom="margin">
              <wp14:pctWidth>0</wp14:pctWidth>
            </wp14:sizeRelH>
          </wp:anchor>
        </w:drawing>
      </w:r>
    </w:p>
    <w:p w14:paraId="0B53B802" w14:textId="77777777" w:rsidR="00076BB3" w:rsidRPr="00DA20D7" w:rsidRDefault="00076BB3" w:rsidP="00076BB3">
      <w:pPr>
        <w:rPr>
          <w:b/>
          <w:bCs/>
        </w:rPr>
      </w:pPr>
    </w:p>
    <w:p w14:paraId="0B53B803" w14:textId="54FFC9CA" w:rsidR="00076BB3" w:rsidRPr="00DA20D7" w:rsidRDefault="00076BB3" w:rsidP="004451C6">
      <w:pPr>
        <w:pStyle w:val="Title"/>
        <w:tabs>
          <w:tab w:val="left" w:pos="1170"/>
          <w:tab w:val="left" w:pos="1530"/>
        </w:tabs>
        <w:jc w:val="left"/>
        <w:rPr>
          <w:b w:val="0"/>
          <w:bCs w:val="0"/>
          <w:u w:val="none"/>
        </w:rPr>
      </w:pPr>
      <w:r w:rsidRPr="00DA20D7">
        <w:rPr>
          <w:u w:val="none"/>
        </w:rPr>
        <w:t>FROM:</w:t>
      </w:r>
      <w:r>
        <w:rPr>
          <w:u w:val="none"/>
        </w:rPr>
        <w:t xml:space="preserve"> </w:t>
      </w:r>
      <w:r w:rsidR="004451C6">
        <w:rPr>
          <w:u w:val="none"/>
        </w:rPr>
        <w:tab/>
      </w:r>
      <w:r w:rsidR="004451C6">
        <w:rPr>
          <w:u w:val="none"/>
        </w:rPr>
        <w:tab/>
      </w:r>
      <w:r w:rsidR="007A1E16">
        <w:rPr>
          <w:b w:val="0"/>
          <w:u w:val="none"/>
        </w:rPr>
        <w:t>Tiffany Van Meter</w:t>
      </w:r>
      <w:r w:rsidRPr="00DA20D7">
        <w:rPr>
          <w:u w:val="none"/>
        </w:rPr>
        <w:tab/>
      </w:r>
      <w:r w:rsidRPr="00DA20D7">
        <w:rPr>
          <w:u w:val="none"/>
        </w:rPr>
        <w:tab/>
      </w:r>
    </w:p>
    <w:p w14:paraId="0B53B804" w14:textId="77777777" w:rsidR="00076BB3" w:rsidRDefault="00076BB3" w:rsidP="00076BB3">
      <w:pPr>
        <w:rPr>
          <w:b/>
          <w:bCs/>
        </w:rPr>
      </w:pPr>
    </w:p>
    <w:p w14:paraId="0B53B805" w14:textId="77777777" w:rsidR="00076BB3" w:rsidRPr="001819EA" w:rsidRDefault="00076BB3" w:rsidP="004451C6">
      <w:pPr>
        <w:tabs>
          <w:tab w:val="left" w:pos="1170"/>
          <w:tab w:val="left" w:pos="1530"/>
        </w:tabs>
        <w:rPr>
          <w:sz w:val="24"/>
        </w:rPr>
      </w:pPr>
      <w:r w:rsidRPr="001819EA">
        <w:rPr>
          <w:b/>
          <w:bCs/>
          <w:sz w:val="24"/>
        </w:rPr>
        <w:t>DATE:</w:t>
      </w:r>
      <w:r>
        <w:rPr>
          <w:b/>
          <w:bCs/>
          <w:sz w:val="24"/>
        </w:rPr>
        <w:t xml:space="preserve"> </w:t>
      </w:r>
      <w:r w:rsidR="004451C6">
        <w:rPr>
          <w:b/>
          <w:bCs/>
          <w:sz w:val="24"/>
        </w:rPr>
        <w:tab/>
      </w:r>
      <w:r w:rsidR="004451C6">
        <w:rPr>
          <w:b/>
          <w:bCs/>
          <w:sz w:val="24"/>
        </w:rPr>
        <w:tab/>
      </w:r>
      <w:r w:rsidR="003206FA" w:rsidRPr="009D40AC">
        <w:rPr>
          <w:sz w:val="24"/>
        </w:rPr>
        <w:fldChar w:fldCharType="begin"/>
      </w:r>
      <w:r w:rsidRPr="009D40AC">
        <w:rPr>
          <w:sz w:val="24"/>
        </w:rPr>
        <w:instrText xml:space="preserve"> TIME \@ "MMMM d, yyyy" </w:instrText>
      </w:r>
      <w:r w:rsidR="003206FA" w:rsidRPr="009D40AC">
        <w:rPr>
          <w:sz w:val="24"/>
        </w:rPr>
        <w:fldChar w:fldCharType="separate"/>
      </w:r>
      <w:r w:rsidR="00B36283">
        <w:rPr>
          <w:noProof/>
          <w:sz w:val="24"/>
        </w:rPr>
        <w:t>June 11, 2018</w:t>
      </w:r>
      <w:r w:rsidR="003206FA" w:rsidRPr="009D40AC">
        <w:rPr>
          <w:sz w:val="24"/>
        </w:rPr>
        <w:fldChar w:fldCharType="end"/>
      </w:r>
    </w:p>
    <w:p w14:paraId="0B53B806" w14:textId="77777777" w:rsidR="00076BB3" w:rsidRPr="001819EA" w:rsidRDefault="00076BB3" w:rsidP="00076BB3">
      <w:pPr>
        <w:rPr>
          <w:b/>
          <w:bCs/>
          <w:sz w:val="24"/>
        </w:rPr>
      </w:pPr>
    </w:p>
    <w:p w14:paraId="0B53B807" w14:textId="5127B12F" w:rsidR="00A8748F" w:rsidRDefault="00076BB3" w:rsidP="004451C6">
      <w:pPr>
        <w:widowControl/>
        <w:tabs>
          <w:tab w:val="left" w:pos="1530"/>
        </w:tabs>
        <w:spacing w:line="225" w:lineRule="auto"/>
        <w:ind w:left="1530" w:hanging="1530"/>
        <w:rPr>
          <w:bCs/>
          <w:sz w:val="24"/>
        </w:rPr>
      </w:pPr>
      <w:r w:rsidRPr="001819EA">
        <w:rPr>
          <w:b/>
          <w:bCs/>
          <w:sz w:val="24"/>
        </w:rPr>
        <w:t>SUBJECT:</w:t>
      </w:r>
      <w:r>
        <w:rPr>
          <w:b/>
          <w:bCs/>
          <w:sz w:val="24"/>
        </w:rPr>
        <w:t xml:space="preserve"> </w:t>
      </w:r>
      <w:r w:rsidR="004451C6">
        <w:rPr>
          <w:b/>
          <w:bCs/>
          <w:sz w:val="24"/>
        </w:rPr>
        <w:tab/>
      </w:r>
      <w:r w:rsidR="00A127E1">
        <w:rPr>
          <w:bCs/>
          <w:sz w:val="24"/>
        </w:rPr>
        <w:t>TG-</w:t>
      </w:r>
      <w:r w:rsidR="00B36283">
        <w:rPr>
          <w:bCs/>
          <w:sz w:val="24"/>
        </w:rPr>
        <w:t>180456</w:t>
      </w:r>
    </w:p>
    <w:p w14:paraId="0B53B808" w14:textId="77777777" w:rsidR="004451C6" w:rsidRDefault="00A8748F" w:rsidP="004451C6">
      <w:pPr>
        <w:widowControl/>
        <w:tabs>
          <w:tab w:val="left" w:pos="1530"/>
        </w:tabs>
        <w:spacing w:line="225" w:lineRule="auto"/>
        <w:ind w:left="1530" w:hanging="1530"/>
        <w:rPr>
          <w:sz w:val="24"/>
        </w:rPr>
      </w:pPr>
      <w:r>
        <w:rPr>
          <w:b/>
          <w:bCs/>
          <w:sz w:val="24"/>
        </w:rPr>
        <w:tab/>
      </w:r>
      <w:r w:rsidR="00A127E1">
        <w:rPr>
          <w:sz w:val="24"/>
        </w:rPr>
        <w:t>Sanitary Service Company</w:t>
      </w:r>
      <w:r w:rsidR="004451C6">
        <w:rPr>
          <w:sz w:val="24"/>
        </w:rPr>
        <w:t>, Inc.</w:t>
      </w:r>
    </w:p>
    <w:p w14:paraId="0B53B809" w14:textId="77777777" w:rsidR="00076BB3" w:rsidRPr="001819EA" w:rsidRDefault="004451C6" w:rsidP="004451C6">
      <w:pPr>
        <w:widowControl/>
        <w:tabs>
          <w:tab w:val="left" w:pos="1530"/>
        </w:tabs>
        <w:spacing w:line="225" w:lineRule="auto"/>
        <w:ind w:left="1530" w:hanging="1530"/>
        <w:rPr>
          <w:sz w:val="24"/>
        </w:rPr>
      </w:pPr>
      <w:r>
        <w:rPr>
          <w:b/>
          <w:bCs/>
          <w:sz w:val="24"/>
        </w:rPr>
        <w:tab/>
      </w:r>
      <w:r w:rsidRPr="004451C6">
        <w:rPr>
          <w:sz w:val="24"/>
        </w:rPr>
        <w:t xml:space="preserve"> </w:t>
      </w:r>
    </w:p>
    <w:p w14:paraId="0B53B80A" w14:textId="77777777" w:rsidR="001F67D6" w:rsidRDefault="001F67D6" w:rsidP="004956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26" w:lineRule="auto"/>
      </w:pPr>
      <w:r w:rsidRPr="001D1CB5">
        <w:rPr>
          <w:b/>
          <w:bCs/>
          <w:sz w:val="24"/>
          <w:u w:val="single"/>
        </w:rPr>
        <w:t>Discussion</w:t>
      </w:r>
      <w:r>
        <w:rPr>
          <w:b/>
          <w:bCs/>
          <w:sz w:val="24"/>
          <w:u w:val="single"/>
        </w:rPr>
        <w:t>:</w:t>
      </w:r>
      <w:r>
        <w:t xml:space="preserve"> </w:t>
      </w:r>
    </w:p>
    <w:p w14:paraId="0B53B80B" w14:textId="7248FB97" w:rsidR="001F67D6" w:rsidRDefault="00A127E1" w:rsidP="001F67D6">
      <w:pPr>
        <w:pStyle w:val="NoSpacing"/>
        <w:spacing w:before="120" w:after="120"/>
      </w:pPr>
      <w:r>
        <w:t>Sanitary Service Company</w:t>
      </w:r>
      <w:r w:rsidR="00A8748F">
        <w:t xml:space="preserve">, Inc. </w:t>
      </w:r>
      <w:r w:rsidR="001F67D6">
        <w:t>(</w:t>
      </w:r>
      <w:r w:rsidR="00A8748F">
        <w:t>Sanitary Service</w:t>
      </w:r>
      <w:r w:rsidR="001F67D6">
        <w:t xml:space="preserve"> or company) is a Class “A” solid waste company as defined in rule; WAC 480-70-041 with over $</w:t>
      </w:r>
      <w:r w:rsidR="00B36283">
        <w:t>12.7</w:t>
      </w:r>
      <w:r w:rsidR="001F67D6">
        <w:t xml:space="preserve"> million in regulated intrastate gross revenues. As required in WAC 480-70-079, the company filed on </w:t>
      </w:r>
      <w:r w:rsidR="00F05A82">
        <w:t xml:space="preserve">May </w:t>
      </w:r>
      <w:r w:rsidR="00B36283">
        <w:t>22</w:t>
      </w:r>
      <w:r w:rsidR="00F05A82">
        <w:t>, 201</w:t>
      </w:r>
      <w:r w:rsidR="00B36283">
        <w:t>8</w:t>
      </w:r>
      <w:r w:rsidR="001F67D6">
        <w:t xml:space="preserve">, with the Utilities and Transportation Commission (UTC or commission) a report on its affiliated interest and subsidiary transactions. </w:t>
      </w:r>
      <w:r w:rsidR="00CD3BA3">
        <w:t>I</w:t>
      </w:r>
      <w:r w:rsidR="001F67D6">
        <w:t xml:space="preserve">n addition, WAC 480-70-078 requires solid waste companies to file </w:t>
      </w:r>
      <w:r w:rsidR="00D51059">
        <w:t xml:space="preserve">with the commission its </w:t>
      </w:r>
      <w:r w:rsidR="001F67D6">
        <w:t xml:space="preserve">contracts and arrangements with its affiliates. </w:t>
      </w:r>
    </w:p>
    <w:p w14:paraId="0B53B80C" w14:textId="77777777" w:rsidR="001F67D6" w:rsidRDefault="001F67D6" w:rsidP="001F67D6">
      <w:pPr>
        <w:pStyle w:val="NoSpacing"/>
        <w:rPr>
          <w:b/>
          <w:u w:val="single"/>
        </w:rPr>
      </w:pPr>
      <w:r>
        <w:rPr>
          <w:b/>
          <w:u w:val="single"/>
        </w:rPr>
        <w:t>Scope of Staff Investigation:</w:t>
      </w:r>
    </w:p>
    <w:p w14:paraId="0B53B80D" w14:textId="679D4215" w:rsidR="001F67D6" w:rsidRDefault="001F67D6" w:rsidP="001F67D6">
      <w:pPr>
        <w:pStyle w:val="NoSpacing"/>
        <w:spacing w:before="120" w:after="120"/>
      </w:pPr>
      <w:r>
        <w:t xml:space="preserve">Staff will examine the filing in UTC Docket </w:t>
      </w:r>
      <w:r w:rsidR="00F05A82">
        <w:t>TG-1</w:t>
      </w:r>
      <w:r w:rsidR="00B36283">
        <w:t>80456</w:t>
      </w:r>
      <w:r w:rsidR="007A1E16">
        <w:t xml:space="preserve"> </w:t>
      </w:r>
      <w:r>
        <w:t>and answer the following questions:</w:t>
      </w:r>
    </w:p>
    <w:p w14:paraId="0B53B80E" w14:textId="77777777" w:rsidR="001F67D6" w:rsidRDefault="001F67D6" w:rsidP="001F67D6">
      <w:pPr>
        <w:pStyle w:val="NoSpacing"/>
        <w:numPr>
          <w:ilvl w:val="0"/>
          <w:numId w:val="2"/>
        </w:numPr>
        <w:spacing w:before="120" w:after="120"/>
      </w:pPr>
      <w:r>
        <w:t>Does the information provided by the company meet the requirements of WAC 480-70-079?</w:t>
      </w:r>
    </w:p>
    <w:p w14:paraId="0B53B80F" w14:textId="77777777" w:rsidR="001F67D6" w:rsidRPr="00A645F0" w:rsidRDefault="001F67D6" w:rsidP="001F67D6">
      <w:pPr>
        <w:pStyle w:val="NoSpacing"/>
        <w:numPr>
          <w:ilvl w:val="0"/>
          <w:numId w:val="2"/>
        </w:numPr>
        <w:spacing w:before="120" w:after="120"/>
      </w:pPr>
      <w:r>
        <w:t xml:space="preserve">As a result of examining the transactions contained in this filing, what areas and elements of affiliate contracts and arrangements will need to be examined in a future rate case to validate that they are </w:t>
      </w:r>
      <w:r w:rsidRPr="00BD7BC3">
        <w:t>reasonable and consistent with the p</w:t>
      </w:r>
      <w:r>
        <w:t>ublic interest?</w:t>
      </w:r>
    </w:p>
    <w:p w14:paraId="0B53B810" w14:textId="77777777" w:rsidR="001F67D6" w:rsidRPr="007A07E6" w:rsidRDefault="001F67D6" w:rsidP="001F67D6">
      <w:pPr>
        <w:pStyle w:val="NoSpacing"/>
        <w:spacing w:before="120" w:after="120"/>
        <w:rPr>
          <w:b/>
          <w:u w:val="single"/>
        </w:rPr>
      </w:pPr>
      <w:r>
        <w:rPr>
          <w:b/>
          <w:u w:val="single"/>
        </w:rPr>
        <w:t>Requirements set forth in WAC 480-70-079:</w:t>
      </w:r>
    </w:p>
    <w:p w14:paraId="0B53B811" w14:textId="77777777" w:rsidR="001F67D6" w:rsidRDefault="001F67D6" w:rsidP="001F67D6">
      <w:pPr>
        <w:pStyle w:val="NoSpacing"/>
        <w:spacing w:before="120" w:after="120"/>
      </w:pPr>
      <w:r>
        <w:t xml:space="preserve">WAC 480-70-079 requires regulated solid waste companies to provide the commission with the following information relating to transactions between a regulated solid waste company and its affiliate(s): </w:t>
      </w:r>
    </w:p>
    <w:p w14:paraId="0B53B812" w14:textId="77777777" w:rsidR="001F67D6" w:rsidRDefault="001F67D6" w:rsidP="001F67D6"/>
    <w:tbl>
      <w:tblPr>
        <w:tblStyle w:val="TableGrid"/>
        <w:tblW w:w="0" w:type="auto"/>
        <w:tblInd w:w="-162" w:type="dxa"/>
        <w:tblLook w:val="04A0" w:firstRow="1" w:lastRow="0" w:firstColumn="1" w:lastColumn="0" w:noHBand="0" w:noVBand="1"/>
      </w:tblPr>
      <w:tblGrid>
        <w:gridCol w:w="3443"/>
        <w:gridCol w:w="6069"/>
      </w:tblGrid>
      <w:tr w:rsidR="001F67D6" w:rsidRPr="000B368A" w14:paraId="0B53B815" w14:textId="77777777" w:rsidTr="00015949">
        <w:tc>
          <w:tcPr>
            <w:tcW w:w="3510" w:type="dxa"/>
            <w:shd w:val="pct15" w:color="auto" w:fill="auto"/>
          </w:tcPr>
          <w:p w14:paraId="0B53B813" w14:textId="77777777" w:rsidR="001F67D6" w:rsidRPr="000B368A" w:rsidRDefault="001F67D6" w:rsidP="00015949">
            <w:pPr>
              <w:pStyle w:val="NoSpacing"/>
              <w:jc w:val="center"/>
              <w:rPr>
                <w:b/>
                <w:i/>
              </w:rPr>
            </w:pPr>
            <w:r w:rsidRPr="000B368A">
              <w:rPr>
                <w:b/>
                <w:i/>
              </w:rPr>
              <w:t>Requiremen</w:t>
            </w:r>
            <w:r>
              <w:rPr>
                <w:b/>
                <w:i/>
              </w:rPr>
              <w:t>t</w:t>
            </w:r>
          </w:p>
        </w:tc>
        <w:tc>
          <w:tcPr>
            <w:tcW w:w="6228" w:type="dxa"/>
            <w:shd w:val="pct15" w:color="auto" w:fill="auto"/>
          </w:tcPr>
          <w:p w14:paraId="0B53B814" w14:textId="77777777" w:rsidR="001F67D6" w:rsidRPr="000B368A" w:rsidRDefault="001F67D6" w:rsidP="00015949">
            <w:pPr>
              <w:pStyle w:val="NoSpacing"/>
              <w:jc w:val="center"/>
              <w:rPr>
                <w:b/>
                <w:i/>
              </w:rPr>
            </w:pPr>
            <w:r w:rsidRPr="000B368A">
              <w:rPr>
                <w:b/>
                <w:i/>
              </w:rPr>
              <w:t>Staff opinion</w:t>
            </w:r>
          </w:p>
        </w:tc>
      </w:tr>
      <w:tr w:rsidR="001F67D6" w:rsidRPr="000B368A" w14:paraId="0B53B818" w14:textId="77777777" w:rsidTr="00D35235">
        <w:trPr>
          <w:cantSplit/>
          <w:trHeight w:val="1133"/>
        </w:trPr>
        <w:tc>
          <w:tcPr>
            <w:tcW w:w="3510" w:type="dxa"/>
          </w:tcPr>
          <w:p w14:paraId="0B53B816" w14:textId="77777777" w:rsidR="001F67D6" w:rsidRPr="000B368A" w:rsidRDefault="001F67D6" w:rsidP="00015949">
            <w:pPr>
              <w:pStyle w:val="NoSpacing"/>
            </w:pPr>
            <w:r w:rsidRPr="000B368A">
              <w:t>Corporate organization chart of the company and its affiliated interests and subsidiaries (WAC 480-70-079 (2)).</w:t>
            </w:r>
          </w:p>
        </w:tc>
        <w:tc>
          <w:tcPr>
            <w:tcW w:w="6228" w:type="dxa"/>
          </w:tcPr>
          <w:p w14:paraId="0B53B817" w14:textId="77777777" w:rsidR="001F67D6" w:rsidRPr="000B368A" w:rsidRDefault="003431A8" w:rsidP="00015949">
            <w:pPr>
              <w:pStyle w:val="NoSpacing"/>
            </w:pPr>
            <w:r>
              <w:t>Sanitary Service</w:t>
            </w:r>
            <w:r w:rsidR="001F67D6" w:rsidRPr="000B368A">
              <w:t xml:space="preserve"> has met this requirement.</w:t>
            </w:r>
          </w:p>
        </w:tc>
      </w:tr>
    </w:tbl>
    <w:p w14:paraId="0B53B819" w14:textId="03E6CC28" w:rsidR="00803986" w:rsidRDefault="00803986" w:rsidP="001F67D6">
      <w:pPr>
        <w:pStyle w:val="NoSpacing"/>
        <w:spacing w:before="120" w:after="120"/>
      </w:pPr>
      <w:r>
        <w:br/>
      </w:r>
      <w:r w:rsidR="00880C1E">
        <w:t xml:space="preserve">For </w:t>
      </w:r>
      <w:r w:rsidR="00015949" w:rsidRPr="00A3176D">
        <w:t>201</w:t>
      </w:r>
      <w:r w:rsidR="00B36283">
        <w:t>7</w:t>
      </w:r>
      <w:r w:rsidR="00880C1E">
        <w:t xml:space="preserve">, </w:t>
      </w:r>
      <w:r w:rsidR="005023AF">
        <w:t>Sanitary Service</w:t>
      </w:r>
      <w:r>
        <w:t xml:space="preserve"> reported a total of </w:t>
      </w:r>
      <w:r w:rsidR="005023AF">
        <w:t>two</w:t>
      </w:r>
      <w:r>
        <w:t xml:space="preserve"> transactions</w:t>
      </w:r>
      <w:r w:rsidR="003E023E">
        <w:t>:</w:t>
      </w:r>
    </w:p>
    <w:p w14:paraId="0B53B81A" w14:textId="77777777" w:rsidR="003E023E" w:rsidRPr="00A3176D" w:rsidRDefault="00B23F07" w:rsidP="003E023E">
      <w:pPr>
        <w:pStyle w:val="NoSpacing"/>
        <w:numPr>
          <w:ilvl w:val="0"/>
          <w:numId w:val="7"/>
        </w:numPr>
        <w:spacing w:before="120" w:after="120"/>
      </w:pPr>
      <w:r w:rsidRPr="00A3176D">
        <w:rPr>
          <w:i/>
          <w:u w:val="single"/>
        </w:rPr>
        <w:t>Blaine-Bay Refuse, Inc.</w:t>
      </w:r>
      <w:r w:rsidR="003E023E" w:rsidRPr="00A3176D">
        <w:t xml:space="preserve"> – </w:t>
      </w:r>
      <w:r w:rsidR="00015949" w:rsidRPr="00A3176D">
        <w:t xml:space="preserve">Sanitary Service  pays </w:t>
      </w:r>
      <w:r w:rsidR="005023AF" w:rsidRPr="00A3176D">
        <w:t xml:space="preserve">Blaine Bay Refuse, Inc. </w:t>
      </w:r>
      <w:r w:rsidR="00015949" w:rsidRPr="00A3176D">
        <w:t>equipment rental</w:t>
      </w:r>
      <w:r w:rsidR="005023AF" w:rsidRPr="00A3176D">
        <w:t xml:space="preserve"> of $</w:t>
      </w:r>
      <w:r w:rsidR="008F6E7E" w:rsidRPr="00A3176D">
        <w:t>8</w:t>
      </w:r>
      <w:r w:rsidR="005023AF" w:rsidRPr="00A3176D">
        <w:t>,000 per month</w:t>
      </w:r>
      <w:r w:rsidR="003E023E" w:rsidRPr="00A3176D">
        <w:t>;</w:t>
      </w:r>
      <w:r w:rsidR="005023AF" w:rsidRPr="00A3176D">
        <w:t xml:space="preserve"> and</w:t>
      </w:r>
    </w:p>
    <w:p w14:paraId="0B53B81B" w14:textId="676D3F60" w:rsidR="005023AF" w:rsidRPr="001C04F9" w:rsidRDefault="00B23F07" w:rsidP="005023AF">
      <w:pPr>
        <w:pStyle w:val="NoSpacing"/>
        <w:numPr>
          <w:ilvl w:val="0"/>
          <w:numId w:val="7"/>
        </w:numPr>
        <w:spacing w:before="120" w:after="120"/>
      </w:pPr>
      <w:r w:rsidRPr="001C04F9">
        <w:rPr>
          <w:i/>
          <w:u w:val="single"/>
        </w:rPr>
        <w:lastRenderedPageBreak/>
        <w:t>Patrick Dunn and Associates, Ltd.</w:t>
      </w:r>
      <w:r w:rsidR="003E023E" w:rsidRPr="001C04F9">
        <w:t xml:space="preserve"> – </w:t>
      </w:r>
      <w:r w:rsidR="005023AF" w:rsidRPr="001C04F9">
        <w:t>Patrick Dunn, a director for Sanitary Service owns Pat</w:t>
      </w:r>
      <w:r w:rsidR="00E3098A" w:rsidRPr="001C04F9">
        <w:t>rick</w:t>
      </w:r>
      <w:r w:rsidR="005023AF" w:rsidRPr="001C04F9">
        <w:t xml:space="preserve"> Dunn &amp; Associates, LTD.</w:t>
      </w:r>
      <w:r w:rsidR="00E51B4D" w:rsidRPr="001C04F9">
        <w:t xml:space="preserve">  </w:t>
      </w:r>
      <w:r w:rsidR="005023AF" w:rsidRPr="001C04F9">
        <w:t>Pat</w:t>
      </w:r>
      <w:r w:rsidR="00E3098A" w:rsidRPr="001C04F9">
        <w:t>rick</w:t>
      </w:r>
      <w:r w:rsidR="005023AF" w:rsidRPr="001C04F9">
        <w:t xml:space="preserve"> Dunn &amp; Associates provided the following services to Sanitary Service in </w:t>
      </w:r>
      <w:r w:rsidR="001C04F9" w:rsidRPr="001C04F9">
        <w:t>201</w:t>
      </w:r>
      <w:r w:rsidR="00B36283">
        <w:t>7</w:t>
      </w:r>
      <w:bookmarkStart w:id="0" w:name="_GoBack"/>
      <w:bookmarkEnd w:id="0"/>
      <w:r w:rsidR="005023AF" w:rsidRPr="001C04F9">
        <w:t>:</w:t>
      </w:r>
    </w:p>
    <w:p w14:paraId="0B53B81C" w14:textId="45AB1DC4" w:rsidR="00CD3BA3" w:rsidRPr="001C04F9" w:rsidRDefault="00CD3BA3" w:rsidP="00CD3BA3">
      <w:pPr>
        <w:pStyle w:val="NoSpacing"/>
        <w:numPr>
          <w:ilvl w:val="1"/>
          <w:numId w:val="7"/>
        </w:numPr>
        <w:spacing w:before="120" w:after="120"/>
      </w:pPr>
      <w:r w:rsidRPr="001C04F9">
        <w:t xml:space="preserve">Managerial consulting </w:t>
      </w:r>
      <w:r w:rsidR="00E3098A" w:rsidRPr="001C04F9">
        <w:t xml:space="preserve">for </w:t>
      </w:r>
      <w:r w:rsidRPr="001C04F9">
        <w:t>Sanitary Service Company, Inc. totaling $</w:t>
      </w:r>
      <w:r w:rsidR="001C04F9" w:rsidRPr="001C04F9">
        <w:t>2</w:t>
      </w:r>
      <w:r w:rsidR="00B36283">
        <w:t>39</w:t>
      </w:r>
      <w:r w:rsidR="00256BA3" w:rsidRPr="001C04F9">
        <w:t>,000</w:t>
      </w:r>
      <w:r w:rsidRPr="001C04F9">
        <w:t>.</w:t>
      </w:r>
    </w:p>
    <w:p w14:paraId="0B53B81D" w14:textId="77777777" w:rsidR="005023AF" w:rsidRPr="001C04F9" w:rsidRDefault="00CD3BA3" w:rsidP="00CD3BA3">
      <w:pPr>
        <w:pStyle w:val="NoSpacing"/>
        <w:numPr>
          <w:ilvl w:val="1"/>
          <w:numId w:val="7"/>
        </w:numPr>
        <w:spacing w:before="120" w:after="120"/>
      </w:pPr>
      <w:r w:rsidRPr="001C04F9">
        <w:t xml:space="preserve">Lobbying on behalf of Sanitary Service Company, Inc. </w:t>
      </w:r>
      <w:r w:rsidR="00E3098A" w:rsidRPr="001C04F9">
        <w:t xml:space="preserve">and </w:t>
      </w:r>
      <w:r w:rsidRPr="001C04F9">
        <w:t>affiliates amounting to $</w:t>
      </w:r>
      <w:r w:rsidR="001C04F9" w:rsidRPr="001C04F9">
        <w:t>15,000</w:t>
      </w:r>
      <w:r w:rsidRPr="001C04F9">
        <w:t>. Lobbying expense is not included in regulated customer rates.</w:t>
      </w:r>
    </w:p>
    <w:tbl>
      <w:tblPr>
        <w:tblStyle w:val="TableGrid"/>
        <w:tblW w:w="0" w:type="auto"/>
        <w:tblInd w:w="-162" w:type="dxa"/>
        <w:tblCellMar>
          <w:left w:w="72" w:type="dxa"/>
          <w:right w:w="72" w:type="dxa"/>
        </w:tblCellMar>
        <w:tblLook w:val="04A0" w:firstRow="1" w:lastRow="0" w:firstColumn="1" w:lastColumn="0" w:noHBand="0" w:noVBand="1"/>
      </w:tblPr>
      <w:tblGrid>
        <w:gridCol w:w="3441"/>
        <w:gridCol w:w="6071"/>
      </w:tblGrid>
      <w:tr w:rsidR="00803986" w:rsidRPr="000B368A" w14:paraId="0B53B820" w14:textId="77777777" w:rsidTr="005023AF">
        <w:trPr>
          <w:cantSplit/>
          <w:tblHeader/>
        </w:trPr>
        <w:tc>
          <w:tcPr>
            <w:tcW w:w="3487" w:type="dxa"/>
            <w:shd w:val="pct15" w:color="auto" w:fill="auto"/>
          </w:tcPr>
          <w:p w14:paraId="0B53B81E" w14:textId="77777777" w:rsidR="00803986" w:rsidRPr="000B368A" w:rsidRDefault="00803986" w:rsidP="00015949">
            <w:pPr>
              <w:pStyle w:val="NoSpacing"/>
              <w:jc w:val="center"/>
              <w:rPr>
                <w:b/>
                <w:i/>
              </w:rPr>
            </w:pPr>
            <w:r w:rsidRPr="000B368A">
              <w:rPr>
                <w:b/>
                <w:i/>
              </w:rPr>
              <w:t>Requiremen</w:t>
            </w:r>
            <w:r>
              <w:rPr>
                <w:b/>
                <w:i/>
              </w:rPr>
              <w:t>t</w:t>
            </w:r>
          </w:p>
        </w:tc>
        <w:tc>
          <w:tcPr>
            <w:tcW w:w="6179" w:type="dxa"/>
            <w:shd w:val="pct15" w:color="auto" w:fill="auto"/>
          </w:tcPr>
          <w:p w14:paraId="0B53B81F" w14:textId="77777777" w:rsidR="00803986" w:rsidRPr="000B368A" w:rsidRDefault="00803986" w:rsidP="00015949">
            <w:pPr>
              <w:pStyle w:val="NoSpacing"/>
              <w:jc w:val="center"/>
              <w:rPr>
                <w:b/>
                <w:i/>
              </w:rPr>
            </w:pPr>
            <w:r w:rsidRPr="000B368A">
              <w:rPr>
                <w:b/>
                <w:i/>
              </w:rPr>
              <w:t>Staff opinion</w:t>
            </w:r>
          </w:p>
        </w:tc>
      </w:tr>
      <w:tr w:rsidR="00803986" w:rsidRPr="000B368A" w14:paraId="0B53B825" w14:textId="77777777" w:rsidTr="005023AF">
        <w:trPr>
          <w:cantSplit/>
        </w:trPr>
        <w:tc>
          <w:tcPr>
            <w:tcW w:w="3487" w:type="dxa"/>
          </w:tcPr>
          <w:p w14:paraId="0B53B821" w14:textId="77777777" w:rsidR="00803986" w:rsidRPr="000B368A" w:rsidRDefault="00803986" w:rsidP="00803986">
            <w:pPr>
              <w:pStyle w:val="NoSpacing"/>
            </w:pPr>
            <w:r>
              <w:t xml:space="preserve">WAC 480-70-079 (3) states that if total </w:t>
            </w:r>
            <w:r w:rsidRPr="00803986">
              <w:t xml:space="preserve">affiliated interest or a subsidiary are less than </w:t>
            </w:r>
            <w:r>
              <w:t xml:space="preserve">$100,000 </w:t>
            </w:r>
            <w:r w:rsidRPr="00803986">
              <w:t>for the reporting period, the company must provide the name of the affiliated interest or subsidiary participating in the transactions and the total dollar amounts of the transactions.</w:t>
            </w:r>
          </w:p>
        </w:tc>
        <w:tc>
          <w:tcPr>
            <w:tcW w:w="6179" w:type="dxa"/>
          </w:tcPr>
          <w:p w14:paraId="0B53B822" w14:textId="77777777" w:rsidR="00924A99" w:rsidRDefault="00E51B4D" w:rsidP="003A2365">
            <w:pPr>
              <w:pStyle w:val="NoSpacing"/>
            </w:pPr>
            <w:r>
              <w:t>Sanitary Service</w:t>
            </w:r>
            <w:r w:rsidR="00803986" w:rsidRPr="000B368A">
              <w:t xml:space="preserve"> has met this requirement</w:t>
            </w:r>
            <w:r w:rsidR="00285DEB">
              <w:t>.</w:t>
            </w:r>
            <w:r w:rsidR="003A2365">
              <w:t xml:space="preserve"> </w:t>
            </w:r>
          </w:p>
          <w:p w14:paraId="0B53B823" w14:textId="77777777" w:rsidR="00924A99" w:rsidRDefault="00924A99" w:rsidP="003A2365">
            <w:pPr>
              <w:pStyle w:val="NoSpacing"/>
            </w:pPr>
          </w:p>
          <w:p w14:paraId="0B53B824" w14:textId="21BB6204" w:rsidR="003A2365" w:rsidRPr="00924A99" w:rsidRDefault="003A2365" w:rsidP="003A2365">
            <w:pPr>
              <w:pStyle w:val="NoSpacing"/>
              <w:rPr>
                <w:i/>
              </w:rPr>
            </w:pPr>
          </w:p>
        </w:tc>
      </w:tr>
      <w:tr w:rsidR="000B1B9D" w:rsidRPr="000B368A" w14:paraId="0B53B829" w14:textId="77777777" w:rsidTr="005023AF">
        <w:trPr>
          <w:cantSplit/>
        </w:trPr>
        <w:tc>
          <w:tcPr>
            <w:tcW w:w="9666" w:type="dxa"/>
            <w:gridSpan w:val="2"/>
          </w:tcPr>
          <w:p w14:paraId="0B53B826" w14:textId="77777777" w:rsidR="003A2365" w:rsidRDefault="000B1B9D" w:rsidP="003A2365">
            <w:pPr>
              <w:pStyle w:val="NoSpacing"/>
              <w:spacing w:before="120" w:after="120"/>
            </w:pPr>
            <w:r>
              <w:t>For the transactions over $100,000 the following information is also required by rule (WAC 480-70-079 (3) (a) through (g) and WAC 480-70-079 (4))</w:t>
            </w:r>
          </w:p>
          <w:p w14:paraId="0B53B827" w14:textId="77777777" w:rsidR="003A2365" w:rsidRDefault="003A2365" w:rsidP="003A2365">
            <w:pPr>
              <w:pStyle w:val="NoSpacing"/>
              <w:spacing w:before="120" w:after="120"/>
            </w:pPr>
          </w:p>
          <w:p w14:paraId="0B53B828" w14:textId="77777777" w:rsidR="003A2365" w:rsidRPr="003A2365" w:rsidRDefault="003A2365" w:rsidP="003A2365">
            <w:pPr>
              <w:pStyle w:val="NoSpacing"/>
              <w:spacing w:before="120" w:after="120"/>
              <w:rPr>
                <w:i/>
              </w:rPr>
            </w:pPr>
            <w:r>
              <w:rPr>
                <w:i/>
              </w:rPr>
              <w:t xml:space="preserve">Contract services from Patrick Dunn and Associates Ltd. </w:t>
            </w:r>
            <w:r w:rsidR="00CC69CA">
              <w:rPr>
                <w:i/>
              </w:rPr>
              <w:t>are</w:t>
            </w:r>
            <w:r w:rsidR="00924A99">
              <w:rPr>
                <w:i/>
              </w:rPr>
              <w:t xml:space="preserve"> over the $100,000 threshold.</w:t>
            </w:r>
          </w:p>
        </w:tc>
      </w:tr>
      <w:tr w:rsidR="001F67D6" w:rsidRPr="000B368A" w14:paraId="0B53B82C" w14:textId="77777777" w:rsidTr="005023AF">
        <w:trPr>
          <w:cantSplit/>
          <w:tblHeader/>
        </w:trPr>
        <w:tc>
          <w:tcPr>
            <w:tcW w:w="3487" w:type="dxa"/>
            <w:shd w:val="pct15" w:color="auto" w:fill="auto"/>
          </w:tcPr>
          <w:p w14:paraId="0B53B82A" w14:textId="77777777" w:rsidR="001F67D6" w:rsidRPr="000B368A" w:rsidRDefault="001F67D6" w:rsidP="00015949">
            <w:pPr>
              <w:pStyle w:val="NoSpacing"/>
              <w:jc w:val="center"/>
              <w:rPr>
                <w:b/>
                <w:i/>
              </w:rPr>
            </w:pPr>
            <w:r w:rsidRPr="000B368A">
              <w:rPr>
                <w:b/>
                <w:i/>
              </w:rPr>
              <w:t>Requiremen</w:t>
            </w:r>
            <w:r>
              <w:rPr>
                <w:b/>
                <w:i/>
              </w:rPr>
              <w:t>t</w:t>
            </w:r>
          </w:p>
        </w:tc>
        <w:tc>
          <w:tcPr>
            <w:tcW w:w="6179" w:type="dxa"/>
            <w:shd w:val="pct15" w:color="auto" w:fill="auto"/>
          </w:tcPr>
          <w:p w14:paraId="0B53B82B" w14:textId="77777777" w:rsidR="001F67D6" w:rsidRPr="000B368A" w:rsidRDefault="001F67D6" w:rsidP="00015949">
            <w:pPr>
              <w:pStyle w:val="NoSpacing"/>
              <w:jc w:val="center"/>
              <w:rPr>
                <w:b/>
                <w:i/>
              </w:rPr>
            </w:pPr>
            <w:r w:rsidRPr="000B368A">
              <w:rPr>
                <w:b/>
                <w:i/>
              </w:rPr>
              <w:t>Staff opinion</w:t>
            </w:r>
          </w:p>
        </w:tc>
      </w:tr>
      <w:tr w:rsidR="001F67D6" w:rsidRPr="000B368A" w14:paraId="0B53B830" w14:textId="77777777" w:rsidTr="005023AF">
        <w:trPr>
          <w:cantSplit/>
        </w:trPr>
        <w:tc>
          <w:tcPr>
            <w:tcW w:w="3487" w:type="dxa"/>
          </w:tcPr>
          <w:p w14:paraId="0B53B82D" w14:textId="77777777" w:rsidR="001F67D6" w:rsidRPr="000B368A" w:rsidRDefault="001F67D6" w:rsidP="00015949">
            <w:pPr>
              <w:pStyle w:val="NoSpacing"/>
              <w:spacing w:before="120" w:after="120"/>
            </w:pPr>
            <w:r>
              <w:t>Balance sheet and income statement for such affiliated interest (WAC 480-70-079 (3) (a)).</w:t>
            </w:r>
          </w:p>
        </w:tc>
        <w:tc>
          <w:tcPr>
            <w:tcW w:w="6179" w:type="dxa"/>
          </w:tcPr>
          <w:p w14:paraId="0B53B82E" w14:textId="77777777" w:rsidR="001F67D6" w:rsidRDefault="00E51B4D" w:rsidP="00015949">
            <w:pPr>
              <w:pStyle w:val="NoSpacing"/>
              <w:spacing w:before="120" w:after="120"/>
            </w:pPr>
            <w:r>
              <w:t>Sanitary Service</w:t>
            </w:r>
            <w:r w:rsidR="001F67D6" w:rsidRPr="000B368A">
              <w:t xml:space="preserve"> has met this requirement.</w:t>
            </w:r>
          </w:p>
          <w:p w14:paraId="0B53B82F" w14:textId="77777777" w:rsidR="001F67D6" w:rsidRPr="000B368A" w:rsidRDefault="001F67D6" w:rsidP="00E51B4D">
            <w:pPr>
              <w:pStyle w:val="NoSpacing"/>
              <w:spacing w:before="120" w:after="120"/>
            </w:pPr>
          </w:p>
        </w:tc>
      </w:tr>
      <w:tr w:rsidR="001F67D6" w:rsidRPr="000B368A" w14:paraId="0B53B834" w14:textId="77777777" w:rsidTr="005023AF">
        <w:trPr>
          <w:cantSplit/>
        </w:trPr>
        <w:tc>
          <w:tcPr>
            <w:tcW w:w="3487" w:type="dxa"/>
          </w:tcPr>
          <w:p w14:paraId="0B53B831" w14:textId="77777777" w:rsidR="001F67D6" w:rsidRDefault="001F67D6" w:rsidP="00015949">
            <w:pPr>
              <w:pStyle w:val="NoSpacing"/>
              <w:spacing w:before="120" w:after="120"/>
            </w:pPr>
            <w:r>
              <w:t>Description of the products or services provided to or from the company and each such affiliated interest or subsidiary (WAC 480-70-079 (3) (b)).</w:t>
            </w:r>
          </w:p>
        </w:tc>
        <w:tc>
          <w:tcPr>
            <w:tcW w:w="6179" w:type="dxa"/>
          </w:tcPr>
          <w:p w14:paraId="0B53B832" w14:textId="77777777" w:rsidR="00E51B4D" w:rsidRDefault="00E51B4D" w:rsidP="00E51B4D">
            <w:pPr>
              <w:pStyle w:val="NoSpacing"/>
              <w:spacing w:before="120" w:after="120"/>
            </w:pPr>
            <w:r>
              <w:t>Sanitary Service</w:t>
            </w:r>
            <w:r w:rsidRPr="000B368A">
              <w:t xml:space="preserve"> has met this requirement.</w:t>
            </w:r>
          </w:p>
          <w:p w14:paraId="0B53B833" w14:textId="77777777" w:rsidR="001F67D6" w:rsidRPr="000B368A" w:rsidRDefault="001F67D6" w:rsidP="00015949">
            <w:pPr>
              <w:pStyle w:val="NoSpacing"/>
              <w:spacing w:before="120" w:after="120"/>
            </w:pPr>
          </w:p>
        </w:tc>
      </w:tr>
      <w:tr w:rsidR="001F67D6" w:rsidRPr="000B368A" w14:paraId="0B53B838" w14:textId="77777777" w:rsidTr="005023AF">
        <w:trPr>
          <w:cantSplit/>
        </w:trPr>
        <w:tc>
          <w:tcPr>
            <w:tcW w:w="3487" w:type="dxa"/>
          </w:tcPr>
          <w:p w14:paraId="0B53B835" w14:textId="77777777" w:rsidR="001F67D6" w:rsidRDefault="001F67D6" w:rsidP="00015949">
            <w:pPr>
              <w:pStyle w:val="NoSpacing"/>
              <w:spacing w:before="120" w:after="120"/>
            </w:pPr>
            <w:r>
              <w:t>Description of the pricing basis or costing method, and procedures for allocating costs for such products or services, and the amount and accounts charged during the year (WAC 480-70-079 (3) (c)).</w:t>
            </w:r>
          </w:p>
        </w:tc>
        <w:tc>
          <w:tcPr>
            <w:tcW w:w="6179" w:type="dxa"/>
          </w:tcPr>
          <w:p w14:paraId="0B53B836" w14:textId="77777777" w:rsidR="00E51B4D" w:rsidRDefault="00E51B4D" w:rsidP="00E51B4D">
            <w:pPr>
              <w:pStyle w:val="NoSpacing"/>
              <w:spacing w:before="120" w:after="120"/>
            </w:pPr>
            <w:r w:rsidRPr="00911180">
              <w:t>Sanitary Service has met this requirement.</w:t>
            </w:r>
          </w:p>
          <w:p w14:paraId="0B53B837" w14:textId="77777777" w:rsidR="00180EBF" w:rsidRPr="000B368A" w:rsidRDefault="00180EBF" w:rsidP="00E51B4D">
            <w:pPr>
              <w:pStyle w:val="NoSpacing"/>
              <w:spacing w:before="120" w:after="120"/>
            </w:pPr>
          </w:p>
        </w:tc>
      </w:tr>
      <w:tr w:rsidR="001F67D6" w:rsidRPr="000B368A" w14:paraId="0B53B83B" w14:textId="77777777" w:rsidTr="005023AF">
        <w:trPr>
          <w:cantSplit/>
        </w:trPr>
        <w:tc>
          <w:tcPr>
            <w:tcW w:w="3487" w:type="dxa"/>
          </w:tcPr>
          <w:p w14:paraId="0B53B839" w14:textId="77777777" w:rsidR="001F67D6" w:rsidRDefault="001F67D6" w:rsidP="000B1B9D">
            <w:pPr>
              <w:pStyle w:val="NoSpacing"/>
              <w:spacing w:before="120" w:after="120"/>
            </w:pPr>
            <w:r>
              <w:lastRenderedPageBreak/>
              <w:t>Description of the terms of any loans between the company and each such affiliated interest or subsidiary and a listing of the year-end loan amounts and maximum loan amounts outstanding during the year (WAC 480-70-079 (3) (d)).</w:t>
            </w:r>
          </w:p>
        </w:tc>
        <w:tc>
          <w:tcPr>
            <w:tcW w:w="6179" w:type="dxa"/>
          </w:tcPr>
          <w:p w14:paraId="0B53B83A" w14:textId="77777777" w:rsidR="001F67D6" w:rsidRDefault="00E51B4D" w:rsidP="00E51B4D">
            <w:pPr>
              <w:pStyle w:val="NoSpacing"/>
              <w:spacing w:before="120" w:after="120"/>
            </w:pPr>
            <w:r>
              <w:t>None reported.</w:t>
            </w:r>
          </w:p>
        </w:tc>
      </w:tr>
      <w:tr w:rsidR="001F67D6" w:rsidRPr="000B368A" w14:paraId="0B53B83E" w14:textId="77777777" w:rsidTr="005023AF">
        <w:trPr>
          <w:cantSplit/>
        </w:trPr>
        <w:tc>
          <w:tcPr>
            <w:tcW w:w="3487" w:type="dxa"/>
          </w:tcPr>
          <w:p w14:paraId="0B53B83C" w14:textId="77777777" w:rsidR="001F67D6" w:rsidRDefault="001F67D6" w:rsidP="000B1B9D">
            <w:pPr>
              <w:pStyle w:val="NoSpacing"/>
              <w:spacing w:before="120" w:after="120"/>
            </w:pPr>
            <w:r>
              <w:t>Description of the terms and total amount of any obligation or liability assumed by the company for each such affiliated interest or subsidiary (WAC 480-70-079 (3) (e)).</w:t>
            </w:r>
          </w:p>
        </w:tc>
        <w:tc>
          <w:tcPr>
            <w:tcW w:w="6179" w:type="dxa"/>
          </w:tcPr>
          <w:p w14:paraId="0B53B83D" w14:textId="77777777" w:rsidR="001F67D6" w:rsidRDefault="001F67D6" w:rsidP="00015949">
            <w:pPr>
              <w:pStyle w:val="NoSpacing"/>
              <w:spacing w:before="120" w:after="120"/>
            </w:pPr>
            <w:r>
              <w:t>None reported.</w:t>
            </w:r>
          </w:p>
        </w:tc>
      </w:tr>
      <w:tr w:rsidR="001F67D6" w:rsidRPr="000B368A" w14:paraId="0B53B841" w14:textId="77777777" w:rsidTr="005023AF">
        <w:trPr>
          <w:cantSplit/>
        </w:trPr>
        <w:tc>
          <w:tcPr>
            <w:tcW w:w="3487" w:type="dxa"/>
          </w:tcPr>
          <w:p w14:paraId="0B53B83F" w14:textId="77777777" w:rsidR="001F67D6" w:rsidRDefault="001F67D6" w:rsidP="00015949">
            <w:pPr>
              <w:pStyle w:val="NoSpacing"/>
              <w:spacing w:before="120" w:after="120"/>
            </w:pPr>
            <w:r>
              <w:t>Description of the activities of each such affiliated interest or subsidiary with which the company has transactions (WAC 480-70-079 (3) (f)).</w:t>
            </w:r>
          </w:p>
        </w:tc>
        <w:tc>
          <w:tcPr>
            <w:tcW w:w="6179" w:type="dxa"/>
          </w:tcPr>
          <w:p w14:paraId="0B53B840" w14:textId="77777777" w:rsidR="001F67D6" w:rsidRDefault="00CA047C" w:rsidP="009B72E4">
            <w:pPr>
              <w:pStyle w:val="NoSpacing"/>
              <w:spacing w:before="120" w:after="120"/>
            </w:pPr>
            <w:r>
              <w:t>Sanitary Service</w:t>
            </w:r>
            <w:r w:rsidRPr="000B368A">
              <w:t xml:space="preserve"> has met this requirement.</w:t>
            </w:r>
          </w:p>
        </w:tc>
      </w:tr>
      <w:tr w:rsidR="001F67D6" w:rsidRPr="000B368A" w14:paraId="0B53B844" w14:textId="77777777" w:rsidTr="005023AF">
        <w:trPr>
          <w:cantSplit/>
        </w:trPr>
        <w:tc>
          <w:tcPr>
            <w:tcW w:w="3487" w:type="dxa"/>
          </w:tcPr>
          <w:p w14:paraId="0B53B842" w14:textId="77777777" w:rsidR="001F67D6" w:rsidRDefault="001F67D6" w:rsidP="00015949">
            <w:pPr>
              <w:pStyle w:val="NoSpacing"/>
              <w:spacing w:before="120" w:after="120"/>
            </w:pPr>
            <w:r>
              <w:t>A list of all common officers and directors between the solid waste company and each such affiliated interest or subsidiary, along with their titles in each organization (WAC 480-70-079 (3) (g)).</w:t>
            </w:r>
          </w:p>
        </w:tc>
        <w:tc>
          <w:tcPr>
            <w:tcW w:w="6179" w:type="dxa"/>
          </w:tcPr>
          <w:p w14:paraId="0B53B843" w14:textId="77777777" w:rsidR="001F67D6" w:rsidRDefault="00CA047C" w:rsidP="00015949">
            <w:pPr>
              <w:pStyle w:val="NoSpacing"/>
              <w:spacing w:before="120" w:after="120"/>
            </w:pPr>
            <w:r>
              <w:t>Sanitary Service</w:t>
            </w:r>
            <w:r w:rsidRPr="000B368A">
              <w:t xml:space="preserve"> has met this requirement.</w:t>
            </w:r>
          </w:p>
        </w:tc>
      </w:tr>
      <w:tr w:rsidR="001F67D6" w:rsidRPr="000B368A" w14:paraId="0B53B847" w14:textId="77777777" w:rsidTr="005023AF">
        <w:trPr>
          <w:cantSplit/>
        </w:trPr>
        <w:tc>
          <w:tcPr>
            <w:tcW w:w="3487" w:type="dxa"/>
          </w:tcPr>
          <w:p w14:paraId="0B53B845" w14:textId="77777777" w:rsidR="001F67D6" w:rsidRDefault="001F67D6" w:rsidP="000B1B9D">
            <w:pPr>
              <w:pStyle w:val="NoSpacing"/>
              <w:spacing w:before="120" w:after="120"/>
            </w:pPr>
            <w:r>
              <w:t>File c</w:t>
            </w:r>
            <w:r w:rsidRPr="00B40A14">
              <w:t>opies of affiliated interest contracts and arrangements as stated in WAC 480-70-078</w:t>
            </w:r>
            <w:r>
              <w:t xml:space="preserve"> (WAC 480-70-079 (4))</w:t>
            </w:r>
            <w:r w:rsidRPr="00B40A14">
              <w:t>.</w:t>
            </w:r>
          </w:p>
        </w:tc>
        <w:tc>
          <w:tcPr>
            <w:tcW w:w="6179" w:type="dxa"/>
          </w:tcPr>
          <w:p w14:paraId="0B53B846" w14:textId="77777777" w:rsidR="001F67D6" w:rsidRDefault="005B30A3" w:rsidP="00015949">
            <w:pPr>
              <w:pStyle w:val="NoSpacing"/>
              <w:spacing w:before="120" w:after="120"/>
            </w:pPr>
            <w:r w:rsidRPr="00911180">
              <w:t>None reported.</w:t>
            </w:r>
          </w:p>
        </w:tc>
      </w:tr>
    </w:tbl>
    <w:p w14:paraId="0B53B848" w14:textId="77777777" w:rsidR="001F67D6" w:rsidRPr="004614CE" w:rsidRDefault="001F67D6" w:rsidP="001F67D6">
      <w:pPr>
        <w:pStyle w:val="NoSpacing"/>
        <w:spacing w:before="120" w:after="120"/>
        <w:rPr>
          <w:b/>
          <w:u w:val="single"/>
        </w:rPr>
      </w:pPr>
      <w:r w:rsidRPr="004614CE">
        <w:rPr>
          <w:b/>
          <w:u w:val="single"/>
        </w:rPr>
        <w:t>Areas and Elements to be Examined in the Next Rate Case:</w:t>
      </w:r>
    </w:p>
    <w:p w14:paraId="0B53B849" w14:textId="77777777" w:rsidR="00285DEB" w:rsidRPr="00FE47F8" w:rsidRDefault="00F0059D" w:rsidP="00285DEB">
      <w:pPr>
        <w:widowControl/>
        <w:autoSpaceDE/>
        <w:autoSpaceDN/>
        <w:adjustRightInd/>
        <w:spacing w:before="120" w:after="120"/>
        <w:rPr>
          <w:sz w:val="24"/>
        </w:rPr>
      </w:pPr>
      <w:r w:rsidRPr="00FE47F8">
        <w:rPr>
          <w:sz w:val="24"/>
        </w:rPr>
        <w:t>The a</w:t>
      </w:r>
      <w:r w:rsidR="00911180" w:rsidRPr="00FE47F8">
        <w:rPr>
          <w:sz w:val="24"/>
        </w:rPr>
        <w:t>mounts paid for management fees, equipment rental, and lobbying have remained relatively stagnant since</w:t>
      </w:r>
      <w:r w:rsidRPr="00FE47F8">
        <w:rPr>
          <w:sz w:val="24"/>
        </w:rPr>
        <w:t xml:space="preserve"> 2013. </w:t>
      </w:r>
      <w:r w:rsidR="00911180" w:rsidRPr="00FE47F8">
        <w:rPr>
          <w:sz w:val="24"/>
        </w:rPr>
        <w:t>Amounts paid to Patrick Dunn and Associates, Ltd. have actually decreased slightly since 2014</w:t>
      </w:r>
      <w:r w:rsidR="00FE47F8" w:rsidRPr="00FE47F8">
        <w:rPr>
          <w:sz w:val="24"/>
        </w:rPr>
        <w:t xml:space="preserve">. </w:t>
      </w:r>
      <w:r w:rsidRPr="00FE47F8">
        <w:rPr>
          <w:sz w:val="24"/>
        </w:rPr>
        <w:t>The process and methods of allocating these costs to regulated rate payers and the impact on regulated rates should be examined. Additionally, although the company states that fees paid for lobbying are excluded from regulated rates, this</w:t>
      </w:r>
      <w:r w:rsidR="00FE47F8" w:rsidRPr="00FE47F8">
        <w:rPr>
          <w:sz w:val="24"/>
        </w:rPr>
        <w:t xml:space="preserve"> claim should be verified during the next rate case</w:t>
      </w:r>
      <w:r w:rsidRPr="00FE47F8">
        <w:rPr>
          <w:sz w:val="24"/>
        </w:rPr>
        <w:t xml:space="preserve">.  </w:t>
      </w:r>
      <w:r w:rsidR="0037691A" w:rsidRPr="00FE47F8">
        <w:rPr>
          <w:sz w:val="24"/>
        </w:rPr>
        <w:t>A</w:t>
      </w:r>
      <w:r w:rsidRPr="00FE47F8">
        <w:rPr>
          <w:sz w:val="24"/>
        </w:rPr>
        <w:t xml:space="preserve">mounts paid to </w:t>
      </w:r>
      <w:r w:rsidR="0037691A" w:rsidRPr="00FE47F8">
        <w:rPr>
          <w:sz w:val="24"/>
        </w:rPr>
        <w:t>Blaine Bay</w:t>
      </w:r>
      <w:r w:rsidRPr="00FE47F8">
        <w:rPr>
          <w:sz w:val="24"/>
        </w:rPr>
        <w:t xml:space="preserve"> for equipment rental should </w:t>
      </w:r>
      <w:r w:rsidR="00FE47F8">
        <w:rPr>
          <w:sz w:val="24"/>
        </w:rPr>
        <w:t xml:space="preserve">also </w:t>
      </w:r>
      <w:r w:rsidRPr="00FE47F8">
        <w:rPr>
          <w:sz w:val="24"/>
        </w:rPr>
        <w:t>be examined for their impact on regulated rate payers</w:t>
      </w:r>
      <w:r w:rsidR="00285DEB" w:rsidRPr="00FE47F8">
        <w:rPr>
          <w:sz w:val="24"/>
        </w:rPr>
        <w:t xml:space="preserve">. </w:t>
      </w:r>
    </w:p>
    <w:p w14:paraId="0B53B84A" w14:textId="77777777" w:rsidR="001F67D6" w:rsidRPr="00CE4EFC" w:rsidRDefault="001F67D6" w:rsidP="001F67D6">
      <w:pPr>
        <w:widowControl/>
        <w:autoSpaceDE/>
        <w:autoSpaceDN/>
        <w:adjustRightInd/>
        <w:rPr>
          <w:b/>
          <w:sz w:val="24"/>
          <w:u w:val="single"/>
        </w:rPr>
      </w:pPr>
      <w:r w:rsidRPr="00CE4EFC">
        <w:rPr>
          <w:b/>
          <w:sz w:val="24"/>
          <w:u w:val="single"/>
        </w:rPr>
        <w:t>Conclusion</w:t>
      </w:r>
    </w:p>
    <w:p w14:paraId="0B53B84B" w14:textId="77777777" w:rsidR="00CA047C" w:rsidRPr="001D1CB5" w:rsidRDefault="000F6099" w:rsidP="005B30A3">
      <w:pPr>
        <w:pStyle w:val="BodyText"/>
        <w:spacing w:before="120" w:after="120"/>
        <w:rPr>
          <w:rFonts w:ascii="Times New Roman" w:hAnsi="Times New Roman"/>
          <w:color w:val="000000"/>
        </w:rPr>
      </w:pPr>
      <w:r>
        <w:rPr>
          <w:rFonts w:ascii="Times New Roman" w:hAnsi="Times New Roman"/>
        </w:rPr>
        <w:lastRenderedPageBreak/>
        <w:t>It is recommended that staff take no action on this filing</w:t>
      </w:r>
      <w:r w:rsidR="00425F4A">
        <w:rPr>
          <w:rFonts w:ascii="Times New Roman" w:hAnsi="Times New Roman"/>
        </w:rPr>
        <w:t xml:space="preserve"> and close the docket</w:t>
      </w:r>
      <w:r>
        <w:rPr>
          <w:rFonts w:ascii="Times New Roman" w:hAnsi="Times New Roman"/>
        </w:rPr>
        <w:t xml:space="preserve">. </w:t>
      </w:r>
    </w:p>
    <w:sectPr w:rsidR="00CA047C" w:rsidRPr="001D1CB5" w:rsidSect="00AD5D30">
      <w:headerReference w:type="default" r:id="rId13"/>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B850" w14:textId="77777777" w:rsidR="00F47901" w:rsidRDefault="00F47901" w:rsidP="00015E96">
      <w:r>
        <w:separator/>
      </w:r>
    </w:p>
  </w:endnote>
  <w:endnote w:type="continuationSeparator" w:id="0">
    <w:p w14:paraId="0B53B851" w14:textId="77777777" w:rsidR="00F47901" w:rsidRDefault="00F47901" w:rsidP="000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B84E" w14:textId="77777777" w:rsidR="00F47901" w:rsidRDefault="00F47901" w:rsidP="00015E96">
      <w:r>
        <w:separator/>
      </w:r>
    </w:p>
  </w:footnote>
  <w:footnote w:type="continuationSeparator" w:id="0">
    <w:p w14:paraId="0B53B84F" w14:textId="77777777" w:rsidR="00F47901" w:rsidRDefault="00F47901" w:rsidP="0001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3B852" w14:textId="12B7D064" w:rsidR="00015949" w:rsidRPr="00FE0AD1" w:rsidRDefault="00015949" w:rsidP="00AD5D30">
    <w:pPr>
      <w:spacing w:line="238" w:lineRule="auto"/>
    </w:pPr>
    <w:r w:rsidRPr="00FE0AD1">
      <w:t xml:space="preserve">Docket </w:t>
    </w:r>
    <w:r w:rsidR="00B179D2">
      <w:t>TG-</w:t>
    </w:r>
    <w:r w:rsidR="00B36283">
      <w:t>180456</w:t>
    </w:r>
  </w:p>
  <w:p w14:paraId="0B53B853" w14:textId="76E5DE85" w:rsidR="00015949" w:rsidRPr="00FE0AD1" w:rsidRDefault="00B36283" w:rsidP="00AD5D30">
    <w:pPr>
      <w:spacing w:line="238" w:lineRule="auto"/>
    </w:pPr>
    <w:r>
      <w:rPr>
        <w:szCs w:val="20"/>
      </w:rPr>
      <w:t>June 11, 2018</w:t>
    </w:r>
  </w:p>
  <w:p w14:paraId="0B53B854" w14:textId="77777777" w:rsidR="00015949" w:rsidRPr="00FE0AD1" w:rsidRDefault="00015949" w:rsidP="00AD5D30">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B36283">
      <w:rPr>
        <w:rStyle w:val="PageNumber"/>
        <w:noProof/>
      </w:rPr>
      <w:t>4</w:t>
    </w:r>
    <w:r w:rsidRPr="00FE0AD1">
      <w:rPr>
        <w:rStyle w:val="PageNumber"/>
      </w:rPr>
      <w:fldChar w:fldCharType="end"/>
    </w:r>
  </w:p>
  <w:p w14:paraId="0B53B855" w14:textId="77777777" w:rsidR="00015949" w:rsidRPr="00AD5D30" w:rsidRDefault="00015949" w:rsidP="00AD5D30">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D405E"/>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437543"/>
    <w:multiLevelType w:val="hybridMultilevel"/>
    <w:tmpl w:val="DBF2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F795F"/>
    <w:multiLevelType w:val="hybridMultilevel"/>
    <w:tmpl w:val="F018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3B41"/>
    <w:multiLevelType w:val="hybridMultilevel"/>
    <w:tmpl w:val="DD34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033BC"/>
    <w:multiLevelType w:val="hybridMultilevel"/>
    <w:tmpl w:val="16FE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E7A93"/>
    <w:multiLevelType w:val="hybridMultilevel"/>
    <w:tmpl w:val="734E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FCB7BC1"/>
    <w:multiLevelType w:val="hybridMultilevel"/>
    <w:tmpl w:val="DA5A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6"/>
    <w:rsid w:val="00015949"/>
    <w:rsid w:val="00015E96"/>
    <w:rsid w:val="00076BB3"/>
    <w:rsid w:val="00084CDC"/>
    <w:rsid w:val="00087F4F"/>
    <w:rsid w:val="000A2E40"/>
    <w:rsid w:val="000A6247"/>
    <w:rsid w:val="000B1B9D"/>
    <w:rsid w:val="000B30E6"/>
    <w:rsid w:val="000B368A"/>
    <w:rsid w:val="000C6151"/>
    <w:rsid w:val="000D152F"/>
    <w:rsid w:val="000F6099"/>
    <w:rsid w:val="00105153"/>
    <w:rsid w:val="00106660"/>
    <w:rsid w:val="00120806"/>
    <w:rsid w:val="00180EBF"/>
    <w:rsid w:val="001A6EE8"/>
    <w:rsid w:val="001B0A44"/>
    <w:rsid w:val="001B22B6"/>
    <w:rsid w:val="001C04F9"/>
    <w:rsid w:val="001C5AB1"/>
    <w:rsid w:val="001F089A"/>
    <w:rsid w:val="001F67D6"/>
    <w:rsid w:val="0020405A"/>
    <w:rsid w:val="002102AB"/>
    <w:rsid w:val="002465AE"/>
    <w:rsid w:val="00256BA3"/>
    <w:rsid w:val="0027305F"/>
    <w:rsid w:val="00285DEB"/>
    <w:rsid w:val="00295358"/>
    <w:rsid w:val="002C039A"/>
    <w:rsid w:val="002F11B6"/>
    <w:rsid w:val="003206FA"/>
    <w:rsid w:val="003431A8"/>
    <w:rsid w:val="00352528"/>
    <w:rsid w:val="003612A3"/>
    <w:rsid w:val="0036488E"/>
    <w:rsid w:val="00365C60"/>
    <w:rsid w:val="0037691A"/>
    <w:rsid w:val="003872EA"/>
    <w:rsid w:val="0039340D"/>
    <w:rsid w:val="003A2365"/>
    <w:rsid w:val="003A7D06"/>
    <w:rsid w:val="003B42D9"/>
    <w:rsid w:val="003C108F"/>
    <w:rsid w:val="003E023E"/>
    <w:rsid w:val="003F0CC6"/>
    <w:rsid w:val="003F20CB"/>
    <w:rsid w:val="003F414F"/>
    <w:rsid w:val="003F58CC"/>
    <w:rsid w:val="003F707A"/>
    <w:rsid w:val="004034BB"/>
    <w:rsid w:val="004159BE"/>
    <w:rsid w:val="00425F4A"/>
    <w:rsid w:val="004451C6"/>
    <w:rsid w:val="004614CE"/>
    <w:rsid w:val="00495639"/>
    <w:rsid w:val="004A630B"/>
    <w:rsid w:val="004F6638"/>
    <w:rsid w:val="005017A5"/>
    <w:rsid w:val="005023AF"/>
    <w:rsid w:val="00502439"/>
    <w:rsid w:val="005038D7"/>
    <w:rsid w:val="00516BAE"/>
    <w:rsid w:val="005308FF"/>
    <w:rsid w:val="00531AB5"/>
    <w:rsid w:val="00536B5B"/>
    <w:rsid w:val="00542067"/>
    <w:rsid w:val="00552C2F"/>
    <w:rsid w:val="005939E5"/>
    <w:rsid w:val="005B30A3"/>
    <w:rsid w:val="005C5D54"/>
    <w:rsid w:val="005D48EA"/>
    <w:rsid w:val="005E1410"/>
    <w:rsid w:val="005E4143"/>
    <w:rsid w:val="005E4E22"/>
    <w:rsid w:val="005F53E9"/>
    <w:rsid w:val="0060694D"/>
    <w:rsid w:val="00656EA6"/>
    <w:rsid w:val="00664DBA"/>
    <w:rsid w:val="00667A7F"/>
    <w:rsid w:val="00671FF2"/>
    <w:rsid w:val="00683655"/>
    <w:rsid w:val="006867B3"/>
    <w:rsid w:val="006B3214"/>
    <w:rsid w:val="006B7C33"/>
    <w:rsid w:val="006E3927"/>
    <w:rsid w:val="006F7629"/>
    <w:rsid w:val="006F7F9B"/>
    <w:rsid w:val="00700D75"/>
    <w:rsid w:val="00712A6F"/>
    <w:rsid w:val="007265C4"/>
    <w:rsid w:val="0075190D"/>
    <w:rsid w:val="00757379"/>
    <w:rsid w:val="00770643"/>
    <w:rsid w:val="0077384C"/>
    <w:rsid w:val="007A07E6"/>
    <w:rsid w:val="007A1E16"/>
    <w:rsid w:val="007C1F4D"/>
    <w:rsid w:val="007E537C"/>
    <w:rsid w:val="007E6F57"/>
    <w:rsid w:val="007F1BFD"/>
    <w:rsid w:val="00803986"/>
    <w:rsid w:val="0083458C"/>
    <w:rsid w:val="00835CE3"/>
    <w:rsid w:val="008425F9"/>
    <w:rsid w:val="00880C1E"/>
    <w:rsid w:val="008D1A68"/>
    <w:rsid w:val="008D7857"/>
    <w:rsid w:val="008F6E7E"/>
    <w:rsid w:val="00911180"/>
    <w:rsid w:val="00923CE2"/>
    <w:rsid w:val="00924A99"/>
    <w:rsid w:val="00947562"/>
    <w:rsid w:val="009655E5"/>
    <w:rsid w:val="00976AB1"/>
    <w:rsid w:val="009B72E4"/>
    <w:rsid w:val="009C08CA"/>
    <w:rsid w:val="009D40AC"/>
    <w:rsid w:val="009E7811"/>
    <w:rsid w:val="00A127E1"/>
    <w:rsid w:val="00A24C94"/>
    <w:rsid w:val="00A316C3"/>
    <w:rsid w:val="00A3176D"/>
    <w:rsid w:val="00A36CBF"/>
    <w:rsid w:val="00A47DD5"/>
    <w:rsid w:val="00A50736"/>
    <w:rsid w:val="00A577AB"/>
    <w:rsid w:val="00A645F0"/>
    <w:rsid w:val="00A834B5"/>
    <w:rsid w:val="00A84C2A"/>
    <w:rsid w:val="00A8748F"/>
    <w:rsid w:val="00A903D4"/>
    <w:rsid w:val="00AB0077"/>
    <w:rsid w:val="00AC1959"/>
    <w:rsid w:val="00AC369E"/>
    <w:rsid w:val="00AD5D30"/>
    <w:rsid w:val="00AF0311"/>
    <w:rsid w:val="00B179D2"/>
    <w:rsid w:val="00B23F07"/>
    <w:rsid w:val="00B36283"/>
    <w:rsid w:val="00B40A14"/>
    <w:rsid w:val="00B611B7"/>
    <w:rsid w:val="00BA7B98"/>
    <w:rsid w:val="00BC5B9F"/>
    <w:rsid w:val="00BD7BC3"/>
    <w:rsid w:val="00BE6890"/>
    <w:rsid w:val="00C54A62"/>
    <w:rsid w:val="00C80190"/>
    <w:rsid w:val="00C94DAE"/>
    <w:rsid w:val="00CA047C"/>
    <w:rsid w:val="00CC69CA"/>
    <w:rsid w:val="00CD3BA3"/>
    <w:rsid w:val="00CD5F33"/>
    <w:rsid w:val="00CE4EFC"/>
    <w:rsid w:val="00CF258B"/>
    <w:rsid w:val="00D04546"/>
    <w:rsid w:val="00D243BB"/>
    <w:rsid w:val="00D24C81"/>
    <w:rsid w:val="00D35235"/>
    <w:rsid w:val="00D51059"/>
    <w:rsid w:val="00DC3A38"/>
    <w:rsid w:val="00DD2A47"/>
    <w:rsid w:val="00DD4C34"/>
    <w:rsid w:val="00DE7D68"/>
    <w:rsid w:val="00E25E67"/>
    <w:rsid w:val="00E3098A"/>
    <w:rsid w:val="00E33238"/>
    <w:rsid w:val="00E51B4D"/>
    <w:rsid w:val="00E76CAC"/>
    <w:rsid w:val="00E933CB"/>
    <w:rsid w:val="00E93B36"/>
    <w:rsid w:val="00F0059D"/>
    <w:rsid w:val="00F05A82"/>
    <w:rsid w:val="00F2499D"/>
    <w:rsid w:val="00F30E73"/>
    <w:rsid w:val="00F45F44"/>
    <w:rsid w:val="00F47901"/>
    <w:rsid w:val="00FA62C1"/>
    <w:rsid w:val="00FD671E"/>
    <w:rsid w:val="00FE47F8"/>
    <w:rsid w:val="00FE735E"/>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53B801"/>
  <w15:docId w15:val="{B76F169F-6937-4D39-AA25-0325BB3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3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F1BFD"/>
    <w:pPr>
      <w:keepNext/>
      <w:keepLines/>
      <w:spacing w:before="48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76B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BFD"/>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7F1BFD"/>
    <w:rPr>
      <w:rFonts w:ascii="Times New Roman" w:eastAsiaTheme="majorEastAsia" w:hAnsi="Times New Roman" w:cstheme="majorBidi"/>
      <w:b/>
      <w:bCs/>
      <w:color w:val="365F91" w:themeColor="accent1" w:themeShade="BF"/>
      <w:sz w:val="24"/>
      <w:szCs w:val="28"/>
    </w:rPr>
  </w:style>
  <w:style w:type="paragraph" w:styleId="Header">
    <w:name w:val="header"/>
    <w:basedOn w:val="Normal"/>
    <w:link w:val="HeaderChar"/>
    <w:uiPriority w:val="99"/>
    <w:unhideWhenUsed/>
    <w:rsid w:val="00015E96"/>
    <w:pPr>
      <w:tabs>
        <w:tab w:val="center" w:pos="4680"/>
        <w:tab w:val="right" w:pos="9360"/>
      </w:tabs>
    </w:pPr>
  </w:style>
  <w:style w:type="character" w:customStyle="1" w:styleId="HeaderChar">
    <w:name w:val="Header Char"/>
    <w:basedOn w:val="DefaultParagraphFont"/>
    <w:link w:val="Header"/>
    <w:uiPriority w:val="99"/>
    <w:rsid w:val="00015E96"/>
    <w:rPr>
      <w:rFonts w:ascii="Times New Roman" w:hAnsi="Times New Roman"/>
      <w:sz w:val="24"/>
    </w:rPr>
  </w:style>
  <w:style w:type="paragraph" w:styleId="Footer">
    <w:name w:val="footer"/>
    <w:basedOn w:val="Normal"/>
    <w:link w:val="FooterChar"/>
    <w:uiPriority w:val="99"/>
    <w:unhideWhenUsed/>
    <w:rsid w:val="00015E96"/>
    <w:pPr>
      <w:tabs>
        <w:tab w:val="center" w:pos="4680"/>
        <w:tab w:val="right" w:pos="9360"/>
      </w:tabs>
    </w:pPr>
  </w:style>
  <w:style w:type="character" w:customStyle="1" w:styleId="FooterChar">
    <w:name w:val="Footer Char"/>
    <w:basedOn w:val="DefaultParagraphFont"/>
    <w:link w:val="Footer"/>
    <w:uiPriority w:val="99"/>
    <w:rsid w:val="00015E96"/>
    <w:rPr>
      <w:rFonts w:ascii="Times New Roman" w:hAnsi="Times New Roman"/>
      <w:sz w:val="24"/>
    </w:rPr>
  </w:style>
  <w:style w:type="character" w:styleId="Hyperlink">
    <w:name w:val="Hyperlink"/>
    <w:basedOn w:val="DefaultParagraphFont"/>
    <w:uiPriority w:val="99"/>
    <w:unhideWhenUsed/>
    <w:rsid w:val="00A47DD5"/>
    <w:rPr>
      <w:color w:val="0000FF" w:themeColor="hyperlink"/>
      <w:u w:val="single"/>
    </w:rPr>
  </w:style>
  <w:style w:type="paragraph" w:styleId="BodyText">
    <w:name w:val="Body Text"/>
    <w:basedOn w:val="Normal"/>
    <w:link w:val="BodyTextChar"/>
    <w:rsid w:val="00AD5D30"/>
    <w:rPr>
      <w:rFonts w:ascii="Courier" w:hAnsi="Courier"/>
      <w:sz w:val="24"/>
    </w:rPr>
  </w:style>
  <w:style w:type="character" w:customStyle="1" w:styleId="BodyTextChar">
    <w:name w:val="Body Text Char"/>
    <w:basedOn w:val="DefaultParagraphFont"/>
    <w:link w:val="BodyText"/>
    <w:rsid w:val="00AD5D30"/>
    <w:rPr>
      <w:rFonts w:ascii="Courier" w:eastAsia="Times New Roman" w:hAnsi="Courier" w:cs="Times New Roman"/>
      <w:sz w:val="24"/>
      <w:szCs w:val="24"/>
    </w:rPr>
  </w:style>
  <w:style w:type="character" w:styleId="PageNumber">
    <w:name w:val="page number"/>
    <w:basedOn w:val="DefaultParagraphFont"/>
    <w:rsid w:val="00AD5D30"/>
  </w:style>
  <w:style w:type="table" w:styleId="TableGrid">
    <w:name w:val="Table Grid"/>
    <w:basedOn w:val="TableNormal"/>
    <w:uiPriority w:val="59"/>
    <w:rsid w:val="000B3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E4EFC"/>
    <w:pPr>
      <w:ind w:left="720"/>
      <w:contextualSpacing/>
    </w:pPr>
  </w:style>
  <w:style w:type="paragraph" w:styleId="BalloonText">
    <w:name w:val="Balloon Text"/>
    <w:basedOn w:val="Normal"/>
    <w:link w:val="BalloonTextChar"/>
    <w:uiPriority w:val="99"/>
    <w:semiHidden/>
    <w:unhideWhenUsed/>
    <w:rsid w:val="005939E5"/>
    <w:rPr>
      <w:rFonts w:ascii="Tahoma" w:hAnsi="Tahoma" w:cs="Tahoma"/>
      <w:sz w:val="16"/>
      <w:szCs w:val="16"/>
    </w:rPr>
  </w:style>
  <w:style w:type="character" w:customStyle="1" w:styleId="BalloonTextChar">
    <w:name w:val="Balloon Text Char"/>
    <w:basedOn w:val="DefaultParagraphFont"/>
    <w:link w:val="BalloonText"/>
    <w:uiPriority w:val="99"/>
    <w:semiHidden/>
    <w:rsid w:val="005939E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076BB3"/>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076BB3"/>
    <w:pPr>
      <w:widowControl/>
      <w:autoSpaceDE/>
      <w:autoSpaceDN/>
      <w:adjustRightInd/>
      <w:jc w:val="center"/>
    </w:pPr>
    <w:rPr>
      <w:b/>
      <w:bCs/>
      <w:sz w:val="24"/>
      <w:u w:val="single"/>
    </w:rPr>
  </w:style>
  <w:style w:type="character" w:customStyle="1" w:styleId="TitleChar">
    <w:name w:val="Title Char"/>
    <w:basedOn w:val="DefaultParagraphFont"/>
    <w:link w:val="Title"/>
    <w:rsid w:val="00076BB3"/>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Memorandum</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Pending</CaseStatus>
    <OpenedDate xmlns="dc463f71-b30c-4ab2-9473-d307f9d35888">2018-05-23T07:00:00+00:00</OpenedDate>
    <Date1 xmlns="dc463f71-b30c-4ab2-9473-d307f9d35888">2018-06-29T07:00:00+00:00</Date1>
    <IsDocumentOrder xmlns="dc463f71-b30c-4ab2-9473-d307f9d35888">false</IsDocumentOrder>
    <IsHighlyConfidential xmlns="dc463f71-b30c-4ab2-9473-d307f9d35888">false</IsHighlyConfidential>
    <CaseCompanyNames xmlns="dc463f71-b30c-4ab2-9473-d307f9d35888">Sanitary Service Company, Inc.</CaseCompanyNames>
    <DocketNumber xmlns="dc463f71-b30c-4ab2-9473-d307f9d35888">180456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7D39BA924D883418D87D0C88423FB88" ma:contentTypeVersion="76" ma:contentTypeDescription="" ma:contentTypeScope="" ma:versionID="2545018ea037e1be101d4467a446f73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5164-2DC1-468B-9EE6-AE3954A1E720}">
  <ds:schemaRefs>
    <ds:schemaRef ds:uri="http://schemas.microsoft.com/sharepoint/v3/contenttype/forms"/>
  </ds:schemaRefs>
</ds:datastoreItem>
</file>

<file path=customXml/itemProps2.xml><?xml version="1.0" encoding="utf-8"?>
<ds:datastoreItem xmlns:ds="http://schemas.openxmlformats.org/officeDocument/2006/customXml" ds:itemID="{86AC79A5-B7A5-48B6-9309-7123918A43E0}">
  <ds:schemaRefs>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purl.org/dc/elements/1.1/"/>
    <ds:schemaRef ds:uri="http://schemas.microsoft.com/sharepoint/v3"/>
    <ds:schemaRef ds:uri="http://schemas.microsoft.com/office/infopath/2007/PartnerControls"/>
    <ds:schemaRef ds:uri="http://schemas.openxmlformats.org/package/2006/metadata/core-properties"/>
    <ds:schemaRef ds:uri="dc463f71-b30c-4ab2-9473-d307f9d35888"/>
  </ds:schemaRefs>
</ds:datastoreItem>
</file>

<file path=customXml/itemProps3.xml><?xml version="1.0" encoding="utf-8"?>
<ds:datastoreItem xmlns:ds="http://schemas.openxmlformats.org/officeDocument/2006/customXml" ds:itemID="{0D9AC0EA-D699-4704-9A08-34272FD06736}"/>
</file>

<file path=customXml/itemProps4.xml><?xml version="1.0" encoding="utf-8"?>
<ds:datastoreItem xmlns:ds="http://schemas.openxmlformats.org/officeDocument/2006/customXml" ds:itemID="{D72A8DC8-8A5E-43DD-9437-D11CB7CF7423}"/>
</file>

<file path=customXml/itemProps5.xml><?xml version="1.0" encoding="utf-8"?>
<ds:datastoreItem xmlns:ds="http://schemas.openxmlformats.org/officeDocument/2006/customXml" ds:itemID="{8B003D1A-6DB4-488C-B6C8-24C0C007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dagomez</dc:creator>
  <cp:lastModifiedBy>Van Meter, Tiffany (UTC)</cp:lastModifiedBy>
  <cp:revision>2</cp:revision>
  <cp:lastPrinted>2015-06-16T22:02:00Z</cp:lastPrinted>
  <dcterms:created xsi:type="dcterms:W3CDTF">2018-06-11T18:49:00Z</dcterms:created>
  <dcterms:modified xsi:type="dcterms:W3CDTF">2018-06-11T18:49:00Z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0x0101006E56B4D1795A2E4DB2F0B01679ED314A0057D39BA924D883418D87D0C88423FB88</vt:lpwstr>
  </property>
  <property fmtid="{D5CDD505-2E9C-101B-9397-08002B2CF9AE}" pid="3" name="_docset_NoMedatataSyncRequired">
    <vt:lpwstr>False</vt:lpwstr>
  </property>
  <property fmtid="{D5CDD505-2E9C-101B-9397-08002B2CF9AE}" pid="4" name="IsEFSEC">
    <vt:bool>false</vt:bool>
  </property>
</Properties>
</file>