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46AC" w14:textId="77777777" w:rsidR="00303B74" w:rsidRPr="00DD04B3" w:rsidRDefault="007C17B7" w:rsidP="00DD04B3">
      <w:pPr>
        <w:tabs>
          <w:tab w:val="right" w:pos="8640"/>
        </w:tabs>
        <w:ind w:right="-9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March </w:t>
      </w:r>
      <w:r w:rsidR="00A12A8C">
        <w:rPr>
          <w:sz w:val="24"/>
          <w:szCs w:val="24"/>
        </w:rPr>
        <w:t>1</w:t>
      </w:r>
      <w:r>
        <w:rPr>
          <w:sz w:val="24"/>
          <w:szCs w:val="24"/>
        </w:rPr>
        <w:t>, 2017</w:t>
      </w:r>
    </w:p>
    <w:p w14:paraId="52E046AD" w14:textId="77777777" w:rsidR="00587929" w:rsidRDefault="00587929" w:rsidP="00DD04B3">
      <w:pPr>
        <w:ind w:right="-90"/>
        <w:rPr>
          <w:sz w:val="24"/>
          <w:szCs w:val="24"/>
        </w:rPr>
      </w:pPr>
    </w:p>
    <w:p w14:paraId="52E046AE" w14:textId="77777777"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14:paraId="52E046AF" w14:textId="77777777"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14:paraId="52E046B0" w14:textId="77777777"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14:paraId="52E046B1" w14:textId="77777777"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14:paraId="52E046B2" w14:textId="77777777" w:rsidR="00303B74" w:rsidRPr="00DD04B3" w:rsidRDefault="00303B74" w:rsidP="00DD04B3">
      <w:pPr>
        <w:ind w:right="-90"/>
        <w:rPr>
          <w:sz w:val="24"/>
          <w:szCs w:val="24"/>
        </w:rPr>
      </w:pPr>
    </w:p>
    <w:p w14:paraId="52E046B3" w14:textId="77777777"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 xml:space="preserve">Attention:  </w:t>
      </w:r>
      <w:r w:rsidR="003E1511" w:rsidRPr="00DD04B3">
        <w:rPr>
          <w:sz w:val="24"/>
          <w:szCs w:val="24"/>
        </w:rPr>
        <w:t xml:space="preserve">Mr. </w:t>
      </w:r>
      <w:r w:rsidR="00187341">
        <w:rPr>
          <w:sz w:val="24"/>
          <w:szCs w:val="24"/>
        </w:rPr>
        <w:t>Steven King</w:t>
      </w:r>
      <w:r w:rsidRPr="00DD04B3">
        <w:rPr>
          <w:sz w:val="24"/>
          <w:szCs w:val="24"/>
        </w:rPr>
        <w:t>, Executive</w:t>
      </w:r>
      <w:r w:rsidR="00075BF9" w:rsidRPr="00DD04B3">
        <w:rPr>
          <w:sz w:val="24"/>
          <w:szCs w:val="24"/>
        </w:rPr>
        <w:t xml:space="preserve"> </w:t>
      </w:r>
      <w:r w:rsidR="00787FAA">
        <w:rPr>
          <w:sz w:val="24"/>
          <w:szCs w:val="24"/>
        </w:rPr>
        <w:t xml:space="preserve">Director </w:t>
      </w:r>
      <w:r w:rsidR="00D46B38" w:rsidRPr="00DD04B3">
        <w:rPr>
          <w:sz w:val="24"/>
          <w:szCs w:val="24"/>
        </w:rPr>
        <w:t>&amp; Secretary</w:t>
      </w:r>
    </w:p>
    <w:p w14:paraId="52E046B4" w14:textId="77777777" w:rsidR="00587929" w:rsidRPr="00DD04B3" w:rsidRDefault="00587929" w:rsidP="00DD04B3">
      <w:pPr>
        <w:ind w:right="-90"/>
        <w:rPr>
          <w:sz w:val="24"/>
          <w:szCs w:val="24"/>
        </w:rPr>
      </w:pPr>
    </w:p>
    <w:p w14:paraId="52E046B5" w14:textId="77777777" w:rsidR="002C36B6" w:rsidRDefault="002C36B6" w:rsidP="005149F5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6F70B1">
        <w:rPr>
          <w:sz w:val="24"/>
          <w:szCs w:val="24"/>
        </w:rPr>
        <w:t>Attached for filing with the Commission is an electronic copy of the proposed revisions to</w:t>
      </w:r>
      <w:r w:rsidR="008528DD">
        <w:rPr>
          <w:sz w:val="24"/>
          <w:szCs w:val="24"/>
        </w:rPr>
        <w:t xml:space="preserve"> Avista</w:t>
      </w:r>
      <w:r w:rsidRPr="009369CB">
        <w:rPr>
          <w:sz w:val="24"/>
          <w:szCs w:val="24"/>
        </w:rPr>
        <w:t xml:space="preserve">’s Line Extension, Conversion </w:t>
      </w:r>
      <w:r>
        <w:rPr>
          <w:sz w:val="24"/>
          <w:szCs w:val="24"/>
        </w:rPr>
        <w:t>a</w:t>
      </w:r>
      <w:r w:rsidRPr="009369CB">
        <w:rPr>
          <w:sz w:val="24"/>
          <w:szCs w:val="24"/>
        </w:rPr>
        <w:t>nd Relocation Schedule</w:t>
      </w:r>
      <w:r>
        <w:rPr>
          <w:sz w:val="24"/>
          <w:szCs w:val="24"/>
        </w:rPr>
        <w:t xml:space="preserve"> 51 of Tariff</w:t>
      </w:r>
      <w:r w:rsidRPr="006F70B1">
        <w:rPr>
          <w:sz w:val="24"/>
          <w:szCs w:val="24"/>
        </w:rPr>
        <w:t xml:space="preserve"> WN U-28:</w:t>
      </w:r>
    </w:p>
    <w:p w14:paraId="52E046B6" w14:textId="77777777" w:rsidR="002C36B6" w:rsidRPr="007C17B7" w:rsidRDefault="002C36B6" w:rsidP="00C957CE">
      <w:pPr>
        <w:tabs>
          <w:tab w:val="left" w:pos="3960"/>
          <w:tab w:val="left" w:pos="5760"/>
        </w:tabs>
        <w:rPr>
          <w:sz w:val="24"/>
          <w:szCs w:val="24"/>
          <w:highlight w:val="yellow"/>
        </w:rPr>
      </w:pPr>
    </w:p>
    <w:p w14:paraId="52E046B7" w14:textId="77777777" w:rsidR="00921574" w:rsidRPr="00753DC6" w:rsidRDefault="00753DC6" w:rsidP="00921574">
      <w:pPr>
        <w:tabs>
          <w:tab w:val="left" w:pos="3960"/>
          <w:tab w:val="left" w:pos="5760"/>
        </w:tabs>
        <w:ind w:left="720"/>
        <w:rPr>
          <w:sz w:val="24"/>
          <w:szCs w:val="24"/>
        </w:rPr>
      </w:pPr>
      <w:r w:rsidRPr="00753DC6">
        <w:rPr>
          <w:sz w:val="24"/>
          <w:szCs w:val="24"/>
        </w:rPr>
        <w:t>4</w:t>
      </w:r>
      <w:r w:rsidRPr="00753DC6">
        <w:rPr>
          <w:sz w:val="24"/>
          <w:szCs w:val="24"/>
          <w:vertAlign w:val="superscript"/>
        </w:rPr>
        <w:t>th</w:t>
      </w:r>
      <w:r w:rsidR="00921574" w:rsidRPr="00753DC6">
        <w:rPr>
          <w:sz w:val="24"/>
          <w:szCs w:val="24"/>
        </w:rPr>
        <w:t xml:space="preserve"> Revision Sheet 51C</w:t>
      </w:r>
      <w:r w:rsidR="00921574" w:rsidRPr="00753DC6">
        <w:rPr>
          <w:sz w:val="24"/>
          <w:szCs w:val="24"/>
        </w:rPr>
        <w:tab/>
        <w:t xml:space="preserve">Canceling </w:t>
      </w:r>
      <w:r w:rsidRPr="00753DC6">
        <w:rPr>
          <w:sz w:val="24"/>
          <w:szCs w:val="24"/>
        </w:rPr>
        <w:tab/>
        <w:t>3</w:t>
      </w:r>
      <w:r w:rsidRPr="00753DC6">
        <w:rPr>
          <w:sz w:val="24"/>
          <w:szCs w:val="24"/>
          <w:vertAlign w:val="superscript"/>
        </w:rPr>
        <w:t>rd</w:t>
      </w:r>
      <w:r w:rsidR="00921574" w:rsidRPr="00753DC6">
        <w:rPr>
          <w:sz w:val="24"/>
          <w:szCs w:val="24"/>
        </w:rPr>
        <w:t xml:space="preserve"> Revision Sheet 51C</w:t>
      </w:r>
    </w:p>
    <w:p w14:paraId="52E046B8" w14:textId="77777777" w:rsidR="002C36B6" w:rsidRPr="007C17B7" w:rsidRDefault="00753DC6" w:rsidP="002C36B6">
      <w:pPr>
        <w:tabs>
          <w:tab w:val="left" w:pos="3960"/>
          <w:tab w:val="left" w:pos="5760"/>
        </w:tabs>
        <w:ind w:left="720"/>
        <w:rPr>
          <w:sz w:val="24"/>
          <w:szCs w:val="24"/>
          <w:highlight w:val="yellow"/>
        </w:rPr>
      </w:pPr>
      <w:r w:rsidRPr="00753DC6">
        <w:rPr>
          <w:sz w:val="24"/>
          <w:szCs w:val="24"/>
        </w:rPr>
        <w:t>4</w:t>
      </w:r>
      <w:r w:rsidRPr="00753DC6">
        <w:rPr>
          <w:sz w:val="24"/>
          <w:szCs w:val="24"/>
          <w:vertAlign w:val="superscript"/>
        </w:rPr>
        <w:t>th</w:t>
      </w:r>
      <w:r w:rsidR="00773DB3" w:rsidRPr="00753DC6">
        <w:rPr>
          <w:sz w:val="24"/>
          <w:szCs w:val="24"/>
        </w:rPr>
        <w:t xml:space="preserve"> </w:t>
      </w:r>
      <w:r w:rsidR="002C36B6" w:rsidRPr="00753DC6">
        <w:rPr>
          <w:sz w:val="24"/>
          <w:szCs w:val="24"/>
        </w:rPr>
        <w:t>Revision Sheet 51D</w:t>
      </w:r>
      <w:r w:rsidR="002C36B6" w:rsidRPr="00753DC6">
        <w:rPr>
          <w:sz w:val="24"/>
          <w:szCs w:val="24"/>
        </w:rPr>
        <w:tab/>
        <w:t xml:space="preserve">Canceling </w:t>
      </w:r>
      <w:r w:rsidR="002C36B6" w:rsidRPr="00753DC6">
        <w:rPr>
          <w:sz w:val="24"/>
          <w:szCs w:val="24"/>
        </w:rPr>
        <w:tab/>
      </w:r>
      <w:r w:rsidRPr="00753DC6">
        <w:rPr>
          <w:sz w:val="24"/>
          <w:szCs w:val="24"/>
        </w:rPr>
        <w:t>3</w:t>
      </w:r>
      <w:r w:rsidRPr="00753DC6">
        <w:rPr>
          <w:sz w:val="24"/>
          <w:szCs w:val="24"/>
          <w:vertAlign w:val="superscript"/>
        </w:rPr>
        <w:t>rd</w:t>
      </w:r>
      <w:r w:rsidR="00773DB3" w:rsidRPr="00753DC6">
        <w:rPr>
          <w:sz w:val="24"/>
          <w:szCs w:val="24"/>
        </w:rPr>
        <w:t xml:space="preserve"> Revision</w:t>
      </w:r>
      <w:r w:rsidR="002C36B6" w:rsidRPr="00753DC6">
        <w:rPr>
          <w:sz w:val="24"/>
          <w:szCs w:val="24"/>
        </w:rPr>
        <w:t xml:space="preserve"> Sheet 51D</w:t>
      </w:r>
    </w:p>
    <w:p w14:paraId="52E046B9" w14:textId="77777777" w:rsidR="00696642" w:rsidRPr="00753DC6" w:rsidRDefault="00753DC6" w:rsidP="000F0D84">
      <w:pPr>
        <w:tabs>
          <w:tab w:val="left" w:pos="3960"/>
          <w:tab w:val="left" w:pos="5760"/>
        </w:tabs>
        <w:ind w:left="720"/>
        <w:rPr>
          <w:sz w:val="24"/>
          <w:szCs w:val="24"/>
        </w:rPr>
      </w:pPr>
      <w:r w:rsidRPr="00753DC6">
        <w:rPr>
          <w:sz w:val="24"/>
          <w:szCs w:val="24"/>
        </w:rPr>
        <w:t>4</w:t>
      </w:r>
      <w:r w:rsidRPr="00753DC6">
        <w:rPr>
          <w:sz w:val="24"/>
          <w:szCs w:val="24"/>
          <w:vertAlign w:val="superscript"/>
        </w:rPr>
        <w:t>th</w:t>
      </w:r>
      <w:r w:rsidR="00773DB3" w:rsidRPr="00753DC6">
        <w:rPr>
          <w:sz w:val="24"/>
          <w:szCs w:val="24"/>
        </w:rPr>
        <w:t xml:space="preserve"> </w:t>
      </w:r>
      <w:r w:rsidR="002C36B6" w:rsidRPr="00753DC6">
        <w:rPr>
          <w:sz w:val="24"/>
          <w:szCs w:val="24"/>
        </w:rPr>
        <w:t>Revision Sheet 51E</w:t>
      </w:r>
      <w:r w:rsidR="002C36B6" w:rsidRPr="00753DC6">
        <w:rPr>
          <w:sz w:val="24"/>
          <w:szCs w:val="24"/>
        </w:rPr>
        <w:tab/>
        <w:t xml:space="preserve">Canceling </w:t>
      </w:r>
      <w:r w:rsidR="002C36B6" w:rsidRPr="00753DC6">
        <w:rPr>
          <w:sz w:val="24"/>
          <w:szCs w:val="24"/>
        </w:rPr>
        <w:tab/>
      </w:r>
      <w:r w:rsidRPr="00753DC6">
        <w:rPr>
          <w:sz w:val="24"/>
          <w:szCs w:val="24"/>
        </w:rPr>
        <w:t>3</w:t>
      </w:r>
      <w:r w:rsidRPr="00753DC6">
        <w:rPr>
          <w:sz w:val="24"/>
          <w:szCs w:val="24"/>
          <w:vertAlign w:val="superscript"/>
        </w:rPr>
        <w:t>rd</w:t>
      </w:r>
      <w:r w:rsidR="00773DB3" w:rsidRPr="00753DC6">
        <w:rPr>
          <w:sz w:val="24"/>
          <w:szCs w:val="24"/>
        </w:rPr>
        <w:t xml:space="preserve"> Revision</w:t>
      </w:r>
      <w:r w:rsidR="002C36B6" w:rsidRPr="00753DC6">
        <w:rPr>
          <w:sz w:val="24"/>
          <w:szCs w:val="24"/>
        </w:rPr>
        <w:t xml:space="preserve"> Sheet 51E</w:t>
      </w:r>
    </w:p>
    <w:p w14:paraId="52E046BA" w14:textId="77777777" w:rsidR="002C36B6" w:rsidRPr="00753DC6" w:rsidRDefault="00753DC6" w:rsidP="002C36B6">
      <w:pPr>
        <w:tabs>
          <w:tab w:val="left" w:pos="3960"/>
          <w:tab w:val="left" w:pos="5760"/>
        </w:tabs>
        <w:ind w:left="720"/>
        <w:rPr>
          <w:sz w:val="24"/>
          <w:szCs w:val="24"/>
        </w:rPr>
      </w:pPr>
      <w:r w:rsidRPr="00753DC6">
        <w:rPr>
          <w:sz w:val="24"/>
          <w:szCs w:val="24"/>
        </w:rPr>
        <w:t>4</w:t>
      </w:r>
      <w:r w:rsidRPr="00753DC6">
        <w:rPr>
          <w:sz w:val="24"/>
          <w:szCs w:val="24"/>
          <w:vertAlign w:val="superscript"/>
        </w:rPr>
        <w:t>th</w:t>
      </w:r>
      <w:r w:rsidR="00773DB3" w:rsidRPr="00753DC6">
        <w:rPr>
          <w:sz w:val="24"/>
          <w:szCs w:val="24"/>
        </w:rPr>
        <w:t xml:space="preserve"> </w:t>
      </w:r>
      <w:r w:rsidR="002C36B6" w:rsidRPr="00753DC6">
        <w:rPr>
          <w:sz w:val="24"/>
          <w:szCs w:val="24"/>
        </w:rPr>
        <w:t>Revision Sheet 51H</w:t>
      </w:r>
      <w:r w:rsidR="002C36B6" w:rsidRPr="00753DC6">
        <w:rPr>
          <w:sz w:val="24"/>
          <w:szCs w:val="24"/>
        </w:rPr>
        <w:tab/>
        <w:t xml:space="preserve">Canceling </w:t>
      </w:r>
      <w:r w:rsidR="002C36B6" w:rsidRPr="00753DC6">
        <w:rPr>
          <w:sz w:val="24"/>
          <w:szCs w:val="24"/>
        </w:rPr>
        <w:tab/>
      </w:r>
      <w:r w:rsidRPr="00753DC6">
        <w:rPr>
          <w:sz w:val="24"/>
          <w:szCs w:val="24"/>
        </w:rPr>
        <w:t>3</w:t>
      </w:r>
      <w:r w:rsidRPr="00753DC6">
        <w:rPr>
          <w:sz w:val="24"/>
          <w:szCs w:val="24"/>
          <w:vertAlign w:val="superscript"/>
        </w:rPr>
        <w:t>rd</w:t>
      </w:r>
      <w:r w:rsidR="00773DB3" w:rsidRPr="00753DC6">
        <w:rPr>
          <w:sz w:val="24"/>
          <w:szCs w:val="24"/>
        </w:rPr>
        <w:t xml:space="preserve"> Revision</w:t>
      </w:r>
      <w:r w:rsidR="002C36B6" w:rsidRPr="00753DC6">
        <w:rPr>
          <w:sz w:val="24"/>
          <w:szCs w:val="24"/>
        </w:rPr>
        <w:t xml:space="preserve"> Sheet 51H</w:t>
      </w:r>
    </w:p>
    <w:p w14:paraId="52E046BB" w14:textId="77777777" w:rsidR="002C36B6" w:rsidRPr="006F70B1" w:rsidRDefault="00753DC6" w:rsidP="00773DB3">
      <w:pPr>
        <w:tabs>
          <w:tab w:val="left" w:pos="3960"/>
          <w:tab w:val="left" w:pos="5760"/>
        </w:tabs>
        <w:ind w:left="720"/>
        <w:rPr>
          <w:sz w:val="24"/>
          <w:szCs w:val="24"/>
        </w:rPr>
      </w:pPr>
      <w:r w:rsidRPr="00753DC6">
        <w:rPr>
          <w:sz w:val="24"/>
          <w:szCs w:val="24"/>
        </w:rPr>
        <w:t>4</w:t>
      </w:r>
      <w:r w:rsidRPr="00753DC6">
        <w:rPr>
          <w:sz w:val="24"/>
          <w:szCs w:val="24"/>
          <w:vertAlign w:val="superscript"/>
        </w:rPr>
        <w:t>th</w:t>
      </w:r>
      <w:r w:rsidR="00773DB3" w:rsidRPr="00753DC6">
        <w:rPr>
          <w:sz w:val="24"/>
          <w:szCs w:val="24"/>
        </w:rPr>
        <w:t xml:space="preserve"> </w:t>
      </w:r>
      <w:r w:rsidR="002C36B6" w:rsidRPr="00753DC6">
        <w:rPr>
          <w:sz w:val="24"/>
          <w:szCs w:val="24"/>
        </w:rPr>
        <w:t>Revision Sheet 51I</w:t>
      </w:r>
      <w:r w:rsidR="002C36B6" w:rsidRPr="00753DC6">
        <w:rPr>
          <w:sz w:val="24"/>
          <w:szCs w:val="24"/>
        </w:rPr>
        <w:tab/>
        <w:t xml:space="preserve">Canceling </w:t>
      </w:r>
      <w:r w:rsidR="002C36B6" w:rsidRPr="00753DC6">
        <w:rPr>
          <w:sz w:val="24"/>
          <w:szCs w:val="24"/>
        </w:rPr>
        <w:tab/>
      </w:r>
      <w:r w:rsidRPr="00753DC6">
        <w:rPr>
          <w:sz w:val="24"/>
          <w:szCs w:val="24"/>
        </w:rPr>
        <w:t>3</w:t>
      </w:r>
      <w:r w:rsidRPr="00753DC6">
        <w:rPr>
          <w:sz w:val="24"/>
          <w:szCs w:val="24"/>
          <w:vertAlign w:val="superscript"/>
        </w:rPr>
        <w:t>rd</w:t>
      </w:r>
      <w:r w:rsidR="00773DB3" w:rsidRPr="00753DC6">
        <w:rPr>
          <w:sz w:val="24"/>
          <w:szCs w:val="24"/>
        </w:rPr>
        <w:t xml:space="preserve"> Revision</w:t>
      </w:r>
      <w:r w:rsidR="002C36B6" w:rsidRPr="00753DC6">
        <w:rPr>
          <w:sz w:val="24"/>
          <w:szCs w:val="24"/>
        </w:rPr>
        <w:t xml:space="preserve"> Sheet 51I</w:t>
      </w:r>
    </w:p>
    <w:p w14:paraId="52E046BC" w14:textId="77777777" w:rsidR="002C36B6" w:rsidRPr="006F70B1" w:rsidRDefault="002C36B6" w:rsidP="002C36B6">
      <w:pPr>
        <w:tabs>
          <w:tab w:val="left" w:pos="3960"/>
          <w:tab w:val="left" w:pos="9840"/>
        </w:tabs>
        <w:ind w:right="96"/>
        <w:jc w:val="both"/>
        <w:rPr>
          <w:b/>
          <w:sz w:val="24"/>
          <w:szCs w:val="24"/>
          <w:u w:val="single"/>
        </w:rPr>
      </w:pPr>
    </w:p>
    <w:p w14:paraId="52E046BD" w14:textId="77777777" w:rsidR="00AA4000" w:rsidRDefault="00AA4000" w:rsidP="00AA4000">
      <w:pPr>
        <w:jc w:val="both"/>
        <w:rPr>
          <w:sz w:val="24"/>
          <w:szCs w:val="24"/>
        </w:rPr>
      </w:pPr>
      <w:r w:rsidRPr="00B000A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revisions to the </w:t>
      </w:r>
      <w:r w:rsidRPr="00B000A4">
        <w:rPr>
          <w:sz w:val="24"/>
          <w:szCs w:val="24"/>
        </w:rPr>
        <w:t xml:space="preserve">tariff sheets listed above update the Company’s Electric Line Extension Schedule 51 and are proposed to become effective May </w:t>
      </w:r>
      <w:r w:rsidR="007C17B7">
        <w:rPr>
          <w:sz w:val="24"/>
          <w:szCs w:val="24"/>
        </w:rPr>
        <w:t>1</w:t>
      </w:r>
      <w:r w:rsidRPr="00B000A4">
        <w:rPr>
          <w:sz w:val="24"/>
          <w:szCs w:val="24"/>
        </w:rPr>
        <w:t>, 201</w:t>
      </w:r>
      <w:r w:rsidR="007C17B7">
        <w:rPr>
          <w:sz w:val="24"/>
          <w:szCs w:val="24"/>
        </w:rPr>
        <w:t>7</w:t>
      </w:r>
      <w:r w:rsidRPr="00B000A4">
        <w:rPr>
          <w:sz w:val="24"/>
          <w:szCs w:val="24"/>
        </w:rPr>
        <w:t xml:space="preserve">.  </w:t>
      </w:r>
    </w:p>
    <w:p w14:paraId="52E046BE" w14:textId="77777777" w:rsidR="00AA4000" w:rsidRDefault="00AA4000" w:rsidP="002C36B6">
      <w:pPr>
        <w:tabs>
          <w:tab w:val="left" w:pos="9840"/>
        </w:tabs>
        <w:ind w:right="96"/>
        <w:jc w:val="both"/>
        <w:rPr>
          <w:b/>
          <w:sz w:val="24"/>
          <w:szCs w:val="24"/>
          <w:u w:val="single"/>
        </w:rPr>
      </w:pPr>
    </w:p>
    <w:p w14:paraId="52E046BF" w14:textId="77777777" w:rsidR="002C36B6" w:rsidRPr="006F70B1" w:rsidRDefault="002C36B6" w:rsidP="002C36B6">
      <w:pPr>
        <w:tabs>
          <w:tab w:val="left" w:pos="9840"/>
        </w:tabs>
        <w:ind w:right="96"/>
        <w:jc w:val="both"/>
        <w:rPr>
          <w:b/>
          <w:sz w:val="24"/>
          <w:szCs w:val="24"/>
          <w:u w:val="single"/>
        </w:rPr>
      </w:pPr>
      <w:r w:rsidRPr="006F70B1">
        <w:rPr>
          <w:b/>
          <w:sz w:val="24"/>
          <w:szCs w:val="24"/>
          <w:u w:val="single"/>
        </w:rPr>
        <w:t>Background</w:t>
      </w:r>
    </w:p>
    <w:p w14:paraId="52E046C0" w14:textId="77777777" w:rsidR="00587929" w:rsidRDefault="00587929" w:rsidP="002C36B6">
      <w:pPr>
        <w:tabs>
          <w:tab w:val="left" w:pos="8550"/>
          <w:tab w:val="left" w:pos="9840"/>
        </w:tabs>
        <w:ind w:right="96"/>
        <w:jc w:val="both"/>
        <w:rPr>
          <w:sz w:val="24"/>
          <w:szCs w:val="24"/>
        </w:rPr>
      </w:pPr>
    </w:p>
    <w:p w14:paraId="52E046C1" w14:textId="77777777" w:rsidR="00537B74" w:rsidRDefault="002C36B6" w:rsidP="002C36B6">
      <w:pPr>
        <w:tabs>
          <w:tab w:val="left" w:pos="8550"/>
          <w:tab w:val="left" w:pos="9840"/>
        </w:tabs>
        <w:ind w:right="96"/>
        <w:jc w:val="both"/>
        <w:rPr>
          <w:sz w:val="24"/>
          <w:szCs w:val="24"/>
        </w:rPr>
      </w:pPr>
      <w:r w:rsidRPr="006F70B1">
        <w:rPr>
          <w:sz w:val="24"/>
          <w:szCs w:val="24"/>
        </w:rPr>
        <w:t xml:space="preserve">The Company’s present tariff incorporates the principle of average costing for electrical facilities commonly used in extending </w:t>
      </w:r>
      <w:r w:rsidR="00587929">
        <w:rPr>
          <w:sz w:val="24"/>
          <w:szCs w:val="24"/>
        </w:rPr>
        <w:t>s</w:t>
      </w:r>
      <w:r w:rsidRPr="006F70B1">
        <w:rPr>
          <w:sz w:val="24"/>
          <w:szCs w:val="24"/>
        </w:rPr>
        <w:t xml:space="preserve">ervice.  The tariff sets forth “Basic Costs”, which are costs based on </w:t>
      </w:r>
      <w:r w:rsidR="00587929">
        <w:rPr>
          <w:sz w:val="24"/>
          <w:szCs w:val="24"/>
        </w:rPr>
        <w:t xml:space="preserve">recent </w:t>
      </w:r>
      <w:r w:rsidRPr="006F70B1">
        <w:rPr>
          <w:sz w:val="24"/>
          <w:szCs w:val="24"/>
        </w:rPr>
        <w:t>average actual costs for facilities such as transformers and conduit which are used consistently for electric line extensions.  The Basic Costs have a fixed and variable component, with the vari</w:t>
      </w:r>
      <w:r w:rsidR="00963952">
        <w:rPr>
          <w:sz w:val="24"/>
          <w:szCs w:val="24"/>
        </w:rPr>
        <w:t>able component stated on a cost-per-</w:t>
      </w:r>
      <w:r w:rsidRPr="006F70B1">
        <w:rPr>
          <w:sz w:val="24"/>
          <w:szCs w:val="24"/>
        </w:rPr>
        <w:t>foot basis.</w:t>
      </w:r>
    </w:p>
    <w:p w14:paraId="52E046C2" w14:textId="77777777" w:rsidR="002C36B6" w:rsidRPr="006F70B1" w:rsidRDefault="00537B74" w:rsidP="002C36B6">
      <w:pPr>
        <w:tabs>
          <w:tab w:val="left" w:pos="8550"/>
          <w:tab w:val="left" w:pos="9840"/>
        </w:tabs>
        <w:ind w:right="96"/>
        <w:jc w:val="both"/>
        <w:rPr>
          <w:sz w:val="24"/>
          <w:szCs w:val="24"/>
        </w:rPr>
      </w:pPr>
      <w:r w:rsidRPr="006F70B1">
        <w:rPr>
          <w:sz w:val="24"/>
          <w:szCs w:val="24"/>
        </w:rPr>
        <w:t xml:space="preserve"> </w:t>
      </w:r>
    </w:p>
    <w:p w14:paraId="52E046C3" w14:textId="77777777" w:rsidR="002C36B6" w:rsidRDefault="002C36B6" w:rsidP="002C36B6">
      <w:pPr>
        <w:pStyle w:val="BodyText"/>
        <w:tabs>
          <w:tab w:val="left" w:pos="9840"/>
        </w:tabs>
        <w:ind w:right="96"/>
        <w:jc w:val="both"/>
        <w:rPr>
          <w:sz w:val="24"/>
          <w:szCs w:val="24"/>
        </w:rPr>
      </w:pPr>
      <w:r w:rsidRPr="00EC5603">
        <w:rPr>
          <w:sz w:val="24"/>
          <w:szCs w:val="24"/>
        </w:rPr>
        <w:t xml:space="preserve">The average costing principle incorporated in the Company’s tariff has worked well and the Company is not proposing to change the conceptual structure of the tariff.  The </w:t>
      </w:r>
      <w:r w:rsidR="00537B74">
        <w:rPr>
          <w:sz w:val="24"/>
          <w:szCs w:val="24"/>
        </w:rPr>
        <w:t xml:space="preserve">Company believes that the </w:t>
      </w:r>
      <w:r w:rsidRPr="00EC5603">
        <w:rPr>
          <w:sz w:val="24"/>
          <w:szCs w:val="24"/>
        </w:rPr>
        <w:t>tariff is fair and</w:t>
      </w:r>
      <w:r w:rsidR="00537B74">
        <w:rPr>
          <w:sz w:val="24"/>
          <w:szCs w:val="24"/>
        </w:rPr>
        <w:t xml:space="preserve"> understandable to customers, and</w:t>
      </w:r>
      <w:r w:rsidRPr="00EC5603">
        <w:rPr>
          <w:sz w:val="24"/>
          <w:szCs w:val="24"/>
        </w:rPr>
        <w:t xml:space="preserve"> is relatively easy to apply to an individual line e</w:t>
      </w:r>
      <w:r w:rsidR="00537B74">
        <w:rPr>
          <w:sz w:val="24"/>
          <w:szCs w:val="24"/>
        </w:rPr>
        <w:t>xtension</w:t>
      </w:r>
      <w:r w:rsidRPr="00EC5603">
        <w:rPr>
          <w:sz w:val="24"/>
          <w:szCs w:val="24"/>
        </w:rPr>
        <w:t xml:space="preserve">.  </w:t>
      </w:r>
      <w:r w:rsidR="00537B74">
        <w:rPr>
          <w:sz w:val="24"/>
          <w:szCs w:val="24"/>
        </w:rPr>
        <w:t>Detailed below are the Company’s proposed changes</w:t>
      </w:r>
      <w:r w:rsidR="00E911C7">
        <w:rPr>
          <w:sz w:val="24"/>
          <w:szCs w:val="24"/>
        </w:rPr>
        <w:t xml:space="preserve"> to Schedule 51’s</w:t>
      </w:r>
      <w:r w:rsidR="004613CF">
        <w:rPr>
          <w:sz w:val="24"/>
          <w:szCs w:val="24"/>
        </w:rPr>
        <w:t xml:space="preserve"> </w:t>
      </w:r>
      <w:r w:rsidR="00537B74">
        <w:rPr>
          <w:sz w:val="24"/>
          <w:szCs w:val="24"/>
        </w:rPr>
        <w:t>costs</w:t>
      </w:r>
      <w:r w:rsidR="00BD08FE">
        <w:rPr>
          <w:sz w:val="24"/>
          <w:szCs w:val="24"/>
        </w:rPr>
        <w:t>,</w:t>
      </w:r>
      <w:r w:rsidR="005149F5">
        <w:rPr>
          <w:sz w:val="24"/>
          <w:szCs w:val="24"/>
        </w:rPr>
        <w:t xml:space="preserve"> and</w:t>
      </w:r>
      <w:r w:rsidR="00537B74">
        <w:rPr>
          <w:sz w:val="24"/>
          <w:szCs w:val="24"/>
        </w:rPr>
        <w:t xml:space="preserve"> included with this filing </w:t>
      </w:r>
      <w:r w:rsidR="00386F43">
        <w:rPr>
          <w:sz w:val="24"/>
          <w:szCs w:val="24"/>
        </w:rPr>
        <w:t xml:space="preserve">are </w:t>
      </w:r>
      <w:r w:rsidR="00537B74">
        <w:rPr>
          <w:sz w:val="24"/>
          <w:szCs w:val="24"/>
        </w:rPr>
        <w:t>workpapers which provide support for the proposed changes.</w:t>
      </w:r>
    </w:p>
    <w:p w14:paraId="52E046C4" w14:textId="77777777" w:rsidR="004613CF" w:rsidRDefault="004613CF" w:rsidP="002C36B6">
      <w:pPr>
        <w:pStyle w:val="BodyText"/>
        <w:tabs>
          <w:tab w:val="left" w:pos="9840"/>
        </w:tabs>
        <w:ind w:right="96"/>
        <w:jc w:val="both"/>
        <w:rPr>
          <w:sz w:val="24"/>
          <w:szCs w:val="24"/>
        </w:rPr>
      </w:pPr>
    </w:p>
    <w:p w14:paraId="52E046C5" w14:textId="77777777" w:rsidR="004613CF" w:rsidRDefault="004613CF" w:rsidP="004613CF">
      <w:pPr>
        <w:jc w:val="both"/>
        <w:rPr>
          <w:sz w:val="24"/>
          <w:szCs w:val="24"/>
        </w:rPr>
      </w:pPr>
      <w:r w:rsidRPr="00EC288F">
        <w:rPr>
          <w:b/>
          <w:sz w:val="24"/>
          <w:szCs w:val="24"/>
          <w:u w:val="single"/>
        </w:rPr>
        <w:t>Allowances</w:t>
      </w:r>
      <w:r>
        <w:rPr>
          <w:sz w:val="24"/>
          <w:szCs w:val="24"/>
        </w:rPr>
        <w:t xml:space="preserve"> – </w:t>
      </w:r>
      <w:r w:rsidR="00B22B6E">
        <w:rPr>
          <w:sz w:val="24"/>
          <w:szCs w:val="24"/>
        </w:rPr>
        <w:t>The Company is not proposing any updates to the allowances in this filing.  It is the Company’s practice to update the allowances after the conclusion of a general rate case.  T</w:t>
      </w:r>
      <w:r>
        <w:rPr>
          <w:sz w:val="24"/>
          <w:szCs w:val="24"/>
        </w:rPr>
        <w:t xml:space="preserve">he </w:t>
      </w:r>
      <w:r w:rsidR="00B22B6E">
        <w:rPr>
          <w:sz w:val="24"/>
          <w:szCs w:val="24"/>
        </w:rPr>
        <w:lastRenderedPageBreak/>
        <w:t>allowances were last updated in 2016 based on</w:t>
      </w:r>
      <w:r w:rsidR="0076014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Cost of Service study </w:t>
      </w:r>
      <w:r w:rsidR="00B22B6E">
        <w:rPr>
          <w:sz w:val="24"/>
          <w:szCs w:val="24"/>
        </w:rPr>
        <w:t>from the</w:t>
      </w:r>
      <w:r>
        <w:rPr>
          <w:sz w:val="24"/>
          <w:szCs w:val="24"/>
        </w:rPr>
        <w:t xml:space="preserve"> </w:t>
      </w:r>
      <w:r w:rsidR="00216EBD">
        <w:rPr>
          <w:sz w:val="24"/>
          <w:szCs w:val="24"/>
        </w:rPr>
        <w:t>Company’s</w:t>
      </w:r>
      <w:r w:rsidR="00B25C2F">
        <w:rPr>
          <w:sz w:val="24"/>
          <w:szCs w:val="24"/>
        </w:rPr>
        <w:t xml:space="preserve"> </w:t>
      </w:r>
      <w:r w:rsidR="00B22B6E">
        <w:rPr>
          <w:sz w:val="24"/>
          <w:szCs w:val="24"/>
        </w:rPr>
        <w:t xml:space="preserve">2015 </w:t>
      </w:r>
      <w:r>
        <w:rPr>
          <w:sz w:val="24"/>
          <w:szCs w:val="24"/>
        </w:rPr>
        <w:t>general rate case filing (</w:t>
      </w:r>
      <w:r w:rsidR="0076014A">
        <w:rPr>
          <w:sz w:val="24"/>
          <w:szCs w:val="24"/>
        </w:rPr>
        <w:t xml:space="preserve">Docket No. </w:t>
      </w:r>
      <w:r>
        <w:rPr>
          <w:sz w:val="24"/>
          <w:szCs w:val="24"/>
        </w:rPr>
        <w:t>UE-150204).</w:t>
      </w:r>
      <w:r w:rsidR="003358D8">
        <w:rPr>
          <w:sz w:val="24"/>
          <w:szCs w:val="24"/>
        </w:rPr>
        <w:t xml:space="preserve"> </w:t>
      </w:r>
      <w:r w:rsidR="00B22B6E">
        <w:rPr>
          <w:sz w:val="24"/>
          <w:szCs w:val="24"/>
        </w:rPr>
        <w:t xml:space="preserve"> </w:t>
      </w:r>
    </w:p>
    <w:p w14:paraId="52E046C6" w14:textId="77777777" w:rsidR="002C36B6" w:rsidRPr="00EC5603" w:rsidRDefault="00302492" w:rsidP="008C73AE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Costs</w:t>
      </w:r>
      <w:r w:rsidR="00C40052" w:rsidRPr="00C4005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40052" w:rsidRPr="00C40052">
        <w:rPr>
          <w:sz w:val="24"/>
          <w:szCs w:val="24"/>
        </w:rPr>
        <w:t xml:space="preserve"> </w:t>
      </w:r>
      <w:r w:rsidR="003D15F9">
        <w:rPr>
          <w:sz w:val="24"/>
          <w:szCs w:val="24"/>
        </w:rPr>
        <w:t>The Distribution Engineering D</w:t>
      </w:r>
      <w:r w:rsidRPr="003D11DA">
        <w:rPr>
          <w:sz w:val="24"/>
          <w:szCs w:val="24"/>
        </w:rPr>
        <w:t xml:space="preserve">epartment at Avista is primarily tasked with the development and maintenance of the Company’s Construction &amp; Material Standards.  </w:t>
      </w:r>
      <w:r w:rsidR="003D15F9">
        <w:rPr>
          <w:sz w:val="24"/>
          <w:szCs w:val="24"/>
        </w:rPr>
        <w:t>Periodically</w:t>
      </w:r>
      <w:r w:rsidRPr="003D11DA">
        <w:rPr>
          <w:sz w:val="24"/>
          <w:szCs w:val="24"/>
        </w:rPr>
        <w:t xml:space="preserve">, Distribution Engineering will update the Construction &amp; Material Standards in order to comply with the National Electric Safety Code (“NESC”).  These Construction &amp; Material Standards were recently updated to reflect the NESC’s code revision </w:t>
      </w:r>
      <w:r w:rsidR="005157E9">
        <w:rPr>
          <w:sz w:val="24"/>
          <w:szCs w:val="24"/>
        </w:rPr>
        <w:t>in the Company’s 2015 Schedule 51 filing</w:t>
      </w:r>
      <w:r w:rsidR="00017B3E">
        <w:rPr>
          <w:sz w:val="24"/>
          <w:szCs w:val="24"/>
        </w:rPr>
        <w:t>.</w:t>
      </w:r>
      <w:r w:rsidRPr="003D11DA">
        <w:rPr>
          <w:sz w:val="24"/>
          <w:szCs w:val="24"/>
        </w:rPr>
        <w:t xml:space="preserve"> </w:t>
      </w:r>
      <w:r w:rsidR="00017B3E">
        <w:rPr>
          <w:sz w:val="24"/>
          <w:szCs w:val="24"/>
        </w:rPr>
        <w:t xml:space="preserve"> </w:t>
      </w:r>
      <w:r w:rsidR="005157E9">
        <w:rPr>
          <w:sz w:val="24"/>
          <w:szCs w:val="24"/>
        </w:rPr>
        <w:t xml:space="preserve">The standard designs in this filing have not changed </w:t>
      </w:r>
      <w:r w:rsidR="00F91BBA">
        <w:rPr>
          <w:sz w:val="24"/>
          <w:szCs w:val="24"/>
        </w:rPr>
        <w:t xml:space="preserve">and </w:t>
      </w:r>
      <w:r w:rsidRPr="003D11DA">
        <w:rPr>
          <w:sz w:val="24"/>
          <w:szCs w:val="24"/>
        </w:rPr>
        <w:t xml:space="preserve">are </w:t>
      </w:r>
      <w:r w:rsidR="005157E9">
        <w:rPr>
          <w:sz w:val="24"/>
          <w:szCs w:val="24"/>
        </w:rPr>
        <w:t xml:space="preserve">consistent with those </w:t>
      </w:r>
      <w:r w:rsidRPr="003D11DA">
        <w:rPr>
          <w:sz w:val="24"/>
          <w:szCs w:val="24"/>
        </w:rPr>
        <w:t xml:space="preserve">reflected in the </w:t>
      </w:r>
      <w:r w:rsidR="00DB5E4C">
        <w:rPr>
          <w:sz w:val="24"/>
          <w:szCs w:val="24"/>
        </w:rPr>
        <w:t>Company’s 2016</w:t>
      </w:r>
      <w:r w:rsidR="005157E9">
        <w:rPr>
          <w:sz w:val="24"/>
          <w:szCs w:val="24"/>
        </w:rPr>
        <w:t xml:space="preserve"> Schedule 51</w:t>
      </w:r>
      <w:r w:rsidRPr="003D11DA">
        <w:rPr>
          <w:sz w:val="24"/>
          <w:szCs w:val="24"/>
        </w:rPr>
        <w:t xml:space="preserve"> filing. </w:t>
      </w:r>
    </w:p>
    <w:p w14:paraId="52E046C7" w14:textId="77777777" w:rsidR="00DC10A0" w:rsidRDefault="002C36B6" w:rsidP="00725C23">
      <w:pPr>
        <w:tabs>
          <w:tab w:val="left" w:pos="9840"/>
        </w:tabs>
        <w:ind w:right="96"/>
        <w:jc w:val="both"/>
        <w:rPr>
          <w:sz w:val="24"/>
          <w:szCs w:val="24"/>
        </w:rPr>
      </w:pPr>
      <w:r w:rsidRPr="00C40052">
        <w:rPr>
          <w:sz w:val="24"/>
          <w:szCs w:val="24"/>
        </w:rPr>
        <w:t xml:space="preserve">As detailed on proposed tariff sheets 51H and </w:t>
      </w:r>
      <w:r w:rsidR="008C73AE">
        <w:rPr>
          <w:sz w:val="24"/>
          <w:szCs w:val="24"/>
        </w:rPr>
        <w:t>51</w:t>
      </w:r>
      <w:r w:rsidRPr="00C40052">
        <w:rPr>
          <w:sz w:val="24"/>
          <w:szCs w:val="24"/>
        </w:rPr>
        <w:t xml:space="preserve">I, the Company is proposing to </w:t>
      </w:r>
      <w:r w:rsidR="00765269">
        <w:rPr>
          <w:sz w:val="24"/>
          <w:szCs w:val="24"/>
        </w:rPr>
        <w:t>update</w:t>
      </w:r>
      <w:r w:rsidRPr="00C40052">
        <w:rPr>
          <w:sz w:val="24"/>
          <w:szCs w:val="24"/>
        </w:rPr>
        <w:t xml:space="preserve"> the primary, secondary, service and transformer average costs.  </w:t>
      </w:r>
      <w:r w:rsidR="003358D8">
        <w:rPr>
          <w:sz w:val="24"/>
          <w:szCs w:val="24"/>
        </w:rPr>
        <w:t xml:space="preserve">In addition, the Company is adding an </w:t>
      </w:r>
      <w:r w:rsidR="00216EBD">
        <w:rPr>
          <w:sz w:val="24"/>
          <w:szCs w:val="24"/>
        </w:rPr>
        <w:t>“Overhead Secondary C</w:t>
      </w:r>
      <w:r w:rsidR="003358D8">
        <w:rPr>
          <w:sz w:val="24"/>
          <w:szCs w:val="24"/>
        </w:rPr>
        <w:t>ircuit</w:t>
      </w:r>
      <w:r w:rsidR="00216EBD">
        <w:rPr>
          <w:sz w:val="24"/>
          <w:szCs w:val="24"/>
        </w:rPr>
        <w:t>”</w:t>
      </w:r>
      <w:r w:rsidR="009D2B1E">
        <w:rPr>
          <w:sz w:val="24"/>
          <w:szCs w:val="24"/>
        </w:rPr>
        <w:t xml:space="preserve"> fixed cost to tariff sheet 51I</w:t>
      </w:r>
      <w:r w:rsidR="003358D8">
        <w:rPr>
          <w:sz w:val="24"/>
          <w:szCs w:val="24"/>
        </w:rPr>
        <w:t xml:space="preserve">.  </w:t>
      </w:r>
      <w:r w:rsidR="00DC10A0">
        <w:rPr>
          <w:sz w:val="24"/>
          <w:szCs w:val="24"/>
        </w:rPr>
        <w:t xml:space="preserve">While it is </w:t>
      </w:r>
      <w:r w:rsidR="00216EBD">
        <w:rPr>
          <w:sz w:val="24"/>
          <w:szCs w:val="24"/>
        </w:rPr>
        <w:t>more</w:t>
      </w:r>
      <w:r w:rsidR="00DC10A0">
        <w:rPr>
          <w:sz w:val="24"/>
          <w:szCs w:val="24"/>
        </w:rPr>
        <w:t xml:space="preserve"> common for the Company to utilize an underground secondary circuit, there are some instances where an overhead secondary circuit is preferable from both a design and cost perspective.  </w:t>
      </w:r>
      <w:r w:rsidR="00DC10A0" w:rsidRPr="00582144">
        <w:rPr>
          <w:sz w:val="24"/>
          <w:szCs w:val="24"/>
        </w:rPr>
        <w:t>The most common construction scenario occurs when a customer is building a new structure with an overhead service, and the length of the overhead service is too great to maintain proper clearance over a street, driveway, or yard.  In this situation a service pole is installed, creating an overhead secondary circuit.</w:t>
      </w:r>
      <w:r w:rsidR="00DC10A0">
        <w:rPr>
          <w:sz w:val="24"/>
          <w:szCs w:val="24"/>
        </w:rPr>
        <w:t xml:space="preserve">  </w:t>
      </w:r>
    </w:p>
    <w:p w14:paraId="52E046C8" w14:textId="77777777" w:rsidR="00434176" w:rsidRDefault="00434176" w:rsidP="00725C23">
      <w:pPr>
        <w:tabs>
          <w:tab w:val="left" w:pos="9840"/>
        </w:tabs>
        <w:ind w:right="96"/>
        <w:jc w:val="both"/>
        <w:rPr>
          <w:sz w:val="24"/>
          <w:szCs w:val="24"/>
        </w:rPr>
      </w:pPr>
    </w:p>
    <w:p w14:paraId="52E046C9" w14:textId="77777777" w:rsidR="00725C23" w:rsidRDefault="003476F5" w:rsidP="00725C23">
      <w:pPr>
        <w:tabs>
          <w:tab w:val="left" w:pos="9840"/>
        </w:tabs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Below is a summary of the cost</w:t>
      </w:r>
      <w:r w:rsidR="002C36B6" w:rsidRPr="00C40052">
        <w:rPr>
          <w:sz w:val="24"/>
          <w:szCs w:val="24"/>
        </w:rPr>
        <w:t xml:space="preserve"> changes</w:t>
      </w:r>
      <w:r w:rsidR="00216EBD">
        <w:rPr>
          <w:sz w:val="24"/>
          <w:szCs w:val="24"/>
        </w:rPr>
        <w:t>, most of which are very slight</w:t>
      </w:r>
      <w:r w:rsidR="002C36B6" w:rsidRPr="00C40052">
        <w:rPr>
          <w:sz w:val="24"/>
          <w:szCs w:val="24"/>
        </w:rPr>
        <w:t>:</w:t>
      </w:r>
    </w:p>
    <w:p w14:paraId="52E046CA" w14:textId="77777777" w:rsidR="003358D8" w:rsidRPr="00725C23" w:rsidRDefault="003358D8" w:rsidP="00725C23">
      <w:pPr>
        <w:tabs>
          <w:tab w:val="left" w:pos="9840"/>
        </w:tabs>
        <w:ind w:right="96"/>
        <w:jc w:val="both"/>
        <w:rPr>
          <w:sz w:val="24"/>
          <w:szCs w:val="24"/>
        </w:rPr>
      </w:pPr>
    </w:p>
    <w:p w14:paraId="52E046CB" w14:textId="77777777" w:rsidR="000C4B17" w:rsidRDefault="00725C23" w:rsidP="000C4B17">
      <w:pPr>
        <w:tabs>
          <w:tab w:val="left" w:pos="9840"/>
        </w:tabs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67CB4" w:rsidRPr="00E67CB4">
        <w:rPr>
          <w:noProof/>
        </w:rPr>
        <w:drawing>
          <wp:inline distT="0" distB="0" distL="0" distR="0" wp14:anchorId="52E046DD" wp14:editId="52E046DE">
            <wp:extent cx="3267710" cy="40074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46CC" w14:textId="77777777" w:rsidR="0072224D" w:rsidRDefault="00876BEF" w:rsidP="000C4B17">
      <w:pPr>
        <w:tabs>
          <w:tab w:val="left" w:pos="9840"/>
        </w:tabs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4D6E4E">
        <w:rPr>
          <w:sz w:val="24"/>
          <w:szCs w:val="24"/>
        </w:rPr>
        <w:t xml:space="preserve">esidential </w:t>
      </w:r>
      <w:r>
        <w:rPr>
          <w:sz w:val="24"/>
          <w:szCs w:val="24"/>
        </w:rPr>
        <w:t xml:space="preserve">development costs, </w:t>
      </w:r>
      <w:r w:rsidR="0072224D">
        <w:rPr>
          <w:sz w:val="24"/>
          <w:szCs w:val="24"/>
        </w:rPr>
        <w:t>updated</w:t>
      </w:r>
      <w:r w:rsidR="004D6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most current </w:t>
      </w:r>
      <w:r w:rsidR="004D6E4E" w:rsidRPr="00FE299E">
        <w:rPr>
          <w:sz w:val="24"/>
          <w:szCs w:val="24"/>
        </w:rPr>
        <w:t>Construction &amp; Material Standards</w:t>
      </w:r>
      <w:r w:rsidR="004D6E4E">
        <w:rPr>
          <w:sz w:val="24"/>
          <w:szCs w:val="24"/>
        </w:rPr>
        <w:t xml:space="preserve"> and </w:t>
      </w:r>
      <w:r w:rsidR="005D78B1">
        <w:rPr>
          <w:sz w:val="24"/>
          <w:szCs w:val="24"/>
        </w:rPr>
        <w:t xml:space="preserve">average </w:t>
      </w:r>
      <w:r w:rsidR="00E67CB4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="004D6E4E">
        <w:rPr>
          <w:sz w:val="24"/>
          <w:szCs w:val="24"/>
        </w:rPr>
        <w:t xml:space="preserve">construction costs </w:t>
      </w:r>
      <w:r>
        <w:rPr>
          <w:sz w:val="24"/>
          <w:szCs w:val="24"/>
        </w:rPr>
        <w:t>are detailed below.</w:t>
      </w:r>
    </w:p>
    <w:p w14:paraId="52E046CD" w14:textId="77777777" w:rsidR="002162B9" w:rsidRDefault="002162B9" w:rsidP="002C36B6">
      <w:pPr>
        <w:jc w:val="both"/>
        <w:rPr>
          <w:sz w:val="24"/>
          <w:szCs w:val="24"/>
        </w:rPr>
      </w:pPr>
    </w:p>
    <w:p w14:paraId="52E046CE" w14:textId="77777777" w:rsidR="00021E8D" w:rsidRDefault="00021E8D" w:rsidP="002C36B6">
      <w:pPr>
        <w:jc w:val="both"/>
        <w:rPr>
          <w:sz w:val="24"/>
          <w:szCs w:val="24"/>
        </w:rPr>
      </w:pPr>
    </w:p>
    <w:p w14:paraId="52E046CF" w14:textId="77777777" w:rsidR="00017B3E" w:rsidRDefault="00E67CB4" w:rsidP="002162B9">
      <w:pPr>
        <w:ind w:left="720" w:firstLine="720"/>
        <w:jc w:val="both"/>
        <w:rPr>
          <w:sz w:val="24"/>
          <w:szCs w:val="24"/>
        </w:rPr>
      </w:pPr>
      <w:r w:rsidRPr="00E67CB4">
        <w:rPr>
          <w:noProof/>
        </w:rPr>
        <w:drawing>
          <wp:inline distT="0" distB="0" distL="0" distR="0" wp14:anchorId="52E046DF" wp14:editId="52E046E0">
            <wp:extent cx="3625850" cy="1908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46D0" w14:textId="77777777" w:rsidR="002162B9" w:rsidRDefault="002162B9" w:rsidP="002162B9">
      <w:pPr>
        <w:ind w:left="720" w:firstLine="720"/>
        <w:jc w:val="both"/>
        <w:rPr>
          <w:sz w:val="24"/>
          <w:szCs w:val="24"/>
        </w:rPr>
      </w:pPr>
    </w:p>
    <w:p w14:paraId="52E046D1" w14:textId="77777777" w:rsidR="002162B9" w:rsidRDefault="002162B9" w:rsidP="002162B9">
      <w:pPr>
        <w:ind w:left="720" w:firstLine="720"/>
        <w:jc w:val="both"/>
        <w:rPr>
          <w:sz w:val="24"/>
          <w:szCs w:val="24"/>
        </w:rPr>
      </w:pPr>
    </w:p>
    <w:p w14:paraId="52E046D2" w14:textId="77777777" w:rsidR="00C45896" w:rsidRDefault="00C45896" w:rsidP="00C45896">
      <w:pPr>
        <w:jc w:val="both"/>
        <w:rPr>
          <w:sz w:val="24"/>
          <w:szCs w:val="24"/>
        </w:rPr>
      </w:pPr>
      <w:r w:rsidRPr="00B000A4">
        <w:rPr>
          <w:sz w:val="24"/>
          <w:szCs w:val="24"/>
        </w:rPr>
        <w:t>Enclosed is a copy of the workpapers supporting the line extension cost revisions contained in the proposed tariff sheets.</w:t>
      </w:r>
      <w:r w:rsidR="00386F43">
        <w:rPr>
          <w:sz w:val="24"/>
          <w:szCs w:val="24"/>
        </w:rPr>
        <w:t xml:space="preserve"> </w:t>
      </w:r>
      <w:r w:rsidRPr="00B000A4">
        <w:rPr>
          <w:sz w:val="24"/>
          <w:szCs w:val="24"/>
        </w:rPr>
        <w:t xml:space="preserve"> In addition, </w:t>
      </w:r>
      <w:r>
        <w:rPr>
          <w:sz w:val="24"/>
          <w:szCs w:val="24"/>
        </w:rPr>
        <w:t>during the week of</w:t>
      </w:r>
      <w:r w:rsidRPr="00B000A4">
        <w:rPr>
          <w:sz w:val="24"/>
          <w:szCs w:val="24"/>
        </w:rPr>
        <w:t xml:space="preserve"> </w:t>
      </w:r>
      <w:r w:rsidR="00A12A8C" w:rsidRPr="00DC10A0">
        <w:rPr>
          <w:sz w:val="24"/>
          <w:szCs w:val="24"/>
        </w:rPr>
        <w:t>March</w:t>
      </w:r>
      <w:r w:rsidRPr="00DC10A0">
        <w:rPr>
          <w:sz w:val="24"/>
          <w:szCs w:val="24"/>
        </w:rPr>
        <w:t xml:space="preserve"> </w:t>
      </w:r>
      <w:r w:rsidR="00DC10A0" w:rsidRPr="00DC10A0">
        <w:rPr>
          <w:sz w:val="24"/>
          <w:szCs w:val="24"/>
        </w:rPr>
        <w:t>13,</w:t>
      </w:r>
      <w:r w:rsidRPr="00DC10A0">
        <w:rPr>
          <w:sz w:val="24"/>
          <w:szCs w:val="24"/>
        </w:rPr>
        <w:t xml:space="preserve"> 201</w:t>
      </w:r>
      <w:r w:rsidR="00DC10A0" w:rsidRPr="00DC10A0">
        <w:rPr>
          <w:sz w:val="24"/>
          <w:szCs w:val="24"/>
        </w:rPr>
        <w:t>7</w:t>
      </w:r>
      <w:r w:rsidRPr="00DC10A0">
        <w:rPr>
          <w:sz w:val="24"/>
          <w:szCs w:val="24"/>
        </w:rPr>
        <w:t>,</w:t>
      </w:r>
      <w:r w:rsidRPr="00B000A4">
        <w:rPr>
          <w:sz w:val="24"/>
          <w:szCs w:val="24"/>
        </w:rPr>
        <w:t xml:space="preserve"> the Company </w:t>
      </w:r>
      <w:r>
        <w:rPr>
          <w:sz w:val="24"/>
          <w:szCs w:val="24"/>
        </w:rPr>
        <w:t>will send a</w:t>
      </w:r>
      <w:r w:rsidRPr="00B000A4">
        <w:rPr>
          <w:sz w:val="24"/>
          <w:szCs w:val="24"/>
        </w:rPr>
        <w:t xml:space="preserve"> letter to those developers and builders that may be a</w:t>
      </w:r>
      <w:r w:rsidR="00A61888">
        <w:rPr>
          <w:sz w:val="24"/>
          <w:szCs w:val="24"/>
        </w:rPr>
        <w:t>ffected by the proposed changes to inform them of the Company’s request.</w:t>
      </w:r>
      <w:r w:rsidRPr="00B000A4">
        <w:rPr>
          <w:sz w:val="24"/>
          <w:szCs w:val="24"/>
        </w:rPr>
        <w:t xml:space="preserve"> </w:t>
      </w:r>
    </w:p>
    <w:p w14:paraId="52E046D3" w14:textId="77777777" w:rsidR="00C45896" w:rsidRDefault="00C45896" w:rsidP="002C36B6">
      <w:pPr>
        <w:jc w:val="both"/>
        <w:rPr>
          <w:sz w:val="24"/>
          <w:szCs w:val="24"/>
        </w:rPr>
      </w:pPr>
    </w:p>
    <w:p w14:paraId="52E046D4" w14:textId="77777777" w:rsidR="002C36B6" w:rsidRPr="002E4C90" w:rsidRDefault="002C36B6" w:rsidP="002C36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>
        <w:rPr>
          <w:sz w:val="24"/>
          <w:szCs w:val="24"/>
        </w:rPr>
        <w:t>me</w:t>
      </w:r>
      <w:r w:rsidRPr="002E4C90">
        <w:rPr>
          <w:sz w:val="24"/>
          <w:szCs w:val="24"/>
        </w:rPr>
        <w:t xml:space="preserve"> at (509) 495-</w:t>
      </w:r>
      <w:r>
        <w:rPr>
          <w:sz w:val="24"/>
          <w:szCs w:val="24"/>
        </w:rPr>
        <w:t>8620</w:t>
      </w:r>
      <w:r w:rsidR="00C45896">
        <w:rPr>
          <w:sz w:val="24"/>
          <w:szCs w:val="24"/>
        </w:rPr>
        <w:t xml:space="preserve"> or Joe Miller at (509) 495-4546</w:t>
      </w:r>
      <w:r w:rsidRPr="002E4C90">
        <w:rPr>
          <w:sz w:val="24"/>
          <w:szCs w:val="24"/>
        </w:rPr>
        <w:t>.</w:t>
      </w:r>
    </w:p>
    <w:p w14:paraId="52E046D5" w14:textId="77777777" w:rsidR="002C36B6" w:rsidRPr="002E4C90" w:rsidRDefault="002C36B6" w:rsidP="002C36B6">
      <w:pPr>
        <w:jc w:val="both"/>
        <w:rPr>
          <w:sz w:val="24"/>
          <w:szCs w:val="24"/>
        </w:rPr>
      </w:pPr>
    </w:p>
    <w:p w14:paraId="52E046D6" w14:textId="77777777" w:rsidR="002C36B6" w:rsidRPr="002E4C90" w:rsidRDefault="002C36B6" w:rsidP="002C36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14:paraId="52E046D7" w14:textId="77777777" w:rsidR="002C36B6" w:rsidRPr="002E4C90" w:rsidRDefault="002C36B6" w:rsidP="002C36B6">
      <w:pPr>
        <w:jc w:val="both"/>
        <w:rPr>
          <w:sz w:val="24"/>
          <w:szCs w:val="24"/>
        </w:rPr>
      </w:pPr>
    </w:p>
    <w:p w14:paraId="52E046D8" w14:textId="77777777" w:rsidR="002C36B6" w:rsidRDefault="002C36B6" w:rsidP="002C36B6">
      <w:pPr>
        <w:jc w:val="both"/>
        <w:rPr>
          <w:sz w:val="24"/>
          <w:szCs w:val="24"/>
        </w:rPr>
      </w:pPr>
    </w:p>
    <w:p w14:paraId="52E046D9" w14:textId="77777777" w:rsidR="00F510DB" w:rsidRPr="002E4C90" w:rsidRDefault="00F510DB" w:rsidP="002C36B6">
      <w:pPr>
        <w:jc w:val="both"/>
        <w:rPr>
          <w:sz w:val="24"/>
          <w:szCs w:val="24"/>
        </w:rPr>
      </w:pPr>
    </w:p>
    <w:p w14:paraId="52E046DA" w14:textId="77777777" w:rsidR="002C36B6" w:rsidRPr="002E4C90" w:rsidRDefault="002C36B6" w:rsidP="002C36B6">
      <w:pPr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14:paraId="52E046DB" w14:textId="77777777" w:rsidR="002C36B6" w:rsidRPr="002E4C90" w:rsidRDefault="00216EBD" w:rsidP="002C3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C45896">
        <w:rPr>
          <w:sz w:val="24"/>
          <w:szCs w:val="24"/>
        </w:rPr>
        <w:t>Manager Rates &amp; Tariffs</w:t>
      </w:r>
    </w:p>
    <w:p w14:paraId="52E046DC" w14:textId="77777777" w:rsidR="002C36B6" w:rsidRPr="002E4C90" w:rsidRDefault="002C36B6" w:rsidP="002C36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sectPr w:rsidR="002C36B6" w:rsidRPr="002E4C90" w:rsidSect="00CC7356">
      <w:headerReference w:type="default" r:id="rId13"/>
      <w:headerReference w:type="first" r:id="rId14"/>
      <w:pgSz w:w="12240" w:h="15840"/>
      <w:pgMar w:top="1008" w:right="1440" w:bottom="1008" w:left="1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46E3" w14:textId="77777777" w:rsidR="00EA7D86" w:rsidRDefault="00EA7D86">
      <w:r>
        <w:separator/>
      </w:r>
    </w:p>
  </w:endnote>
  <w:endnote w:type="continuationSeparator" w:id="0">
    <w:p w14:paraId="52E046E4" w14:textId="77777777" w:rsidR="00EA7D86" w:rsidRDefault="00EA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46E1" w14:textId="77777777" w:rsidR="00EA7D86" w:rsidRDefault="00EA7D86">
      <w:r>
        <w:separator/>
      </w:r>
    </w:p>
  </w:footnote>
  <w:footnote w:type="continuationSeparator" w:id="0">
    <w:p w14:paraId="52E046E2" w14:textId="77777777" w:rsidR="00EA7D86" w:rsidRDefault="00EA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046E5" w14:textId="77777777" w:rsidR="00EA7D86" w:rsidRPr="00EB489C" w:rsidRDefault="00EA7D86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Letter to Mr. Stephen King</w:t>
    </w:r>
  </w:p>
  <w:p w14:paraId="52E046E6" w14:textId="77777777" w:rsidR="00EA7D86" w:rsidRPr="00EB489C" w:rsidRDefault="00DB5E4C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March 1, 2017</w:t>
    </w:r>
  </w:p>
  <w:p w14:paraId="52E046E7" w14:textId="77777777" w:rsidR="00EA7D86" w:rsidRPr="0059404F" w:rsidRDefault="00EA7D86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Pr="0059404F">
      <w:rPr>
        <w:sz w:val="24"/>
        <w:szCs w:val="24"/>
      </w:rPr>
      <w:fldChar w:fldCharType="separate"/>
    </w:r>
    <w:r w:rsidR="0067788B">
      <w:rPr>
        <w:noProof/>
        <w:sz w:val="24"/>
        <w:szCs w:val="24"/>
      </w:rPr>
      <w:t>3</w:t>
    </w:r>
    <w:r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Pr="0059404F">
      <w:rPr>
        <w:sz w:val="24"/>
        <w:szCs w:val="24"/>
      </w:rPr>
      <w:fldChar w:fldCharType="separate"/>
    </w:r>
    <w:r w:rsidR="0067788B">
      <w:rPr>
        <w:noProof/>
        <w:sz w:val="24"/>
        <w:szCs w:val="24"/>
      </w:rPr>
      <w:t>3</w:t>
    </w:r>
    <w:r w:rsidRPr="0059404F">
      <w:rPr>
        <w:sz w:val="24"/>
        <w:szCs w:val="24"/>
      </w:rPr>
      <w:fldChar w:fldCharType="end"/>
    </w:r>
  </w:p>
  <w:p w14:paraId="52E046E8" w14:textId="77777777" w:rsidR="00EA7D86" w:rsidRDefault="00EA7D86">
    <w:pPr>
      <w:pStyle w:val="Header"/>
      <w:rPr>
        <w:rStyle w:val="PageNumber"/>
      </w:rPr>
    </w:pPr>
  </w:p>
  <w:p w14:paraId="52E046E9" w14:textId="77777777" w:rsidR="00EA7D86" w:rsidRDefault="00EA7D86">
    <w:pPr>
      <w:pStyle w:val="Header"/>
      <w:rPr>
        <w:rStyle w:val="PageNumber"/>
      </w:rPr>
    </w:pPr>
  </w:p>
  <w:p w14:paraId="52E046EA" w14:textId="77777777" w:rsidR="00EA7D86" w:rsidRDefault="00EA7D8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51" w:type="dxa"/>
      <w:tblInd w:w="-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"/>
      <w:gridCol w:w="4770"/>
      <w:gridCol w:w="4788"/>
      <w:gridCol w:w="215"/>
      <w:gridCol w:w="272"/>
      <w:gridCol w:w="4788"/>
    </w:tblGrid>
    <w:tr w:rsidR="007C17B7" w14:paraId="52E046EE" w14:textId="77777777" w:rsidTr="007C17B7">
      <w:trPr>
        <w:gridBefore w:val="1"/>
        <w:wBefore w:w="18" w:type="dxa"/>
      </w:trPr>
      <w:tc>
        <w:tcPr>
          <w:tcW w:w="977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2E046EB" w14:textId="77777777" w:rsidR="007C17B7" w:rsidRDefault="007C17B7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097759">
            <w:rPr>
              <w:noProof/>
            </w:rPr>
            <w:drawing>
              <wp:inline distT="0" distB="0" distL="0" distR="0" wp14:anchorId="52E046F8" wp14:editId="52E046F9">
                <wp:extent cx="5947410" cy="930275"/>
                <wp:effectExtent l="0" t="0" r="0" b="3175"/>
                <wp:docPr id="3" name="Picture 3" descr="Macintosh HD:Users:renee:Projects:0746_Avista:Avista_APPs_041513:Avista_WordTemplate_041613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renee:Projects:0746_Avista:Avista_APPs_041513:Avista_WordTemplate_041613-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741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" w:type="dxa"/>
          <w:tcBorders>
            <w:top w:val="nil"/>
            <w:left w:val="nil"/>
            <w:bottom w:val="nil"/>
            <w:right w:val="nil"/>
          </w:tcBorders>
        </w:tcPr>
        <w:p w14:paraId="52E046EC" w14:textId="77777777" w:rsidR="007C17B7" w:rsidRDefault="007C17B7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52E046ED" w14:textId="77777777" w:rsidR="007C17B7" w:rsidRDefault="007C17B7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7C17B7" w:rsidRPr="00936689" w14:paraId="52E046F6" w14:textId="77777777" w:rsidTr="007C17B7">
      <w:trPr>
        <w:gridAfter w:val="3"/>
        <w:wAfter w:w="5275" w:type="dxa"/>
      </w:trPr>
      <w:tc>
        <w:tcPr>
          <w:tcW w:w="4788" w:type="dxa"/>
          <w:gridSpan w:val="2"/>
        </w:tcPr>
        <w:p w14:paraId="52E046EF" w14:textId="77777777" w:rsidR="007C17B7" w:rsidRPr="00264E52" w:rsidRDefault="007C17B7" w:rsidP="007C17B7">
          <w:pPr>
            <w:pStyle w:val="Header"/>
            <w:rPr>
              <w:b/>
              <w:bCs/>
              <w:sz w:val="24"/>
              <w:szCs w:val="22"/>
            </w:rPr>
          </w:pPr>
          <w:r w:rsidRPr="00264E52">
            <w:rPr>
              <w:b/>
              <w:bCs/>
              <w:sz w:val="24"/>
              <w:szCs w:val="22"/>
            </w:rPr>
            <w:t>Avista Corp.</w:t>
          </w:r>
        </w:p>
        <w:p w14:paraId="52E046F0" w14:textId="77777777" w:rsidR="007C17B7" w:rsidRPr="00264E52" w:rsidRDefault="007C17B7" w:rsidP="007C17B7">
          <w:pPr>
            <w:pStyle w:val="Header"/>
            <w:rPr>
              <w:sz w:val="24"/>
              <w:szCs w:val="22"/>
            </w:rPr>
          </w:pPr>
          <w:r w:rsidRPr="00264E52">
            <w:rPr>
              <w:sz w:val="24"/>
              <w:szCs w:val="22"/>
            </w:rPr>
            <w:t>1411 East Mission   P.O. Box 3727</w:t>
          </w:r>
        </w:p>
        <w:p w14:paraId="52E046F1" w14:textId="77777777" w:rsidR="007C17B7" w:rsidRPr="00264E52" w:rsidRDefault="007C17B7" w:rsidP="007C17B7">
          <w:pPr>
            <w:pStyle w:val="Header"/>
            <w:rPr>
              <w:sz w:val="24"/>
              <w:szCs w:val="22"/>
            </w:rPr>
          </w:pPr>
          <w:r w:rsidRPr="00264E52">
            <w:rPr>
              <w:sz w:val="24"/>
              <w:szCs w:val="22"/>
            </w:rPr>
            <w:t>Spokane. Washington  99220-0500</w:t>
          </w:r>
        </w:p>
        <w:p w14:paraId="52E046F2" w14:textId="77777777" w:rsidR="007C17B7" w:rsidRPr="00264E52" w:rsidRDefault="007C17B7" w:rsidP="007C17B7">
          <w:pPr>
            <w:pStyle w:val="Header"/>
            <w:rPr>
              <w:sz w:val="24"/>
              <w:szCs w:val="22"/>
            </w:rPr>
          </w:pPr>
          <w:r w:rsidRPr="00264E52">
            <w:rPr>
              <w:sz w:val="24"/>
              <w:szCs w:val="22"/>
            </w:rPr>
            <w:t>Telephone 509-489-0500</w:t>
          </w:r>
        </w:p>
        <w:p w14:paraId="52E046F3" w14:textId="77777777" w:rsidR="007C17B7" w:rsidRPr="00264E52" w:rsidRDefault="007C17B7" w:rsidP="007C17B7">
          <w:pPr>
            <w:pStyle w:val="Header"/>
            <w:rPr>
              <w:sz w:val="24"/>
              <w:szCs w:val="22"/>
            </w:rPr>
          </w:pPr>
          <w:r w:rsidRPr="00264E52">
            <w:rPr>
              <w:sz w:val="24"/>
              <w:szCs w:val="22"/>
            </w:rPr>
            <w:t>Toll Free   800-727-9170</w:t>
          </w:r>
        </w:p>
        <w:p w14:paraId="52E046F4" w14:textId="77777777" w:rsidR="007C17B7" w:rsidRPr="00936689" w:rsidRDefault="007C17B7" w:rsidP="007C17B7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4788" w:type="dxa"/>
        </w:tcPr>
        <w:p w14:paraId="52E046F5" w14:textId="77777777" w:rsidR="007C17B7" w:rsidRPr="00936689" w:rsidRDefault="007C17B7" w:rsidP="007C17B7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936689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936689">
            <w:rPr>
              <w:rFonts w:ascii="Arial" w:hAnsi="Arial" w:cs="Arial"/>
              <w:b/>
              <w:bCs/>
              <w:sz w:val="24"/>
              <w:szCs w:val="24"/>
            </w:rPr>
            <w:tab/>
            <w:t xml:space="preserve"> </w:t>
          </w:r>
        </w:p>
      </w:tc>
    </w:tr>
  </w:tbl>
  <w:p w14:paraId="52E046F7" w14:textId="77777777" w:rsidR="00EA7D86" w:rsidRDefault="00EA7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17E5"/>
    <w:multiLevelType w:val="hybridMultilevel"/>
    <w:tmpl w:val="DE34303E"/>
    <w:lvl w:ilvl="0" w:tplc="6CA21E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3D83"/>
    <w:multiLevelType w:val="hybridMultilevel"/>
    <w:tmpl w:val="6E481A70"/>
    <w:lvl w:ilvl="0" w:tplc="BDF4D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6"/>
    <w:rsid w:val="00000BB2"/>
    <w:rsid w:val="00004474"/>
    <w:rsid w:val="00011ABB"/>
    <w:rsid w:val="0001541C"/>
    <w:rsid w:val="00017B3E"/>
    <w:rsid w:val="00021E8D"/>
    <w:rsid w:val="00022111"/>
    <w:rsid w:val="00022A74"/>
    <w:rsid w:val="000237B6"/>
    <w:rsid w:val="000247B0"/>
    <w:rsid w:val="00025DF0"/>
    <w:rsid w:val="00032908"/>
    <w:rsid w:val="0003349B"/>
    <w:rsid w:val="0003726E"/>
    <w:rsid w:val="00042FB4"/>
    <w:rsid w:val="00043070"/>
    <w:rsid w:val="0004704C"/>
    <w:rsid w:val="00047AC4"/>
    <w:rsid w:val="00053950"/>
    <w:rsid w:val="0006075B"/>
    <w:rsid w:val="00064817"/>
    <w:rsid w:val="00064F33"/>
    <w:rsid w:val="00075BF9"/>
    <w:rsid w:val="00076B35"/>
    <w:rsid w:val="00087A7D"/>
    <w:rsid w:val="00094D09"/>
    <w:rsid w:val="0009520D"/>
    <w:rsid w:val="00097C50"/>
    <w:rsid w:val="000A38D8"/>
    <w:rsid w:val="000A697F"/>
    <w:rsid w:val="000B4F31"/>
    <w:rsid w:val="000C4B17"/>
    <w:rsid w:val="000C73EB"/>
    <w:rsid w:val="000D05ED"/>
    <w:rsid w:val="000E0786"/>
    <w:rsid w:val="000E1140"/>
    <w:rsid w:val="000F0D84"/>
    <w:rsid w:val="000F47D9"/>
    <w:rsid w:val="0010139E"/>
    <w:rsid w:val="00103B89"/>
    <w:rsid w:val="00104B22"/>
    <w:rsid w:val="0011334B"/>
    <w:rsid w:val="00115108"/>
    <w:rsid w:val="001157C3"/>
    <w:rsid w:val="0014174C"/>
    <w:rsid w:val="00141F00"/>
    <w:rsid w:val="00144CD2"/>
    <w:rsid w:val="00146FB7"/>
    <w:rsid w:val="00151ACE"/>
    <w:rsid w:val="00162456"/>
    <w:rsid w:val="00163385"/>
    <w:rsid w:val="001667B7"/>
    <w:rsid w:val="00167D22"/>
    <w:rsid w:val="001730E3"/>
    <w:rsid w:val="00176A35"/>
    <w:rsid w:val="00186785"/>
    <w:rsid w:val="00187341"/>
    <w:rsid w:val="0019089F"/>
    <w:rsid w:val="00190D63"/>
    <w:rsid w:val="00194EA2"/>
    <w:rsid w:val="001A0DF9"/>
    <w:rsid w:val="001A2BD6"/>
    <w:rsid w:val="001B54BC"/>
    <w:rsid w:val="001C2F9C"/>
    <w:rsid w:val="001C79EE"/>
    <w:rsid w:val="001D3FDE"/>
    <w:rsid w:val="001D54AC"/>
    <w:rsid w:val="001E1C37"/>
    <w:rsid w:val="001E663E"/>
    <w:rsid w:val="001F2536"/>
    <w:rsid w:val="001F2CE2"/>
    <w:rsid w:val="00214B8E"/>
    <w:rsid w:val="002162B9"/>
    <w:rsid w:val="00216EBD"/>
    <w:rsid w:val="00222911"/>
    <w:rsid w:val="002235F1"/>
    <w:rsid w:val="00234E23"/>
    <w:rsid w:val="00247E43"/>
    <w:rsid w:val="00264EFA"/>
    <w:rsid w:val="00265063"/>
    <w:rsid w:val="00265D21"/>
    <w:rsid w:val="00283C1A"/>
    <w:rsid w:val="002A69CE"/>
    <w:rsid w:val="002A7950"/>
    <w:rsid w:val="002B68A3"/>
    <w:rsid w:val="002C36B6"/>
    <w:rsid w:val="002C41C3"/>
    <w:rsid w:val="002C5B4A"/>
    <w:rsid w:val="002D17A3"/>
    <w:rsid w:val="002D3C0A"/>
    <w:rsid w:val="002D44B4"/>
    <w:rsid w:val="002E028A"/>
    <w:rsid w:val="002E13EF"/>
    <w:rsid w:val="00302492"/>
    <w:rsid w:val="00303196"/>
    <w:rsid w:val="00303B74"/>
    <w:rsid w:val="00303D97"/>
    <w:rsid w:val="00305314"/>
    <w:rsid w:val="003119D6"/>
    <w:rsid w:val="00322B09"/>
    <w:rsid w:val="003243F4"/>
    <w:rsid w:val="003358D8"/>
    <w:rsid w:val="003431FB"/>
    <w:rsid w:val="00344A20"/>
    <w:rsid w:val="003476F5"/>
    <w:rsid w:val="00363D46"/>
    <w:rsid w:val="0038004C"/>
    <w:rsid w:val="00380EB9"/>
    <w:rsid w:val="00386E3A"/>
    <w:rsid w:val="00386F43"/>
    <w:rsid w:val="003969D4"/>
    <w:rsid w:val="003A168A"/>
    <w:rsid w:val="003A249E"/>
    <w:rsid w:val="003A5AE6"/>
    <w:rsid w:val="003B0E05"/>
    <w:rsid w:val="003B11EF"/>
    <w:rsid w:val="003D11DA"/>
    <w:rsid w:val="003D15F9"/>
    <w:rsid w:val="003D63FA"/>
    <w:rsid w:val="003D7A2C"/>
    <w:rsid w:val="003E1511"/>
    <w:rsid w:val="003E3EAA"/>
    <w:rsid w:val="003E6882"/>
    <w:rsid w:val="003F3E2C"/>
    <w:rsid w:val="003F57BC"/>
    <w:rsid w:val="003F63BA"/>
    <w:rsid w:val="003F6A1F"/>
    <w:rsid w:val="004065C4"/>
    <w:rsid w:val="004136E4"/>
    <w:rsid w:val="0041469F"/>
    <w:rsid w:val="00415030"/>
    <w:rsid w:val="00415B63"/>
    <w:rsid w:val="004340DC"/>
    <w:rsid w:val="00434176"/>
    <w:rsid w:val="00435937"/>
    <w:rsid w:val="00454F43"/>
    <w:rsid w:val="00454FF2"/>
    <w:rsid w:val="004613CF"/>
    <w:rsid w:val="004619A6"/>
    <w:rsid w:val="00462591"/>
    <w:rsid w:val="0046438E"/>
    <w:rsid w:val="004709C5"/>
    <w:rsid w:val="0047182D"/>
    <w:rsid w:val="00474FFD"/>
    <w:rsid w:val="004816E7"/>
    <w:rsid w:val="00483B5A"/>
    <w:rsid w:val="004860E4"/>
    <w:rsid w:val="0048629B"/>
    <w:rsid w:val="004965C4"/>
    <w:rsid w:val="0049792E"/>
    <w:rsid w:val="004A04BE"/>
    <w:rsid w:val="004A76FA"/>
    <w:rsid w:val="004B52D9"/>
    <w:rsid w:val="004C0438"/>
    <w:rsid w:val="004D6E4E"/>
    <w:rsid w:val="004F26E3"/>
    <w:rsid w:val="005149F5"/>
    <w:rsid w:val="005157E9"/>
    <w:rsid w:val="00515B8D"/>
    <w:rsid w:val="005261D4"/>
    <w:rsid w:val="005337D2"/>
    <w:rsid w:val="00535C8C"/>
    <w:rsid w:val="00537B74"/>
    <w:rsid w:val="00540BB4"/>
    <w:rsid w:val="00545DF3"/>
    <w:rsid w:val="00553A86"/>
    <w:rsid w:val="00554567"/>
    <w:rsid w:val="00555E0A"/>
    <w:rsid w:val="0056484B"/>
    <w:rsid w:val="005716F0"/>
    <w:rsid w:val="005775D4"/>
    <w:rsid w:val="0058652C"/>
    <w:rsid w:val="00587079"/>
    <w:rsid w:val="00587929"/>
    <w:rsid w:val="00592E30"/>
    <w:rsid w:val="00594126"/>
    <w:rsid w:val="005D0E4B"/>
    <w:rsid w:val="005D4FDD"/>
    <w:rsid w:val="005D78B1"/>
    <w:rsid w:val="005E10BF"/>
    <w:rsid w:val="005E25C3"/>
    <w:rsid w:val="005F1C23"/>
    <w:rsid w:val="005F6D54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7788B"/>
    <w:rsid w:val="006942B4"/>
    <w:rsid w:val="006956FC"/>
    <w:rsid w:val="00695B0B"/>
    <w:rsid w:val="00696642"/>
    <w:rsid w:val="00696AFA"/>
    <w:rsid w:val="006A4540"/>
    <w:rsid w:val="006B257B"/>
    <w:rsid w:val="006C20BE"/>
    <w:rsid w:val="006C476A"/>
    <w:rsid w:val="006C50AC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224D"/>
    <w:rsid w:val="00725C23"/>
    <w:rsid w:val="00726BDE"/>
    <w:rsid w:val="00735A47"/>
    <w:rsid w:val="00740972"/>
    <w:rsid w:val="00743EC0"/>
    <w:rsid w:val="0075154D"/>
    <w:rsid w:val="007523BB"/>
    <w:rsid w:val="00753DC6"/>
    <w:rsid w:val="0076014A"/>
    <w:rsid w:val="00762A53"/>
    <w:rsid w:val="00765269"/>
    <w:rsid w:val="00773DB3"/>
    <w:rsid w:val="007771AB"/>
    <w:rsid w:val="0078780A"/>
    <w:rsid w:val="00787FAA"/>
    <w:rsid w:val="00794B4F"/>
    <w:rsid w:val="00795875"/>
    <w:rsid w:val="007B3BA2"/>
    <w:rsid w:val="007C0D5A"/>
    <w:rsid w:val="007C17B7"/>
    <w:rsid w:val="007C7134"/>
    <w:rsid w:val="007D6722"/>
    <w:rsid w:val="007D7286"/>
    <w:rsid w:val="007E0E98"/>
    <w:rsid w:val="007E1D47"/>
    <w:rsid w:val="008022AB"/>
    <w:rsid w:val="008064B3"/>
    <w:rsid w:val="00807E94"/>
    <w:rsid w:val="00834207"/>
    <w:rsid w:val="00843177"/>
    <w:rsid w:val="00847172"/>
    <w:rsid w:val="008528DD"/>
    <w:rsid w:val="008720AD"/>
    <w:rsid w:val="00874285"/>
    <w:rsid w:val="008752E9"/>
    <w:rsid w:val="00876BEF"/>
    <w:rsid w:val="0087725D"/>
    <w:rsid w:val="00894B7E"/>
    <w:rsid w:val="008B6026"/>
    <w:rsid w:val="008C516A"/>
    <w:rsid w:val="008C550F"/>
    <w:rsid w:val="008C73AE"/>
    <w:rsid w:val="008C7E44"/>
    <w:rsid w:val="008D36EE"/>
    <w:rsid w:val="008D37BA"/>
    <w:rsid w:val="008E3DFF"/>
    <w:rsid w:val="008E4AB0"/>
    <w:rsid w:val="008F2E76"/>
    <w:rsid w:val="008F6AA8"/>
    <w:rsid w:val="008F7D3F"/>
    <w:rsid w:val="009213BC"/>
    <w:rsid w:val="00921574"/>
    <w:rsid w:val="009249EA"/>
    <w:rsid w:val="0093292F"/>
    <w:rsid w:val="0094390D"/>
    <w:rsid w:val="0095270B"/>
    <w:rsid w:val="0095434F"/>
    <w:rsid w:val="00957604"/>
    <w:rsid w:val="00962AC4"/>
    <w:rsid w:val="0096358B"/>
    <w:rsid w:val="00963952"/>
    <w:rsid w:val="00963955"/>
    <w:rsid w:val="00963AA0"/>
    <w:rsid w:val="00977B27"/>
    <w:rsid w:val="00983AFD"/>
    <w:rsid w:val="00991A00"/>
    <w:rsid w:val="00996336"/>
    <w:rsid w:val="009A23E3"/>
    <w:rsid w:val="009A67B9"/>
    <w:rsid w:val="009B0BA3"/>
    <w:rsid w:val="009B13EE"/>
    <w:rsid w:val="009B6216"/>
    <w:rsid w:val="009C702E"/>
    <w:rsid w:val="009D1B67"/>
    <w:rsid w:val="009D2B1E"/>
    <w:rsid w:val="009E0DC6"/>
    <w:rsid w:val="009E35A4"/>
    <w:rsid w:val="009E3727"/>
    <w:rsid w:val="009E71DE"/>
    <w:rsid w:val="009F0A2D"/>
    <w:rsid w:val="009F199A"/>
    <w:rsid w:val="009F2C13"/>
    <w:rsid w:val="009F4677"/>
    <w:rsid w:val="009F5155"/>
    <w:rsid w:val="009F6D49"/>
    <w:rsid w:val="009F7A35"/>
    <w:rsid w:val="00A05F2D"/>
    <w:rsid w:val="00A12A8C"/>
    <w:rsid w:val="00A130D9"/>
    <w:rsid w:val="00A147B8"/>
    <w:rsid w:val="00A15C53"/>
    <w:rsid w:val="00A24D15"/>
    <w:rsid w:val="00A27922"/>
    <w:rsid w:val="00A27DF2"/>
    <w:rsid w:val="00A32E91"/>
    <w:rsid w:val="00A364FF"/>
    <w:rsid w:val="00A46380"/>
    <w:rsid w:val="00A572DF"/>
    <w:rsid w:val="00A57945"/>
    <w:rsid w:val="00A61888"/>
    <w:rsid w:val="00A64A7D"/>
    <w:rsid w:val="00A718E6"/>
    <w:rsid w:val="00A950D3"/>
    <w:rsid w:val="00AA3135"/>
    <w:rsid w:val="00AA4000"/>
    <w:rsid w:val="00AB4E49"/>
    <w:rsid w:val="00AC2D8E"/>
    <w:rsid w:val="00AC3E02"/>
    <w:rsid w:val="00AC4B56"/>
    <w:rsid w:val="00AC581B"/>
    <w:rsid w:val="00AC5CD6"/>
    <w:rsid w:val="00AD73CE"/>
    <w:rsid w:val="00AD754D"/>
    <w:rsid w:val="00AF0647"/>
    <w:rsid w:val="00B11826"/>
    <w:rsid w:val="00B14F82"/>
    <w:rsid w:val="00B22B6E"/>
    <w:rsid w:val="00B25C2F"/>
    <w:rsid w:val="00B335BD"/>
    <w:rsid w:val="00B372DC"/>
    <w:rsid w:val="00B46D3E"/>
    <w:rsid w:val="00B53014"/>
    <w:rsid w:val="00B535D8"/>
    <w:rsid w:val="00B57822"/>
    <w:rsid w:val="00B6029B"/>
    <w:rsid w:val="00B65D99"/>
    <w:rsid w:val="00B721D2"/>
    <w:rsid w:val="00B85419"/>
    <w:rsid w:val="00B9076C"/>
    <w:rsid w:val="00B95433"/>
    <w:rsid w:val="00BA2406"/>
    <w:rsid w:val="00BB382B"/>
    <w:rsid w:val="00BC0DD6"/>
    <w:rsid w:val="00BC2C1F"/>
    <w:rsid w:val="00BC5A3E"/>
    <w:rsid w:val="00BD08FE"/>
    <w:rsid w:val="00BE2820"/>
    <w:rsid w:val="00BE7843"/>
    <w:rsid w:val="00BF090A"/>
    <w:rsid w:val="00C018BE"/>
    <w:rsid w:val="00C05856"/>
    <w:rsid w:val="00C0615D"/>
    <w:rsid w:val="00C07DA6"/>
    <w:rsid w:val="00C15123"/>
    <w:rsid w:val="00C33431"/>
    <w:rsid w:val="00C40052"/>
    <w:rsid w:val="00C410BE"/>
    <w:rsid w:val="00C45896"/>
    <w:rsid w:val="00C51F6A"/>
    <w:rsid w:val="00C52102"/>
    <w:rsid w:val="00C6025E"/>
    <w:rsid w:val="00C76F59"/>
    <w:rsid w:val="00C85437"/>
    <w:rsid w:val="00C87D37"/>
    <w:rsid w:val="00C957CE"/>
    <w:rsid w:val="00C97BD5"/>
    <w:rsid w:val="00CA0D44"/>
    <w:rsid w:val="00CA1E70"/>
    <w:rsid w:val="00CB0F4E"/>
    <w:rsid w:val="00CC2342"/>
    <w:rsid w:val="00CC2EBF"/>
    <w:rsid w:val="00CC2FD0"/>
    <w:rsid w:val="00CC7356"/>
    <w:rsid w:val="00CD2795"/>
    <w:rsid w:val="00CD73DC"/>
    <w:rsid w:val="00CF0A10"/>
    <w:rsid w:val="00CF5D7B"/>
    <w:rsid w:val="00D20618"/>
    <w:rsid w:val="00D274EB"/>
    <w:rsid w:val="00D3021D"/>
    <w:rsid w:val="00D42198"/>
    <w:rsid w:val="00D453D5"/>
    <w:rsid w:val="00D45A45"/>
    <w:rsid w:val="00D46B38"/>
    <w:rsid w:val="00D55914"/>
    <w:rsid w:val="00D64C64"/>
    <w:rsid w:val="00D77397"/>
    <w:rsid w:val="00DA1DE5"/>
    <w:rsid w:val="00DA6EE4"/>
    <w:rsid w:val="00DB5E4C"/>
    <w:rsid w:val="00DC10A0"/>
    <w:rsid w:val="00DC3D51"/>
    <w:rsid w:val="00DC3E68"/>
    <w:rsid w:val="00DC771E"/>
    <w:rsid w:val="00DD04B3"/>
    <w:rsid w:val="00DE1076"/>
    <w:rsid w:val="00DE219E"/>
    <w:rsid w:val="00DE24F2"/>
    <w:rsid w:val="00DE5694"/>
    <w:rsid w:val="00DE6382"/>
    <w:rsid w:val="00DF722C"/>
    <w:rsid w:val="00E042BB"/>
    <w:rsid w:val="00E044E7"/>
    <w:rsid w:val="00E107C7"/>
    <w:rsid w:val="00E11590"/>
    <w:rsid w:val="00E26A1D"/>
    <w:rsid w:val="00E277E1"/>
    <w:rsid w:val="00E34B51"/>
    <w:rsid w:val="00E465DD"/>
    <w:rsid w:val="00E47129"/>
    <w:rsid w:val="00E6165E"/>
    <w:rsid w:val="00E6500B"/>
    <w:rsid w:val="00E66297"/>
    <w:rsid w:val="00E67CB4"/>
    <w:rsid w:val="00E75013"/>
    <w:rsid w:val="00E86E59"/>
    <w:rsid w:val="00E86F74"/>
    <w:rsid w:val="00E911C7"/>
    <w:rsid w:val="00E946AE"/>
    <w:rsid w:val="00EA06E5"/>
    <w:rsid w:val="00EA0B81"/>
    <w:rsid w:val="00EA11DF"/>
    <w:rsid w:val="00EA3C73"/>
    <w:rsid w:val="00EA4DF6"/>
    <w:rsid w:val="00EA5088"/>
    <w:rsid w:val="00EA5AAE"/>
    <w:rsid w:val="00EA5BB3"/>
    <w:rsid w:val="00EA7D86"/>
    <w:rsid w:val="00EB08CE"/>
    <w:rsid w:val="00EC288F"/>
    <w:rsid w:val="00EC5603"/>
    <w:rsid w:val="00EC6396"/>
    <w:rsid w:val="00ED52FA"/>
    <w:rsid w:val="00ED59A1"/>
    <w:rsid w:val="00F0025F"/>
    <w:rsid w:val="00F04BD0"/>
    <w:rsid w:val="00F155FB"/>
    <w:rsid w:val="00F266DC"/>
    <w:rsid w:val="00F35D20"/>
    <w:rsid w:val="00F47230"/>
    <w:rsid w:val="00F5067F"/>
    <w:rsid w:val="00F510DB"/>
    <w:rsid w:val="00F51336"/>
    <w:rsid w:val="00F52A27"/>
    <w:rsid w:val="00F6536D"/>
    <w:rsid w:val="00F8694B"/>
    <w:rsid w:val="00F91BBA"/>
    <w:rsid w:val="00F97AFF"/>
    <w:rsid w:val="00FA1D91"/>
    <w:rsid w:val="00FB405E"/>
    <w:rsid w:val="00FB59AD"/>
    <w:rsid w:val="00FC7770"/>
    <w:rsid w:val="00FD1C3C"/>
    <w:rsid w:val="00FD227A"/>
    <w:rsid w:val="00FD5411"/>
    <w:rsid w:val="00FE016B"/>
    <w:rsid w:val="00FE43D8"/>
    <w:rsid w:val="00FE657C"/>
    <w:rsid w:val="00FF446D"/>
    <w:rsid w:val="00FF4541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52E046AC"/>
  <w15:docId w15:val="{AB1F545C-4C07-4E83-AE40-C5C7BA20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2C"/>
  </w:style>
  <w:style w:type="paragraph" w:styleId="Heading1">
    <w:name w:val="heading 1"/>
    <w:basedOn w:val="Normal"/>
    <w:next w:val="Normal"/>
    <w:qFormat/>
    <w:rsid w:val="003D7A2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2C"/>
    <w:pPr>
      <w:tabs>
        <w:tab w:val="center" w:pos="4320"/>
        <w:tab w:val="right" w:pos="8640"/>
      </w:tabs>
    </w:pPr>
  </w:style>
  <w:style w:type="character" w:styleId="PageNumber">
    <w:name w:val="page number"/>
    <w:rsid w:val="003D7A2C"/>
    <w:rPr>
      <w:rFonts w:cs="Times New Roman"/>
    </w:rPr>
  </w:style>
  <w:style w:type="paragraph" w:styleId="BodyText">
    <w:name w:val="Body Text"/>
    <w:basedOn w:val="Normal"/>
    <w:rsid w:val="003D7A2C"/>
    <w:rPr>
      <w:sz w:val="22"/>
      <w:szCs w:val="22"/>
    </w:rPr>
  </w:style>
  <w:style w:type="character" w:styleId="Hyperlink">
    <w:name w:val="Hyperlink"/>
    <w:rsid w:val="003D7A2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  <w:style w:type="paragraph" w:styleId="BodyText2">
    <w:name w:val="Body Text 2"/>
    <w:basedOn w:val="Normal"/>
    <w:link w:val="BodyText2Char"/>
    <w:rsid w:val="002C36B6"/>
    <w:pPr>
      <w:spacing w:after="120" w:line="480" w:lineRule="auto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rsid w:val="002C36B6"/>
    <w:rPr>
      <w:lang w:eastAsia="ja-JP"/>
    </w:rPr>
  </w:style>
  <w:style w:type="paragraph" w:styleId="ListParagraph">
    <w:name w:val="List Paragraph"/>
    <w:basedOn w:val="Normal"/>
    <w:uiPriority w:val="34"/>
    <w:qFormat/>
    <w:rsid w:val="0072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170137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A8DB82E83012498C56F6CF79AB9BAD" ma:contentTypeVersion="104" ma:contentTypeDescription="" ma:contentTypeScope="" ma:versionID="f17b5f2dae416f165c8e5c8fa61238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BB1683B-0C6E-47C6-B5D1-37FE7AD0B68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a7bd91e-004b-490a-8704-e368d63d59a0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FFDF771-05E3-46DD-8A74-BDCC73178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C4864-A9FB-449D-90FE-87DB4703C620}"/>
</file>

<file path=customXml/itemProps4.xml><?xml version="1.0" encoding="utf-8"?>
<ds:datastoreItem xmlns:ds="http://schemas.openxmlformats.org/officeDocument/2006/customXml" ds:itemID="{C9DBDC79-F9BC-403C-A28E-27931CEB1A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B2AC3D-7335-42CD-93FB-5E8BED8BD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Kredel, Ashley (UTC)</cp:lastModifiedBy>
  <cp:revision>2</cp:revision>
  <cp:lastPrinted>2017-02-21T22:08:00Z</cp:lastPrinted>
  <dcterms:created xsi:type="dcterms:W3CDTF">2017-03-02T19:12:00Z</dcterms:created>
  <dcterms:modified xsi:type="dcterms:W3CDTF">2017-03-02T19:12:00Z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0x0101006E56B4D1795A2E4DB2F0B01679ED314A00CFA8DB82E83012498C56F6CF79AB9BAD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