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6" w:tblpY="616"/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3455A8" w:rsidTr="003455A8">
        <w:trPr>
          <w:cantSplit/>
          <w:trHeight w:hRule="exact" w:val="1982"/>
        </w:trPr>
        <w:tc>
          <w:tcPr>
            <w:tcW w:w="5256" w:type="dxa"/>
          </w:tcPr>
          <w:p w:rsidR="003455A8" w:rsidRDefault="003455A8" w:rsidP="003455A8">
            <w:pPr>
              <w:pStyle w:val="Header"/>
              <w:ind w:left="-3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59264" behindDoc="0" locked="0" layoutInCell="1" allowOverlap="1" wp14:anchorId="61A2C588" wp14:editId="3C80D5E9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85725</wp:posOffset>
                  </wp:positionV>
                  <wp:extent cx="2679700" cy="933450"/>
                  <wp:effectExtent l="19050" t="0" r="6350" b="0"/>
                  <wp:wrapTopAndBottom/>
                  <wp:docPr id="1" name="Picture 1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</w:tcPr>
          <w:p w:rsidR="003455A8" w:rsidRDefault="003455A8" w:rsidP="003455A8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3455A8" w:rsidRDefault="003455A8" w:rsidP="003455A8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3455A8" w:rsidRDefault="003455A8" w:rsidP="003455A8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3455A8" w:rsidRDefault="003455A8" w:rsidP="003455A8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8C0D1D" w:rsidRPr="008C0D1D" w:rsidRDefault="008C0D1D" w:rsidP="008C0D1D">
      <w:pPr>
        <w:rPr>
          <w:rFonts w:asciiTheme="minorHAnsi" w:hAnsiTheme="minorHAnsi"/>
          <w:sz w:val="24"/>
          <w:szCs w:val="24"/>
          <w:u w:val="single"/>
        </w:rPr>
      </w:pPr>
      <w:r w:rsidRPr="008C0D1D">
        <w:rPr>
          <w:rFonts w:asciiTheme="minorHAnsi" w:hAnsiTheme="minorHAnsi"/>
          <w:sz w:val="24"/>
          <w:szCs w:val="24"/>
          <w:u w:val="single"/>
        </w:rPr>
        <w:t>VIA ELECTRONIC MAIL</w:t>
      </w:r>
    </w:p>
    <w:p w:rsidR="008C0D1D" w:rsidRPr="003455A8" w:rsidRDefault="00320EA9" w:rsidP="008C0D1D">
      <w:pPr>
        <w:rPr>
          <w:rFonts w:asciiTheme="minorHAnsi" w:hAnsiTheme="minorHAnsi"/>
          <w:sz w:val="22"/>
          <w:szCs w:val="22"/>
        </w:rPr>
      </w:pPr>
      <w:hyperlink r:id="rId9" w:history="1">
        <w:r w:rsidR="008C0D1D" w:rsidRPr="003455A8">
          <w:rPr>
            <w:rStyle w:val="Hyperlink"/>
            <w:rFonts w:asciiTheme="minorHAnsi" w:hAnsiTheme="minorHAnsi"/>
            <w:sz w:val="22"/>
            <w:szCs w:val="22"/>
          </w:rPr>
          <w:t>records@utc.wa.gov</w:t>
        </w:r>
      </w:hyperlink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</w:p>
    <w:p w:rsidR="008C0D1D" w:rsidRPr="003455A8" w:rsidRDefault="00512707" w:rsidP="008C0D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1</w:t>
      </w:r>
      <w:r w:rsidR="002D2D3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, 2017</w:t>
      </w:r>
    </w:p>
    <w:p w:rsidR="00D357BA" w:rsidRPr="003455A8" w:rsidRDefault="00D357BA" w:rsidP="008C0D1D">
      <w:pPr>
        <w:rPr>
          <w:rFonts w:asciiTheme="minorHAnsi" w:hAnsiTheme="minorHAnsi"/>
          <w:sz w:val="22"/>
          <w:szCs w:val="22"/>
        </w:rPr>
      </w:pP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>Records Center</w:t>
      </w: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>Washington Utilities and Transportation Commission</w:t>
      </w: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>1300 S. Evergreen Park Drive SW</w:t>
      </w: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>Olympia, WA  98504</w:t>
      </w: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 xml:space="preserve">Re:  </w:t>
      </w:r>
      <w:r w:rsidR="00EF4DC3" w:rsidRPr="003455A8">
        <w:rPr>
          <w:rFonts w:asciiTheme="minorHAnsi" w:hAnsiTheme="minorHAnsi"/>
          <w:sz w:val="22"/>
          <w:szCs w:val="22"/>
        </w:rPr>
        <w:t xml:space="preserve">Tariff Revisions </w:t>
      </w:r>
    </w:p>
    <w:p w:rsidR="0028034B" w:rsidRPr="003455A8" w:rsidRDefault="0028034B" w:rsidP="0028034B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ab/>
        <w:t xml:space="preserve"> </w:t>
      </w:r>
      <w:proofErr w:type="gramStart"/>
      <w:r w:rsidRPr="003455A8">
        <w:rPr>
          <w:rFonts w:asciiTheme="minorHAnsi" w:hAnsiTheme="minorHAnsi"/>
          <w:sz w:val="22"/>
          <w:szCs w:val="22"/>
        </w:rPr>
        <w:t>Advice No.</w:t>
      </w:r>
      <w:proofErr w:type="gramEnd"/>
      <w:r w:rsidRPr="003455A8">
        <w:rPr>
          <w:rFonts w:asciiTheme="minorHAnsi" w:hAnsiTheme="minorHAnsi"/>
          <w:sz w:val="22"/>
          <w:szCs w:val="22"/>
        </w:rPr>
        <w:t xml:space="preserve"> CNGC/W1</w:t>
      </w:r>
      <w:r w:rsidR="00512707">
        <w:rPr>
          <w:rFonts w:asciiTheme="minorHAnsi" w:hAnsiTheme="minorHAnsi"/>
          <w:sz w:val="22"/>
          <w:szCs w:val="22"/>
        </w:rPr>
        <w:t>7</w:t>
      </w:r>
      <w:r w:rsidRPr="003455A8">
        <w:rPr>
          <w:rFonts w:asciiTheme="minorHAnsi" w:hAnsiTheme="minorHAnsi"/>
          <w:sz w:val="22"/>
          <w:szCs w:val="22"/>
        </w:rPr>
        <w:t>-0</w:t>
      </w:r>
      <w:r w:rsidR="00512707">
        <w:rPr>
          <w:rFonts w:asciiTheme="minorHAnsi" w:hAnsiTheme="minorHAnsi"/>
          <w:sz w:val="22"/>
          <w:szCs w:val="22"/>
        </w:rPr>
        <w:t>1</w:t>
      </w:r>
      <w:r w:rsidRPr="003455A8">
        <w:rPr>
          <w:rFonts w:asciiTheme="minorHAnsi" w:hAnsiTheme="minorHAnsi"/>
          <w:sz w:val="22"/>
          <w:szCs w:val="22"/>
        </w:rPr>
        <w:t>-0</w:t>
      </w:r>
      <w:r w:rsidR="00512707">
        <w:rPr>
          <w:rFonts w:asciiTheme="minorHAnsi" w:hAnsiTheme="minorHAnsi"/>
          <w:sz w:val="22"/>
          <w:szCs w:val="22"/>
        </w:rPr>
        <w:t>1</w:t>
      </w:r>
    </w:p>
    <w:p w:rsidR="008C0D1D" w:rsidRPr="003455A8" w:rsidRDefault="008C0D1D" w:rsidP="008C0D1D">
      <w:pPr>
        <w:rPr>
          <w:rFonts w:asciiTheme="minorHAnsi" w:hAnsiTheme="minorHAnsi"/>
          <w:sz w:val="22"/>
          <w:szCs w:val="22"/>
        </w:rPr>
      </w:pPr>
    </w:p>
    <w:p w:rsidR="0028034B" w:rsidRPr="003455A8" w:rsidRDefault="00B625FC" w:rsidP="00B625F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3455A8">
        <w:rPr>
          <w:rFonts w:asciiTheme="minorHAnsi" w:hAnsiTheme="minorHAnsi"/>
          <w:sz w:val="22"/>
          <w:szCs w:val="22"/>
        </w:rPr>
        <w:t>Cas</w:t>
      </w:r>
      <w:r w:rsidR="00D53F89" w:rsidRPr="003455A8">
        <w:rPr>
          <w:rFonts w:asciiTheme="minorHAnsi" w:hAnsiTheme="minorHAnsi"/>
          <w:sz w:val="22"/>
          <w:szCs w:val="22"/>
        </w:rPr>
        <w:t xml:space="preserve">cade Natural Gas Corporation </w:t>
      </w:r>
      <w:r w:rsidR="0028034B" w:rsidRPr="003455A8">
        <w:rPr>
          <w:rFonts w:asciiTheme="minorHAnsi" w:hAnsiTheme="minorHAnsi"/>
          <w:sz w:val="22"/>
          <w:szCs w:val="22"/>
        </w:rPr>
        <w:t>(Cascade or the Company)</w:t>
      </w:r>
      <w:r w:rsidR="00EF4DC3" w:rsidRPr="003455A8">
        <w:rPr>
          <w:rFonts w:asciiTheme="minorHAnsi" w:hAnsiTheme="minorHAnsi"/>
          <w:sz w:val="22"/>
          <w:szCs w:val="22"/>
        </w:rPr>
        <w:t xml:space="preserve"> files</w:t>
      </w:r>
      <w:r w:rsidR="0028034B" w:rsidRPr="003455A8">
        <w:rPr>
          <w:rFonts w:asciiTheme="minorHAnsi" w:hAnsiTheme="minorHAnsi"/>
          <w:sz w:val="22"/>
          <w:szCs w:val="22"/>
        </w:rPr>
        <w:t xml:space="preserve"> </w:t>
      </w:r>
      <w:r w:rsidR="00D357BA" w:rsidRPr="003455A8">
        <w:rPr>
          <w:rFonts w:asciiTheme="minorHAnsi" w:hAnsiTheme="minorHAnsi"/>
          <w:sz w:val="22"/>
          <w:szCs w:val="22"/>
        </w:rPr>
        <w:t xml:space="preserve">herewith </w:t>
      </w:r>
      <w:r w:rsidR="00EF4DC3" w:rsidRPr="003455A8">
        <w:rPr>
          <w:rFonts w:asciiTheme="minorHAnsi" w:hAnsiTheme="minorHAnsi"/>
          <w:sz w:val="22"/>
          <w:szCs w:val="22"/>
        </w:rPr>
        <w:t xml:space="preserve">the revisions </w:t>
      </w:r>
      <w:r w:rsidR="0028034B" w:rsidRPr="003455A8">
        <w:rPr>
          <w:rFonts w:asciiTheme="minorHAnsi" w:hAnsiTheme="minorHAnsi"/>
          <w:sz w:val="22"/>
          <w:szCs w:val="22"/>
        </w:rPr>
        <w:t>to its Tariff WN U-3, stated to become effective with service</w:t>
      </w:r>
      <w:r w:rsidR="006649F6" w:rsidRPr="003455A8">
        <w:rPr>
          <w:rFonts w:asciiTheme="minorHAnsi" w:hAnsiTheme="minorHAnsi"/>
          <w:sz w:val="22"/>
          <w:szCs w:val="22"/>
        </w:rPr>
        <w:t xml:space="preserve"> </w:t>
      </w:r>
      <w:r w:rsidR="00512707">
        <w:rPr>
          <w:rFonts w:asciiTheme="minorHAnsi" w:hAnsiTheme="minorHAnsi"/>
          <w:sz w:val="22"/>
          <w:szCs w:val="22"/>
        </w:rPr>
        <w:t xml:space="preserve">February </w:t>
      </w:r>
      <w:r w:rsidR="005B3DFE">
        <w:rPr>
          <w:rFonts w:asciiTheme="minorHAnsi" w:hAnsiTheme="minorHAnsi"/>
          <w:sz w:val="22"/>
          <w:szCs w:val="22"/>
        </w:rPr>
        <w:t>15</w:t>
      </w:r>
      <w:r w:rsidR="0028034B" w:rsidRPr="003455A8">
        <w:rPr>
          <w:rFonts w:asciiTheme="minorHAnsi" w:hAnsiTheme="minorHAnsi"/>
          <w:sz w:val="22"/>
          <w:szCs w:val="22"/>
        </w:rPr>
        <w:t>, 201</w:t>
      </w:r>
      <w:r w:rsidR="00512707">
        <w:rPr>
          <w:rFonts w:asciiTheme="minorHAnsi" w:hAnsiTheme="minorHAnsi"/>
          <w:sz w:val="22"/>
          <w:szCs w:val="22"/>
        </w:rPr>
        <w:t>7</w:t>
      </w:r>
      <w:r w:rsidR="0028034B" w:rsidRPr="003455A8">
        <w:rPr>
          <w:rFonts w:asciiTheme="minorHAnsi" w:hAnsiTheme="minorHAnsi"/>
          <w:sz w:val="22"/>
          <w:szCs w:val="22"/>
        </w:rPr>
        <w:t>:</w:t>
      </w:r>
    </w:p>
    <w:p w:rsidR="0028034B" w:rsidRPr="003455A8" w:rsidRDefault="0028034B" w:rsidP="00B625F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p w:rsidR="00F67387" w:rsidRPr="003455A8" w:rsidRDefault="00512707" w:rsidP="009B1CB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Fifty-Third Rev. Sheet No. 500-A</w:t>
      </w:r>
    </w:p>
    <w:p w:rsidR="00F67387" w:rsidRPr="003455A8" w:rsidRDefault="00F67387" w:rsidP="009B1CB6">
      <w:pPr>
        <w:rPr>
          <w:rFonts w:asciiTheme="minorHAnsi" w:hAnsiTheme="minorHAnsi"/>
          <w:sz w:val="22"/>
          <w:szCs w:val="22"/>
        </w:rPr>
      </w:pPr>
    </w:p>
    <w:p w:rsidR="0028034B" w:rsidRPr="00512707" w:rsidRDefault="00512707" w:rsidP="00B625F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512707">
        <w:rPr>
          <w:rFonts w:asciiTheme="minorHAnsi" w:hAnsiTheme="minorHAnsi"/>
          <w:sz w:val="22"/>
          <w:szCs w:val="22"/>
        </w:rPr>
        <w:t>The tariff sheet provides for the following change</w:t>
      </w:r>
      <w:r w:rsidR="002D2D3A">
        <w:rPr>
          <w:rFonts w:asciiTheme="minorHAnsi" w:hAnsiTheme="minorHAnsi"/>
          <w:sz w:val="22"/>
          <w:szCs w:val="22"/>
        </w:rPr>
        <w:t>s</w:t>
      </w:r>
      <w:r w:rsidRPr="00512707">
        <w:rPr>
          <w:rFonts w:asciiTheme="minorHAnsi" w:hAnsiTheme="minorHAnsi"/>
          <w:sz w:val="22"/>
          <w:szCs w:val="22"/>
        </w:rPr>
        <w:t>:</w:t>
      </w:r>
    </w:p>
    <w:p w:rsidR="00AD05B1" w:rsidRDefault="00AD05B1" w:rsidP="009B1CB6">
      <w:pPr>
        <w:tabs>
          <w:tab w:val="left" w:pos="450"/>
        </w:tabs>
        <w:rPr>
          <w:rFonts w:asciiTheme="minorHAnsi" w:hAnsiTheme="minorHAnsi"/>
          <w:b/>
          <w:sz w:val="22"/>
          <w:szCs w:val="22"/>
        </w:rPr>
      </w:pPr>
    </w:p>
    <w:p w:rsidR="003F02A5" w:rsidRDefault="003F02A5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November 30, 2016, the City of West Richland </w:t>
      </w:r>
      <w:proofErr w:type="gramStart"/>
      <w:r>
        <w:rPr>
          <w:rFonts w:asciiTheme="minorHAnsi" w:hAnsiTheme="minorHAnsi"/>
          <w:sz w:val="22"/>
          <w:szCs w:val="22"/>
        </w:rPr>
        <w:t>passed  ordinance</w:t>
      </w:r>
      <w:proofErr w:type="gramEnd"/>
      <w:r>
        <w:rPr>
          <w:rFonts w:asciiTheme="minorHAnsi" w:hAnsiTheme="minorHAnsi"/>
          <w:sz w:val="22"/>
          <w:szCs w:val="22"/>
        </w:rPr>
        <w:t xml:space="preserve"> No</w:t>
      </w:r>
      <w:r w:rsidR="002D2D3A">
        <w:rPr>
          <w:rFonts w:asciiTheme="minorHAnsi" w:hAnsiTheme="minorHAnsi"/>
          <w:sz w:val="22"/>
          <w:szCs w:val="22"/>
        </w:rPr>
        <w:t>. 22-16</w:t>
      </w:r>
      <w:r>
        <w:rPr>
          <w:rFonts w:asciiTheme="minorHAnsi" w:hAnsiTheme="minorHAnsi"/>
          <w:sz w:val="22"/>
          <w:szCs w:val="22"/>
        </w:rPr>
        <w:t xml:space="preserve">  Effective January 1, 2017, the gas utility tax </w:t>
      </w:r>
      <w:r w:rsidR="002D2D3A">
        <w:rPr>
          <w:rFonts w:asciiTheme="minorHAnsi" w:hAnsiTheme="minorHAnsi"/>
          <w:sz w:val="22"/>
          <w:szCs w:val="22"/>
        </w:rPr>
        <w:t xml:space="preserve">percentage </w:t>
      </w:r>
      <w:r>
        <w:rPr>
          <w:rFonts w:asciiTheme="minorHAnsi" w:hAnsiTheme="minorHAnsi"/>
          <w:sz w:val="22"/>
          <w:szCs w:val="22"/>
        </w:rPr>
        <w:t>being paid to the City will decrease from 8.5% to 6% of the total gross operating revenues.</w:t>
      </w:r>
    </w:p>
    <w:p w:rsidR="003F02A5" w:rsidRDefault="003F02A5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p w:rsidR="00512707" w:rsidRDefault="00512707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512707">
        <w:rPr>
          <w:rFonts w:asciiTheme="minorHAnsi" w:hAnsiTheme="minorHAnsi"/>
          <w:sz w:val="22"/>
          <w:szCs w:val="22"/>
        </w:rPr>
        <w:t>On December</w:t>
      </w:r>
      <w:r>
        <w:rPr>
          <w:rFonts w:asciiTheme="minorHAnsi" w:hAnsiTheme="minorHAnsi"/>
          <w:sz w:val="22"/>
          <w:szCs w:val="22"/>
        </w:rPr>
        <w:t xml:space="preserve"> 9</w:t>
      </w:r>
      <w:r w:rsidR="005F24BD">
        <w:rPr>
          <w:rFonts w:asciiTheme="minorHAnsi" w:hAnsiTheme="minorHAnsi"/>
          <w:sz w:val="22"/>
          <w:szCs w:val="22"/>
        </w:rPr>
        <w:t xml:space="preserve">, 2016, </w:t>
      </w:r>
      <w:r w:rsidR="003F02A5">
        <w:rPr>
          <w:rFonts w:asciiTheme="minorHAnsi" w:hAnsiTheme="minorHAnsi"/>
          <w:sz w:val="22"/>
          <w:szCs w:val="22"/>
        </w:rPr>
        <w:t>the Yakima City Council</w:t>
      </w:r>
      <w:r w:rsidR="002D2D3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D2D3A">
        <w:rPr>
          <w:rFonts w:asciiTheme="minorHAnsi" w:hAnsiTheme="minorHAnsi"/>
          <w:sz w:val="22"/>
          <w:szCs w:val="22"/>
        </w:rPr>
        <w:t xml:space="preserve">passed </w:t>
      </w:r>
      <w:r w:rsidR="003F02A5">
        <w:rPr>
          <w:rFonts w:asciiTheme="minorHAnsi" w:hAnsiTheme="minorHAnsi"/>
          <w:sz w:val="22"/>
          <w:szCs w:val="22"/>
        </w:rPr>
        <w:t xml:space="preserve"> ordinance</w:t>
      </w:r>
      <w:proofErr w:type="gramEnd"/>
      <w:r w:rsidR="003F02A5">
        <w:rPr>
          <w:rFonts w:asciiTheme="minorHAnsi" w:hAnsiTheme="minorHAnsi"/>
          <w:sz w:val="22"/>
          <w:szCs w:val="22"/>
        </w:rPr>
        <w:t xml:space="preserve"> No. 2016-039.  Effective February </w:t>
      </w:r>
      <w:r w:rsidR="00E972D2">
        <w:rPr>
          <w:rFonts w:asciiTheme="minorHAnsi" w:hAnsiTheme="minorHAnsi"/>
          <w:sz w:val="22"/>
          <w:szCs w:val="22"/>
        </w:rPr>
        <w:t>8</w:t>
      </w:r>
      <w:r w:rsidR="003F02A5">
        <w:rPr>
          <w:rFonts w:asciiTheme="minorHAnsi" w:hAnsiTheme="minorHAnsi"/>
          <w:sz w:val="22"/>
          <w:szCs w:val="22"/>
        </w:rPr>
        <w:t>, 2017, this ordinance increases the cap from $4,000 per customer per month to $8,000 per customer per month on 4% of the 6% utility tax levied by the City.  2% is still being charged on 100% of the bill.</w:t>
      </w:r>
    </w:p>
    <w:p w:rsidR="005B3DFE" w:rsidRDefault="005B3DFE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p w:rsidR="005B3DFE" w:rsidRDefault="005B3DFE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Cascade Natural Gas is submitting a Less than Statutory Notice (LSN) to request the tariff to become effective on and after February 8, 2017.</w:t>
      </w:r>
      <w:bookmarkStart w:id="0" w:name="_GoBack"/>
      <w:bookmarkEnd w:id="0"/>
    </w:p>
    <w:p w:rsidR="003F02A5" w:rsidRDefault="003F02A5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p w:rsidR="003F02A5" w:rsidRDefault="003F02A5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proposed change will affect all customers residing within the city limits of West Richland and Yakima.  Cascade estimates that approximately </w:t>
      </w:r>
      <w:r w:rsidR="00151C07">
        <w:rPr>
          <w:rFonts w:asciiTheme="minorHAnsi" w:hAnsiTheme="minorHAnsi"/>
          <w:sz w:val="22"/>
          <w:szCs w:val="22"/>
        </w:rPr>
        <w:t xml:space="preserve">17,109 </w:t>
      </w:r>
      <w:r>
        <w:rPr>
          <w:rFonts w:asciiTheme="minorHAnsi" w:hAnsiTheme="minorHAnsi"/>
          <w:sz w:val="22"/>
          <w:szCs w:val="22"/>
        </w:rPr>
        <w:t>residential,</w:t>
      </w:r>
      <w:r w:rsidR="00151C07">
        <w:rPr>
          <w:rFonts w:asciiTheme="minorHAnsi" w:hAnsiTheme="minorHAnsi"/>
          <w:sz w:val="22"/>
          <w:szCs w:val="22"/>
        </w:rPr>
        <w:t xml:space="preserve"> 2827</w:t>
      </w:r>
      <w:r>
        <w:rPr>
          <w:rFonts w:asciiTheme="minorHAnsi" w:hAnsiTheme="minorHAnsi"/>
          <w:sz w:val="22"/>
          <w:szCs w:val="22"/>
        </w:rPr>
        <w:t xml:space="preserve"> commercial, and </w:t>
      </w:r>
      <w:r w:rsidR="00151C07">
        <w:rPr>
          <w:rFonts w:asciiTheme="minorHAnsi" w:hAnsiTheme="minorHAnsi"/>
          <w:sz w:val="22"/>
          <w:szCs w:val="22"/>
        </w:rPr>
        <w:t xml:space="preserve">51 </w:t>
      </w:r>
      <w:r>
        <w:rPr>
          <w:rFonts w:asciiTheme="minorHAnsi" w:hAnsiTheme="minorHAnsi"/>
          <w:sz w:val="22"/>
          <w:szCs w:val="22"/>
        </w:rPr>
        <w:t xml:space="preserve">industrial customers </w:t>
      </w:r>
      <w:r w:rsidR="002D2D3A">
        <w:rPr>
          <w:rFonts w:asciiTheme="minorHAnsi" w:hAnsiTheme="minorHAnsi"/>
          <w:sz w:val="22"/>
          <w:szCs w:val="22"/>
        </w:rPr>
        <w:t xml:space="preserve">in total </w:t>
      </w:r>
      <w:r>
        <w:rPr>
          <w:rFonts w:asciiTheme="minorHAnsi" w:hAnsiTheme="minorHAnsi"/>
          <w:sz w:val="22"/>
          <w:szCs w:val="22"/>
        </w:rPr>
        <w:t>will be impacted by this change.</w:t>
      </w:r>
    </w:p>
    <w:p w:rsidR="003F02A5" w:rsidRPr="00512707" w:rsidRDefault="003F02A5" w:rsidP="009B1CB6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p w:rsidR="0006788E" w:rsidRPr="003455A8" w:rsidRDefault="0006788E" w:rsidP="00333008">
      <w:pPr>
        <w:jc w:val="both"/>
        <w:rPr>
          <w:rFonts w:asciiTheme="minorHAnsi" w:eastAsia="Calibri" w:hAnsiTheme="minorHAnsi"/>
          <w:sz w:val="22"/>
          <w:szCs w:val="22"/>
        </w:rPr>
      </w:pPr>
      <w:r w:rsidRPr="003455A8">
        <w:rPr>
          <w:rFonts w:asciiTheme="minorHAnsi" w:eastAsia="Calibri" w:hAnsiTheme="minorHAnsi"/>
          <w:sz w:val="22"/>
          <w:szCs w:val="22"/>
        </w:rPr>
        <w:t>If you have any questions regarding this report, please contact me at (509) 734-4593.</w:t>
      </w:r>
    </w:p>
    <w:p w:rsidR="0006788E" w:rsidRPr="003455A8" w:rsidRDefault="0006788E" w:rsidP="00142338">
      <w:pPr>
        <w:tabs>
          <w:tab w:val="left" w:pos="450"/>
        </w:tabs>
        <w:rPr>
          <w:rFonts w:asciiTheme="minorHAnsi" w:eastAsia="Calibri" w:hAnsiTheme="minorHAnsi"/>
          <w:sz w:val="22"/>
          <w:szCs w:val="22"/>
        </w:rPr>
      </w:pPr>
    </w:p>
    <w:p w:rsidR="00142338" w:rsidRPr="003455A8" w:rsidRDefault="00142338" w:rsidP="00142338">
      <w:pPr>
        <w:tabs>
          <w:tab w:val="left" w:pos="450"/>
        </w:tabs>
        <w:rPr>
          <w:rFonts w:asciiTheme="minorHAnsi" w:eastAsia="Calibri" w:hAnsiTheme="minorHAnsi"/>
          <w:sz w:val="22"/>
          <w:szCs w:val="22"/>
        </w:rPr>
      </w:pPr>
      <w:r w:rsidRPr="003455A8">
        <w:rPr>
          <w:rFonts w:asciiTheme="minorHAnsi" w:eastAsia="Calibri" w:hAnsiTheme="minorHAnsi"/>
          <w:sz w:val="22"/>
          <w:szCs w:val="22"/>
        </w:rPr>
        <w:t>Sincerely,</w:t>
      </w:r>
    </w:p>
    <w:p w:rsidR="00142338" w:rsidRDefault="00142338" w:rsidP="00142338">
      <w:pPr>
        <w:tabs>
          <w:tab w:val="left" w:pos="450"/>
        </w:tabs>
        <w:rPr>
          <w:rFonts w:asciiTheme="minorHAnsi" w:eastAsia="Calibri" w:hAnsiTheme="minorHAnsi"/>
          <w:noProof/>
          <w:sz w:val="22"/>
          <w:szCs w:val="22"/>
        </w:rPr>
      </w:pPr>
    </w:p>
    <w:p w:rsidR="007E12A8" w:rsidRDefault="007E12A8" w:rsidP="00142338">
      <w:pPr>
        <w:tabs>
          <w:tab w:val="left" w:pos="450"/>
        </w:tabs>
        <w:rPr>
          <w:rFonts w:asciiTheme="minorHAnsi" w:eastAsia="Calibri" w:hAnsiTheme="minorHAnsi"/>
          <w:noProof/>
          <w:sz w:val="22"/>
          <w:szCs w:val="22"/>
        </w:rPr>
      </w:pPr>
    </w:p>
    <w:p w:rsidR="007E12A8" w:rsidRPr="003455A8" w:rsidRDefault="007E12A8" w:rsidP="00142338">
      <w:pPr>
        <w:tabs>
          <w:tab w:val="left" w:pos="450"/>
        </w:tabs>
        <w:rPr>
          <w:rFonts w:asciiTheme="minorHAnsi" w:eastAsia="Calibri" w:hAnsiTheme="minorHAnsi"/>
          <w:sz w:val="22"/>
          <w:szCs w:val="22"/>
        </w:rPr>
      </w:pPr>
    </w:p>
    <w:p w:rsidR="00142338" w:rsidRPr="003455A8" w:rsidRDefault="0075226E" w:rsidP="00142338">
      <w:pPr>
        <w:tabs>
          <w:tab w:val="left" w:pos="450"/>
        </w:tabs>
        <w:rPr>
          <w:rFonts w:asciiTheme="minorHAnsi" w:eastAsia="Calibri" w:hAnsiTheme="minorHAnsi"/>
          <w:sz w:val="22"/>
          <w:szCs w:val="22"/>
        </w:rPr>
      </w:pPr>
      <w:r w:rsidRPr="003455A8">
        <w:rPr>
          <w:rFonts w:asciiTheme="minorHAnsi" w:eastAsia="Calibri" w:hAnsiTheme="minorHAnsi"/>
          <w:sz w:val="22"/>
          <w:szCs w:val="22"/>
        </w:rPr>
        <w:t>Michael Parvinen</w:t>
      </w:r>
    </w:p>
    <w:p w:rsidR="00151C07" w:rsidRDefault="0075226E" w:rsidP="00333008">
      <w:pPr>
        <w:tabs>
          <w:tab w:val="left" w:pos="450"/>
        </w:tabs>
        <w:rPr>
          <w:rFonts w:asciiTheme="minorHAnsi" w:eastAsia="Calibri" w:hAnsiTheme="minorHAnsi"/>
          <w:sz w:val="22"/>
          <w:szCs w:val="22"/>
        </w:rPr>
      </w:pPr>
      <w:r w:rsidRPr="003455A8">
        <w:rPr>
          <w:rFonts w:asciiTheme="minorHAnsi" w:eastAsia="Calibri" w:hAnsiTheme="minorHAnsi"/>
          <w:sz w:val="22"/>
          <w:szCs w:val="22"/>
        </w:rPr>
        <w:t>Director, Regulatory Affairs</w:t>
      </w:r>
    </w:p>
    <w:p w:rsidR="00151C07" w:rsidRPr="00151C07" w:rsidRDefault="00151C07" w:rsidP="00151C07">
      <w:pPr>
        <w:rPr>
          <w:rFonts w:asciiTheme="minorHAnsi" w:eastAsia="Calibri" w:hAnsiTheme="minorHAnsi"/>
          <w:sz w:val="22"/>
          <w:szCs w:val="22"/>
        </w:rPr>
      </w:pPr>
    </w:p>
    <w:p w:rsidR="00151C07" w:rsidRDefault="00151C07" w:rsidP="00151C07">
      <w:pPr>
        <w:rPr>
          <w:rFonts w:asciiTheme="minorHAnsi" w:eastAsia="Calibri" w:hAnsiTheme="minorHAnsi"/>
          <w:sz w:val="22"/>
          <w:szCs w:val="22"/>
        </w:rPr>
      </w:pPr>
    </w:p>
    <w:sectPr w:rsidR="00151C07" w:rsidSect="003455A8">
      <w:headerReference w:type="default" r:id="rId10"/>
      <w:footerReference w:type="defaul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0D" w:rsidRDefault="00701F0D" w:rsidP="00261259">
      <w:r>
        <w:separator/>
      </w:r>
    </w:p>
  </w:endnote>
  <w:endnote w:type="continuationSeparator" w:id="0">
    <w:p w:rsidR="00701F0D" w:rsidRDefault="00701F0D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1D" w:rsidRDefault="008C0D1D">
    <w:pPr>
      <w:pStyle w:val="Footer"/>
    </w:pPr>
  </w:p>
  <w:p w:rsidR="008C0D1D" w:rsidRDefault="008C0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5B" w:rsidRDefault="007B495B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708A289" wp14:editId="5150492B">
          <wp:simplePos x="0" y="0"/>
          <wp:positionH relativeFrom="column">
            <wp:posOffset>1901825</wp:posOffset>
          </wp:positionH>
          <wp:positionV relativeFrom="paragraph">
            <wp:posOffset>24130</wp:posOffset>
          </wp:positionV>
          <wp:extent cx="2441575" cy="243840"/>
          <wp:effectExtent l="0" t="0" r="0" b="3810"/>
          <wp:wrapNone/>
          <wp:docPr id="3" name="Picture 3" descr="CNG-C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G-Color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57"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0D" w:rsidRDefault="00701F0D" w:rsidP="00261259">
      <w:r>
        <w:separator/>
      </w:r>
    </w:p>
  </w:footnote>
  <w:footnote w:type="continuationSeparator" w:id="0">
    <w:p w:rsidR="00701F0D" w:rsidRDefault="00701F0D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CA" w:rsidRDefault="00473FCA">
    <w:pPr>
      <w:pStyle w:val="Header"/>
      <w:rPr>
        <w:noProof/>
      </w:rPr>
    </w:pPr>
  </w:p>
  <w:p w:rsidR="00473FCA" w:rsidRDefault="00473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D5F"/>
    <w:multiLevelType w:val="hybridMultilevel"/>
    <w:tmpl w:val="D710F964"/>
    <w:lvl w:ilvl="0" w:tplc="F6BE9D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7E7D"/>
    <w:multiLevelType w:val="hybridMultilevel"/>
    <w:tmpl w:val="B4FC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2F7C"/>
    <w:multiLevelType w:val="hybridMultilevel"/>
    <w:tmpl w:val="F47E2218"/>
    <w:lvl w:ilvl="0" w:tplc="1B5CF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2DDF"/>
    <w:multiLevelType w:val="hybridMultilevel"/>
    <w:tmpl w:val="E1784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12F5"/>
    <w:rsid w:val="000357AB"/>
    <w:rsid w:val="0006788E"/>
    <w:rsid w:val="00095DE4"/>
    <w:rsid w:val="000A798E"/>
    <w:rsid w:val="000C677F"/>
    <w:rsid w:val="000E1AD8"/>
    <w:rsid w:val="001306BF"/>
    <w:rsid w:val="00142338"/>
    <w:rsid w:val="00151C07"/>
    <w:rsid w:val="00184034"/>
    <w:rsid w:val="001A6090"/>
    <w:rsid w:val="001C0532"/>
    <w:rsid w:val="001C2949"/>
    <w:rsid w:val="001D4C42"/>
    <w:rsid w:val="001E3D37"/>
    <w:rsid w:val="001E76D8"/>
    <w:rsid w:val="001F4634"/>
    <w:rsid w:val="002142C6"/>
    <w:rsid w:val="00224BAF"/>
    <w:rsid w:val="00241C69"/>
    <w:rsid w:val="00261259"/>
    <w:rsid w:val="002745E2"/>
    <w:rsid w:val="0028034B"/>
    <w:rsid w:val="00281273"/>
    <w:rsid w:val="002850C2"/>
    <w:rsid w:val="00296C59"/>
    <w:rsid w:val="002B12F4"/>
    <w:rsid w:val="002B2D6A"/>
    <w:rsid w:val="002C5834"/>
    <w:rsid w:val="002D2D3A"/>
    <w:rsid w:val="002F336B"/>
    <w:rsid w:val="002F47FD"/>
    <w:rsid w:val="00301CFD"/>
    <w:rsid w:val="00327305"/>
    <w:rsid w:val="00333008"/>
    <w:rsid w:val="003455A8"/>
    <w:rsid w:val="003533B3"/>
    <w:rsid w:val="00394493"/>
    <w:rsid w:val="00397FF1"/>
    <w:rsid w:val="003A452B"/>
    <w:rsid w:val="003E3A49"/>
    <w:rsid w:val="003F02A5"/>
    <w:rsid w:val="003F25D1"/>
    <w:rsid w:val="004000F2"/>
    <w:rsid w:val="004016C0"/>
    <w:rsid w:val="00412F14"/>
    <w:rsid w:val="00436CAD"/>
    <w:rsid w:val="00441C07"/>
    <w:rsid w:val="00456801"/>
    <w:rsid w:val="00460398"/>
    <w:rsid w:val="00473FCA"/>
    <w:rsid w:val="00482484"/>
    <w:rsid w:val="00497470"/>
    <w:rsid w:val="004C7AFE"/>
    <w:rsid w:val="004E2439"/>
    <w:rsid w:val="00503C10"/>
    <w:rsid w:val="00505720"/>
    <w:rsid w:val="00512707"/>
    <w:rsid w:val="005263D6"/>
    <w:rsid w:val="005370B6"/>
    <w:rsid w:val="005B1BE9"/>
    <w:rsid w:val="005B3DFE"/>
    <w:rsid w:val="005B44E0"/>
    <w:rsid w:val="005C5895"/>
    <w:rsid w:val="005C76D1"/>
    <w:rsid w:val="005D3761"/>
    <w:rsid w:val="005F24BD"/>
    <w:rsid w:val="005F31EA"/>
    <w:rsid w:val="006058C1"/>
    <w:rsid w:val="006649F6"/>
    <w:rsid w:val="006E4E4B"/>
    <w:rsid w:val="006E537D"/>
    <w:rsid w:val="006F1A4E"/>
    <w:rsid w:val="00701F0D"/>
    <w:rsid w:val="00713353"/>
    <w:rsid w:val="00723CC0"/>
    <w:rsid w:val="0075226E"/>
    <w:rsid w:val="00777453"/>
    <w:rsid w:val="007975E0"/>
    <w:rsid w:val="007A3803"/>
    <w:rsid w:val="007B495B"/>
    <w:rsid w:val="007B648C"/>
    <w:rsid w:val="007D6517"/>
    <w:rsid w:val="007E12A8"/>
    <w:rsid w:val="00800ECE"/>
    <w:rsid w:val="00825528"/>
    <w:rsid w:val="00860AE1"/>
    <w:rsid w:val="008A0B19"/>
    <w:rsid w:val="008B35BE"/>
    <w:rsid w:val="008C0D1D"/>
    <w:rsid w:val="00904B3A"/>
    <w:rsid w:val="00916E3A"/>
    <w:rsid w:val="00952ADB"/>
    <w:rsid w:val="00964C01"/>
    <w:rsid w:val="00974BF1"/>
    <w:rsid w:val="009A2265"/>
    <w:rsid w:val="009B1CB6"/>
    <w:rsid w:val="009B5735"/>
    <w:rsid w:val="009F2CE9"/>
    <w:rsid w:val="00A63BFD"/>
    <w:rsid w:val="00A80CD6"/>
    <w:rsid w:val="00AA1588"/>
    <w:rsid w:val="00AA1F94"/>
    <w:rsid w:val="00AC009A"/>
    <w:rsid w:val="00AD05B1"/>
    <w:rsid w:val="00B01693"/>
    <w:rsid w:val="00B15BF6"/>
    <w:rsid w:val="00B5582E"/>
    <w:rsid w:val="00B625FC"/>
    <w:rsid w:val="00BB6A57"/>
    <w:rsid w:val="00C46A29"/>
    <w:rsid w:val="00C74467"/>
    <w:rsid w:val="00CC62E7"/>
    <w:rsid w:val="00CE0380"/>
    <w:rsid w:val="00D07E55"/>
    <w:rsid w:val="00D357BA"/>
    <w:rsid w:val="00D46C5E"/>
    <w:rsid w:val="00D53F89"/>
    <w:rsid w:val="00D84ABF"/>
    <w:rsid w:val="00D87378"/>
    <w:rsid w:val="00DA4C1C"/>
    <w:rsid w:val="00DB5F7D"/>
    <w:rsid w:val="00DF2B45"/>
    <w:rsid w:val="00E0715E"/>
    <w:rsid w:val="00E21A27"/>
    <w:rsid w:val="00E371C5"/>
    <w:rsid w:val="00E50840"/>
    <w:rsid w:val="00E67BA4"/>
    <w:rsid w:val="00E972D2"/>
    <w:rsid w:val="00EB5565"/>
    <w:rsid w:val="00EE2A65"/>
    <w:rsid w:val="00EF4DC3"/>
    <w:rsid w:val="00EF66E5"/>
    <w:rsid w:val="00F14732"/>
    <w:rsid w:val="00F21D78"/>
    <w:rsid w:val="00F3166D"/>
    <w:rsid w:val="00F67387"/>
    <w:rsid w:val="00F924CC"/>
    <w:rsid w:val="00F9645E"/>
    <w:rsid w:val="00FB4661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5FC"/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D1D"/>
  </w:style>
  <w:style w:type="character" w:styleId="Hyperlink">
    <w:name w:val="Hyperlink"/>
    <w:basedOn w:val="DefaultParagraphFont"/>
    <w:uiPriority w:val="99"/>
    <w:unhideWhenUsed/>
    <w:rsid w:val="008C0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5FC"/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D1D"/>
  </w:style>
  <w:style w:type="character" w:styleId="Hyperlink">
    <w:name w:val="Hyperlink"/>
    <w:basedOn w:val="DefaultParagraphFont"/>
    <w:uiPriority w:val="99"/>
    <w:unhideWhenUsed/>
    <w:rsid w:val="008C0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rds@utc.wa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01EBDD49AF4488DF1CD24BC39DD2A" ma:contentTypeVersion="92" ma:contentTypeDescription="" ma:contentTypeScope="" ma:versionID="54c064bfe77ea2c9bd60b5ba1493bf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2017-01-16T08:00:00+00:00</OpenedDate>
    <Date1 xmlns="dc463f71-b30c-4ab2-9473-d307f9d35888">2017-01-16T08:00:00+00:00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170041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092402-DA00-4C29-A848-88902A21015C}"/>
</file>

<file path=customXml/itemProps2.xml><?xml version="1.0" encoding="utf-8"?>
<ds:datastoreItem xmlns:ds="http://schemas.openxmlformats.org/officeDocument/2006/customXml" ds:itemID="{BB5280F1-641E-4875-82E7-181C7ACDF590}"/>
</file>

<file path=customXml/itemProps3.xml><?xml version="1.0" encoding="utf-8"?>
<ds:datastoreItem xmlns:ds="http://schemas.openxmlformats.org/officeDocument/2006/customXml" ds:itemID="{E23E9935-8DC4-4516-9AB7-ECABA66F4A60}"/>
</file>

<file path=customXml/itemProps4.xml><?xml version="1.0" encoding="utf-8"?>
<ds:datastoreItem xmlns:ds="http://schemas.openxmlformats.org/officeDocument/2006/customXml" ds:itemID="{908324BF-5A11-4175-88B3-EFAB3EC10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1727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7</cp:revision>
  <cp:lastPrinted>2017-01-18T18:01:00Z</cp:lastPrinted>
  <dcterms:created xsi:type="dcterms:W3CDTF">2017-01-13T23:35:00Z</dcterms:created>
  <dcterms:modified xsi:type="dcterms:W3CDTF">2017-01-18T18:43:00Z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0x0101006E56B4D1795A2E4DB2F0B01679ED314A002F001EBDD49AF4488DF1CD24BC39DD2A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