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831" w:rsidRPr="00D734C3" w:rsidRDefault="00637831" w:rsidP="00637831">
      <w:pPr>
        <w:jc w:val="center"/>
        <w:rPr>
          <w:rFonts w:ascii="Times New Roman" w:hAnsi="Times New Roman" w:cs="Times New Roman"/>
          <w:b/>
          <w:sz w:val="32"/>
          <w:szCs w:val="24"/>
        </w:rPr>
      </w:pPr>
      <w:bookmarkStart w:id="0" w:name="_GoBack"/>
      <w:bookmarkEnd w:id="0"/>
      <w:r w:rsidRPr="00D734C3">
        <w:rPr>
          <w:rFonts w:ascii="Times New Roman" w:hAnsi="Times New Roman" w:cs="Times New Roman"/>
          <w:b/>
          <w:sz w:val="32"/>
          <w:szCs w:val="24"/>
        </w:rPr>
        <w:t>WASHINGTON ELECTRIC COST OF SERVICE HISTORY</w:t>
      </w:r>
    </w:p>
    <w:p w:rsidR="00637831" w:rsidRPr="00D734C3" w:rsidRDefault="00637831" w:rsidP="00637831">
      <w:pPr>
        <w:rPr>
          <w:rFonts w:ascii="Times New Roman" w:hAnsi="Times New Roman" w:cs="Times New Roman"/>
          <w:b/>
          <w:sz w:val="32"/>
          <w:szCs w:val="24"/>
        </w:rPr>
      </w:pPr>
    </w:p>
    <w:p w:rsidR="00637831" w:rsidRPr="00102021" w:rsidRDefault="005603F4" w:rsidP="00637831">
      <w:pPr>
        <w:jc w:val="center"/>
        <w:rPr>
          <w:rFonts w:ascii="Times New Roman" w:hAnsi="Times New Roman" w:cs="Times New Roman"/>
          <w:sz w:val="32"/>
          <w:szCs w:val="32"/>
        </w:rPr>
      </w:pPr>
      <w:r w:rsidRPr="00102021">
        <w:rPr>
          <w:rFonts w:ascii="Times New Roman" w:hAnsi="Times New Roman" w:cs="Times New Roman"/>
          <w:sz w:val="32"/>
          <w:szCs w:val="32"/>
        </w:rPr>
        <w:t>PUGET SOUND ENERGY</w:t>
      </w:r>
    </w:p>
    <w:tbl>
      <w:tblPr>
        <w:tblStyle w:val="TableGrid"/>
        <w:tblW w:w="9630" w:type="dxa"/>
        <w:tblLook w:val="04A0" w:firstRow="1" w:lastRow="0" w:firstColumn="1" w:lastColumn="0" w:noHBand="0" w:noVBand="1"/>
      </w:tblPr>
      <w:tblGrid>
        <w:gridCol w:w="3103"/>
        <w:gridCol w:w="6527"/>
      </w:tblGrid>
      <w:tr w:rsidR="00E72576" w:rsidRPr="0063621D" w:rsidTr="00E72576">
        <w:trPr>
          <w:trHeight w:val="332"/>
        </w:trPr>
        <w:tc>
          <w:tcPr>
            <w:tcW w:w="3103" w:type="dxa"/>
            <w:tcBorders>
              <w:top w:val="nil"/>
              <w:left w:val="nil"/>
              <w:right w:val="nil"/>
            </w:tcBorders>
            <w:vAlign w:val="bottom"/>
          </w:tcPr>
          <w:p w:rsidR="00E72576" w:rsidRPr="0063621D" w:rsidRDefault="00E72576" w:rsidP="00374119">
            <w:pPr>
              <w:jc w:val="center"/>
              <w:rPr>
                <w:rFonts w:ascii="Times New Roman" w:hAnsi="Times New Roman" w:cs="Times New Roman"/>
                <w:sz w:val="24"/>
                <w:szCs w:val="24"/>
              </w:rPr>
            </w:pPr>
          </w:p>
        </w:tc>
        <w:tc>
          <w:tcPr>
            <w:tcW w:w="6527" w:type="dxa"/>
            <w:tcBorders>
              <w:top w:val="nil"/>
              <w:left w:val="nil"/>
              <w:right w:val="nil"/>
            </w:tcBorders>
            <w:vAlign w:val="bottom"/>
          </w:tcPr>
          <w:p w:rsidR="00E72576" w:rsidRPr="0063621D" w:rsidRDefault="00E72576" w:rsidP="00374119">
            <w:pPr>
              <w:jc w:val="center"/>
              <w:rPr>
                <w:rFonts w:ascii="Times New Roman" w:hAnsi="Times New Roman" w:cs="Times New Roman"/>
                <w:b/>
                <w:i/>
                <w:sz w:val="24"/>
                <w:szCs w:val="24"/>
              </w:rPr>
            </w:pPr>
          </w:p>
        </w:tc>
      </w:tr>
      <w:tr w:rsidR="00E72576" w:rsidRPr="0063621D" w:rsidTr="00E72576">
        <w:trPr>
          <w:trHeight w:val="1008"/>
        </w:trPr>
        <w:tc>
          <w:tcPr>
            <w:tcW w:w="3103" w:type="dxa"/>
            <w:vAlign w:val="center"/>
          </w:tcPr>
          <w:p w:rsidR="00E72576" w:rsidRPr="0063621D" w:rsidRDefault="00E72576" w:rsidP="00374119">
            <w:pPr>
              <w:rPr>
                <w:rFonts w:ascii="Times New Roman" w:hAnsi="Times New Roman" w:cs="Times New Roman"/>
                <w:sz w:val="24"/>
                <w:szCs w:val="24"/>
              </w:rPr>
            </w:pPr>
            <w:r>
              <w:rPr>
                <w:rFonts w:ascii="Times New Roman" w:hAnsi="Times New Roman" w:cs="Times New Roman"/>
                <w:sz w:val="24"/>
                <w:szCs w:val="24"/>
              </w:rPr>
              <w:t>2017 GRC (UE-170033 &amp; UG-170034)</w:t>
            </w:r>
          </w:p>
        </w:tc>
        <w:tc>
          <w:tcPr>
            <w:tcW w:w="6527" w:type="dxa"/>
            <w:vAlign w:val="center"/>
          </w:tcPr>
          <w:p w:rsidR="00E72576" w:rsidRDefault="00AE6823" w:rsidP="00C95530">
            <w:pPr>
              <w:rPr>
                <w:rFonts w:ascii="Times New Roman" w:hAnsi="Times New Roman" w:cs="Times New Roman"/>
                <w:i/>
                <w:sz w:val="24"/>
                <w:szCs w:val="24"/>
              </w:rPr>
            </w:pPr>
            <w:r w:rsidRPr="00AE6823">
              <w:rPr>
                <w:rFonts w:ascii="Times New Roman" w:hAnsi="Times New Roman" w:cs="Times New Roman"/>
                <w:i/>
                <w:sz w:val="24"/>
                <w:szCs w:val="24"/>
              </w:rPr>
              <w:t>Commission Order</w:t>
            </w:r>
          </w:p>
          <w:p w:rsidR="00AE6823" w:rsidRDefault="00AE6823" w:rsidP="00C95530">
            <w:pPr>
              <w:rPr>
                <w:rFonts w:ascii="Times New Roman" w:hAnsi="Times New Roman" w:cs="Times New Roman"/>
                <w:i/>
                <w:sz w:val="24"/>
                <w:szCs w:val="24"/>
              </w:rPr>
            </w:pPr>
          </w:p>
          <w:p w:rsidR="00CA3FE8" w:rsidRDefault="00AE6823" w:rsidP="00EA712E">
            <w:pPr>
              <w:pStyle w:val="ListParagraph"/>
              <w:ind w:left="138"/>
              <w:rPr>
                <w:rFonts w:ascii="Times New Roman" w:hAnsi="Times New Roman" w:cs="Times New Roman"/>
                <w:sz w:val="24"/>
                <w:szCs w:val="24"/>
              </w:rPr>
            </w:pPr>
            <w:r>
              <w:rPr>
                <w:rFonts w:ascii="Times New Roman" w:hAnsi="Times New Roman" w:cs="Times New Roman"/>
                <w:sz w:val="24"/>
                <w:szCs w:val="24"/>
              </w:rPr>
              <w:t>Electric Cost of Service remained settled</w:t>
            </w:r>
            <w:r w:rsidR="002522DB">
              <w:rPr>
                <w:rFonts w:ascii="Times New Roman" w:hAnsi="Times New Roman" w:cs="Times New Roman"/>
                <w:sz w:val="24"/>
                <w:szCs w:val="24"/>
              </w:rPr>
              <w:t xml:space="preserve"> from the 2013 collaborative.  H</w:t>
            </w:r>
            <w:r>
              <w:rPr>
                <w:rFonts w:ascii="Times New Roman" w:hAnsi="Times New Roman" w:cs="Times New Roman"/>
                <w:sz w:val="24"/>
                <w:szCs w:val="24"/>
              </w:rPr>
              <w:t>owever</w:t>
            </w:r>
            <w:r w:rsidR="00722466">
              <w:rPr>
                <w:rFonts w:ascii="Times New Roman" w:hAnsi="Times New Roman" w:cs="Times New Roman"/>
                <w:sz w:val="24"/>
                <w:szCs w:val="24"/>
              </w:rPr>
              <w:t>,</w:t>
            </w:r>
            <w:r>
              <w:rPr>
                <w:rFonts w:ascii="Times New Roman" w:hAnsi="Times New Roman" w:cs="Times New Roman"/>
                <w:sz w:val="24"/>
                <w:szCs w:val="24"/>
              </w:rPr>
              <w:t xml:space="preserve"> PSE proposed and </w:t>
            </w:r>
            <w:r w:rsidR="00EA712E">
              <w:rPr>
                <w:rFonts w:ascii="Times New Roman" w:hAnsi="Times New Roman" w:cs="Times New Roman"/>
                <w:sz w:val="24"/>
                <w:szCs w:val="24"/>
              </w:rPr>
              <w:t>Staff</w:t>
            </w:r>
            <w:r>
              <w:rPr>
                <w:rFonts w:ascii="Times New Roman" w:hAnsi="Times New Roman" w:cs="Times New Roman"/>
                <w:sz w:val="24"/>
                <w:szCs w:val="24"/>
              </w:rPr>
              <w:t xml:space="preserve"> supported </w:t>
            </w:r>
            <w:r w:rsidR="00EA712E">
              <w:rPr>
                <w:rFonts w:ascii="Times New Roman" w:hAnsi="Times New Roman" w:cs="Times New Roman"/>
                <w:sz w:val="24"/>
                <w:szCs w:val="24"/>
              </w:rPr>
              <w:t xml:space="preserve">the </w:t>
            </w:r>
            <w:r>
              <w:rPr>
                <w:rFonts w:ascii="Times New Roman" w:hAnsi="Times New Roman" w:cs="Times New Roman"/>
                <w:sz w:val="24"/>
                <w:szCs w:val="24"/>
              </w:rPr>
              <w:t>use</w:t>
            </w:r>
            <w:r w:rsidR="00EA712E">
              <w:rPr>
                <w:rFonts w:ascii="Times New Roman" w:hAnsi="Times New Roman" w:cs="Times New Roman"/>
                <w:sz w:val="24"/>
                <w:szCs w:val="24"/>
              </w:rPr>
              <w:t xml:space="preserve"> of</w:t>
            </w:r>
            <w:r>
              <w:rPr>
                <w:rFonts w:ascii="Times New Roman" w:hAnsi="Times New Roman" w:cs="Times New Roman"/>
                <w:sz w:val="24"/>
                <w:szCs w:val="24"/>
              </w:rPr>
              <w:t xml:space="preserve"> 2015 IRP data instead of 2013 data.  The Com</w:t>
            </w:r>
            <w:r w:rsidR="00747BB0">
              <w:rPr>
                <w:rFonts w:ascii="Times New Roman" w:hAnsi="Times New Roman" w:cs="Times New Roman"/>
                <w:sz w:val="24"/>
                <w:szCs w:val="24"/>
              </w:rPr>
              <w:t xml:space="preserve">mission rejected this proposal.  Additionally the Commission rejected the treatment of transformers as a customer related expense and </w:t>
            </w:r>
            <w:r w:rsidR="00EB61D3">
              <w:rPr>
                <w:rFonts w:ascii="Times New Roman" w:hAnsi="Times New Roman" w:cs="Times New Roman"/>
                <w:sz w:val="24"/>
                <w:szCs w:val="24"/>
              </w:rPr>
              <w:t xml:space="preserve">reaffirmed its preference for the Basic Customer Method.  </w:t>
            </w:r>
          </w:p>
          <w:p w:rsidR="00AE6823" w:rsidRPr="00AE6823" w:rsidRDefault="00AE6823" w:rsidP="00EA712E">
            <w:pPr>
              <w:pStyle w:val="ListParagraph"/>
              <w:ind w:left="138"/>
              <w:rPr>
                <w:rFonts w:ascii="Times New Roman" w:hAnsi="Times New Roman" w:cs="Times New Roman"/>
                <w:i/>
                <w:sz w:val="24"/>
                <w:szCs w:val="24"/>
              </w:rPr>
            </w:pPr>
            <w:r>
              <w:rPr>
                <w:rFonts w:ascii="Times New Roman" w:hAnsi="Times New Roman" w:cs="Times New Roman"/>
                <w:sz w:val="24"/>
                <w:szCs w:val="24"/>
              </w:rPr>
              <w:t xml:space="preserve"> </w:t>
            </w:r>
          </w:p>
        </w:tc>
      </w:tr>
      <w:tr w:rsidR="00E72576" w:rsidRPr="0063621D" w:rsidTr="00E72576">
        <w:trPr>
          <w:trHeight w:val="1008"/>
        </w:trPr>
        <w:tc>
          <w:tcPr>
            <w:tcW w:w="3103" w:type="dxa"/>
            <w:vAlign w:val="center"/>
          </w:tcPr>
          <w:p w:rsidR="00E72576" w:rsidRPr="0063621D" w:rsidRDefault="00E72576" w:rsidP="00374119">
            <w:pPr>
              <w:rPr>
                <w:rFonts w:ascii="Times New Roman" w:hAnsi="Times New Roman" w:cs="Times New Roman"/>
                <w:sz w:val="24"/>
                <w:szCs w:val="24"/>
                <w:highlight w:val="yellow"/>
              </w:rPr>
            </w:pPr>
            <w:r w:rsidRPr="0063621D">
              <w:rPr>
                <w:rFonts w:ascii="Times New Roman" w:hAnsi="Times New Roman" w:cs="Times New Roman"/>
                <w:sz w:val="24"/>
                <w:szCs w:val="24"/>
              </w:rPr>
              <w:t>COS/RD Collaborative (initiated in 2013 PCORC)</w:t>
            </w:r>
          </w:p>
        </w:tc>
        <w:tc>
          <w:tcPr>
            <w:tcW w:w="6527" w:type="dxa"/>
            <w:vAlign w:val="center"/>
          </w:tcPr>
          <w:p w:rsidR="00E72576" w:rsidRPr="00102021" w:rsidRDefault="00E72576" w:rsidP="00102021">
            <w:pPr>
              <w:rPr>
                <w:rFonts w:ascii="Times New Roman" w:hAnsi="Times New Roman" w:cs="Times New Roman"/>
                <w:i/>
                <w:sz w:val="24"/>
                <w:szCs w:val="24"/>
              </w:rPr>
            </w:pPr>
            <w:r w:rsidRPr="00102021">
              <w:rPr>
                <w:rFonts w:ascii="Times New Roman" w:hAnsi="Times New Roman" w:cs="Times New Roman"/>
                <w:i/>
                <w:sz w:val="24"/>
                <w:szCs w:val="24"/>
              </w:rPr>
              <w:t>Multi Party Settlement</w:t>
            </w:r>
          </w:p>
          <w:p w:rsidR="00E72576" w:rsidRDefault="00E72576" w:rsidP="00E72576">
            <w:pPr>
              <w:pStyle w:val="ListParagraph"/>
              <w:ind w:left="138"/>
              <w:rPr>
                <w:rFonts w:ascii="Times New Roman" w:hAnsi="Times New Roman" w:cs="Times New Roman"/>
                <w:sz w:val="24"/>
                <w:szCs w:val="24"/>
              </w:rPr>
            </w:pPr>
          </w:p>
          <w:p w:rsidR="00E72576" w:rsidRPr="0063621D" w:rsidRDefault="00E72576" w:rsidP="00374119">
            <w:pPr>
              <w:pStyle w:val="ListParagraph"/>
              <w:numPr>
                <w:ilvl w:val="0"/>
                <w:numId w:val="1"/>
              </w:numPr>
              <w:ind w:left="138" w:hanging="180"/>
              <w:rPr>
                <w:rFonts w:ascii="Times New Roman" w:hAnsi="Times New Roman" w:cs="Times New Roman"/>
                <w:sz w:val="24"/>
                <w:szCs w:val="24"/>
              </w:rPr>
            </w:pPr>
            <w:r w:rsidRPr="0063621D">
              <w:rPr>
                <w:rFonts w:ascii="Times New Roman" w:hAnsi="Times New Roman" w:cs="Times New Roman"/>
                <w:sz w:val="24"/>
                <w:szCs w:val="24"/>
              </w:rPr>
              <w:t>Electric Cost of Service settled for the Company’s next GRC</w:t>
            </w:r>
          </w:p>
          <w:p w:rsidR="00E72576" w:rsidRPr="0063621D" w:rsidRDefault="00E72576" w:rsidP="00374119">
            <w:pPr>
              <w:pStyle w:val="ListParagraph"/>
              <w:numPr>
                <w:ilvl w:val="0"/>
                <w:numId w:val="1"/>
              </w:numPr>
              <w:ind w:left="138" w:hanging="180"/>
              <w:rPr>
                <w:rFonts w:ascii="Times New Roman" w:hAnsi="Times New Roman" w:cs="Times New Roman"/>
                <w:sz w:val="24"/>
                <w:szCs w:val="24"/>
              </w:rPr>
            </w:pPr>
            <w:r w:rsidRPr="0063621D">
              <w:rPr>
                <w:rFonts w:ascii="Times New Roman" w:hAnsi="Times New Roman" w:cs="Times New Roman"/>
                <w:sz w:val="24"/>
                <w:szCs w:val="24"/>
              </w:rPr>
              <w:t>Peak Credit</w:t>
            </w:r>
            <w:r w:rsidR="00387494">
              <w:rPr>
                <w:rFonts w:ascii="Times New Roman" w:hAnsi="Times New Roman" w:cs="Times New Roman"/>
                <w:sz w:val="24"/>
                <w:szCs w:val="24"/>
              </w:rPr>
              <w:t xml:space="preserve"> Methodology</w:t>
            </w:r>
            <w:r w:rsidR="005D7C8E">
              <w:rPr>
                <w:rFonts w:ascii="Times New Roman" w:hAnsi="Times New Roman" w:cs="Times New Roman"/>
                <w:sz w:val="24"/>
                <w:szCs w:val="24"/>
              </w:rPr>
              <w:t xml:space="preserve"> updated:</w:t>
            </w:r>
          </w:p>
          <w:p w:rsidR="00E72576" w:rsidRPr="0063621D" w:rsidRDefault="00E72576" w:rsidP="00374119">
            <w:pPr>
              <w:pStyle w:val="ListParagraph"/>
              <w:numPr>
                <w:ilvl w:val="1"/>
                <w:numId w:val="1"/>
              </w:numPr>
              <w:ind w:left="228" w:hanging="180"/>
              <w:rPr>
                <w:rFonts w:ascii="Times New Roman" w:hAnsi="Times New Roman" w:cs="Times New Roman"/>
                <w:sz w:val="24"/>
                <w:szCs w:val="24"/>
              </w:rPr>
            </w:pPr>
            <w:r w:rsidRPr="0063621D">
              <w:rPr>
                <w:rFonts w:ascii="Times New Roman" w:hAnsi="Times New Roman" w:cs="Times New Roman"/>
                <w:sz w:val="24"/>
                <w:szCs w:val="24"/>
              </w:rPr>
              <w:t>Use 2013 IRP assumptions about fixed costs, O&amp;M, and heat rates.</w:t>
            </w:r>
          </w:p>
          <w:p w:rsidR="00E72576" w:rsidRPr="0063621D" w:rsidRDefault="00E72576" w:rsidP="00374119">
            <w:pPr>
              <w:pStyle w:val="ListParagraph"/>
              <w:numPr>
                <w:ilvl w:val="1"/>
                <w:numId w:val="1"/>
              </w:numPr>
              <w:ind w:left="228" w:hanging="180"/>
              <w:rPr>
                <w:rFonts w:ascii="Times New Roman" w:hAnsi="Times New Roman" w:cs="Times New Roman"/>
                <w:sz w:val="24"/>
                <w:szCs w:val="24"/>
              </w:rPr>
            </w:pPr>
            <w:r w:rsidRPr="0063621D">
              <w:rPr>
                <w:rFonts w:ascii="Times New Roman" w:hAnsi="Times New Roman" w:cs="Times New Roman"/>
                <w:sz w:val="24"/>
                <w:szCs w:val="24"/>
              </w:rPr>
              <w:t>Updated Natural Gas Costs for Peak Credit</w:t>
            </w:r>
          </w:p>
          <w:p w:rsidR="00E72576" w:rsidRPr="0063621D" w:rsidRDefault="00E72576" w:rsidP="00374119">
            <w:pPr>
              <w:pStyle w:val="ListParagraph"/>
              <w:numPr>
                <w:ilvl w:val="1"/>
                <w:numId w:val="1"/>
              </w:numPr>
              <w:ind w:left="228" w:hanging="180"/>
              <w:rPr>
                <w:rFonts w:ascii="Times New Roman" w:hAnsi="Times New Roman" w:cs="Times New Roman"/>
                <w:sz w:val="24"/>
                <w:szCs w:val="24"/>
              </w:rPr>
            </w:pPr>
            <w:r w:rsidRPr="0063621D">
              <w:rPr>
                <w:rFonts w:ascii="Times New Roman" w:hAnsi="Times New Roman" w:cs="Times New Roman"/>
                <w:sz w:val="24"/>
                <w:szCs w:val="24"/>
              </w:rPr>
              <w:t>Updated Carbon Costs</w:t>
            </w:r>
          </w:p>
          <w:p w:rsidR="00E72576" w:rsidRDefault="00E72576" w:rsidP="00374119">
            <w:pPr>
              <w:pStyle w:val="ListParagraph"/>
              <w:numPr>
                <w:ilvl w:val="0"/>
                <w:numId w:val="1"/>
              </w:numPr>
              <w:ind w:left="138" w:hanging="180"/>
              <w:rPr>
                <w:rFonts w:ascii="Times New Roman" w:hAnsi="Times New Roman" w:cs="Times New Roman"/>
                <w:sz w:val="24"/>
                <w:szCs w:val="24"/>
              </w:rPr>
            </w:pPr>
            <w:r w:rsidRPr="0063621D">
              <w:rPr>
                <w:rFonts w:ascii="Times New Roman" w:hAnsi="Times New Roman" w:cs="Times New Roman"/>
                <w:sz w:val="24"/>
                <w:szCs w:val="24"/>
              </w:rPr>
              <w:t>4-CP used for demand related production and transmission</w:t>
            </w:r>
          </w:p>
          <w:p w:rsidR="00CA3FE8" w:rsidRPr="0063621D" w:rsidRDefault="00CA3FE8" w:rsidP="00084FAE">
            <w:pPr>
              <w:pStyle w:val="ListParagraph"/>
              <w:ind w:left="138"/>
              <w:rPr>
                <w:rFonts w:ascii="Times New Roman" w:hAnsi="Times New Roman" w:cs="Times New Roman"/>
                <w:sz w:val="24"/>
                <w:szCs w:val="24"/>
              </w:rPr>
            </w:pPr>
          </w:p>
        </w:tc>
      </w:tr>
      <w:tr w:rsidR="00E72576" w:rsidRPr="0063621D" w:rsidTr="00E72576">
        <w:trPr>
          <w:trHeight w:val="1008"/>
        </w:trPr>
        <w:tc>
          <w:tcPr>
            <w:tcW w:w="3103" w:type="dxa"/>
            <w:vAlign w:val="center"/>
          </w:tcPr>
          <w:p w:rsidR="00E72576" w:rsidRPr="0063621D" w:rsidRDefault="00E72576" w:rsidP="00374119">
            <w:pPr>
              <w:rPr>
                <w:rFonts w:ascii="Times New Roman" w:hAnsi="Times New Roman" w:cs="Times New Roman"/>
                <w:sz w:val="24"/>
                <w:szCs w:val="24"/>
              </w:rPr>
            </w:pPr>
            <w:r w:rsidRPr="0063621D">
              <w:rPr>
                <w:rFonts w:ascii="Times New Roman" w:hAnsi="Times New Roman" w:cs="Times New Roman"/>
                <w:sz w:val="24"/>
                <w:szCs w:val="24"/>
              </w:rPr>
              <w:t>2011 GRC (UE-111048)</w:t>
            </w:r>
          </w:p>
        </w:tc>
        <w:tc>
          <w:tcPr>
            <w:tcW w:w="6527" w:type="dxa"/>
            <w:vAlign w:val="center"/>
          </w:tcPr>
          <w:p w:rsidR="00E72576" w:rsidRPr="00562FBE" w:rsidRDefault="00387494" w:rsidP="00562FBE">
            <w:pPr>
              <w:rPr>
                <w:rFonts w:ascii="Times New Roman" w:hAnsi="Times New Roman" w:cs="Times New Roman"/>
                <w:sz w:val="24"/>
                <w:szCs w:val="24"/>
              </w:rPr>
            </w:pPr>
            <w:r w:rsidRPr="00562FBE">
              <w:rPr>
                <w:rFonts w:ascii="Times New Roman" w:hAnsi="Times New Roman" w:cs="Times New Roman"/>
                <w:i/>
                <w:sz w:val="24"/>
                <w:szCs w:val="24"/>
              </w:rPr>
              <w:t>Multiparty Settlement - No changes to cost of service</w:t>
            </w:r>
            <w:r w:rsidRPr="00562FBE">
              <w:rPr>
                <w:rFonts w:ascii="Times New Roman" w:hAnsi="Times New Roman" w:cs="Times New Roman"/>
                <w:sz w:val="24"/>
                <w:szCs w:val="24"/>
              </w:rPr>
              <w:t xml:space="preserve"> </w:t>
            </w:r>
          </w:p>
        </w:tc>
      </w:tr>
      <w:tr w:rsidR="00E72576" w:rsidRPr="0063621D" w:rsidTr="00E72576">
        <w:trPr>
          <w:trHeight w:val="1008"/>
        </w:trPr>
        <w:tc>
          <w:tcPr>
            <w:tcW w:w="3103" w:type="dxa"/>
            <w:vAlign w:val="center"/>
          </w:tcPr>
          <w:p w:rsidR="00E72576" w:rsidRPr="0063621D" w:rsidRDefault="00E72576" w:rsidP="00374119">
            <w:pPr>
              <w:rPr>
                <w:rFonts w:ascii="Times New Roman" w:hAnsi="Times New Roman" w:cs="Times New Roman"/>
                <w:sz w:val="24"/>
                <w:szCs w:val="24"/>
              </w:rPr>
            </w:pPr>
            <w:r w:rsidRPr="0063621D">
              <w:rPr>
                <w:rFonts w:ascii="Times New Roman" w:hAnsi="Times New Roman" w:cs="Times New Roman"/>
                <w:sz w:val="24"/>
                <w:szCs w:val="24"/>
              </w:rPr>
              <w:t>2010 Gas Only Case (UG-101644)</w:t>
            </w:r>
          </w:p>
        </w:tc>
        <w:tc>
          <w:tcPr>
            <w:tcW w:w="6527" w:type="dxa"/>
            <w:vAlign w:val="center"/>
          </w:tcPr>
          <w:p w:rsidR="00E72576" w:rsidRPr="00562FBE" w:rsidRDefault="00E72576" w:rsidP="00562FBE">
            <w:pPr>
              <w:rPr>
                <w:rFonts w:ascii="Times New Roman" w:hAnsi="Times New Roman" w:cs="Times New Roman"/>
                <w:i/>
                <w:sz w:val="24"/>
                <w:szCs w:val="24"/>
              </w:rPr>
            </w:pPr>
            <w:r w:rsidRPr="00562FBE">
              <w:rPr>
                <w:rFonts w:ascii="Times New Roman" w:hAnsi="Times New Roman" w:cs="Times New Roman"/>
                <w:i/>
                <w:sz w:val="24"/>
                <w:szCs w:val="24"/>
              </w:rPr>
              <w:t>N/A</w:t>
            </w:r>
          </w:p>
        </w:tc>
      </w:tr>
      <w:tr w:rsidR="00E72576" w:rsidRPr="0063621D" w:rsidTr="00E72576">
        <w:trPr>
          <w:trHeight w:val="1008"/>
        </w:trPr>
        <w:tc>
          <w:tcPr>
            <w:tcW w:w="3103" w:type="dxa"/>
            <w:vAlign w:val="center"/>
          </w:tcPr>
          <w:p w:rsidR="00E72576" w:rsidRPr="00387494" w:rsidRDefault="004F04CD" w:rsidP="004F04CD">
            <w:pPr>
              <w:rPr>
                <w:rFonts w:ascii="Times New Roman" w:hAnsi="Times New Roman" w:cs="Times New Roman"/>
                <w:sz w:val="24"/>
                <w:szCs w:val="24"/>
              </w:rPr>
            </w:pPr>
            <w:r>
              <w:rPr>
                <w:rFonts w:ascii="Times New Roman" w:hAnsi="Times New Roman" w:cs="Times New Roman"/>
                <w:sz w:val="24"/>
                <w:szCs w:val="24"/>
              </w:rPr>
              <w:t xml:space="preserve">2009 </w:t>
            </w:r>
            <w:r w:rsidR="00E72576" w:rsidRPr="00387494">
              <w:rPr>
                <w:rFonts w:ascii="Times New Roman" w:hAnsi="Times New Roman" w:cs="Times New Roman"/>
                <w:sz w:val="24"/>
                <w:szCs w:val="24"/>
              </w:rPr>
              <w:t>(UE-090704)</w:t>
            </w:r>
          </w:p>
        </w:tc>
        <w:tc>
          <w:tcPr>
            <w:tcW w:w="6527" w:type="dxa"/>
            <w:vAlign w:val="center"/>
          </w:tcPr>
          <w:p w:rsidR="00387494" w:rsidRPr="00562FBE" w:rsidRDefault="00562FBE" w:rsidP="00562FBE">
            <w:pPr>
              <w:rPr>
                <w:rFonts w:ascii="Times New Roman" w:hAnsi="Times New Roman" w:cs="Times New Roman"/>
                <w:i/>
                <w:sz w:val="24"/>
                <w:szCs w:val="24"/>
              </w:rPr>
            </w:pPr>
            <w:r w:rsidRPr="00562FBE">
              <w:rPr>
                <w:rFonts w:ascii="Times New Roman" w:hAnsi="Times New Roman" w:cs="Times New Roman"/>
                <w:i/>
                <w:sz w:val="24"/>
                <w:szCs w:val="24"/>
              </w:rPr>
              <w:t>Multiparty Settlement - No changes to cost of service</w:t>
            </w:r>
          </w:p>
          <w:p w:rsidR="00562FBE" w:rsidRDefault="00562FBE" w:rsidP="00387494">
            <w:pPr>
              <w:pStyle w:val="ListParagraph"/>
              <w:ind w:left="138"/>
              <w:rPr>
                <w:rFonts w:ascii="Times New Roman" w:hAnsi="Times New Roman" w:cs="Times New Roman"/>
                <w:sz w:val="24"/>
                <w:szCs w:val="24"/>
              </w:rPr>
            </w:pPr>
          </w:p>
          <w:p w:rsidR="00E72576" w:rsidRPr="0063621D" w:rsidRDefault="00E72576" w:rsidP="00374119">
            <w:pPr>
              <w:pStyle w:val="ListParagraph"/>
              <w:numPr>
                <w:ilvl w:val="0"/>
                <w:numId w:val="1"/>
              </w:numPr>
              <w:ind w:left="138" w:hanging="180"/>
              <w:rPr>
                <w:rFonts w:ascii="Times New Roman" w:hAnsi="Times New Roman" w:cs="Times New Roman"/>
                <w:sz w:val="24"/>
                <w:szCs w:val="24"/>
              </w:rPr>
            </w:pPr>
            <w:r w:rsidRPr="0063621D">
              <w:rPr>
                <w:rFonts w:ascii="Times New Roman" w:hAnsi="Times New Roman" w:cs="Times New Roman"/>
                <w:sz w:val="24"/>
                <w:szCs w:val="24"/>
              </w:rPr>
              <w:t>C</w:t>
            </w:r>
            <w:r w:rsidR="006F204E">
              <w:rPr>
                <w:rFonts w:ascii="Times New Roman" w:hAnsi="Times New Roman" w:cs="Times New Roman"/>
                <w:sz w:val="24"/>
                <w:szCs w:val="24"/>
              </w:rPr>
              <w:t>ompany proposals are not adopted</w:t>
            </w:r>
            <w:r w:rsidRPr="0063621D">
              <w:rPr>
                <w:rFonts w:ascii="Times New Roman" w:hAnsi="Times New Roman" w:cs="Times New Roman"/>
                <w:sz w:val="24"/>
                <w:szCs w:val="24"/>
              </w:rPr>
              <w:t xml:space="preserve">: </w:t>
            </w:r>
          </w:p>
          <w:p w:rsidR="00387494" w:rsidRDefault="00387494" w:rsidP="00387494">
            <w:pPr>
              <w:pStyle w:val="ListParagraph"/>
              <w:numPr>
                <w:ilvl w:val="1"/>
                <w:numId w:val="1"/>
              </w:numPr>
              <w:ind w:left="228" w:hanging="180"/>
              <w:rPr>
                <w:rFonts w:ascii="Times New Roman" w:hAnsi="Times New Roman" w:cs="Times New Roman"/>
                <w:sz w:val="24"/>
                <w:szCs w:val="24"/>
              </w:rPr>
            </w:pPr>
            <w:r>
              <w:rPr>
                <w:rFonts w:ascii="Times New Roman" w:hAnsi="Times New Roman" w:cs="Times New Roman"/>
                <w:sz w:val="24"/>
                <w:szCs w:val="24"/>
              </w:rPr>
              <w:t>E</w:t>
            </w:r>
            <w:r w:rsidRPr="0063621D">
              <w:rPr>
                <w:rFonts w:ascii="Times New Roman" w:hAnsi="Times New Roman" w:cs="Times New Roman"/>
                <w:sz w:val="24"/>
                <w:szCs w:val="24"/>
              </w:rPr>
              <w:t>missions costs</w:t>
            </w:r>
            <w:r>
              <w:rPr>
                <w:rFonts w:ascii="Times New Roman" w:hAnsi="Times New Roman" w:cs="Times New Roman"/>
                <w:sz w:val="24"/>
                <w:szCs w:val="24"/>
              </w:rPr>
              <w:t xml:space="preserve"> included in </w:t>
            </w:r>
            <w:r w:rsidRPr="00387494">
              <w:rPr>
                <w:rFonts w:ascii="Times New Roman" w:hAnsi="Times New Roman" w:cs="Times New Roman"/>
                <w:sz w:val="24"/>
                <w:szCs w:val="24"/>
              </w:rPr>
              <w:t xml:space="preserve">Peak credit calculation </w:t>
            </w:r>
          </w:p>
          <w:p w:rsidR="00E72576" w:rsidRPr="00387494" w:rsidRDefault="00E72576" w:rsidP="00387494">
            <w:pPr>
              <w:pStyle w:val="ListParagraph"/>
              <w:numPr>
                <w:ilvl w:val="1"/>
                <w:numId w:val="1"/>
              </w:numPr>
              <w:ind w:left="228" w:hanging="180"/>
              <w:rPr>
                <w:rFonts w:ascii="Times New Roman" w:hAnsi="Times New Roman" w:cs="Times New Roman"/>
                <w:sz w:val="24"/>
                <w:szCs w:val="24"/>
              </w:rPr>
            </w:pPr>
            <w:r w:rsidRPr="00387494">
              <w:rPr>
                <w:rFonts w:ascii="Times New Roman" w:hAnsi="Times New Roman" w:cs="Times New Roman"/>
                <w:sz w:val="24"/>
                <w:szCs w:val="24"/>
              </w:rPr>
              <w:t>Eliminate fuel and variable O&amp;M costs</w:t>
            </w:r>
          </w:p>
          <w:p w:rsidR="00E72576" w:rsidRDefault="00E72576" w:rsidP="00374119">
            <w:pPr>
              <w:pStyle w:val="ListParagraph"/>
              <w:numPr>
                <w:ilvl w:val="1"/>
                <w:numId w:val="1"/>
              </w:numPr>
              <w:ind w:left="228" w:hanging="180"/>
              <w:rPr>
                <w:rFonts w:ascii="Times New Roman" w:hAnsi="Times New Roman" w:cs="Times New Roman"/>
                <w:sz w:val="24"/>
                <w:szCs w:val="24"/>
              </w:rPr>
            </w:pPr>
            <w:r w:rsidRPr="0063621D">
              <w:rPr>
                <w:rFonts w:ascii="Times New Roman" w:hAnsi="Times New Roman" w:cs="Times New Roman"/>
                <w:sz w:val="24"/>
                <w:szCs w:val="24"/>
              </w:rPr>
              <w:t xml:space="preserve">Apply reserve requirement to baseload resource.  </w:t>
            </w:r>
          </w:p>
          <w:p w:rsidR="00CA3FE8" w:rsidRPr="00CA3FE8" w:rsidRDefault="00CA3FE8" w:rsidP="00CA3FE8">
            <w:pPr>
              <w:ind w:left="48"/>
              <w:rPr>
                <w:rFonts w:ascii="Times New Roman" w:hAnsi="Times New Roman" w:cs="Times New Roman"/>
                <w:sz w:val="24"/>
                <w:szCs w:val="24"/>
              </w:rPr>
            </w:pPr>
          </w:p>
        </w:tc>
      </w:tr>
      <w:tr w:rsidR="00E72576" w:rsidRPr="0063621D" w:rsidTr="00E72576">
        <w:trPr>
          <w:trHeight w:val="1008"/>
        </w:trPr>
        <w:tc>
          <w:tcPr>
            <w:tcW w:w="3103" w:type="dxa"/>
            <w:vAlign w:val="center"/>
          </w:tcPr>
          <w:p w:rsidR="00E72576" w:rsidRPr="0063621D" w:rsidRDefault="00E72576" w:rsidP="00374119">
            <w:pPr>
              <w:rPr>
                <w:rFonts w:ascii="Times New Roman" w:hAnsi="Times New Roman" w:cs="Times New Roman"/>
                <w:sz w:val="24"/>
                <w:szCs w:val="24"/>
              </w:rPr>
            </w:pPr>
            <w:r w:rsidRPr="0063621D">
              <w:rPr>
                <w:rFonts w:ascii="Times New Roman" w:hAnsi="Times New Roman" w:cs="Times New Roman"/>
                <w:sz w:val="24"/>
                <w:szCs w:val="24"/>
              </w:rPr>
              <w:t>2008 Natural Gas Collaborative</w:t>
            </w:r>
          </w:p>
        </w:tc>
        <w:tc>
          <w:tcPr>
            <w:tcW w:w="6527" w:type="dxa"/>
            <w:vAlign w:val="center"/>
          </w:tcPr>
          <w:p w:rsidR="00E72576" w:rsidRPr="0063621D" w:rsidRDefault="00E72576" w:rsidP="00374119">
            <w:pPr>
              <w:pStyle w:val="ListParagraph"/>
              <w:ind w:left="138"/>
              <w:rPr>
                <w:rFonts w:ascii="Times New Roman" w:hAnsi="Times New Roman" w:cs="Times New Roman"/>
                <w:sz w:val="24"/>
                <w:szCs w:val="24"/>
              </w:rPr>
            </w:pPr>
            <w:r w:rsidRPr="0063621D">
              <w:rPr>
                <w:rFonts w:ascii="Times New Roman" w:hAnsi="Times New Roman" w:cs="Times New Roman"/>
                <w:sz w:val="24"/>
                <w:szCs w:val="24"/>
              </w:rPr>
              <w:t>N/A</w:t>
            </w:r>
          </w:p>
        </w:tc>
      </w:tr>
      <w:tr w:rsidR="00E72576" w:rsidRPr="0063621D" w:rsidTr="00E72576">
        <w:trPr>
          <w:cantSplit/>
          <w:trHeight w:val="1008"/>
        </w:trPr>
        <w:tc>
          <w:tcPr>
            <w:tcW w:w="3103" w:type="dxa"/>
            <w:vAlign w:val="center"/>
          </w:tcPr>
          <w:p w:rsidR="00E72576" w:rsidRPr="0063621D" w:rsidRDefault="00E72576" w:rsidP="00374119">
            <w:pPr>
              <w:rPr>
                <w:rFonts w:ascii="Times New Roman" w:hAnsi="Times New Roman" w:cs="Times New Roman"/>
                <w:sz w:val="24"/>
                <w:szCs w:val="24"/>
              </w:rPr>
            </w:pPr>
            <w:r w:rsidRPr="0063621D">
              <w:rPr>
                <w:rFonts w:ascii="Times New Roman" w:hAnsi="Times New Roman" w:cs="Times New Roman"/>
                <w:sz w:val="24"/>
                <w:szCs w:val="24"/>
              </w:rPr>
              <w:t>2007 GRC (UE-072300)</w:t>
            </w:r>
          </w:p>
        </w:tc>
        <w:tc>
          <w:tcPr>
            <w:tcW w:w="6527" w:type="dxa"/>
            <w:vAlign w:val="center"/>
          </w:tcPr>
          <w:p w:rsidR="00E72576" w:rsidRPr="00562FBE" w:rsidRDefault="0040032E" w:rsidP="00562FBE">
            <w:pPr>
              <w:rPr>
                <w:rFonts w:ascii="Times New Roman" w:hAnsi="Times New Roman" w:cs="Times New Roman"/>
                <w:sz w:val="24"/>
                <w:szCs w:val="24"/>
              </w:rPr>
            </w:pPr>
            <w:r w:rsidRPr="00562FBE">
              <w:rPr>
                <w:rFonts w:ascii="Times New Roman" w:hAnsi="Times New Roman" w:cs="Times New Roman"/>
                <w:i/>
                <w:sz w:val="24"/>
                <w:szCs w:val="24"/>
              </w:rPr>
              <w:t>Multiparty Settlement - No changes to cost of service</w:t>
            </w:r>
          </w:p>
        </w:tc>
      </w:tr>
      <w:tr w:rsidR="00E72576" w:rsidRPr="0063621D" w:rsidTr="00102021">
        <w:trPr>
          <w:cantSplit/>
          <w:trHeight w:val="1008"/>
        </w:trPr>
        <w:tc>
          <w:tcPr>
            <w:tcW w:w="3103" w:type="dxa"/>
            <w:vAlign w:val="center"/>
          </w:tcPr>
          <w:p w:rsidR="00E72576" w:rsidRPr="0063621D" w:rsidRDefault="00E72576" w:rsidP="00374119">
            <w:pPr>
              <w:rPr>
                <w:rFonts w:ascii="Times New Roman" w:hAnsi="Times New Roman" w:cs="Times New Roman"/>
                <w:sz w:val="24"/>
                <w:szCs w:val="24"/>
              </w:rPr>
            </w:pPr>
            <w:r w:rsidRPr="0063621D">
              <w:rPr>
                <w:rFonts w:ascii="Times New Roman" w:hAnsi="Times New Roman" w:cs="Times New Roman"/>
                <w:sz w:val="24"/>
                <w:szCs w:val="24"/>
              </w:rPr>
              <w:lastRenderedPageBreak/>
              <w:t>2006 GRC (UE-060266)</w:t>
            </w:r>
          </w:p>
        </w:tc>
        <w:tc>
          <w:tcPr>
            <w:tcW w:w="6527" w:type="dxa"/>
            <w:vAlign w:val="center"/>
          </w:tcPr>
          <w:p w:rsidR="00562FBE" w:rsidRDefault="00562FBE" w:rsidP="0040032E">
            <w:pPr>
              <w:rPr>
                <w:rFonts w:ascii="Times New Roman" w:hAnsi="Times New Roman" w:cs="Times New Roman"/>
                <w:sz w:val="24"/>
                <w:szCs w:val="24"/>
              </w:rPr>
            </w:pPr>
            <w:r>
              <w:rPr>
                <w:rFonts w:ascii="Times New Roman" w:hAnsi="Times New Roman" w:cs="Times New Roman"/>
                <w:i/>
                <w:sz w:val="24"/>
                <w:szCs w:val="24"/>
              </w:rPr>
              <w:t>Multiparty Settlement</w:t>
            </w:r>
          </w:p>
          <w:p w:rsidR="00562FBE" w:rsidRPr="0040032E" w:rsidRDefault="00562FBE" w:rsidP="0040032E">
            <w:pPr>
              <w:rPr>
                <w:rFonts w:ascii="Times New Roman" w:hAnsi="Times New Roman" w:cs="Times New Roman"/>
                <w:sz w:val="24"/>
                <w:szCs w:val="24"/>
              </w:rPr>
            </w:pPr>
          </w:p>
          <w:p w:rsidR="00D37C94" w:rsidRDefault="00E72576" w:rsidP="00D37C94">
            <w:pPr>
              <w:pStyle w:val="ListParagraph"/>
              <w:numPr>
                <w:ilvl w:val="0"/>
                <w:numId w:val="1"/>
              </w:numPr>
              <w:ind w:left="138" w:hanging="180"/>
              <w:rPr>
                <w:rFonts w:ascii="Times New Roman" w:hAnsi="Times New Roman" w:cs="Times New Roman"/>
                <w:sz w:val="24"/>
                <w:szCs w:val="24"/>
              </w:rPr>
            </w:pPr>
            <w:r w:rsidRPr="0063621D">
              <w:rPr>
                <w:rFonts w:ascii="Times New Roman" w:hAnsi="Times New Roman" w:cs="Times New Roman"/>
                <w:sz w:val="24"/>
                <w:szCs w:val="24"/>
              </w:rPr>
              <w:t>Company switches to Navigant Cost of Service Model for Electric COS</w:t>
            </w:r>
          </w:p>
          <w:p w:rsidR="00E72576" w:rsidRPr="00D37C94" w:rsidRDefault="00E72576" w:rsidP="00D37C94">
            <w:pPr>
              <w:pStyle w:val="ListParagraph"/>
              <w:ind w:left="138"/>
              <w:rPr>
                <w:rFonts w:ascii="Times New Roman" w:hAnsi="Times New Roman" w:cs="Times New Roman"/>
                <w:sz w:val="24"/>
                <w:szCs w:val="24"/>
              </w:rPr>
            </w:pPr>
            <w:r w:rsidRPr="00D37C94">
              <w:rPr>
                <w:rFonts w:ascii="Times New Roman" w:hAnsi="Times New Roman" w:cs="Times New Roman"/>
                <w:sz w:val="24"/>
                <w:szCs w:val="24"/>
              </w:rPr>
              <w:t xml:space="preserve"> </w:t>
            </w:r>
          </w:p>
        </w:tc>
      </w:tr>
      <w:tr w:rsidR="00E72576" w:rsidRPr="0063621D" w:rsidTr="00E72576">
        <w:trPr>
          <w:trHeight w:val="1008"/>
        </w:trPr>
        <w:tc>
          <w:tcPr>
            <w:tcW w:w="3103" w:type="dxa"/>
            <w:vAlign w:val="center"/>
          </w:tcPr>
          <w:p w:rsidR="00E72576" w:rsidRPr="0063621D" w:rsidRDefault="00E72576" w:rsidP="00374119">
            <w:pPr>
              <w:rPr>
                <w:rFonts w:ascii="Times New Roman" w:hAnsi="Times New Roman" w:cs="Times New Roman"/>
                <w:sz w:val="24"/>
                <w:szCs w:val="24"/>
              </w:rPr>
            </w:pPr>
            <w:r w:rsidRPr="0063621D">
              <w:rPr>
                <w:rFonts w:ascii="Times New Roman" w:hAnsi="Times New Roman" w:cs="Times New Roman"/>
                <w:sz w:val="24"/>
                <w:szCs w:val="24"/>
              </w:rPr>
              <w:t>2004 GRC (UE-040641)</w:t>
            </w:r>
          </w:p>
        </w:tc>
        <w:tc>
          <w:tcPr>
            <w:tcW w:w="6527" w:type="dxa"/>
            <w:vAlign w:val="center"/>
          </w:tcPr>
          <w:p w:rsidR="0040032E" w:rsidRPr="00562FBE" w:rsidRDefault="00562FBE" w:rsidP="00562FBE">
            <w:pPr>
              <w:rPr>
                <w:rFonts w:ascii="Times New Roman" w:hAnsi="Times New Roman" w:cs="Times New Roman"/>
                <w:sz w:val="24"/>
                <w:szCs w:val="24"/>
              </w:rPr>
            </w:pPr>
            <w:r w:rsidRPr="00562FBE">
              <w:rPr>
                <w:rFonts w:ascii="Times New Roman" w:hAnsi="Times New Roman" w:cs="Times New Roman"/>
                <w:i/>
                <w:sz w:val="24"/>
                <w:szCs w:val="24"/>
              </w:rPr>
              <w:t>Multiparty Settlement - No changes to cost of service</w:t>
            </w:r>
            <w:r w:rsidRPr="00562FBE">
              <w:rPr>
                <w:rFonts w:ascii="Times New Roman" w:hAnsi="Times New Roman" w:cs="Times New Roman"/>
                <w:sz w:val="24"/>
                <w:szCs w:val="24"/>
              </w:rPr>
              <w:t xml:space="preserve"> </w:t>
            </w:r>
          </w:p>
          <w:p w:rsidR="00562FBE" w:rsidRDefault="00562FBE" w:rsidP="0040032E">
            <w:pPr>
              <w:pStyle w:val="ListParagraph"/>
              <w:ind w:left="138"/>
              <w:rPr>
                <w:rFonts w:ascii="Times New Roman" w:hAnsi="Times New Roman" w:cs="Times New Roman"/>
                <w:sz w:val="24"/>
                <w:szCs w:val="24"/>
              </w:rPr>
            </w:pPr>
          </w:p>
          <w:p w:rsidR="00E72576" w:rsidRPr="0063621D" w:rsidRDefault="00625D0E" w:rsidP="00374119">
            <w:pPr>
              <w:pStyle w:val="ListParagraph"/>
              <w:numPr>
                <w:ilvl w:val="0"/>
                <w:numId w:val="1"/>
              </w:numPr>
              <w:ind w:left="138" w:hanging="180"/>
              <w:rPr>
                <w:rFonts w:ascii="Times New Roman" w:hAnsi="Times New Roman" w:cs="Times New Roman"/>
                <w:sz w:val="24"/>
                <w:szCs w:val="24"/>
              </w:rPr>
            </w:pPr>
            <w:r>
              <w:rPr>
                <w:rFonts w:ascii="Times New Roman" w:hAnsi="Times New Roman" w:cs="Times New Roman"/>
                <w:sz w:val="24"/>
                <w:szCs w:val="24"/>
              </w:rPr>
              <w:t>Company</w:t>
            </w:r>
            <w:r w:rsidR="006F204E">
              <w:rPr>
                <w:rFonts w:ascii="Times New Roman" w:hAnsi="Times New Roman" w:cs="Times New Roman"/>
                <w:sz w:val="24"/>
                <w:szCs w:val="24"/>
              </w:rPr>
              <w:t xml:space="preserve"> proposals are not adopted</w:t>
            </w:r>
            <w:r w:rsidR="00E72576" w:rsidRPr="0063621D">
              <w:rPr>
                <w:rFonts w:ascii="Times New Roman" w:hAnsi="Times New Roman" w:cs="Times New Roman"/>
                <w:sz w:val="24"/>
                <w:szCs w:val="24"/>
              </w:rPr>
              <w:t>:</w:t>
            </w:r>
          </w:p>
          <w:p w:rsidR="00E72576" w:rsidRPr="0063621D" w:rsidRDefault="00E72576" w:rsidP="00374119">
            <w:pPr>
              <w:pStyle w:val="ListParagraph"/>
              <w:numPr>
                <w:ilvl w:val="1"/>
                <w:numId w:val="1"/>
              </w:numPr>
              <w:ind w:left="228" w:hanging="180"/>
              <w:rPr>
                <w:rFonts w:ascii="Times New Roman" w:hAnsi="Times New Roman" w:cs="Times New Roman"/>
                <w:sz w:val="24"/>
                <w:szCs w:val="24"/>
              </w:rPr>
            </w:pPr>
            <w:r w:rsidRPr="0063621D">
              <w:rPr>
                <w:rFonts w:ascii="Times New Roman" w:hAnsi="Times New Roman" w:cs="Times New Roman"/>
                <w:sz w:val="24"/>
                <w:szCs w:val="24"/>
              </w:rPr>
              <w:t xml:space="preserve">Weather adjusted billing determinants </w:t>
            </w:r>
          </w:p>
          <w:p w:rsidR="00E72576" w:rsidRPr="0063621D" w:rsidRDefault="00E72576" w:rsidP="00374119">
            <w:pPr>
              <w:pStyle w:val="ListParagraph"/>
              <w:numPr>
                <w:ilvl w:val="1"/>
                <w:numId w:val="1"/>
              </w:numPr>
              <w:ind w:left="228" w:hanging="180"/>
              <w:rPr>
                <w:rFonts w:ascii="Times New Roman" w:hAnsi="Times New Roman" w:cs="Times New Roman"/>
                <w:sz w:val="24"/>
                <w:szCs w:val="24"/>
              </w:rPr>
            </w:pPr>
            <w:r w:rsidRPr="0063621D">
              <w:rPr>
                <w:rFonts w:ascii="Times New Roman" w:hAnsi="Times New Roman" w:cs="Times New Roman"/>
                <w:sz w:val="24"/>
                <w:szCs w:val="24"/>
              </w:rPr>
              <w:t>Line transformers directly assigned where possible, allocated based on contribution to total cost where not</w:t>
            </w:r>
          </w:p>
          <w:p w:rsidR="00E72576" w:rsidRPr="0063621D" w:rsidRDefault="00E72576" w:rsidP="00374119">
            <w:pPr>
              <w:pStyle w:val="ListParagraph"/>
              <w:numPr>
                <w:ilvl w:val="1"/>
                <w:numId w:val="1"/>
              </w:numPr>
              <w:ind w:left="228" w:hanging="180"/>
              <w:rPr>
                <w:rFonts w:ascii="Times New Roman" w:hAnsi="Times New Roman" w:cs="Times New Roman"/>
                <w:sz w:val="24"/>
                <w:szCs w:val="24"/>
              </w:rPr>
            </w:pPr>
            <w:r w:rsidRPr="0063621D">
              <w:rPr>
                <w:rFonts w:ascii="Times New Roman" w:hAnsi="Times New Roman" w:cs="Times New Roman"/>
                <w:sz w:val="24"/>
                <w:szCs w:val="24"/>
              </w:rPr>
              <w:t xml:space="preserve">Circuits and substations assigned by on class contribution to feeder/substation peak and length.  </w:t>
            </w:r>
          </w:p>
          <w:p w:rsidR="00E72576" w:rsidRDefault="00E72576" w:rsidP="00374119">
            <w:pPr>
              <w:pStyle w:val="ListParagraph"/>
              <w:numPr>
                <w:ilvl w:val="1"/>
                <w:numId w:val="1"/>
              </w:numPr>
              <w:ind w:left="228" w:hanging="180"/>
              <w:rPr>
                <w:rFonts w:ascii="Times New Roman" w:hAnsi="Times New Roman" w:cs="Times New Roman"/>
                <w:sz w:val="24"/>
                <w:szCs w:val="24"/>
              </w:rPr>
            </w:pPr>
            <w:r w:rsidRPr="0063621D">
              <w:rPr>
                <w:rFonts w:ascii="Times New Roman" w:hAnsi="Times New Roman" w:cs="Times New Roman"/>
                <w:sz w:val="24"/>
                <w:szCs w:val="24"/>
              </w:rPr>
              <w:t xml:space="preserve">Includes 50 percent of O&amp;M related to peaking resource.  </w:t>
            </w:r>
          </w:p>
          <w:p w:rsidR="00CA3FE8" w:rsidRPr="00CA3FE8" w:rsidRDefault="00CA3FE8" w:rsidP="00CA3FE8">
            <w:pPr>
              <w:ind w:left="48"/>
              <w:rPr>
                <w:rFonts w:ascii="Times New Roman" w:hAnsi="Times New Roman" w:cs="Times New Roman"/>
                <w:sz w:val="24"/>
                <w:szCs w:val="24"/>
              </w:rPr>
            </w:pPr>
          </w:p>
        </w:tc>
      </w:tr>
      <w:tr w:rsidR="00E72576" w:rsidRPr="0063621D" w:rsidTr="00E72576">
        <w:trPr>
          <w:trHeight w:val="1008"/>
        </w:trPr>
        <w:tc>
          <w:tcPr>
            <w:tcW w:w="3103" w:type="dxa"/>
            <w:vAlign w:val="center"/>
          </w:tcPr>
          <w:p w:rsidR="00E72576" w:rsidRPr="0063621D" w:rsidRDefault="00E72576" w:rsidP="00374119">
            <w:pPr>
              <w:rPr>
                <w:rFonts w:ascii="Times New Roman" w:hAnsi="Times New Roman" w:cs="Times New Roman"/>
                <w:sz w:val="24"/>
                <w:szCs w:val="24"/>
              </w:rPr>
            </w:pPr>
            <w:r w:rsidRPr="0063621D">
              <w:rPr>
                <w:rFonts w:ascii="Times New Roman" w:hAnsi="Times New Roman" w:cs="Times New Roman"/>
                <w:sz w:val="24"/>
                <w:szCs w:val="24"/>
              </w:rPr>
              <w:t>2001 GRC (UE-011570)</w:t>
            </w:r>
          </w:p>
        </w:tc>
        <w:tc>
          <w:tcPr>
            <w:tcW w:w="6527" w:type="dxa"/>
            <w:vAlign w:val="center"/>
          </w:tcPr>
          <w:p w:rsidR="00625D0E" w:rsidRPr="00562FBE" w:rsidRDefault="00625D0E" w:rsidP="00562FBE">
            <w:pPr>
              <w:rPr>
                <w:rFonts w:ascii="Times New Roman" w:hAnsi="Times New Roman" w:cs="Times New Roman"/>
                <w:i/>
                <w:sz w:val="24"/>
                <w:szCs w:val="24"/>
              </w:rPr>
            </w:pPr>
            <w:r w:rsidRPr="00562FBE">
              <w:rPr>
                <w:rFonts w:ascii="Times New Roman" w:hAnsi="Times New Roman" w:cs="Times New Roman"/>
                <w:i/>
                <w:sz w:val="24"/>
                <w:szCs w:val="24"/>
              </w:rPr>
              <w:t>Multi Party Settlement</w:t>
            </w:r>
          </w:p>
          <w:p w:rsidR="00625D0E" w:rsidRPr="00625D0E" w:rsidRDefault="00625D0E" w:rsidP="00625D0E">
            <w:pPr>
              <w:pStyle w:val="ListParagraph"/>
              <w:ind w:left="138"/>
              <w:rPr>
                <w:rFonts w:ascii="Times New Roman" w:hAnsi="Times New Roman" w:cs="Times New Roman"/>
                <w:sz w:val="24"/>
                <w:szCs w:val="24"/>
              </w:rPr>
            </w:pPr>
          </w:p>
          <w:p w:rsidR="00E72576" w:rsidRPr="0063621D" w:rsidRDefault="00E72576" w:rsidP="00374119">
            <w:pPr>
              <w:pStyle w:val="ListParagraph"/>
              <w:numPr>
                <w:ilvl w:val="0"/>
                <w:numId w:val="1"/>
              </w:numPr>
              <w:ind w:left="138" w:hanging="180"/>
              <w:rPr>
                <w:rFonts w:ascii="Times New Roman" w:hAnsi="Times New Roman" w:cs="Times New Roman"/>
                <w:sz w:val="24"/>
                <w:szCs w:val="24"/>
              </w:rPr>
            </w:pPr>
            <w:r w:rsidRPr="0063621D">
              <w:rPr>
                <w:rFonts w:ascii="Times New Roman" w:hAnsi="Times New Roman" w:cs="Times New Roman"/>
                <w:sz w:val="24"/>
                <w:szCs w:val="24"/>
              </w:rPr>
              <w:t>New class created for large load retail customers to Wheel electricity.</w:t>
            </w:r>
          </w:p>
          <w:p w:rsidR="00E72576" w:rsidRPr="0063621D" w:rsidRDefault="00E72576" w:rsidP="00374119">
            <w:pPr>
              <w:pStyle w:val="ListParagraph"/>
              <w:numPr>
                <w:ilvl w:val="0"/>
                <w:numId w:val="1"/>
              </w:numPr>
              <w:ind w:left="138" w:hanging="180"/>
              <w:rPr>
                <w:rFonts w:ascii="Times New Roman" w:hAnsi="Times New Roman" w:cs="Times New Roman"/>
                <w:sz w:val="24"/>
                <w:szCs w:val="24"/>
              </w:rPr>
            </w:pPr>
            <w:r w:rsidRPr="0063621D">
              <w:rPr>
                <w:rFonts w:ascii="Times New Roman" w:hAnsi="Times New Roman" w:cs="Times New Roman"/>
                <w:sz w:val="24"/>
                <w:szCs w:val="24"/>
              </w:rPr>
              <w:t xml:space="preserve">Weather normalized billing determinants  </w:t>
            </w:r>
          </w:p>
          <w:p w:rsidR="00E72576" w:rsidRPr="0063621D" w:rsidRDefault="00E72576" w:rsidP="00374119">
            <w:pPr>
              <w:pStyle w:val="ListParagraph"/>
              <w:numPr>
                <w:ilvl w:val="0"/>
                <w:numId w:val="1"/>
              </w:numPr>
              <w:ind w:left="138" w:hanging="180"/>
              <w:rPr>
                <w:rFonts w:ascii="Times New Roman" w:hAnsi="Times New Roman" w:cs="Times New Roman"/>
                <w:sz w:val="24"/>
                <w:szCs w:val="24"/>
              </w:rPr>
            </w:pPr>
            <w:r w:rsidRPr="0063621D">
              <w:rPr>
                <w:rFonts w:ascii="Times New Roman" w:hAnsi="Times New Roman" w:cs="Times New Roman"/>
                <w:sz w:val="24"/>
                <w:szCs w:val="24"/>
              </w:rPr>
              <w:t xml:space="preserve">Transmission system separated into generation related transmission and transmission that delivers power to customers.  </w:t>
            </w:r>
          </w:p>
          <w:p w:rsidR="00E72576" w:rsidRPr="0063621D" w:rsidRDefault="00E72576" w:rsidP="00374119">
            <w:pPr>
              <w:pStyle w:val="ListParagraph"/>
              <w:numPr>
                <w:ilvl w:val="0"/>
                <w:numId w:val="1"/>
              </w:numPr>
              <w:ind w:left="138" w:hanging="180"/>
              <w:rPr>
                <w:rFonts w:ascii="Times New Roman" w:hAnsi="Times New Roman" w:cs="Times New Roman"/>
                <w:sz w:val="24"/>
                <w:szCs w:val="24"/>
              </w:rPr>
            </w:pPr>
            <w:r w:rsidRPr="0063621D">
              <w:rPr>
                <w:rFonts w:ascii="Times New Roman" w:hAnsi="Times New Roman" w:cs="Times New Roman"/>
                <w:sz w:val="24"/>
                <w:szCs w:val="24"/>
              </w:rPr>
              <w:t>Meters directly assigned where possible, allocated based on contribution to total cost where not</w:t>
            </w:r>
          </w:p>
          <w:p w:rsidR="00E72576" w:rsidRPr="0063621D" w:rsidRDefault="00E72576" w:rsidP="00374119">
            <w:pPr>
              <w:pStyle w:val="ListParagraph"/>
              <w:numPr>
                <w:ilvl w:val="0"/>
                <w:numId w:val="1"/>
              </w:numPr>
              <w:ind w:left="138" w:hanging="180"/>
              <w:rPr>
                <w:rFonts w:ascii="Times New Roman" w:hAnsi="Times New Roman" w:cs="Times New Roman"/>
                <w:sz w:val="24"/>
                <w:szCs w:val="24"/>
              </w:rPr>
            </w:pPr>
            <w:r w:rsidRPr="0063621D">
              <w:rPr>
                <w:rFonts w:ascii="Times New Roman" w:hAnsi="Times New Roman" w:cs="Times New Roman"/>
                <w:sz w:val="24"/>
                <w:szCs w:val="24"/>
              </w:rPr>
              <w:t xml:space="preserve">Peak credit calculation assumes operation of 200 hours with natural gas and oil using peak fuel prices.  </w:t>
            </w:r>
          </w:p>
          <w:p w:rsidR="00E72576" w:rsidRPr="0063621D" w:rsidRDefault="00E72576" w:rsidP="00374119">
            <w:pPr>
              <w:ind w:left="-42"/>
              <w:rPr>
                <w:rFonts w:ascii="Times New Roman" w:hAnsi="Times New Roman" w:cs="Times New Roman"/>
                <w:sz w:val="24"/>
                <w:szCs w:val="24"/>
              </w:rPr>
            </w:pPr>
          </w:p>
        </w:tc>
      </w:tr>
      <w:tr w:rsidR="00E72576" w:rsidRPr="0063621D" w:rsidTr="00AA1EBB">
        <w:trPr>
          <w:trHeight w:val="1008"/>
        </w:trPr>
        <w:tc>
          <w:tcPr>
            <w:tcW w:w="3103" w:type="dxa"/>
            <w:vAlign w:val="center"/>
          </w:tcPr>
          <w:p w:rsidR="00AA1EBB" w:rsidRDefault="00AA1EBB" w:rsidP="00AA1EBB">
            <w:pPr>
              <w:rPr>
                <w:rFonts w:ascii="Times New Roman" w:hAnsi="Times New Roman" w:cs="Times New Roman"/>
                <w:sz w:val="24"/>
                <w:szCs w:val="24"/>
              </w:rPr>
            </w:pPr>
          </w:p>
          <w:p w:rsidR="00E72576" w:rsidRDefault="00E72576" w:rsidP="00AA1EBB">
            <w:pPr>
              <w:rPr>
                <w:rFonts w:ascii="Times New Roman" w:hAnsi="Times New Roman" w:cs="Times New Roman"/>
                <w:sz w:val="24"/>
                <w:szCs w:val="24"/>
              </w:rPr>
            </w:pPr>
            <w:r w:rsidRPr="0063621D">
              <w:rPr>
                <w:rFonts w:ascii="Times New Roman" w:hAnsi="Times New Roman" w:cs="Times New Roman"/>
                <w:sz w:val="24"/>
                <w:szCs w:val="24"/>
              </w:rPr>
              <w:t>1994 Natural Gas Cost of Service (UG-940814, Washington Natural Gas Company)</w:t>
            </w:r>
          </w:p>
          <w:p w:rsidR="00AA1EBB" w:rsidRPr="0063621D" w:rsidRDefault="00AA1EBB" w:rsidP="00AA1EBB">
            <w:pPr>
              <w:rPr>
                <w:rFonts w:ascii="Times New Roman" w:hAnsi="Times New Roman" w:cs="Times New Roman"/>
                <w:sz w:val="24"/>
                <w:szCs w:val="24"/>
              </w:rPr>
            </w:pPr>
          </w:p>
        </w:tc>
        <w:tc>
          <w:tcPr>
            <w:tcW w:w="6527" w:type="dxa"/>
            <w:vAlign w:val="center"/>
          </w:tcPr>
          <w:p w:rsidR="00E72576" w:rsidRPr="0063621D" w:rsidRDefault="00E72576" w:rsidP="00374119">
            <w:pPr>
              <w:rPr>
                <w:rFonts w:ascii="Times New Roman" w:hAnsi="Times New Roman" w:cs="Times New Roman"/>
                <w:sz w:val="24"/>
                <w:szCs w:val="24"/>
              </w:rPr>
            </w:pPr>
            <w:r w:rsidRPr="0063621D">
              <w:rPr>
                <w:rFonts w:ascii="Times New Roman" w:hAnsi="Times New Roman" w:cs="Times New Roman"/>
                <w:sz w:val="24"/>
                <w:szCs w:val="24"/>
              </w:rPr>
              <w:t>N/A</w:t>
            </w:r>
          </w:p>
        </w:tc>
      </w:tr>
      <w:tr w:rsidR="00E72576" w:rsidRPr="0063621D" w:rsidTr="00E72576">
        <w:trPr>
          <w:trHeight w:val="1008"/>
        </w:trPr>
        <w:tc>
          <w:tcPr>
            <w:tcW w:w="3103" w:type="dxa"/>
            <w:vAlign w:val="center"/>
          </w:tcPr>
          <w:p w:rsidR="00E72576" w:rsidRPr="0063621D" w:rsidRDefault="00B65486" w:rsidP="00B65486">
            <w:pPr>
              <w:rPr>
                <w:rFonts w:ascii="Times New Roman" w:hAnsi="Times New Roman" w:cs="Times New Roman"/>
                <w:sz w:val="24"/>
                <w:szCs w:val="24"/>
              </w:rPr>
            </w:pPr>
            <w:r>
              <w:rPr>
                <w:rFonts w:ascii="Times New Roman" w:hAnsi="Times New Roman" w:cs="Times New Roman"/>
                <w:sz w:val="24"/>
                <w:szCs w:val="24"/>
              </w:rPr>
              <w:t xml:space="preserve">1992 </w:t>
            </w:r>
            <w:r w:rsidR="00E72576" w:rsidRPr="0063621D">
              <w:rPr>
                <w:rFonts w:ascii="Times New Roman" w:hAnsi="Times New Roman" w:cs="Times New Roman"/>
                <w:sz w:val="24"/>
                <w:szCs w:val="24"/>
              </w:rPr>
              <w:t>GRC (UE-920499/UE-921262)</w:t>
            </w:r>
          </w:p>
        </w:tc>
        <w:tc>
          <w:tcPr>
            <w:tcW w:w="6527" w:type="dxa"/>
            <w:vAlign w:val="center"/>
          </w:tcPr>
          <w:p w:rsidR="00E72576" w:rsidRDefault="00E72576" w:rsidP="00374119">
            <w:pPr>
              <w:rPr>
                <w:rFonts w:ascii="Times New Roman" w:hAnsi="Times New Roman" w:cs="Times New Roman"/>
                <w:i/>
                <w:sz w:val="24"/>
                <w:szCs w:val="24"/>
              </w:rPr>
            </w:pPr>
            <w:r w:rsidRPr="00481C50">
              <w:rPr>
                <w:rFonts w:ascii="Times New Roman" w:hAnsi="Times New Roman" w:cs="Times New Roman"/>
                <w:i/>
                <w:sz w:val="24"/>
                <w:szCs w:val="24"/>
              </w:rPr>
              <w:t>C</w:t>
            </w:r>
            <w:r w:rsidR="00481C50">
              <w:rPr>
                <w:rFonts w:ascii="Times New Roman" w:hAnsi="Times New Roman" w:cs="Times New Roman"/>
                <w:i/>
                <w:sz w:val="24"/>
                <w:szCs w:val="24"/>
              </w:rPr>
              <w:t>ommission Order:</w:t>
            </w:r>
          </w:p>
          <w:p w:rsidR="00481C50" w:rsidRPr="00481C50" w:rsidRDefault="00481C50" w:rsidP="00374119">
            <w:pPr>
              <w:rPr>
                <w:rFonts w:ascii="Times New Roman" w:hAnsi="Times New Roman" w:cs="Times New Roman"/>
                <w:i/>
                <w:sz w:val="24"/>
                <w:szCs w:val="24"/>
              </w:rPr>
            </w:pPr>
          </w:p>
          <w:p w:rsidR="00E72576" w:rsidRPr="0063621D" w:rsidRDefault="00E72576" w:rsidP="00374119">
            <w:pPr>
              <w:pStyle w:val="ListParagraph"/>
              <w:numPr>
                <w:ilvl w:val="0"/>
                <w:numId w:val="1"/>
              </w:numPr>
              <w:ind w:left="138" w:hanging="180"/>
              <w:rPr>
                <w:rFonts w:ascii="Times New Roman" w:hAnsi="Times New Roman" w:cs="Times New Roman"/>
                <w:sz w:val="24"/>
                <w:szCs w:val="24"/>
              </w:rPr>
            </w:pPr>
            <w:r w:rsidRPr="0063621D">
              <w:rPr>
                <w:rFonts w:ascii="Times New Roman" w:hAnsi="Times New Roman" w:cs="Times New Roman"/>
                <w:sz w:val="24"/>
                <w:szCs w:val="24"/>
              </w:rPr>
              <w:t>Peak Credit Methodology</w:t>
            </w:r>
            <w:r w:rsidR="00AA1EBB">
              <w:rPr>
                <w:rFonts w:ascii="Times New Roman" w:hAnsi="Times New Roman" w:cs="Times New Roman"/>
                <w:sz w:val="24"/>
                <w:szCs w:val="24"/>
              </w:rPr>
              <w:t xml:space="preserve"> Modified to:</w:t>
            </w:r>
          </w:p>
          <w:p w:rsidR="00E72576" w:rsidRPr="0063621D" w:rsidRDefault="00E72576" w:rsidP="00374119">
            <w:pPr>
              <w:pStyle w:val="ListParagraph"/>
              <w:numPr>
                <w:ilvl w:val="1"/>
                <w:numId w:val="1"/>
              </w:numPr>
              <w:ind w:left="228" w:hanging="180"/>
              <w:rPr>
                <w:rFonts w:ascii="Times New Roman" w:hAnsi="Times New Roman" w:cs="Times New Roman"/>
                <w:sz w:val="24"/>
                <w:szCs w:val="24"/>
              </w:rPr>
            </w:pPr>
            <w:r w:rsidRPr="0063621D">
              <w:rPr>
                <w:rFonts w:ascii="Times New Roman" w:hAnsi="Times New Roman" w:cs="Times New Roman"/>
                <w:sz w:val="24"/>
                <w:szCs w:val="24"/>
              </w:rPr>
              <w:t xml:space="preserve">Use 50% of fixed cost for Peaker resource with 80 percent capacity factor </w:t>
            </w:r>
          </w:p>
          <w:p w:rsidR="00E72576" w:rsidRPr="0063621D" w:rsidRDefault="00E72576" w:rsidP="00374119">
            <w:pPr>
              <w:pStyle w:val="ListParagraph"/>
              <w:numPr>
                <w:ilvl w:val="1"/>
                <w:numId w:val="1"/>
              </w:numPr>
              <w:ind w:left="228" w:hanging="180"/>
              <w:rPr>
                <w:rFonts w:ascii="Times New Roman" w:hAnsi="Times New Roman" w:cs="Times New Roman"/>
                <w:sz w:val="24"/>
                <w:szCs w:val="24"/>
              </w:rPr>
            </w:pPr>
            <w:r w:rsidRPr="0063621D">
              <w:rPr>
                <w:rFonts w:ascii="Times New Roman" w:hAnsi="Times New Roman" w:cs="Times New Roman"/>
                <w:sz w:val="24"/>
                <w:szCs w:val="24"/>
              </w:rPr>
              <w:t>Use oil and natural gas as fuel costs for Peaker resource</w:t>
            </w:r>
          </w:p>
          <w:p w:rsidR="00E72576" w:rsidRPr="0063621D" w:rsidRDefault="00E72576" w:rsidP="00374119">
            <w:pPr>
              <w:pStyle w:val="ListParagraph"/>
              <w:numPr>
                <w:ilvl w:val="0"/>
                <w:numId w:val="1"/>
              </w:numPr>
              <w:ind w:left="138" w:hanging="180"/>
              <w:rPr>
                <w:rFonts w:ascii="Times New Roman" w:hAnsi="Times New Roman" w:cs="Times New Roman"/>
                <w:sz w:val="24"/>
                <w:szCs w:val="24"/>
              </w:rPr>
            </w:pPr>
            <w:r w:rsidRPr="0063621D">
              <w:rPr>
                <w:rFonts w:ascii="Times New Roman" w:hAnsi="Times New Roman" w:cs="Times New Roman"/>
                <w:sz w:val="24"/>
                <w:szCs w:val="24"/>
              </w:rPr>
              <w:t xml:space="preserve">Adopts Basic Customer Method – Customer Charge should be limited to service line, meter, meter reading and billing costs.  </w:t>
            </w:r>
          </w:p>
          <w:p w:rsidR="00E72576" w:rsidRDefault="00E72576" w:rsidP="00374119">
            <w:pPr>
              <w:pStyle w:val="ListParagraph"/>
              <w:numPr>
                <w:ilvl w:val="0"/>
                <w:numId w:val="1"/>
              </w:numPr>
              <w:ind w:left="138" w:hanging="180"/>
              <w:rPr>
                <w:rFonts w:ascii="Times New Roman" w:hAnsi="Times New Roman" w:cs="Times New Roman"/>
                <w:sz w:val="24"/>
                <w:szCs w:val="24"/>
              </w:rPr>
            </w:pPr>
            <w:r w:rsidRPr="0063621D">
              <w:rPr>
                <w:rFonts w:ascii="Times New Roman" w:hAnsi="Times New Roman" w:cs="Times New Roman"/>
                <w:sz w:val="24"/>
                <w:szCs w:val="24"/>
              </w:rPr>
              <w:t xml:space="preserve">Distribution and Substation costs allocated at system level based on non-coincident peak demands.  </w:t>
            </w:r>
          </w:p>
          <w:p w:rsidR="00CA3FE8" w:rsidRPr="00CA3FE8" w:rsidRDefault="00CA3FE8" w:rsidP="00CA3FE8">
            <w:pPr>
              <w:ind w:left="-42"/>
              <w:rPr>
                <w:rFonts w:ascii="Times New Roman" w:hAnsi="Times New Roman" w:cs="Times New Roman"/>
                <w:sz w:val="24"/>
                <w:szCs w:val="24"/>
              </w:rPr>
            </w:pPr>
          </w:p>
        </w:tc>
      </w:tr>
    </w:tbl>
    <w:p w:rsidR="00102021" w:rsidRDefault="00102021" w:rsidP="00F15BA7">
      <w:pPr>
        <w:jc w:val="center"/>
        <w:rPr>
          <w:rFonts w:ascii="Times New Roman" w:hAnsi="Times New Roman" w:cs="Times New Roman"/>
          <w:sz w:val="24"/>
          <w:szCs w:val="24"/>
          <w:u w:val="single"/>
        </w:rPr>
      </w:pPr>
    </w:p>
    <w:p w:rsidR="00102021" w:rsidRDefault="00102021" w:rsidP="00F15BA7">
      <w:pPr>
        <w:jc w:val="center"/>
        <w:rPr>
          <w:rFonts w:ascii="Times New Roman" w:hAnsi="Times New Roman" w:cs="Times New Roman"/>
          <w:sz w:val="24"/>
          <w:szCs w:val="24"/>
          <w:u w:val="single"/>
        </w:rPr>
      </w:pPr>
    </w:p>
    <w:p w:rsidR="00F15BA7" w:rsidRPr="0063621D" w:rsidRDefault="00F15BA7" w:rsidP="00F15BA7">
      <w:pPr>
        <w:jc w:val="center"/>
        <w:rPr>
          <w:rFonts w:ascii="Times New Roman" w:hAnsi="Times New Roman" w:cs="Times New Roman"/>
          <w:sz w:val="24"/>
          <w:szCs w:val="24"/>
          <w:u w:val="single"/>
        </w:rPr>
      </w:pPr>
      <w:r w:rsidRPr="0063621D">
        <w:rPr>
          <w:rFonts w:ascii="Times New Roman" w:hAnsi="Times New Roman" w:cs="Times New Roman"/>
          <w:sz w:val="24"/>
          <w:szCs w:val="24"/>
          <w:u w:val="single"/>
        </w:rPr>
        <w:lastRenderedPageBreak/>
        <w:t>2013 Cost of Service/Rate Design Collaborative</w:t>
      </w:r>
    </w:p>
    <w:p w:rsidR="00F15BA7" w:rsidRPr="0063621D" w:rsidRDefault="00F15BA7" w:rsidP="00F15BA7">
      <w:pPr>
        <w:rPr>
          <w:rFonts w:ascii="Times New Roman" w:hAnsi="Times New Roman" w:cs="Times New Roman"/>
          <w:sz w:val="24"/>
          <w:szCs w:val="24"/>
        </w:rPr>
      </w:pPr>
    </w:p>
    <w:p w:rsidR="00E222FD" w:rsidRDefault="006E15A1" w:rsidP="00F15BA7">
      <w:pPr>
        <w:rPr>
          <w:rFonts w:ascii="Times New Roman" w:hAnsi="Times New Roman" w:cs="Times New Roman"/>
          <w:sz w:val="24"/>
          <w:szCs w:val="24"/>
        </w:rPr>
      </w:pPr>
      <w:r w:rsidRPr="0063621D">
        <w:rPr>
          <w:rFonts w:ascii="Times New Roman" w:hAnsi="Times New Roman" w:cs="Times New Roman"/>
          <w:sz w:val="24"/>
          <w:szCs w:val="24"/>
        </w:rPr>
        <w:t>Resulting from the</w:t>
      </w:r>
      <w:r w:rsidR="00F15BA7" w:rsidRPr="0063621D">
        <w:rPr>
          <w:rFonts w:ascii="Times New Roman" w:hAnsi="Times New Roman" w:cs="Times New Roman"/>
          <w:sz w:val="24"/>
          <w:szCs w:val="24"/>
        </w:rPr>
        <w:t xml:space="preserve"> 2013 Power Cost Only Rate Case, </w:t>
      </w:r>
      <w:r w:rsidR="004E0A2E">
        <w:rPr>
          <w:rFonts w:ascii="Times New Roman" w:hAnsi="Times New Roman" w:cs="Times New Roman"/>
          <w:sz w:val="24"/>
          <w:szCs w:val="24"/>
        </w:rPr>
        <w:t>PSE</w:t>
      </w:r>
      <w:r w:rsidR="00F15BA7" w:rsidRPr="0063621D">
        <w:rPr>
          <w:rFonts w:ascii="Times New Roman" w:hAnsi="Times New Roman" w:cs="Times New Roman"/>
          <w:sz w:val="24"/>
          <w:szCs w:val="24"/>
        </w:rPr>
        <w:t xml:space="preserve"> convened a collaborative between various stakeholders to discuss electric cost of service and rate design.  </w:t>
      </w:r>
      <w:r w:rsidR="004561AF">
        <w:rPr>
          <w:rFonts w:ascii="Times New Roman" w:hAnsi="Times New Roman" w:cs="Times New Roman"/>
          <w:sz w:val="24"/>
          <w:szCs w:val="24"/>
        </w:rPr>
        <w:t>B</w:t>
      </w:r>
      <w:r w:rsidR="004561AF" w:rsidRPr="0063621D">
        <w:rPr>
          <w:rFonts w:ascii="Times New Roman" w:hAnsi="Times New Roman" w:cs="Times New Roman"/>
          <w:sz w:val="24"/>
          <w:szCs w:val="24"/>
        </w:rPr>
        <w:t>efore reaching an accord</w:t>
      </w:r>
      <w:r w:rsidR="004561AF">
        <w:rPr>
          <w:rFonts w:ascii="Times New Roman" w:hAnsi="Times New Roman" w:cs="Times New Roman"/>
          <w:sz w:val="24"/>
          <w:szCs w:val="24"/>
        </w:rPr>
        <w:t>, t</w:t>
      </w:r>
      <w:r w:rsidR="00F15BA7" w:rsidRPr="0063621D">
        <w:rPr>
          <w:rFonts w:ascii="Times New Roman" w:hAnsi="Times New Roman" w:cs="Times New Roman"/>
          <w:sz w:val="24"/>
          <w:szCs w:val="24"/>
        </w:rPr>
        <w:t xml:space="preserve">he </w:t>
      </w:r>
      <w:r w:rsidR="006206E5" w:rsidRPr="0063621D">
        <w:rPr>
          <w:rFonts w:ascii="Times New Roman" w:hAnsi="Times New Roman" w:cs="Times New Roman"/>
          <w:sz w:val="24"/>
          <w:szCs w:val="24"/>
        </w:rPr>
        <w:t xml:space="preserve">parties spent more than a year discussing </w:t>
      </w:r>
      <w:r w:rsidR="00AA3ACC">
        <w:rPr>
          <w:rFonts w:ascii="Times New Roman" w:hAnsi="Times New Roman" w:cs="Times New Roman"/>
          <w:sz w:val="24"/>
          <w:szCs w:val="24"/>
        </w:rPr>
        <w:t xml:space="preserve">several </w:t>
      </w:r>
      <w:r w:rsidR="006206E5" w:rsidRPr="0063621D">
        <w:rPr>
          <w:rFonts w:ascii="Times New Roman" w:hAnsi="Times New Roman" w:cs="Times New Roman"/>
          <w:sz w:val="24"/>
          <w:szCs w:val="24"/>
        </w:rPr>
        <w:t>aspects of cost of service and rate design</w:t>
      </w:r>
      <w:r w:rsidR="00314664" w:rsidRPr="0063621D">
        <w:rPr>
          <w:rFonts w:ascii="Times New Roman" w:hAnsi="Times New Roman" w:cs="Times New Roman"/>
          <w:sz w:val="24"/>
          <w:szCs w:val="24"/>
        </w:rPr>
        <w:t xml:space="preserve">.  The settlement resolved cost of service issues for the Company’s next general rate case (anticipated at that time to be in late 2015).  The parties agreed to the continued use of the peak credit methodology, with certain updates, </w:t>
      </w:r>
      <w:r w:rsidR="00D32072" w:rsidRPr="0063621D">
        <w:rPr>
          <w:rFonts w:ascii="Times New Roman" w:hAnsi="Times New Roman" w:cs="Times New Roman"/>
          <w:sz w:val="24"/>
          <w:szCs w:val="24"/>
        </w:rPr>
        <w:t xml:space="preserve">and the use of a 4-CP allocator for demand related production and transmission costs.  The settlement anticipated a generic </w:t>
      </w:r>
      <w:r w:rsidR="00E222FD" w:rsidRPr="0063621D">
        <w:rPr>
          <w:rFonts w:ascii="Times New Roman" w:hAnsi="Times New Roman" w:cs="Times New Roman"/>
          <w:sz w:val="24"/>
          <w:szCs w:val="24"/>
        </w:rPr>
        <w:t>cost of service proceeding to:</w:t>
      </w:r>
    </w:p>
    <w:p w:rsidR="00102021" w:rsidRPr="0063621D" w:rsidRDefault="00102021" w:rsidP="00F15BA7">
      <w:pPr>
        <w:rPr>
          <w:rFonts w:ascii="Times New Roman" w:hAnsi="Times New Roman" w:cs="Times New Roman"/>
          <w:sz w:val="24"/>
          <w:szCs w:val="24"/>
        </w:rPr>
      </w:pPr>
    </w:p>
    <w:p w:rsidR="00F15BA7" w:rsidRPr="0063621D" w:rsidRDefault="004E0A2E" w:rsidP="00E222FD">
      <w:pPr>
        <w:ind w:left="720"/>
        <w:rPr>
          <w:rFonts w:ascii="Times New Roman" w:hAnsi="Times New Roman" w:cs="Times New Roman"/>
          <w:sz w:val="24"/>
          <w:szCs w:val="24"/>
        </w:rPr>
      </w:pPr>
      <w:r>
        <w:rPr>
          <w:rFonts w:ascii="Times New Roman" w:hAnsi="Times New Roman" w:cs="Times New Roman"/>
          <w:sz w:val="24"/>
          <w:szCs w:val="24"/>
        </w:rPr>
        <w:t>A</w:t>
      </w:r>
      <w:r w:rsidR="004D1616" w:rsidRPr="0063621D">
        <w:rPr>
          <w:rFonts w:ascii="Times New Roman" w:hAnsi="Times New Roman" w:cs="Times New Roman"/>
          <w:sz w:val="24"/>
          <w:szCs w:val="24"/>
        </w:rPr>
        <w:t>d</w:t>
      </w:r>
      <w:r w:rsidR="00D32072" w:rsidRPr="0063621D">
        <w:rPr>
          <w:rFonts w:ascii="Times New Roman" w:hAnsi="Times New Roman" w:cs="Times New Roman"/>
          <w:sz w:val="24"/>
          <w:szCs w:val="24"/>
        </w:rPr>
        <w:t>dress cost of service allocation methodologies for all system costs for the three electric investor-owned utilities.  Through this process the Company and all interested interveners would be able to fully present their viewpoints on cost of service and allocation methodologies with the goal of receiving consistent policy direction from the Commission, and in that proceeding no party will be bound by any cost of service or allocation agreements in this settlement.</w:t>
      </w:r>
      <w:r w:rsidR="00E222FD" w:rsidRPr="0063621D">
        <w:rPr>
          <w:rStyle w:val="FootnoteReference"/>
          <w:rFonts w:ascii="Times New Roman" w:hAnsi="Times New Roman" w:cs="Times New Roman"/>
          <w:sz w:val="24"/>
          <w:szCs w:val="24"/>
        </w:rPr>
        <w:footnoteReference w:id="1"/>
      </w:r>
    </w:p>
    <w:p w:rsidR="00F15BA7" w:rsidRPr="0063621D" w:rsidRDefault="00F15BA7" w:rsidP="00F15BA7">
      <w:pPr>
        <w:rPr>
          <w:rFonts w:ascii="Times New Roman" w:hAnsi="Times New Roman" w:cs="Times New Roman"/>
          <w:sz w:val="24"/>
          <w:szCs w:val="24"/>
        </w:rPr>
      </w:pPr>
    </w:p>
    <w:sectPr w:rsidR="00F15BA7" w:rsidRPr="0063621D" w:rsidSect="001C5A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412" w:rsidRDefault="00404412" w:rsidP="00404412">
      <w:r>
        <w:separator/>
      </w:r>
    </w:p>
  </w:endnote>
  <w:endnote w:type="continuationSeparator" w:id="0">
    <w:p w:rsidR="00404412" w:rsidRDefault="00404412" w:rsidP="0040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rPr>
        <w:rFonts w:ascii="Times New Roman" w:hAnsi="Times New Roman" w:cs="Times New Roman"/>
        <w:sz w:val="20"/>
        <w:szCs w:val="20"/>
      </w:rPr>
    </w:sdtEndPr>
    <w:sdtContent>
      <w:p w:rsidR="00102021" w:rsidRDefault="00102021" w:rsidP="00102021">
        <w:pPr>
          <w:pStyle w:val="Footer"/>
          <w:jc w:val="right"/>
          <w:rPr>
            <w:rFonts w:ascii="Times New Roman" w:hAnsi="Times New Roman" w:cs="Times New Roman"/>
            <w:sz w:val="20"/>
            <w:szCs w:val="20"/>
          </w:rPr>
        </w:pPr>
        <w:r w:rsidRPr="0082256F">
          <w:rPr>
            <w:rFonts w:ascii="Times New Roman" w:hAnsi="Times New Roman" w:cs="Times New Roman"/>
            <w:sz w:val="20"/>
            <w:szCs w:val="20"/>
          </w:rPr>
          <w:t xml:space="preserve">Page </w:t>
        </w:r>
        <w:r w:rsidRPr="0082256F">
          <w:rPr>
            <w:rFonts w:ascii="Times New Roman" w:hAnsi="Times New Roman" w:cs="Times New Roman"/>
            <w:bCs/>
            <w:sz w:val="20"/>
            <w:szCs w:val="20"/>
          </w:rPr>
          <w:fldChar w:fldCharType="begin"/>
        </w:r>
        <w:r w:rsidRPr="0082256F">
          <w:rPr>
            <w:rFonts w:ascii="Times New Roman" w:hAnsi="Times New Roman" w:cs="Times New Roman"/>
            <w:bCs/>
            <w:sz w:val="20"/>
            <w:szCs w:val="20"/>
          </w:rPr>
          <w:instrText xml:space="preserve"> PAGE </w:instrText>
        </w:r>
        <w:r w:rsidRPr="0082256F">
          <w:rPr>
            <w:rFonts w:ascii="Times New Roman" w:hAnsi="Times New Roman" w:cs="Times New Roman"/>
            <w:bCs/>
            <w:sz w:val="20"/>
            <w:szCs w:val="20"/>
          </w:rPr>
          <w:fldChar w:fldCharType="separate"/>
        </w:r>
        <w:r w:rsidR="009901BB">
          <w:rPr>
            <w:rFonts w:ascii="Times New Roman" w:hAnsi="Times New Roman" w:cs="Times New Roman"/>
            <w:bCs/>
            <w:noProof/>
            <w:sz w:val="20"/>
            <w:szCs w:val="20"/>
          </w:rPr>
          <w:t>2</w:t>
        </w:r>
        <w:r w:rsidRPr="0082256F">
          <w:rPr>
            <w:rFonts w:ascii="Times New Roman" w:hAnsi="Times New Roman" w:cs="Times New Roman"/>
            <w:bCs/>
            <w:sz w:val="20"/>
            <w:szCs w:val="20"/>
          </w:rPr>
          <w:fldChar w:fldCharType="end"/>
        </w:r>
        <w:r w:rsidRPr="0082256F">
          <w:rPr>
            <w:rFonts w:ascii="Times New Roman" w:hAnsi="Times New Roman" w:cs="Times New Roman"/>
            <w:sz w:val="20"/>
            <w:szCs w:val="20"/>
          </w:rPr>
          <w:t xml:space="preserve"> of </w:t>
        </w:r>
        <w:r w:rsidRPr="0082256F">
          <w:rPr>
            <w:rFonts w:ascii="Times New Roman" w:hAnsi="Times New Roman" w:cs="Times New Roman"/>
            <w:bCs/>
            <w:sz w:val="20"/>
            <w:szCs w:val="20"/>
          </w:rPr>
          <w:fldChar w:fldCharType="begin"/>
        </w:r>
        <w:r w:rsidRPr="0082256F">
          <w:rPr>
            <w:rFonts w:ascii="Times New Roman" w:hAnsi="Times New Roman" w:cs="Times New Roman"/>
            <w:bCs/>
            <w:sz w:val="20"/>
            <w:szCs w:val="20"/>
          </w:rPr>
          <w:instrText xml:space="preserve"> NUMPAGES  </w:instrText>
        </w:r>
        <w:r w:rsidRPr="0082256F">
          <w:rPr>
            <w:rFonts w:ascii="Times New Roman" w:hAnsi="Times New Roman" w:cs="Times New Roman"/>
            <w:bCs/>
            <w:sz w:val="20"/>
            <w:szCs w:val="20"/>
          </w:rPr>
          <w:fldChar w:fldCharType="separate"/>
        </w:r>
        <w:r w:rsidR="009901BB">
          <w:rPr>
            <w:rFonts w:ascii="Times New Roman" w:hAnsi="Times New Roman" w:cs="Times New Roman"/>
            <w:bCs/>
            <w:noProof/>
            <w:sz w:val="20"/>
            <w:szCs w:val="20"/>
          </w:rPr>
          <w:t>3</w:t>
        </w:r>
        <w:r w:rsidRPr="0082256F">
          <w:rPr>
            <w:rFonts w:ascii="Times New Roman" w:hAnsi="Times New Roman" w:cs="Times New Roman"/>
            <w:bCs/>
            <w:sz w:val="20"/>
            <w:szCs w:val="20"/>
          </w:rPr>
          <w:fldChar w:fldCharType="end"/>
        </w:r>
      </w:p>
    </w:sdtContent>
  </w:sdt>
  <w:p w:rsidR="00102021" w:rsidRDefault="00102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412" w:rsidRDefault="00404412" w:rsidP="00404412">
      <w:r>
        <w:separator/>
      </w:r>
    </w:p>
  </w:footnote>
  <w:footnote w:type="continuationSeparator" w:id="0">
    <w:p w:rsidR="00404412" w:rsidRDefault="00404412" w:rsidP="00404412">
      <w:r>
        <w:continuationSeparator/>
      </w:r>
    </w:p>
  </w:footnote>
  <w:footnote w:id="1">
    <w:p w:rsidR="00E222FD" w:rsidRPr="004561AF" w:rsidRDefault="00E222FD">
      <w:pPr>
        <w:pStyle w:val="FootnoteText"/>
        <w:rPr>
          <w:rFonts w:ascii="Times New Roman" w:hAnsi="Times New Roman" w:cs="Times New Roman"/>
        </w:rPr>
      </w:pPr>
      <w:r w:rsidRPr="004561AF">
        <w:rPr>
          <w:rStyle w:val="FootnoteReference"/>
          <w:rFonts w:ascii="Times New Roman" w:hAnsi="Times New Roman" w:cs="Times New Roman"/>
        </w:rPr>
        <w:footnoteRef/>
      </w:r>
      <w:r w:rsidRPr="004561AF">
        <w:rPr>
          <w:rFonts w:ascii="Times New Roman" w:hAnsi="Times New Roman" w:cs="Times New Roman"/>
        </w:rPr>
        <w:t xml:space="preserve"> UE-141368, Order 3 Attach A, at paragraph 14.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E728C"/>
    <w:multiLevelType w:val="hybridMultilevel"/>
    <w:tmpl w:val="E57EB05E"/>
    <w:lvl w:ilvl="0" w:tplc="92263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680A39"/>
    <w:multiLevelType w:val="hybridMultilevel"/>
    <w:tmpl w:val="17240924"/>
    <w:lvl w:ilvl="0" w:tplc="A4F6EF9E">
      <w:start w:val="200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453BD"/>
    <w:multiLevelType w:val="hybridMultilevel"/>
    <w:tmpl w:val="A404A6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F36271"/>
    <w:multiLevelType w:val="hybridMultilevel"/>
    <w:tmpl w:val="F94EE89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B0409E"/>
    <w:multiLevelType w:val="hybridMultilevel"/>
    <w:tmpl w:val="57F0F4E6"/>
    <w:lvl w:ilvl="0" w:tplc="A5ECF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6F"/>
    <w:rsid w:val="0000614B"/>
    <w:rsid w:val="00016CFF"/>
    <w:rsid w:val="000247AF"/>
    <w:rsid w:val="000519A8"/>
    <w:rsid w:val="0006085E"/>
    <w:rsid w:val="00084FAE"/>
    <w:rsid w:val="000858C2"/>
    <w:rsid w:val="00096CE8"/>
    <w:rsid w:val="000B11A8"/>
    <w:rsid w:val="000B22C0"/>
    <w:rsid w:val="000B6F08"/>
    <w:rsid w:val="000C2C35"/>
    <w:rsid w:val="000E0209"/>
    <w:rsid w:val="000E640C"/>
    <w:rsid w:val="000F004F"/>
    <w:rsid w:val="00102021"/>
    <w:rsid w:val="0011425E"/>
    <w:rsid w:val="00115AC0"/>
    <w:rsid w:val="0013062C"/>
    <w:rsid w:val="001319D6"/>
    <w:rsid w:val="00143BEC"/>
    <w:rsid w:val="00151FE2"/>
    <w:rsid w:val="001547E1"/>
    <w:rsid w:val="00181EEC"/>
    <w:rsid w:val="001B2422"/>
    <w:rsid w:val="001B4B5E"/>
    <w:rsid w:val="001C0B46"/>
    <w:rsid w:val="001C5883"/>
    <w:rsid w:val="001C5AB1"/>
    <w:rsid w:val="001D6416"/>
    <w:rsid w:val="001E1D7A"/>
    <w:rsid w:val="001E4D5B"/>
    <w:rsid w:val="001E5A52"/>
    <w:rsid w:val="001F2EF7"/>
    <w:rsid w:val="00200594"/>
    <w:rsid w:val="0021253A"/>
    <w:rsid w:val="002278A7"/>
    <w:rsid w:val="00231F54"/>
    <w:rsid w:val="00234DB2"/>
    <w:rsid w:val="002355D4"/>
    <w:rsid w:val="00240438"/>
    <w:rsid w:val="002522DB"/>
    <w:rsid w:val="00252A4D"/>
    <w:rsid w:val="00263323"/>
    <w:rsid w:val="00275B07"/>
    <w:rsid w:val="002770C7"/>
    <w:rsid w:val="002B03F8"/>
    <w:rsid w:val="002B0643"/>
    <w:rsid w:val="002C039A"/>
    <w:rsid w:val="002C394A"/>
    <w:rsid w:val="002C7841"/>
    <w:rsid w:val="002E31A6"/>
    <w:rsid w:val="002E7670"/>
    <w:rsid w:val="00301CE3"/>
    <w:rsid w:val="003046E3"/>
    <w:rsid w:val="003118BC"/>
    <w:rsid w:val="00314664"/>
    <w:rsid w:val="00315FFF"/>
    <w:rsid w:val="00322B56"/>
    <w:rsid w:val="00323E28"/>
    <w:rsid w:val="003323C2"/>
    <w:rsid w:val="00343517"/>
    <w:rsid w:val="003560A1"/>
    <w:rsid w:val="00366EA4"/>
    <w:rsid w:val="00374119"/>
    <w:rsid w:val="003778D6"/>
    <w:rsid w:val="00387494"/>
    <w:rsid w:val="00392241"/>
    <w:rsid w:val="003A1E0C"/>
    <w:rsid w:val="003A6961"/>
    <w:rsid w:val="003E458F"/>
    <w:rsid w:val="003F55B6"/>
    <w:rsid w:val="003F740A"/>
    <w:rsid w:val="0040032E"/>
    <w:rsid w:val="00404412"/>
    <w:rsid w:val="00404A75"/>
    <w:rsid w:val="00415D46"/>
    <w:rsid w:val="0044422F"/>
    <w:rsid w:val="00446024"/>
    <w:rsid w:val="004561AF"/>
    <w:rsid w:val="00476639"/>
    <w:rsid w:val="00481C50"/>
    <w:rsid w:val="00485FA3"/>
    <w:rsid w:val="004A2ACA"/>
    <w:rsid w:val="004A2F39"/>
    <w:rsid w:val="004D1616"/>
    <w:rsid w:val="004E0A2E"/>
    <w:rsid w:val="004F04CD"/>
    <w:rsid w:val="004F2C57"/>
    <w:rsid w:val="0050727D"/>
    <w:rsid w:val="005203E4"/>
    <w:rsid w:val="00530188"/>
    <w:rsid w:val="00547B23"/>
    <w:rsid w:val="00552600"/>
    <w:rsid w:val="005603F4"/>
    <w:rsid w:val="00562FBE"/>
    <w:rsid w:val="00563B89"/>
    <w:rsid w:val="0057023A"/>
    <w:rsid w:val="00570FC9"/>
    <w:rsid w:val="00593898"/>
    <w:rsid w:val="005A0687"/>
    <w:rsid w:val="005A0920"/>
    <w:rsid w:val="005A2C08"/>
    <w:rsid w:val="005A6C74"/>
    <w:rsid w:val="005B391A"/>
    <w:rsid w:val="005B5F2D"/>
    <w:rsid w:val="005B63C7"/>
    <w:rsid w:val="005C69B2"/>
    <w:rsid w:val="005D7C8E"/>
    <w:rsid w:val="005F1478"/>
    <w:rsid w:val="005F7434"/>
    <w:rsid w:val="0061021E"/>
    <w:rsid w:val="006157BF"/>
    <w:rsid w:val="00615CF1"/>
    <w:rsid w:val="0061749A"/>
    <w:rsid w:val="006206E5"/>
    <w:rsid w:val="00622BC7"/>
    <w:rsid w:val="00625D0E"/>
    <w:rsid w:val="00635A53"/>
    <w:rsid w:val="0063621D"/>
    <w:rsid w:val="00637831"/>
    <w:rsid w:val="00641213"/>
    <w:rsid w:val="00664C97"/>
    <w:rsid w:val="00672F7B"/>
    <w:rsid w:val="006A361B"/>
    <w:rsid w:val="006A41EE"/>
    <w:rsid w:val="006C41D6"/>
    <w:rsid w:val="006D00E3"/>
    <w:rsid w:val="006D08A7"/>
    <w:rsid w:val="006D10AE"/>
    <w:rsid w:val="006D413C"/>
    <w:rsid w:val="006D442C"/>
    <w:rsid w:val="006E15A1"/>
    <w:rsid w:val="006F204E"/>
    <w:rsid w:val="006F248E"/>
    <w:rsid w:val="006F2C71"/>
    <w:rsid w:val="0070187A"/>
    <w:rsid w:val="0070227E"/>
    <w:rsid w:val="00707B92"/>
    <w:rsid w:val="00710A27"/>
    <w:rsid w:val="0071169F"/>
    <w:rsid w:val="00722466"/>
    <w:rsid w:val="00722FEA"/>
    <w:rsid w:val="00730245"/>
    <w:rsid w:val="00732A15"/>
    <w:rsid w:val="00747BB0"/>
    <w:rsid w:val="00751D4F"/>
    <w:rsid w:val="0076583E"/>
    <w:rsid w:val="00774529"/>
    <w:rsid w:val="00786E3F"/>
    <w:rsid w:val="00793870"/>
    <w:rsid w:val="007A153F"/>
    <w:rsid w:val="007B7DD6"/>
    <w:rsid w:val="007C14C9"/>
    <w:rsid w:val="007D235C"/>
    <w:rsid w:val="007E7004"/>
    <w:rsid w:val="007F739D"/>
    <w:rsid w:val="008078FB"/>
    <w:rsid w:val="00855A9F"/>
    <w:rsid w:val="008613BA"/>
    <w:rsid w:val="00871710"/>
    <w:rsid w:val="00872348"/>
    <w:rsid w:val="00874918"/>
    <w:rsid w:val="0089249F"/>
    <w:rsid w:val="008A48B6"/>
    <w:rsid w:val="008B2389"/>
    <w:rsid w:val="008B54D5"/>
    <w:rsid w:val="008B6ABD"/>
    <w:rsid w:val="008B7759"/>
    <w:rsid w:val="008C1BDA"/>
    <w:rsid w:val="008D1C14"/>
    <w:rsid w:val="00904CF5"/>
    <w:rsid w:val="00904E05"/>
    <w:rsid w:val="0091191E"/>
    <w:rsid w:val="00934004"/>
    <w:rsid w:val="0095278C"/>
    <w:rsid w:val="00964C42"/>
    <w:rsid w:val="00971611"/>
    <w:rsid w:val="00976135"/>
    <w:rsid w:val="0097697E"/>
    <w:rsid w:val="00985CFF"/>
    <w:rsid w:val="009901BB"/>
    <w:rsid w:val="009941AB"/>
    <w:rsid w:val="009962A6"/>
    <w:rsid w:val="009C0D0D"/>
    <w:rsid w:val="009F0615"/>
    <w:rsid w:val="00A21DB6"/>
    <w:rsid w:val="00A233B1"/>
    <w:rsid w:val="00A27CE5"/>
    <w:rsid w:val="00A34828"/>
    <w:rsid w:val="00A51C44"/>
    <w:rsid w:val="00A52DAA"/>
    <w:rsid w:val="00A61ADB"/>
    <w:rsid w:val="00A6496C"/>
    <w:rsid w:val="00A84C2A"/>
    <w:rsid w:val="00AA1EBB"/>
    <w:rsid w:val="00AA3ACC"/>
    <w:rsid w:val="00AB64EB"/>
    <w:rsid w:val="00AB7A74"/>
    <w:rsid w:val="00AC67B5"/>
    <w:rsid w:val="00AD3312"/>
    <w:rsid w:val="00AE00E8"/>
    <w:rsid w:val="00AE18F6"/>
    <w:rsid w:val="00AE273E"/>
    <w:rsid w:val="00AE6823"/>
    <w:rsid w:val="00AF1C3C"/>
    <w:rsid w:val="00AF4A21"/>
    <w:rsid w:val="00B110E9"/>
    <w:rsid w:val="00B13041"/>
    <w:rsid w:val="00B315E1"/>
    <w:rsid w:val="00B33E86"/>
    <w:rsid w:val="00B55C96"/>
    <w:rsid w:val="00B570DA"/>
    <w:rsid w:val="00B65486"/>
    <w:rsid w:val="00B81D63"/>
    <w:rsid w:val="00B9777D"/>
    <w:rsid w:val="00BA542C"/>
    <w:rsid w:val="00BB6745"/>
    <w:rsid w:val="00BD339E"/>
    <w:rsid w:val="00BE2F05"/>
    <w:rsid w:val="00BE2F26"/>
    <w:rsid w:val="00BE6632"/>
    <w:rsid w:val="00C035E4"/>
    <w:rsid w:val="00C04C0F"/>
    <w:rsid w:val="00C40741"/>
    <w:rsid w:val="00C521C1"/>
    <w:rsid w:val="00C55D7F"/>
    <w:rsid w:val="00C561C5"/>
    <w:rsid w:val="00C66ACD"/>
    <w:rsid w:val="00C95530"/>
    <w:rsid w:val="00CA001C"/>
    <w:rsid w:val="00CA3FE8"/>
    <w:rsid w:val="00CD3894"/>
    <w:rsid w:val="00CF78B1"/>
    <w:rsid w:val="00D20AD5"/>
    <w:rsid w:val="00D24692"/>
    <w:rsid w:val="00D32072"/>
    <w:rsid w:val="00D36C9F"/>
    <w:rsid w:val="00D37C94"/>
    <w:rsid w:val="00D42041"/>
    <w:rsid w:val="00D50E33"/>
    <w:rsid w:val="00D50F6B"/>
    <w:rsid w:val="00D5356A"/>
    <w:rsid w:val="00D60178"/>
    <w:rsid w:val="00D77AF5"/>
    <w:rsid w:val="00DA1B86"/>
    <w:rsid w:val="00DA48FC"/>
    <w:rsid w:val="00DB31A8"/>
    <w:rsid w:val="00DC58C8"/>
    <w:rsid w:val="00DD2A47"/>
    <w:rsid w:val="00DE2A94"/>
    <w:rsid w:val="00DF7502"/>
    <w:rsid w:val="00E01169"/>
    <w:rsid w:val="00E1156F"/>
    <w:rsid w:val="00E222FD"/>
    <w:rsid w:val="00E24607"/>
    <w:rsid w:val="00E32077"/>
    <w:rsid w:val="00E72576"/>
    <w:rsid w:val="00E72C64"/>
    <w:rsid w:val="00E92419"/>
    <w:rsid w:val="00E97D18"/>
    <w:rsid w:val="00EA712E"/>
    <w:rsid w:val="00EB61D3"/>
    <w:rsid w:val="00EC7A1B"/>
    <w:rsid w:val="00EC7A8B"/>
    <w:rsid w:val="00F03A27"/>
    <w:rsid w:val="00F15BA7"/>
    <w:rsid w:val="00F21B68"/>
    <w:rsid w:val="00F50804"/>
    <w:rsid w:val="00F5315A"/>
    <w:rsid w:val="00F73003"/>
    <w:rsid w:val="00F9137C"/>
    <w:rsid w:val="00FA006E"/>
    <w:rsid w:val="00FD016C"/>
    <w:rsid w:val="00FD7FDF"/>
    <w:rsid w:val="00FE7519"/>
    <w:rsid w:val="00FF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47C3D-803D-4A5A-8FBF-F80A6BD5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D6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83E"/>
    <w:pPr>
      <w:ind w:left="720"/>
      <w:contextualSpacing/>
    </w:pPr>
  </w:style>
  <w:style w:type="paragraph" w:styleId="FootnoteText">
    <w:name w:val="footnote text"/>
    <w:basedOn w:val="Normal"/>
    <w:link w:val="FootnoteTextChar"/>
    <w:uiPriority w:val="99"/>
    <w:semiHidden/>
    <w:unhideWhenUsed/>
    <w:rsid w:val="00404412"/>
    <w:rPr>
      <w:sz w:val="20"/>
      <w:szCs w:val="20"/>
    </w:rPr>
  </w:style>
  <w:style w:type="character" w:customStyle="1" w:styleId="FootnoteTextChar">
    <w:name w:val="Footnote Text Char"/>
    <w:basedOn w:val="DefaultParagraphFont"/>
    <w:link w:val="FootnoteText"/>
    <w:uiPriority w:val="99"/>
    <w:semiHidden/>
    <w:rsid w:val="00404412"/>
    <w:rPr>
      <w:sz w:val="20"/>
      <w:szCs w:val="20"/>
    </w:rPr>
  </w:style>
  <w:style w:type="character" w:styleId="FootnoteReference">
    <w:name w:val="footnote reference"/>
    <w:basedOn w:val="DefaultParagraphFont"/>
    <w:uiPriority w:val="99"/>
    <w:semiHidden/>
    <w:unhideWhenUsed/>
    <w:rsid w:val="00404412"/>
    <w:rPr>
      <w:vertAlign w:val="superscript"/>
    </w:rPr>
  </w:style>
  <w:style w:type="character" w:styleId="CommentReference">
    <w:name w:val="annotation reference"/>
    <w:basedOn w:val="DefaultParagraphFont"/>
    <w:uiPriority w:val="99"/>
    <w:semiHidden/>
    <w:unhideWhenUsed/>
    <w:rsid w:val="00404412"/>
    <w:rPr>
      <w:sz w:val="16"/>
      <w:szCs w:val="16"/>
    </w:rPr>
  </w:style>
  <w:style w:type="paragraph" w:styleId="CommentText">
    <w:name w:val="annotation text"/>
    <w:basedOn w:val="Normal"/>
    <w:link w:val="CommentTextChar"/>
    <w:uiPriority w:val="99"/>
    <w:unhideWhenUsed/>
    <w:rsid w:val="00404412"/>
    <w:rPr>
      <w:sz w:val="20"/>
      <w:szCs w:val="20"/>
    </w:rPr>
  </w:style>
  <w:style w:type="character" w:customStyle="1" w:styleId="CommentTextChar">
    <w:name w:val="Comment Text Char"/>
    <w:basedOn w:val="DefaultParagraphFont"/>
    <w:link w:val="CommentText"/>
    <w:uiPriority w:val="99"/>
    <w:rsid w:val="00404412"/>
    <w:rPr>
      <w:sz w:val="20"/>
      <w:szCs w:val="20"/>
    </w:rPr>
  </w:style>
  <w:style w:type="paragraph" w:styleId="CommentSubject">
    <w:name w:val="annotation subject"/>
    <w:basedOn w:val="CommentText"/>
    <w:next w:val="CommentText"/>
    <w:link w:val="CommentSubjectChar"/>
    <w:uiPriority w:val="99"/>
    <w:semiHidden/>
    <w:unhideWhenUsed/>
    <w:rsid w:val="00404412"/>
    <w:rPr>
      <w:b/>
      <w:bCs/>
    </w:rPr>
  </w:style>
  <w:style w:type="character" w:customStyle="1" w:styleId="CommentSubjectChar">
    <w:name w:val="Comment Subject Char"/>
    <w:basedOn w:val="CommentTextChar"/>
    <w:link w:val="CommentSubject"/>
    <w:uiPriority w:val="99"/>
    <w:semiHidden/>
    <w:rsid w:val="00404412"/>
    <w:rPr>
      <w:b/>
      <w:bCs/>
      <w:sz w:val="20"/>
      <w:szCs w:val="20"/>
    </w:rPr>
  </w:style>
  <w:style w:type="paragraph" w:styleId="BalloonText">
    <w:name w:val="Balloon Text"/>
    <w:basedOn w:val="Normal"/>
    <w:link w:val="BalloonTextChar"/>
    <w:uiPriority w:val="99"/>
    <w:semiHidden/>
    <w:unhideWhenUsed/>
    <w:rsid w:val="004044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412"/>
    <w:rPr>
      <w:rFonts w:ascii="Segoe UI" w:hAnsi="Segoe UI" w:cs="Segoe UI"/>
      <w:sz w:val="18"/>
      <w:szCs w:val="18"/>
    </w:rPr>
  </w:style>
  <w:style w:type="paragraph" w:styleId="Header">
    <w:name w:val="header"/>
    <w:basedOn w:val="Normal"/>
    <w:link w:val="HeaderChar"/>
    <w:uiPriority w:val="99"/>
    <w:unhideWhenUsed/>
    <w:rsid w:val="00102021"/>
    <w:pPr>
      <w:tabs>
        <w:tab w:val="center" w:pos="4680"/>
        <w:tab w:val="right" w:pos="9360"/>
      </w:tabs>
    </w:pPr>
  </w:style>
  <w:style w:type="character" w:customStyle="1" w:styleId="HeaderChar">
    <w:name w:val="Header Char"/>
    <w:basedOn w:val="DefaultParagraphFont"/>
    <w:link w:val="Header"/>
    <w:uiPriority w:val="99"/>
    <w:rsid w:val="00102021"/>
  </w:style>
  <w:style w:type="paragraph" w:styleId="Footer">
    <w:name w:val="footer"/>
    <w:basedOn w:val="Normal"/>
    <w:link w:val="FooterChar"/>
    <w:uiPriority w:val="99"/>
    <w:unhideWhenUsed/>
    <w:rsid w:val="00102021"/>
    <w:pPr>
      <w:tabs>
        <w:tab w:val="center" w:pos="4680"/>
        <w:tab w:val="right" w:pos="9360"/>
      </w:tabs>
    </w:pPr>
  </w:style>
  <w:style w:type="character" w:customStyle="1" w:styleId="FooterChar">
    <w:name w:val="Footer Char"/>
    <w:basedOn w:val="DefaultParagraphFont"/>
    <w:link w:val="Footer"/>
    <w:uiPriority w:val="99"/>
    <w:rsid w:val="00102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C61E7120A6E844987769BD5AE4235A1" ma:contentTypeVersion="104" ma:contentTypeDescription="" ma:contentTypeScope="" ma:versionID="8ddd6be1c619f9ad5a8d32551dcc50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2017-01-03T08:00:00+00:00</OpenedDate>
    <SignificantOrder xmlns="dc463f71-b30c-4ab2-9473-d307f9d35888">false</SignificantOrder>
    <Date1 xmlns="dc463f71-b30c-4ab2-9473-d307f9d35888">2018-03-05T08:00:00+00:00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170002</DocketNumber>
    <DelegatedOrder xmlns="dc463f71-b30c-4ab2-9473-d307f9d35888">false</DelegatedOrder>
  </documentManagement>
</p:properties>
</file>

<file path=customXml/itemProps1.xml><?xml version="1.0" encoding="utf-8"?>
<ds:datastoreItem xmlns:ds="http://schemas.openxmlformats.org/officeDocument/2006/customXml" ds:itemID="{0C407201-51CC-4EDD-AB13-EEA1954B3E92}">
  <ds:schemaRefs>
    <ds:schemaRef ds:uri="http://schemas.openxmlformats.org/officeDocument/2006/bibliography"/>
  </ds:schemaRefs>
</ds:datastoreItem>
</file>

<file path=customXml/itemProps2.xml><?xml version="1.0" encoding="utf-8"?>
<ds:datastoreItem xmlns:ds="http://schemas.openxmlformats.org/officeDocument/2006/customXml" ds:itemID="{EC9FAAA7-7AC9-485E-B4B0-94B74C784CA1}"/>
</file>

<file path=customXml/itemProps3.xml><?xml version="1.0" encoding="utf-8"?>
<ds:datastoreItem xmlns:ds="http://schemas.openxmlformats.org/officeDocument/2006/customXml" ds:itemID="{A5D74CB7-7F9A-49AE-BAA9-EE89B1939075}"/>
</file>

<file path=customXml/itemProps4.xml><?xml version="1.0" encoding="utf-8"?>
<ds:datastoreItem xmlns:ds="http://schemas.openxmlformats.org/officeDocument/2006/customXml" ds:itemID="{941ECE53-1A98-4C69-ADD3-32E8651130CF}"/>
</file>

<file path=customXml/itemProps5.xml><?xml version="1.0" encoding="utf-8"?>
<ds:datastoreItem xmlns:ds="http://schemas.openxmlformats.org/officeDocument/2006/customXml" ds:itemID="{431FC0A1-7435-4D12-9257-DD825128625B}"/>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3449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Jason (UTC)</dc:creator>
  <cp:keywords/>
  <dc:description/>
  <cp:lastModifiedBy>Huey, Lorilyn (UTC)</cp:lastModifiedBy>
  <cp:revision>2</cp:revision>
  <dcterms:created xsi:type="dcterms:W3CDTF">2018-03-05T17:46:00Z</dcterms:created>
  <dcterms:modified xsi:type="dcterms:W3CDTF">2018-03-05T17:46:00Z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0x0101006E56B4D1795A2E4DB2F0B01679ED314A002C61E7120A6E844987769BD5AE4235A1</vt:lpwstr>
  </property>
  <property fmtid="{D5CDD505-2E9C-101B-9397-08002B2CF9AE}" pid="3" name="_docset_NoMedatataSyncRequired">
    <vt:lpwstr>False</vt:lpwstr>
  </property>
  <property fmtid="{D5CDD505-2E9C-101B-9397-08002B2CF9AE}" pid="4" name="IsEFSEC">
    <vt:bool>false</vt:bool>
  </property>
</Properties>
</file>