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E5420E" w14:textId="77777777" w:rsidR="00357665" w:rsidRPr="00040AB6" w:rsidRDefault="00357665" w:rsidP="00AD09B3">
      <w:pPr>
        <w:spacing w:after="0" w:line="240" w:lineRule="auto"/>
        <w:jc w:val="center"/>
        <w:rPr>
          <w:rFonts w:asciiTheme="minorHAnsi" w:hAnsiTheme="minorHAnsi"/>
          <w:sz w:val="52"/>
          <w:szCs w:val="52"/>
        </w:rPr>
      </w:pPr>
      <w:r w:rsidRPr="00040AB6">
        <w:rPr>
          <w:rFonts w:asciiTheme="minorHAnsi" w:hAnsiTheme="minorHAnsi"/>
          <w:sz w:val="52"/>
          <w:szCs w:val="52"/>
        </w:rPr>
        <w:t xml:space="preserve">NW Natural’s </w:t>
      </w:r>
      <w:r w:rsidR="006606E5" w:rsidRPr="00040AB6">
        <w:rPr>
          <w:rFonts w:asciiTheme="minorHAnsi" w:hAnsiTheme="minorHAnsi"/>
          <w:sz w:val="52"/>
          <w:szCs w:val="52"/>
        </w:rPr>
        <w:t>201</w:t>
      </w:r>
      <w:r w:rsidR="00C74081">
        <w:rPr>
          <w:rFonts w:asciiTheme="minorHAnsi" w:hAnsiTheme="minorHAnsi"/>
          <w:sz w:val="52"/>
          <w:szCs w:val="52"/>
        </w:rPr>
        <w:t>7</w:t>
      </w:r>
      <w:r w:rsidR="006606E5" w:rsidRPr="00040AB6">
        <w:rPr>
          <w:rFonts w:asciiTheme="minorHAnsi" w:hAnsiTheme="minorHAnsi"/>
          <w:sz w:val="52"/>
          <w:szCs w:val="52"/>
        </w:rPr>
        <w:t xml:space="preserve"> </w:t>
      </w:r>
    </w:p>
    <w:p w14:paraId="70E5420F" w14:textId="77777777" w:rsidR="00357665" w:rsidRPr="00040AB6" w:rsidRDefault="00357665" w:rsidP="00AD09B3">
      <w:pPr>
        <w:spacing w:after="0" w:line="240" w:lineRule="auto"/>
        <w:jc w:val="center"/>
        <w:rPr>
          <w:rFonts w:asciiTheme="minorHAnsi" w:hAnsiTheme="minorHAnsi"/>
          <w:sz w:val="52"/>
          <w:szCs w:val="52"/>
        </w:rPr>
      </w:pPr>
      <w:r w:rsidRPr="00040AB6">
        <w:rPr>
          <w:rFonts w:asciiTheme="minorHAnsi" w:hAnsiTheme="minorHAnsi"/>
          <w:sz w:val="52"/>
          <w:szCs w:val="52"/>
        </w:rPr>
        <w:t>Energy Efficiency Plan</w:t>
      </w:r>
    </w:p>
    <w:p w14:paraId="70E54210" w14:textId="77777777" w:rsidR="00357665" w:rsidRPr="00040AB6" w:rsidRDefault="00357665" w:rsidP="00B12B90">
      <w:pPr>
        <w:rPr>
          <w:rFonts w:asciiTheme="minorHAnsi" w:hAnsiTheme="minorHAnsi"/>
          <w:sz w:val="32"/>
          <w:szCs w:val="32"/>
        </w:rPr>
      </w:pPr>
    </w:p>
    <w:p w14:paraId="70E54211" w14:textId="77777777" w:rsidR="005D1F3F" w:rsidRDefault="005D1F3F" w:rsidP="00EB0FF1">
      <w:pPr>
        <w:pStyle w:val="ListParagraph"/>
        <w:numPr>
          <w:ilvl w:val="0"/>
          <w:numId w:val="9"/>
        </w:numPr>
        <w:spacing w:after="0"/>
        <w:ind w:left="720"/>
        <w:rPr>
          <w:rFonts w:asciiTheme="minorHAnsi" w:hAnsiTheme="minorHAnsi"/>
          <w:sz w:val="32"/>
          <w:szCs w:val="32"/>
        </w:rPr>
      </w:pPr>
      <w:r>
        <w:rPr>
          <w:rFonts w:asciiTheme="minorHAnsi" w:hAnsiTheme="minorHAnsi"/>
          <w:sz w:val="32"/>
          <w:szCs w:val="32"/>
        </w:rPr>
        <w:t>Summary</w:t>
      </w:r>
    </w:p>
    <w:p w14:paraId="70E54212" w14:textId="77777777" w:rsidR="005D1F3F" w:rsidRDefault="001E283F" w:rsidP="00C110C1">
      <w:pPr>
        <w:spacing w:after="0" w:line="240" w:lineRule="auto"/>
        <w:ind w:left="720"/>
        <w:rPr>
          <w:rFonts w:asciiTheme="minorHAnsi" w:hAnsiTheme="minorHAnsi"/>
          <w:sz w:val="24"/>
          <w:szCs w:val="24"/>
        </w:rPr>
      </w:pPr>
      <w:r>
        <w:rPr>
          <w:rFonts w:asciiTheme="minorHAnsi" w:hAnsiTheme="minorHAnsi"/>
          <w:sz w:val="24"/>
          <w:szCs w:val="24"/>
        </w:rPr>
        <w:t xml:space="preserve">The following plan outlines how </w:t>
      </w:r>
      <w:r w:rsidR="005D1F3F">
        <w:rPr>
          <w:rFonts w:asciiTheme="minorHAnsi" w:hAnsiTheme="minorHAnsi"/>
          <w:sz w:val="24"/>
          <w:szCs w:val="24"/>
        </w:rPr>
        <w:t xml:space="preserve">NW Natural </w:t>
      </w:r>
      <w:r>
        <w:rPr>
          <w:rFonts w:asciiTheme="minorHAnsi" w:hAnsiTheme="minorHAnsi"/>
          <w:sz w:val="24"/>
          <w:szCs w:val="24"/>
        </w:rPr>
        <w:t>plans</w:t>
      </w:r>
      <w:r w:rsidR="00B0652F">
        <w:rPr>
          <w:rFonts w:asciiTheme="minorHAnsi" w:hAnsiTheme="minorHAnsi"/>
          <w:sz w:val="24"/>
          <w:szCs w:val="24"/>
        </w:rPr>
        <w:t xml:space="preserve"> </w:t>
      </w:r>
      <w:r>
        <w:rPr>
          <w:rFonts w:asciiTheme="minorHAnsi" w:hAnsiTheme="minorHAnsi"/>
          <w:sz w:val="24"/>
          <w:szCs w:val="24"/>
        </w:rPr>
        <w:t>to save</w:t>
      </w:r>
      <w:r w:rsidR="005D1F3F">
        <w:rPr>
          <w:rFonts w:asciiTheme="minorHAnsi" w:hAnsiTheme="minorHAnsi"/>
          <w:sz w:val="24"/>
          <w:szCs w:val="24"/>
        </w:rPr>
        <w:t xml:space="preserve"> </w:t>
      </w:r>
      <w:r w:rsidR="005D1F3F" w:rsidRPr="005D1F3F">
        <w:rPr>
          <w:rFonts w:asciiTheme="minorHAnsi" w:hAnsiTheme="minorHAnsi"/>
          <w:sz w:val="24"/>
          <w:szCs w:val="24"/>
        </w:rPr>
        <w:t xml:space="preserve">291,689 </w:t>
      </w:r>
      <w:r w:rsidR="005D1F3F">
        <w:rPr>
          <w:rFonts w:asciiTheme="minorHAnsi" w:hAnsiTheme="minorHAnsi"/>
          <w:sz w:val="24"/>
          <w:szCs w:val="24"/>
        </w:rPr>
        <w:t xml:space="preserve">therms across </w:t>
      </w:r>
      <w:r>
        <w:rPr>
          <w:rFonts w:asciiTheme="minorHAnsi" w:hAnsiTheme="minorHAnsi"/>
          <w:sz w:val="24"/>
          <w:szCs w:val="24"/>
        </w:rPr>
        <w:t xml:space="preserve">its energy efficiency </w:t>
      </w:r>
      <w:r w:rsidR="005D1F3F">
        <w:rPr>
          <w:rFonts w:asciiTheme="minorHAnsi" w:hAnsiTheme="minorHAnsi"/>
          <w:sz w:val="24"/>
          <w:szCs w:val="24"/>
        </w:rPr>
        <w:t>programs</w:t>
      </w:r>
      <w:r>
        <w:rPr>
          <w:rFonts w:asciiTheme="minorHAnsi" w:hAnsiTheme="minorHAnsi"/>
          <w:sz w:val="24"/>
          <w:szCs w:val="24"/>
        </w:rPr>
        <w:t>. These savings are expected to</w:t>
      </w:r>
      <w:r w:rsidR="005D1F3F">
        <w:rPr>
          <w:rFonts w:asciiTheme="minorHAnsi" w:hAnsiTheme="minorHAnsi"/>
          <w:sz w:val="24"/>
          <w:szCs w:val="24"/>
        </w:rPr>
        <w:t xml:space="preserve"> cost </w:t>
      </w:r>
      <w:r w:rsidR="005D1F3F" w:rsidRPr="00AC364B">
        <w:rPr>
          <w:rFonts w:asciiTheme="minorHAnsi" w:hAnsiTheme="minorHAnsi"/>
          <w:sz w:val="24"/>
          <w:szCs w:val="24"/>
        </w:rPr>
        <w:t>$2,270,</w:t>
      </w:r>
      <w:r w:rsidR="00AC364B">
        <w:rPr>
          <w:rFonts w:asciiTheme="minorHAnsi" w:hAnsiTheme="minorHAnsi"/>
          <w:sz w:val="24"/>
          <w:szCs w:val="24"/>
        </w:rPr>
        <w:t>413</w:t>
      </w:r>
      <w:r w:rsidR="005D1F3F" w:rsidRPr="00AC364B">
        <w:rPr>
          <w:rFonts w:asciiTheme="minorHAnsi" w:hAnsiTheme="minorHAnsi"/>
          <w:sz w:val="24"/>
          <w:szCs w:val="24"/>
        </w:rPr>
        <w:t>.</w:t>
      </w:r>
      <w:r w:rsidR="005D1F3F">
        <w:rPr>
          <w:rFonts w:asciiTheme="minorHAnsi" w:hAnsiTheme="minorHAnsi"/>
          <w:sz w:val="24"/>
          <w:szCs w:val="24"/>
        </w:rPr>
        <w:t xml:space="preserve"> This represents a 7% increase in savings and </w:t>
      </w:r>
      <w:r w:rsidR="00C60B0E" w:rsidRPr="00AC364B">
        <w:rPr>
          <w:rFonts w:asciiTheme="minorHAnsi" w:hAnsiTheme="minorHAnsi"/>
          <w:sz w:val="24"/>
          <w:szCs w:val="24"/>
        </w:rPr>
        <w:t>21</w:t>
      </w:r>
      <w:r w:rsidR="005D1F3F" w:rsidRPr="00AC364B">
        <w:rPr>
          <w:rFonts w:asciiTheme="minorHAnsi" w:hAnsiTheme="minorHAnsi"/>
          <w:sz w:val="24"/>
          <w:szCs w:val="24"/>
        </w:rPr>
        <w:t>% increase</w:t>
      </w:r>
      <w:r w:rsidR="005D1F3F">
        <w:rPr>
          <w:rFonts w:asciiTheme="minorHAnsi" w:hAnsiTheme="minorHAnsi"/>
          <w:sz w:val="24"/>
          <w:szCs w:val="24"/>
        </w:rPr>
        <w:t xml:space="preserve"> in costs over 2016.</w:t>
      </w:r>
      <w:r w:rsidR="003055F4">
        <w:rPr>
          <w:rFonts w:asciiTheme="minorHAnsi" w:hAnsiTheme="minorHAnsi"/>
          <w:sz w:val="24"/>
          <w:szCs w:val="24"/>
        </w:rPr>
        <w:t xml:space="preserve"> </w:t>
      </w:r>
      <w:r w:rsidR="00A07943">
        <w:rPr>
          <w:rFonts w:asciiTheme="minorHAnsi" w:hAnsiTheme="minorHAnsi"/>
          <w:sz w:val="24"/>
          <w:szCs w:val="24"/>
        </w:rPr>
        <w:t xml:space="preserve">The </w:t>
      </w:r>
      <w:r w:rsidR="00B0652F">
        <w:rPr>
          <w:rFonts w:asciiTheme="minorHAnsi" w:hAnsiTheme="minorHAnsi"/>
          <w:sz w:val="24"/>
          <w:szCs w:val="24"/>
        </w:rPr>
        <w:t xml:space="preserve">incentive program </w:t>
      </w:r>
      <w:r w:rsidR="00A07943">
        <w:rPr>
          <w:rFonts w:asciiTheme="minorHAnsi" w:hAnsiTheme="minorHAnsi"/>
          <w:sz w:val="24"/>
          <w:szCs w:val="24"/>
        </w:rPr>
        <w:t>portfolio is</w:t>
      </w:r>
      <w:r w:rsidR="003055F4">
        <w:rPr>
          <w:rFonts w:asciiTheme="minorHAnsi" w:hAnsiTheme="minorHAnsi"/>
          <w:sz w:val="24"/>
          <w:szCs w:val="24"/>
        </w:rPr>
        <w:t xml:space="preserve"> expected to </w:t>
      </w:r>
      <w:r w:rsidR="00A07943">
        <w:rPr>
          <w:rFonts w:asciiTheme="minorHAnsi" w:hAnsiTheme="minorHAnsi"/>
          <w:sz w:val="24"/>
          <w:szCs w:val="24"/>
        </w:rPr>
        <w:t>have</w:t>
      </w:r>
      <w:r w:rsidR="002301EC">
        <w:rPr>
          <w:rFonts w:asciiTheme="minorHAnsi" w:hAnsiTheme="minorHAnsi"/>
          <w:sz w:val="24"/>
          <w:szCs w:val="24"/>
        </w:rPr>
        <w:t xml:space="preserve"> a</w:t>
      </w:r>
      <w:r w:rsidR="00A07943">
        <w:rPr>
          <w:rFonts w:asciiTheme="minorHAnsi" w:hAnsiTheme="minorHAnsi"/>
          <w:sz w:val="24"/>
          <w:szCs w:val="24"/>
        </w:rPr>
        <w:t xml:space="preserve"> levelized cost of </w:t>
      </w:r>
      <w:r w:rsidR="003055F4">
        <w:rPr>
          <w:rFonts w:asciiTheme="minorHAnsi" w:hAnsiTheme="minorHAnsi"/>
          <w:sz w:val="24"/>
          <w:szCs w:val="24"/>
        </w:rPr>
        <w:t xml:space="preserve">$0.53 which is 18% below the cap of $0.65 and </w:t>
      </w:r>
      <w:r w:rsidR="00A07943">
        <w:rPr>
          <w:rFonts w:asciiTheme="minorHAnsi" w:hAnsiTheme="minorHAnsi"/>
          <w:sz w:val="24"/>
          <w:szCs w:val="24"/>
        </w:rPr>
        <w:t xml:space="preserve">a </w:t>
      </w:r>
      <w:r w:rsidR="003055F4">
        <w:rPr>
          <w:rFonts w:asciiTheme="minorHAnsi" w:hAnsiTheme="minorHAnsi"/>
          <w:sz w:val="24"/>
          <w:szCs w:val="24"/>
        </w:rPr>
        <w:t>portfolio level Utility Cost Test greater than 1</w:t>
      </w:r>
      <w:r>
        <w:rPr>
          <w:rFonts w:asciiTheme="minorHAnsi" w:hAnsiTheme="minorHAnsi"/>
          <w:sz w:val="24"/>
          <w:szCs w:val="24"/>
        </w:rPr>
        <w:t>.0</w:t>
      </w:r>
      <w:r w:rsidR="003055F4">
        <w:rPr>
          <w:rFonts w:asciiTheme="minorHAnsi" w:hAnsiTheme="minorHAnsi"/>
          <w:sz w:val="24"/>
          <w:szCs w:val="24"/>
        </w:rPr>
        <w:t>.</w:t>
      </w:r>
    </w:p>
    <w:p w14:paraId="70E54213" w14:textId="77777777" w:rsidR="005D1F3F" w:rsidRPr="005D1F3F" w:rsidRDefault="005D1F3F" w:rsidP="005D1F3F">
      <w:pPr>
        <w:spacing w:after="0"/>
        <w:ind w:left="720"/>
        <w:rPr>
          <w:rFonts w:asciiTheme="minorHAnsi" w:hAnsiTheme="minorHAnsi"/>
          <w:sz w:val="24"/>
          <w:szCs w:val="24"/>
        </w:rPr>
      </w:pPr>
    </w:p>
    <w:p w14:paraId="70E54214" w14:textId="77777777" w:rsidR="00357665" w:rsidRPr="00040AB6" w:rsidRDefault="00357665" w:rsidP="00EB0FF1">
      <w:pPr>
        <w:pStyle w:val="ListParagraph"/>
        <w:numPr>
          <w:ilvl w:val="0"/>
          <w:numId w:val="9"/>
        </w:numPr>
        <w:spacing w:after="0"/>
        <w:ind w:left="720"/>
        <w:rPr>
          <w:rFonts w:asciiTheme="minorHAnsi" w:hAnsiTheme="minorHAnsi"/>
          <w:sz w:val="32"/>
          <w:szCs w:val="32"/>
        </w:rPr>
      </w:pPr>
      <w:r w:rsidRPr="00040AB6">
        <w:rPr>
          <w:rFonts w:asciiTheme="minorHAnsi" w:hAnsiTheme="minorHAnsi"/>
          <w:sz w:val="32"/>
          <w:szCs w:val="32"/>
        </w:rPr>
        <w:t>Background</w:t>
      </w:r>
    </w:p>
    <w:p w14:paraId="70E54215" w14:textId="77777777" w:rsidR="00357665" w:rsidRPr="00040AB6" w:rsidRDefault="00357665" w:rsidP="00EB0FF1">
      <w:pPr>
        <w:pStyle w:val="ListParagraph"/>
        <w:spacing w:after="0" w:line="240" w:lineRule="auto"/>
        <w:rPr>
          <w:rFonts w:asciiTheme="minorHAnsi" w:hAnsiTheme="minorHAnsi"/>
          <w:sz w:val="24"/>
          <w:szCs w:val="24"/>
        </w:rPr>
      </w:pPr>
      <w:r w:rsidRPr="00040AB6">
        <w:rPr>
          <w:rFonts w:asciiTheme="minorHAnsi" w:hAnsiTheme="minorHAnsi"/>
          <w:sz w:val="24"/>
          <w:szCs w:val="24"/>
        </w:rPr>
        <w:t>Northwest Natural, dba NW Natural (“NW Natural” or Company”), began offering its current energy efficiency programs to Washington customers on October 1, 2009.  The Washington Utilities and Transportation Commission’s (</w:t>
      </w:r>
      <w:r w:rsidR="00FE0DD2" w:rsidRPr="00040AB6">
        <w:rPr>
          <w:rFonts w:asciiTheme="minorHAnsi" w:hAnsiTheme="minorHAnsi"/>
          <w:sz w:val="24"/>
          <w:szCs w:val="24"/>
        </w:rPr>
        <w:t>“</w:t>
      </w:r>
      <w:r w:rsidRPr="00040AB6">
        <w:rPr>
          <w:rFonts w:asciiTheme="minorHAnsi" w:hAnsiTheme="minorHAnsi"/>
          <w:sz w:val="24"/>
          <w:szCs w:val="24"/>
        </w:rPr>
        <w:t>WUTC’s</w:t>
      </w:r>
      <w:r w:rsidR="00FE0DD2" w:rsidRPr="00040AB6">
        <w:rPr>
          <w:rFonts w:asciiTheme="minorHAnsi" w:hAnsiTheme="minorHAnsi"/>
          <w:sz w:val="24"/>
          <w:szCs w:val="24"/>
        </w:rPr>
        <w:t>”</w:t>
      </w:r>
      <w:r w:rsidRPr="00040AB6">
        <w:rPr>
          <w:rFonts w:asciiTheme="minorHAnsi" w:hAnsiTheme="minorHAnsi"/>
          <w:sz w:val="24"/>
          <w:szCs w:val="24"/>
        </w:rPr>
        <w:t>) Order No. 04 in the Company’s 2008 rate case, docketed as UG-080546, directed NW Natural to create and begin offering a program.</w:t>
      </w:r>
    </w:p>
    <w:p w14:paraId="70E54216" w14:textId="77777777" w:rsidR="00357665" w:rsidRPr="00040AB6" w:rsidRDefault="00357665" w:rsidP="00B12B90">
      <w:pPr>
        <w:pStyle w:val="ListParagraph"/>
        <w:spacing w:after="0" w:line="240" w:lineRule="auto"/>
        <w:ind w:hanging="720"/>
        <w:rPr>
          <w:rFonts w:asciiTheme="minorHAnsi" w:hAnsiTheme="minorHAnsi"/>
          <w:sz w:val="24"/>
          <w:szCs w:val="24"/>
        </w:rPr>
      </w:pPr>
    </w:p>
    <w:p w14:paraId="70E54217" w14:textId="77777777" w:rsidR="00357665" w:rsidRPr="00040AB6" w:rsidRDefault="00357665" w:rsidP="00B12B90">
      <w:pPr>
        <w:pStyle w:val="ListParagraph"/>
        <w:numPr>
          <w:ilvl w:val="0"/>
          <w:numId w:val="9"/>
        </w:numPr>
        <w:spacing w:after="0" w:line="240" w:lineRule="auto"/>
        <w:ind w:left="720"/>
        <w:rPr>
          <w:rFonts w:asciiTheme="minorHAnsi" w:hAnsiTheme="minorHAnsi"/>
          <w:sz w:val="32"/>
          <w:szCs w:val="32"/>
        </w:rPr>
      </w:pPr>
      <w:r w:rsidRPr="00040AB6">
        <w:rPr>
          <w:rFonts w:asciiTheme="minorHAnsi" w:hAnsiTheme="minorHAnsi"/>
          <w:sz w:val="32"/>
          <w:szCs w:val="32"/>
        </w:rPr>
        <w:t>Oversight</w:t>
      </w:r>
    </w:p>
    <w:p w14:paraId="70E54218" w14:textId="77777777" w:rsidR="00357665" w:rsidRPr="00040AB6" w:rsidRDefault="00357665" w:rsidP="000F51D9">
      <w:pPr>
        <w:pStyle w:val="ListParagraph"/>
        <w:spacing w:after="0" w:line="240" w:lineRule="auto"/>
        <w:rPr>
          <w:rFonts w:asciiTheme="minorHAnsi" w:hAnsiTheme="minorHAnsi"/>
          <w:sz w:val="24"/>
          <w:szCs w:val="24"/>
        </w:rPr>
      </w:pPr>
      <w:r w:rsidRPr="00040AB6">
        <w:rPr>
          <w:rFonts w:asciiTheme="minorHAnsi" w:hAnsiTheme="minorHAnsi"/>
          <w:sz w:val="24"/>
          <w:szCs w:val="24"/>
        </w:rPr>
        <w:t xml:space="preserve">NW Natural’s energy efficiency programs were developed and continue to evolve under the direction and oversight of the Energy Efficiency Advisory Group (“EEAG”) which is comprised of interested parties to the Company’s 2008 rate case.  The EEAG includes representatives from NW Natural, Energy Trust of Oregon (“Energy Trust”), WUTC Staff, Public Counsel, Northwest Industrial Gas Users (“NWIGU”), The Energy Project, and NW Energy Coalition. </w:t>
      </w:r>
    </w:p>
    <w:p w14:paraId="70E54219" w14:textId="77777777" w:rsidR="00357665" w:rsidRPr="00040AB6" w:rsidRDefault="00357665" w:rsidP="00B12B90">
      <w:pPr>
        <w:pStyle w:val="ListParagraph"/>
        <w:spacing w:after="0" w:line="240" w:lineRule="auto"/>
        <w:ind w:hanging="720"/>
        <w:rPr>
          <w:rFonts w:asciiTheme="minorHAnsi" w:hAnsiTheme="minorHAnsi"/>
          <w:sz w:val="24"/>
          <w:szCs w:val="24"/>
        </w:rPr>
      </w:pPr>
    </w:p>
    <w:p w14:paraId="70E5421A" w14:textId="77777777" w:rsidR="00357665" w:rsidRPr="00040AB6" w:rsidRDefault="00357665" w:rsidP="00B12B90">
      <w:pPr>
        <w:pStyle w:val="ListParagraph"/>
        <w:numPr>
          <w:ilvl w:val="0"/>
          <w:numId w:val="9"/>
        </w:numPr>
        <w:spacing w:after="0" w:line="240" w:lineRule="auto"/>
        <w:ind w:left="720"/>
        <w:rPr>
          <w:rFonts w:asciiTheme="minorHAnsi" w:hAnsiTheme="minorHAnsi"/>
          <w:sz w:val="32"/>
          <w:szCs w:val="32"/>
        </w:rPr>
      </w:pPr>
      <w:r w:rsidRPr="00040AB6">
        <w:rPr>
          <w:rFonts w:asciiTheme="minorHAnsi" w:hAnsiTheme="minorHAnsi"/>
          <w:sz w:val="32"/>
          <w:szCs w:val="32"/>
        </w:rPr>
        <w:t>Program Administration</w:t>
      </w:r>
    </w:p>
    <w:p w14:paraId="70E5421B" w14:textId="77777777" w:rsidR="00357665" w:rsidRPr="00040AB6" w:rsidRDefault="00357665" w:rsidP="00B12B90">
      <w:pPr>
        <w:spacing w:after="0" w:line="240" w:lineRule="auto"/>
        <w:ind w:left="720"/>
        <w:rPr>
          <w:rFonts w:asciiTheme="minorHAnsi" w:hAnsiTheme="minorHAnsi"/>
          <w:sz w:val="24"/>
          <w:szCs w:val="24"/>
        </w:rPr>
      </w:pPr>
      <w:r w:rsidRPr="00040AB6">
        <w:rPr>
          <w:rFonts w:asciiTheme="minorHAnsi" w:hAnsiTheme="minorHAnsi"/>
          <w:sz w:val="24"/>
          <w:szCs w:val="24"/>
        </w:rPr>
        <w:t>NW Natural’s general energy efficiency programs are administered by Energy Trust, which is an independent, nonprofit organization dedicated to helping utility customers save electric and gas energy.  Energy Trust was formed in 2002 in response to Oregon legislation that restructured electric utilities</w:t>
      </w:r>
      <w:r w:rsidRPr="00040AB6">
        <w:rPr>
          <w:rStyle w:val="FootnoteReference"/>
          <w:rFonts w:asciiTheme="minorHAnsi" w:hAnsiTheme="minorHAnsi"/>
          <w:sz w:val="24"/>
          <w:szCs w:val="24"/>
        </w:rPr>
        <w:footnoteReference w:id="2"/>
      </w:r>
      <w:r w:rsidRPr="00040AB6">
        <w:rPr>
          <w:rFonts w:asciiTheme="minorHAnsi" w:hAnsiTheme="minorHAnsi"/>
          <w:sz w:val="24"/>
          <w:szCs w:val="24"/>
        </w:rPr>
        <w:t xml:space="preserve"> for multiple reasons</w:t>
      </w:r>
      <w:r w:rsidR="004E59E6">
        <w:rPr>
          <w:rFonts w:asciiTheme="minorHAnsi" w:hAnsiTheme="minorHAnsi"/>
          <w:sz w:val="24"/>
          <w:szCs w:val="24"/>
        </w:rPr>
        <w:t>,</w:t>
      </w:r>
      <w:r w:rsidRPr="00040AB6">
        <w:rPr>
          <w:rFonts w:asciiTheme="minorHAnsi" w:hAnsiTheme="minorHAnsi"/>
          <w:sz w:val="24"/>
          <w:szCs w:val="24"/>
        </w:rPr>
        <w:t xml:space="preserve"> including allowing non-residential customers to purchase their electricity from providers other than the utility and reassigning the responsibility for demand side management from utility operations to Energy Trust.  </w:t>
      </w:r>
    </w:p>
    <w:p w14:paraId="70E5421C" w14:textId="77777777" w:rsidR="00357665" w:rsidRPr="00040AB6" w:rsidRDefault="00357665" w:rsidP="001E306E">
      <w:pPr>
        <w:spacing w:after="0" w:line="240" w:lineRule="auto"/>
        <w:ind w:left="720"/>
        <w:rPr>
          <w:rFonts w:asciiTheme="minorHAnsi" w:hAnsiTheme="minorHAnsi"/>
          <w:sz w:val="24"/>
          <w:szCs w:val="24"/>
        </w:rPr>
      </w:pPr>
    </w:p>
    <w:p w14:paraId="70E5421D" w14:textId="77777777" w:rsidR="00357665" w:rsidRPr="00040AB6" w:rsidRDefault="00357665" w:rsidP="001E306E">
      <w:pPr>
        <w:spacing w:after="0" w:line="240" w:lineRule="auto"/>
        <w:ind w:left="720"/>
        <w:rPr>
          <w:rFonts w:asciiTheme="minorHAnsi" w:hAnsiTheme="minorHAnsi"/>
          <w:sz w:val="24"/>
          <w:szCs w:val="24"/>
        </w:rPr>
      </w:pPr>
      <w:r w:rsidRPr="00040AB6">
        <w:rPr>
          <w:rFonts w:asciiTheme="minorHAnsi" w:hAnsiTheme="minorHAnsi"/>
          <w:sz w:val="24"/>
          <w:szCs w:val="24"/>
        </w:rPr>
        <w:lastRenderedPageBreak/>
        <w:t xml:space="preserve">NW Natural began using Energy Trust as the delivery arm for its Oregon energy efficiency program in 2003.  Since NW Natural’s Washington service territory is contiguous with its Oregon territory, it made sense to have Energy Trust extend the boundaries of the Oregon program offerings into Washington.  </w:t>
      </w:r>
    </w:p>
    <w:p w14:paraId="70E5421E" w14:textId="77777777" w:rsidR="00357665" w:rsidRPr="00040AB6" w:rsidRDefault="00357665" w:rsidP="001E306E">
      <w:pPr>
        <w:spacing w:after="0" w:line="240" w:lineRule="auto"/>
        <w:ind w:left="720"/>
        <w:rPr>
          <w:rFonts w:asciiTheme="minorHAnsi" w:hAnsiTheme="minorHAnsi"/>
          <w:sz w:val="24"/>
          <w:szCs w:val="24"/>
        </w:rPr>
      </w:pPr>
    </w:p>
    <w:p w14:paraId="70E5421F" w14:textId="77777777" w:rsidR="00357665" w:rsidRPr="00040AB6" w:rsidRDefault="00357665" w:rsidP="001E306E">
      <w:pPr>
        <w:spacing w:after="0" w:line="240" w:lineRule="auto"/>
        <w:ind w:left="720"/>
        <w:rPr>
          <w:rFonts w:asciiTheme="minorHAnsi" w:hAnsiTheme="minorHAnsi"/>
          <w:sz w:val="24"/>
          <w:szCs w:val="24"/>
        </w:rPr>
      </w:pPr>
      <w:r w:rsidRPr="00040AB6">
        <w:rPr>
          <w:rFonts w:asciiTheme="minorHAnsi" w:hAnsiTheme="minorHAnsi"/>
          <w:sz w:val="24"/>
          <w:szCs w:val="24"/>
        </w:rPr>
        <w:t xml:space="preserve">As agreed to in UG-080546, Energy Trust administered the Company’s program for one pilot year.  During this time, the EEAG monitored the program’s performance and assessed whether Energy Trust should be the ongoing program administrator.  On May 25, 2011, NW Natural made a compliance filing in UG-080546 wherein it stated the EEAG’s opinion to allow Energy Trust to continue administering NW Natural’s energy efficiency programs in Washington. On June 8, 2011, Public Counsel separately filed a letter supporting this decision.  </w:t>
      </w:r>
    </w:p>
    <w:p w14:paraId="70E54220" w14:textId="77777777" w:rsidR="00357665" w:rsidRPr="00040AB6" w:rsidRDefault="00357665" w:rsidP="00BF2975">
      <w:pPr>
        <w:spacing w:after="0" w:line="240" w:lineRule="auto"/>
        <w:ind w:left="1080"/>
        <w:rPr>
          <w:rFonts w:asciiTheme="minorHAnsi" w:hAnsiTheme="minorHAnsi"/>
          <w:sz w:val="24"/>
          <w:szCs w:val="24"/>
        </w:rPr>
      </w:pPr>
    </w:p>
    <w:p w14:paraId="70E54221" w14:textId="77777777" w:rsidR="00357665" w:rsidRDefault="00357665" w:rsidP="00BF2975">
      <w:pPr>
        <w:spacing w:after="0" w:line="240" w:lineRule="auto"/>
        <w:ind w:left="720"/>
        <w:rPr>
          <w:rFonts w:asciiTheme="minorHAnsi" w:hAnsiTheme="minorHAnsi"/>
          <w:sz w:val="24"/>
          <w:szCs w:val="24"/>
        </w:rPr>
      </w:pPr>
      <w:r w:rsidRPr="00040AB6">
        <w:rPr>
          <w:rFonts w:asciiTheme="minorHAnsi" w:hAnsiTheme="minorHAnsi"/>
          <w:sz w:val="24"/>
          <w:szCs w:val="24"/>
        </w:rPr>
        <w:t xml:space="preserve">NW Natural’s </w:t>
      </w:r>
      <w:r w:rsidR="00737F45" w:rsidRPr="00040AB6">
        <w:rPr>
          <w:rFonts w:asciiTheme="minorHAnsi" w:hAnsiTheme="minorHAnsi"/>
          <w:sz w:val="24"/>
          <w:szCs w:val="24"/>
        </w:rPr>
        <w:t>“</w:t>
      </w:r>
      <w:r w:rsidR="008C4F4E" w:rsidRPr="008C4F4E">
        <w:rPr>
          <w:rFonts w:asciiTheme="minorHAnsi" w:hAnsiTheme="minorHAnsi"/>
          <w:sz w:val="24"/>
          <w:szCs w:val="24"/>
        </w:rPr>
        <w:t>Washington Low Income Energy Efficiency Program (WA-LIEE)</w:t>
      </w:r>
      <w:r w:rsidR="00737F45">
        <w:rPr>
          <w:rFonts w:asciiTheme="minorHAnsi" w:hAnsiTheme="minorHAnsi"/>
          <w:sz w:val="24"/>
          <w:szCs w:val="24"/>
        </w:rPr>
        <w:t>”</w:t>
      </w:r>
      <w:r w:rsidRPr="00040AB6">
        <w:rPr>
          <w:rFonts w:asciiTheme="minorHAnsi" w:hAnsiTheme="minorHAnsi"/>
          <w:sz w:val="24"/>
          <w:szCs w:val="24"/>
        </w:rPr>
        <w:t xml:space="preserve"> is administered by Clark County Community Action Agency </w:t>
      </w:r>
      <w:r w:rsidR="00D85227">
        <w:rPr>
          <w:rFonts w:asciiTheme="minorHAnsi" w:hAnsiTheme="minorHAnsi"/>
          <w:sz w:val="24"/>
          <w:szCs w:val="24"/>
        </w:rPr>
        <w:t xml:space="preserve">and Washington Gorge Action Programs serving </w:t>
      </w:r>
      <w:r w:rsidRPr="00040AB6">
        <w:rPr>
          <w:rFonts w:asciiTheme="minorHAnsi" w:hAnsiTheme="minorHAnsi"/>
          <w:sz w:val="24"/>
          <w:szCs w:val="24"/>
        </w:rPr>
        <w:t>Klickitat</w:t>
      </w:r>
      <w:r w:rsidR="00D85227">
        <w:rPr>
          <w:rFonts w:asciiTheme="minorHAnsi" w:hAnsiTheme="minorHAnsi"/>
          <w:sz w:val="24"/>
          <w:szCs w:val="24"/>
        </w:rPr>
        <w:t xml:space="preserve"> and Skamania</w:t>
      </w:r>
      <w:r w:rsidRPr="00040AB6">
        <w:rPr>
          <w:rFonts w:asciiTheme="minorHAnsi" w:hAnsiTheme="minorHAnsi"/>
          <w:sz w:val="24"/>
          <w:szCs w:val="24"/>
        </w:rPr>
        <w:t xml:space="preserve"> Count</w:t>
      </w:r>
      <w:r w:rsidR="00D85227">
        <w:rPr>
          <w:rFonts w:asciiTheme="minorHAnsi" w:hAnsiTheme="minorHAnsi"/>
          <w:sz w:val="24"/>
          <w:szCs w:val="24"/>
        </w:rPr>
        <w:t>ies.</w:t>
      </w:r>
      <w:r w:rsidRPr="00040AB6">
        <w:rPr>
          <w:rFonts w:asciiTheme="minorHAnsi" w:hAnsiTheme="minorHAnsi"/>
          <w:sz w:val="24"/>
          <w:szCs w:val="24"/>
        </w:rPr>
        <w:t xml:space="preserve"> </w:t>
      </w:r>
    </w:p>
    <w:p w14:paraId="70E54222" w14:textId="77777777" w:rsidR="008C4F4E" w:rsidRDefault="008C4F4E" w:rsidP="00BF2975">
      <w:pPr>
        <w:spacing w:after="0" w:line="240" w:lineRule="auto"/>
        <w:ind w:left="720"/>
        <w:rPr>
          <w:rFonts w:asciiTheme="minorHAnsi" w:hAnsiTheme="minorHAnsi"/>
          <w:sz w:val="24"/>
          <w:szCs w:val="24"/>
        </w:rPr>
      </w:pPr>
    </w:p>
    <w:p w14:paraId="70E54223" w14:textId="77777777" w:rsidR="008C4F4E" w:rsidRPr="00040AB6" w:rsidRDefault="008C4F4E" w:rsidP="00BF2975">
      <w:pPr>
        <w:spacing w:after="0" w:line="240" w:lineRule="auto"/>
        <w:ind w:left="720"/>
        <w:rPr>
          <w:rFonts w:asciiTheme="minorHAnsi" w:hAnsiTheme="minorHAnsi"/>
          <w:sz w:val="24"/>
          <w:szCs w:val="24"/>
        </w:rPr>
      </w:pPr>
      <w:r>
        <w:rPr>
          <w:rFonts w:asciiTheme="minorHAnsi" w:hAnsiTheme="minorHAnsi"/>
          <w:sz w:val="24"/>
          <w:szCs w:val="24"/>
        </w:rPr>
        <w:t xml:space="preserve">Internally, NW Natural has one partial FTE to provide program oversight, enhancement and reporting of </w:t>
      </w:r>
      <w:r w:rsidR="001E283F">
        <w:rPr>
          <w:rFonts w:asciiTheme="minorHAnsi" w:hAnsiTheme="minorHAnsi"/>
          <w:sz w:val="24"/>
          <w:szCs w:val="24"/>
        </w:rPr>
        <w:t xml:space="preserve">its </w:t>
      </w:r>
      <w:r>
        <w:rPr>
          <w:rFonts w:asciiTheme="minorHAnsi" w:hAnsiTheme="minorHAnsi"/>
          <w:sz w:val="24"/>
          <w:szCs w:val="24"/>
        </w:rPr>
        <w:t xml:space="preserve">delivery partners’ </w:t>
      </w:r>
      <w:r w:rsidR="001E283F">
        <w:rPr>
          <w:rFonts w:asciiTheme="minorHAnsi" w:hAnsiTheme="minorHAnsi"/>
          <w:sz w:val="24"/>
          <w:szCs w:val="24"/>
        </w:rPr>
        <w:t xml:space="preserve">(Energy Trust and County agencies) </w:t>
      </w:r>
      <w:r>
        <w:rPr>
          <w:rFonts w:asciiTheme="minorHAnsi" w:hAnsiTheme="minorHAnsi"/>
          <w:sz w:val="24"/>
          <w:szCs w:val="24"/>
        </w:rPr>
        <w:t xml:space="preserve">progress and </w:t>
      </w:r>
      <w:r w:rsidR="00B0652F">
        <w:rPr>
          <w:rFonts w:asciiTheme="minorHAnsi" w:hAnsiTheme="minorHAnsi"/>
          <w:sz w:val="24"/>
          <w:szCs w:val="24"/>
        </w:rPr>
        <w:t>achievements</w:t>
      </w:r>
      <w:r>
        <w:rPr>
          <w:rFonts w:asciiTheme="minorHAnsi" w:hAnsiTheme="minorHAnsi"/>
          <w:sz w:val="24"/>
          <w:szCs w:val="24"/>
        </w:rPr>
        <w:t xml:space="preserve">. </w:t>
      </w:r>
    </w:p>
    <w:p w14:paraId="70E54224" w14:textId="77777777" w:rsidR="00357665" w:rsidRPr="00AC364B" w:rsidRDefault="00357665" w:rsidP="00BF2975">
      <w:pPr>
        <w:spacing w:after="0" w:line="240" w:lineRule="auto"/>
        <w:ind w:left="720"/>
        <w:rPr>
          <w:rFonts w:asciiTheme="minorHAnsi" w:hAnsiTheme="minorHAnsi"/>
          <w:sz w:val="24"/>
          <w:szCs w:val="24"/>
        </w:rPr>
      </w:pPr>
    </w:p>
    <w:p w14:paraId="70E54225" w14:textId="77777777" w:rsidR="00357665" w:rsidRPr="00040AB6" w:rsidRDefault="00357665" w:rsidP="00EB0FF1">
      <w:pPr>
        <w:pStyle w:val="ListParagraph"/>
        <w:numPr>
          <w:ilvl w:val="0"/>
          <w:numId w:val="9"/>
        </w:numPr>
        <w:spacing w:after="0" w:line="240" w:lineRule="auto"/>
        <w:ind w:left="720"/>
        <w:rPr>
          <w:rFonts w:asciiTheme="minorHAnsi" w:hAnsiTheme="minorHAnsi"/>
          <w:sz w:val="32"/>
          <w:szCs w:val="32"/>
        </w:rPr>
      </w:pPr>
      <w:r w:rsidRPr="00040AB6">
        <w:rPr>
          <w:rFonts w:asciiTheme="minorHAnsi" w:hAnsiTheme="minorHAnsi"/>
          <w:sz w:val="32"/>
          <w:szCs w:val="32"/>
        </w:rPr>
        <w:t>Programs Offered</w:t>
      </w:r>
    </w:p>
    <w:p w14:paraId="70E54226" w14:textId="77777777" w:rsidR="00357665" w:rsidRPr="00040AB6" w:rsidRDefault="00357665" w:rsidP="00EB0FF1">
      <w:pPr>
        <w:pStyle w:val="ListParagraph"/>
        <w:spacing w:after="0" w:line="240" w:lineRule="auto"/>
        <w:rPr>
          <w:rFonts w:asciiTheme="minorHAnsi" w:hAnsiTheme="minorHAnsi"/>
          <w:sz w:val="24"/>
          <w:szCs w:val="24"/>
        </w:rPr>
      </w:pPr>
      <w:r w:rsidRPr="00040AB6">
        <w:rPr>
          <w:rFonts w:asciiTheme="minorHAnsi" w:hAnsiTheme="minorHAnsi"/>
          <w:sz w:val="24"/>
          <w:szCs w:val="24"/>
        </w:rPr>
        <w:t>NW Natural offers the following general energy efficiency programs:</w:t>
      </w:r>
    </w:p>
    <w:p w14:paraId="70E54227" w14:textId="77777777" w:rsidR="00357665" w:rsidRPr="00040AB6" w:rsidRDefault="00357665" w:rsidP="00626123">
      <w:pPr>
        <w:pStyle w:val="ListParagraph"/>
        <w:spacing w:after="0" w:line="240" w:lineRule="auto"/>
        <w:rPr>
          <w:rFonts w:asciiTheme="minorHAnsi" w:hAnsiTheme="minorHAnsi"/>
          <w:sz w:val="24"/>
          <w:szCs w:val="24"/>
        </w:rPr>
      </w:pPr>
    </w:p>
    <w:p w14:paraId="70E54228" w14:textId="77777777" w:rsidR="00357665" w:rsidRPr="00040AB6" w:rsidRDefault="00DB35BF" w:rsidP="00DC426E">
      <w:pPr>
        <w:pStyle w:val="ListParagraph"/>
        <w:tabs>
          <w:tab w:val="left" w:pos="720"/>
        </w:tabs>
        <w:spacing w:after="0" w:line="240" w:lineRule="auto"/>
        <w:ind w:left="1440"/>
        <w:rPr>
          <w:rFonts w:asciiTheme="minorHAnsi" w:hAnsiTheme="minorHAnsi"/>
          <w:sz w:val="24"/>
          <w:szCs w:val="24"/>
        </w:rPr>
      </w:pPr>
      <w:r>
        <w:rPr>
          <w:rFonts w:asciiTheme="minorHAnsi" w:hAnsiTheme="minorHAnsi"/>
          <w:sz w:val="24"/>
          <w:szCs w:val="24"/>
          <w:u w:val="single"/>
        </w:rPr>
        <w:t>Existing Homes</w:t>
      </w:r>
      <w:r w:rsidRPr="00040AB6">
        <w:rPr>
          <w:rFonts w:asciiTheme="minorHAnsi" w:hAnsiTheme="minorHAnsi"/>
          <w:sz w:val="24"/>
          <w:szCs w:val="24"/>
        </w:rPr>
        <w:t xml:space="preserve"> </w:t>
      </w:r>
      <w:r w:rsidR="00357665" w:rsidRPr="00040AB6">
        <w:rPr>
          <w:rFonts w:asciiTheme="minorHAnsi" w:hAnsiTheme="minorHAnsi"/>
          <w:sz w:val="24"/>
          <w:szCs w:val="24"/>
        </w:rPr>
        <w:t>– Residential customers with gas heated homes are offered home energy reviews wherein an energy consultant identifies</w:t>
      </w:r>
      <w:r w:rsidR="003A45ED">
        <w:rPr>
          <w:rFonts w:asciiTheme="minorHAnsi" w:hAnsiTheme="minorHAnsi"/>
          <w:sz w:val="24"/>
          <w:szCs w:val="24"/>
        </w:rPr>
        <w:t xml:space="preserve"> incented and qualifying</w:t>
      </w:r>
      <w:r w:rsidR="00357665" w:rsidRPr="00040AB6">
        <w:rPr>
          <w:rFonts w:asciiTheme="minorHAnsi" w:hAnsiTheme="minorHAnsi"/>
          <w:sz w:val="24"/>
          <w:szCs w:val="24"/>
        </w:rPr>
        <w:t xml:space="preserve"> </w:t>
      </w:r>
      <w:r w:rsidR="00053991">
        <w:rPr>
          <w:rFonts w:asciiTheme="minorHAnsi" w:hAnsiTheme="minorHAnsi"/>
          <w:sz w:val="24"/>
          <w:szCs w:val="24"/>
        </w:rPr>
        <w:t xml:space="preserve">insulation and weatherization </w:t>
      </w:r>
      <w:r w:rsidR="00357665" w:rsidRPr="00040AB6">
        <w:rPr>
          <w:rFonts w:asciiTheme="minorHAnsi" w:hAnsiTheme="minorHAnsi"/>
          <w:sz w:val="24"/>
          <w:szCs w:val="24"/>
        </w:rPr>
        <w:t>measures that could be installed to improve the efficiency</w:t>
      </w:r>
      <w:r w:rsidR="00C54531" w:rsidRPr="00040AB6">
        <w:rPr>
          <w:rFonts w:asciiTheme="minorHAnsi" w:hAnsiTheme="minorHAnsi"/>
          <w:sz w:val="24"/>
          <w:szCs w:val="24"/>
        </w:rPr>
        <w:t xml:space="preserve"> of </w:t>
      </w:r>
      <w:r w:rsidR="004E59E6">
        <w:rPr>
          <w:rFonts w:asciiTheme="minorHAnsi" w:hAnsiTheme="minorHAnsi"/>
          <w:sz w:val="24"/>
          <w:szCs w:val="24"/>
        </w:rPr>
        <w:t>customer</w:t>
      </w:r>
      <w:r w:rsidR="00C54531" w:rsidRPr="00040AB6">
        <w:rPr>
          <w:rFonts w:asciiTheme="minorHAnsi" w:hAnsiTheme="minorHAnsi"/>
          <w:sz w:val="24"/>
          <w:szCs w:val="24"/>
        </w:rPr>
        <w:t>s</w:t>
      </w:r>
      <w:r w:rsidR="004E59E6">
        <w:rPr>
          <w:rFonts w:asciiTheme="minorHAnsi" w:hAnsiTheme="minorHAnsi"/>
          <w:sz w:val="24"/>
          <w:szCs w:val="24"/>
        </w:rPr>
        <w:t>’</w:t>
      </w:r>
      <w:r w:rsidR="00C54531" w:rsidRPr="00040AB6">
        <w:rPr>
          <w:rFonts w:asciiTheme="minorHAnsi" w:hAnsiTheme="minorHAnsi"/>
          <w:sz w:val="24"/>
          <w:szCs w:val="24"/>
        </w:rPr>
        <w:t xml:space="preserve"> home</w:t>
      </w:r>
      <w:r w:rsidR="004E59E6">
        <w:rPr>
          <w:rFonts w:asciiTheme="minorHAnsi" w:hAnsiTheme="minorHAnsi"/>
          <w:sz w:val="24"/>
          <w:szCs w:val="24"/>
        </w:rPr>
        <w:t>s</w:t>
      </w:r>
      <w:r w:rsidR="00357665" w:rsidRPr="00040AB6">
        <w:rPr>
          <w:rFonts w:asciiTheme="minorHAnsi" w:hAnsiTheme="minorHAnsi"/>
          <w:sz w:val="24"/>
          <w:szCs w:val="24"/>
        </w:rPr>
        <w:t xml:space="preserve">.  </w:t>
      </w:r>
      <w:r>
        <w:rPr>
          <w:rFonts w:asciiTheme="minorHAnsi" w:hAnsiTheme="minorHAnsi"/>
          <w:sz w:val="24"/>
          <w:szCs w:val="24"/>
        </w:rPr>
        <w:t xml:space="preserve">Incentives are provided for cost-effective weatherization measures and </w:t>
      </w:r>
      <w:r w:rsidR="00357665" w:rsidRPr="00040AB6">
        <w:rPr>
          <w:rFonts w:asciiTheme="minorHAnsi" w:hAnsiTheme="minorHAnsi"/>
          <w:sz w:val="24"/>
          <w:szCs w:val="24"/>
        </w:rPr>
        <w:t xml:space="preserve">certain efficient gas appliances.  </w:t>
      </w:r>
      <w:r w:rsidR="00C54531" w:rsidRPr="00040AB6">
        <w:rPr>
          <w:rFonts w:asciiTheme="minorHAnsi" w:hAnsiTheme="minorHAnsi"/>
          <w:sz w:val="24"/>
          <w:szCs w:val="24"/>
        </w:rPr>
        <w:t xml:space="preserve">The Company also offers </w:t>
      </w:r>
      <w:r w:rsidR="004E59E6">
        <w:rPr>
          <w:rFonts w:asciiTheme="minorHAnsi" w:hAnsiTheme="minorHAnsi"/>
          <w:sz w:val="24"/>
          <w:szCs w:val="24"/>
        </w:rPr>
        <w:t>o</w:t>
      </w:r>
      <w:r w:rsidR="00BA20BF" w:rsidRPr="00040AB6">
        <w:rPr>
          <w:rFonts w:asciiTheme="minorHAnsi" w:hAnsiTheme="minorHAnsi"/>
          <w:sz w:val="24"/>
          <w:szCs w:val="24"/>
        </w:rPr>
        <w:t>n</w:t>
      </w:r>
      <w:r w:rsidR="00C54531" w:rsidRPr="00040AB6">
        <w:rPr>
          <w:rFonts w:asciiTheme="minorHAnsi" w:hAnsiTheme="minorHAnsi"/>
          <w:sz w:val="24"/>
          <w:szCs w:val="24"/>
        </w:rPr>
        <w:t>-the-</w:t>
      </w:r>
      <w:r w:rsidR="004E59E6">
        <w:rPr>
          <w:rFonts w:asciiTheme="minorHAnsi" w:hAnsiTheme="minorHAnsi"/>
          <w:sz w:val="24"/>
          <w:szCs w:val="24"/>
        </w:rPr>
        <w:t>b</w:t>
      </w:r>
      <w:r w:rsidR="00BA20BF" w:rsidRPr="00040AB6">
        <w:rPr>
          <w:rFonts w:asciiTheme="minorHAnsi" w:hAnsiTheme="minorHAnsi"/>
          <w:sz w:val="24"/>
          <w:szCs w:val="24"/>
        </w:rPr>
        <w:t xml:space="preserve">ill </w:t>
      </w:r>
      <w:r w:rsidR="004E59E6">
        <w:rPr>
          <w:rFonts w:asciiTheme="minorHAnsi" w:hAnsiTheme="minorHAnsi"/>
          <w:sz w:val="24"/>
          <w:szCs w:val="24"/>
        </w:rPr>
        <w:t>r</w:t>
      </w:r>
      <w:r w:rsidR="00BA20BF" w:rsidRPr="00040AB6">
        <w:rPr>
          <w:rFonts w:asciiTheme="minorHAnsi" w:hAnsiTheme="minorHAnsi"/>
          <w:sz w:val="24"/>
          <w:szCs w:val="24"/>
        </w:rPr>
        <w:t xml:space="preserve">epayment </w:t>
      </w:r>
      <w:r w:rsidR="004E59E6">
        <w:rPr>
          <w:rFonts w:asciiTheme="minorHAnsi" w:hAnsiTheme="minorHAnsi"/>
          <w:sz w:val="24"/>
          <w:szCs w:val="24"/>
        </w:rPr>
        <w:t>s</w:t>
      </w:r>
      <w:r w:rsidR="00BA20BF" w:rsidRPr="00040AB6">
        <w:rPr>
          <w:rFonts w:asciiTheme="minorHAnsi" w:hAnsiTheme="minorHAnsi"/>
          <w:sz w:val="24"/>
          <w:szCs w:val="24"/>
        </w:rPr>
        <w:t xml:space="preserve">ervices </w:t>
      </w:r>
      <w:r w:rsidR="00C54531" w:rsidRPr="00040AB6">
        <w:rPr>
          <w:rFonts w:asciiTheme="minorHAnsi" w:hAnsiTheme="minorHAnsi"/>
          <w:sz w:val="24"/>
          <w:szCs w:val="24"/>
        </w:rPr>
        <w:t xml:space="preserve">for loans offered by Craft3 for the purpose of installing </w:t>
      </w:r>
      <w:r w:rsidR="007203D3">
        <w:rPr>
          <w:rFonts w:asciiTheme="minorHAnsi" w:hAnsiTheme="minorHAnsi"/>
          <w:sz w:val="24"/>
          <w:szCs w:val="24"/>
        </w:rPr>
        <w:t xml:space="preserve">qualifying </w:t>
      </w:r>
      <w:r w:rsidR="00C54531" w:rsidRPr="00040AB6">
        <w:rPr>
          <w:rFonts w:asciiTheme="minorHAnsi" w:hAnsiTheme="minorHAnsi"/>
          <w:sz w:val="24"/>
          <w:szCs w:val="24"/>
        </w:rPr>
        <w:t>energy efficiency measures</w:t>
      </w:r>
      <w:r w:rsidR="00D85227">
        <w:rPr>
          <w:rFonts w:asciiTheme="minorHAnsi" w:hAnsiTheme="minorHAnsi"/>
          <w:sz w:val="24"/>
          <w:szCs w:val="24"/>
        </w:rPr>
        <w:t>.</w:t>
      </w:r>
      <w:r w:rsidR="00FB7BFD">
        <w:rPr>
          <w:rFonts w:asciiTheme="minorHAnsi" w:hAnsiTheme="minorHAnsi"/>
          <w:sz w:val="24"/>
          <w:szCs w:val="24"/>
        </w:rPr>
        <w:t xml:space="preserve"> </w:t>
      </w:r>
    </w:p>
    <w:p w14:paraId="70E54229" w14:textId="77777777" w:rsidR="00357665" w:rsidRPr="00040AB6" w:rsidRDefault="00357665" w:rsidP="00DC426E">
      <w:pPr>
        <w:pStyle w:val="ListParagraph"/>
        <w:tabs>
          <w:tab w:val="left" w:pos="720"/>
        </w:tabs>
        <w:spacing w:after="0" w:line="240" w:lineRule="auto"/>
        <w:ind w:left="1440"/>
        <w:rPr>
          <w:rFonts w:asciiTheme="minorHAnsi" w:hAnsiTheme="minorHAnsi"/>
          <w:sz w:val="24"/>
          <w:szCs w:val="24"/>
        </w:rPr>
      </w:pPr>
    </w:p>
    <w:p w14:paraId="70E5422A" w14:textId="77777777" w:rsidR="00357665" w:rsidRPr="00040AB6" w:rsidRDefault="00357665" w:rsidP="00DC426E">
      <w:pPr>
        <w:pStyle w:val="ListParagraph"/>
        <w:tabs>
          <w:tab w:val="left" w:pos="720"/>
        </w:tabs>
        <w:spacing w:after="0" w:line="240" w:lineRule="auto"/>
        <w:ind w:left="1440"/>
        <w:rPr>
          <w:rFonts w:asciiTheme="minorHAnsi" w:hAnsiTheme="minorHAnsi"/>
          <w:sz w:val="24"/>
          <w:szCs w:val="24"/>
        </w:rPr>
      </w:pPr>
      <w:r w:rsidRPr="00040AB6">
        <w:rPr>
          <w:rFonts w:asciiTheme="minorHAnsi" w:hAnsiTheme="minorHAnsi"/>
          <w:sz w:val="24"/>
          <w:szCs w:val="24"/>
          <w:u w:val="single"/>
        </w:rPr>
        <w:t>New Homes</w:t>
      </w:r>
      <w:r w:rsidRPr="00040AB6">
        <w:rPr>
          <w:rFonts w:asciiTheme="minorHAnsi" w:hAnsiTheme="minorHAnsi"/>
          <w:sz w:val="24"/>
          <w:szCs w:val="24"/>
        </w:rPr>
        <w:t xml:space="preserve"> – The New Homes program encourages builders to construct homes to an energy efficiency standard that is</w:t>
      </w:r>
      <w:r w:rsidR="00DB35BF">
        <w:rPr>
          <w:rFonts w:asciiTheme="minorHAnsi" w:hAnsiTheme="minorHAnsi"/>
          <w:sz w:val="24"/>
          <w:szCs w:val="24"/>
        </w:rPr>
        <w:t xml:space="preserve"> at least 10%</w:t>
      </w:r>
      <w:r w:rsidRPr="00040AB6">
        <w:rPr>
          <w:rFonts w:asciiTheme="minorHAnsi" w:hAnsiTheme="minorHAnsi"/>
          <w:sz w:val="24"/>
          <w:szCs w:val="24"/>
        </w:rPr>
        <w:t xml:space="preserve"> better than Washington building code.  </w:t>
      </w:r>
      <w:r w:rsidR="00FB7BFD" w:rsidRPr="005C21F8">
        <w:rPr>
          <w:rFonts w:asciiTheme="minorHAnsi" w:hAnsiTheme="minorHAnsi"/>
          <w:sz w:val="24"/>
          <w:szCs w:val="24"/>
        </w:rPr>
        <w:t>In 201</w:t>
      </w:r>
      <w:r w:rsidR="00C74081">
        <w:rPr>
          <w:rFonts w:asciiTheme="minorHAnsi" w:hAnsiTheme="minorHAnsi"/>
          <w:sz w:val="24"/>
          <w:szCs w:val="24"/>
        </w:rPr>
        <w:t>7</w:t>
      </w:r>
      <w:r w:rsidR="0073162D" w:rsidRPr="005C21F8">
        <w:rPr>
          <w:rFonts w:asciiTheme="minorHAnsi" w:hAnsiTheme="minorHAnsi"/>
          <w:sz w:val="24"/>
          <w:szCs w:val="24"/>
        </w:rPr>
        <w:t>, Energy Trust will be providing an energy performance score (</w:t>
      </w:r>
      <w:r w:rsidR="00FB7BFD" w:rsidRPr="005C21F8">
        <w:rPr>
          <w:sz w:val="24"/>
          <w:szCs w:val="24"/>
        </w:rPr>
        <w:t>EPS</w:t>
      </w:r>
      <w:r w:rsidR="0073162D" w:rsidRPr="005C21F8">
        <w:rPr>
          <w:sz w:val="24"/>
          <w:szCs w:val="24"/>
        </w:rPr>
        <w:t xml:space="preserve">) </w:t>
      </w:r>
      <w:r w:rsidR="00FB7BFD" w:rsidRPr="005C21F8">
        <w:rPr>
          <w:sz w:val="24"/>
          <w:szCs w:val="24"/>
        </w:rPr>
        <w:t xml:space="preserve">that rates the efficiency of a home and measures it against similar-sized homes </w:t>
      </w:r>
      <w:r w:rsidR="00C74081">
        <w:rPr>
          <w:sz w:val="24"/>
          <w:szCs w:val="24"/>
        </w:rPr>
        <w:t xml:space="preserve">built to 2015 </w:t>
      </w:r>
      <w:r w:rsidR="0073162D" w:rsidRPr="005C21F8">
        <w:rPr>
          <w:sz w:val="24"/>
          <w:szCs w:val="24"/>
        </w:rPr>
        <w:t>Washington</w:t>
      </w:r>
      <w:r w:rsidR="00C74081">
        <w:rPr>
          <w:sz w:val="24"/>
          <w:szCs w:val="24"/>
        </w:rPr>
        <w:t xml:space="preserve"> State Residential Energy Code</w:t>
      </w:r>
      <w:r w:rsidR="00FB7BFD" w:rsidRPr="005C21F8">
        <w:rPr>
          <w:sz w:val="24"/>
          <w:szCs w:val="24"/>
        </w:rPr>
        <w:t>.</w:t>
      </w:r>
      <w:r w:rsidR="007203D3" w:rsidRPr="007203D3">
        <w:rPr>
          <w:rFonts w:asciiTheme="minorHAnsi" w:hAnsiTheme="minorHAnsi"/>
          <w:sz w:val="24"/>
          <w:szCs w:val="24"/>
        </w:rPr>
        <w:t xml:space="preserve"> </w:t>
      </w:r>
      <w:r w:rsidR="007203D3" w:rsidRPr="00040AB6">
        <w:rPr>
          <w:rFonts w:asciiTheme="minorHAnsi" w:hAnsiTheme="minorHAnsi"/>
          <w:sz w:val="24"/>
          <w:szCs w:val="24"/>
        </w:rPr>
        <w:t xml:space="preserve">Qualifying homes must </w:t>
      </w:r>
      <w:r w:rsidR="007203D3">
        <w:rPr>
          <w:rFonts w:asciiTheme="minorHAnsi" w:hAnsiTheme="minorHAnsi"/>
          <w:sz w:val="24"/>
          <w:szCs w:val="24"/>
        </w:rPr>
        <w:t xml:space="preserve">also </w:t>
      </w:r>
      <w:r w:rsidR="007203D3" w:rsidRPr="00040AB6">
        <w:rPr>
          <w:rFonts w:asciiTheme="minorHAnsi" w:hAnsiTheme="minorHAnsi"/>
          <w:sz w:val="24"/>
          <w:szCs w:val="24"/>
        </w:rPr>
        <w:t>meet</w:t>
      </w:r>
      <w:r w:rsidR="007203D3">
        <w:rPr>
          <w:rFonts w:asciiTheme="minorHAnsi" w:hAnsiTheme="minorHAnsi"/>
          <w:sz w:val="24"/>
          <w:szCs w:val="24"/>
        </w:rPr>
        <w:t xml:space="preserve"> </w:t>
      </w:r>
      <w:r w:rsidR="009753D1">
        <w:rPr>
          <w:rFonts w:asciiTheme="minorHAnsi" w:hAnsiTheme="minorHAnsi"/>
          <w:sz w:val="24"/>
          <w:szCs w:val="24"/>
        </w:rPr>
        <w:t xml:space="preserve">new construction </w:t>
      </w:r>
      <w:r w:rsidR="007203D3">
        <w:rPr>
          <w:rFonts w:asciiTheme="minorHAnsi" w:hAnsiTheme="minorHAnsi"/>
          <w:sz w:val="24"/>
          <w:szCs w:val="24"/>
        </w:rPr>
        <w:t>Best Practice</w:t>
      </w:r>
      <w:r w:rsidR="007203D3" w:rsidRPr="00040AB6">
        <w:rPr>
          <w:rFonts w:asciiTheme="minorHAnsi" w:hAnsiTheme="minorHAnsi"/>
          <w:sz w:val="24"/>
          <w:szCs w:val="24"/>
        </w:rPr>
        <w:t xml:space="preserve"> criteria established</w:t>
      </w:r>
      <w:r w:rsidR="007203D3">
        <w:rPr>
          <w:rFonts w:asciiTheme="minorHAnsi" w:hAnsiTheme="minorHAnsi"/>
          <w:sz w:val="24"/>
          <w:szCs w:val="24"/>
        </w:rPr>
        <w:t xml:space="preserve"> by the New Homes Program</w:t>
      </w:r>
      <w:r w:rsidR="007203D3" w:rsidRPr="00040AB6">
        <w:rPr>
          <w:rFonts w:asciiTheme="minorHAnsi" w:hAnsiTheme="minorHAnsi"/>
          <w:sz w:val="24"/>
          <w:szCs w:val="24"/>
        </w:rPr>
        <w:t>.</w:t>
      </w:r>
      <w:r w:rsidR="007203D3">
        <w:rPr>
          <w:rFonts w:asciiTheme="minorHAnsi" w:hAnsiTheme="minorHAnsi"/>
          <w:sz w:val="24"/>
          <w:szCs w:val="24"/>
        </w:rPr>
        <w:t xml:space="preserve"> </w:t>
      </w:r>
      <w:r w:rsidR="007203D3" w:rsidRPr="005847CA">
        <w:rPr>
          <w:rFonts w:asciiTheme="minorHAnsi" w:hAnsiTheme="minorHAnsi"/>
          <w:sz w:val="24"/>
          <w:szCs w:val="24"/>
        </w:rPr>
        <w:t xml:space="preserve">The compliance of all homes is verified </w:t>
      </w:r>
      <w:r w:rsidR="009753D1" w:rsidRPr="005847CA">
        <w:rPr>
          <w:rFonts w:asciiTheme="minorHAnsi" w:hAnsiTheme="minorHAnsi"/>
          <w:sz w:val="24"/>
          <w:szCs w:val="24"/>
        </w:rPr>
        <w:t>through an inspection process and u</w:t>
      </w:r>
      <w:r w:rsidR="007203D3" w:rsidRPr="005847CA">
        <w:rPr>
          <w:rFonts w:asciiTheme="minorHAnsi" w:hAnsiTheme="minorHAnsi"/>
          <w:sz w:val="24"/>
          <w:szCs w:val="24"/>
        </w:rPr>
        <w:t>pon completion homes are issued an EPS.</w:t>
      </w:r>
    </w:p>
    <w:p w14:paraId="70E5422B" w14:textId="77777777" w:rsidR="00357665" w:rsidRPr="00040AB6" w:rsidRDefault="00357665" w:rsidP="00DC426E">
      <w:pPr>
        <w:pStyle w:val="ListParagraph"/>
        <w:tabs>
          <w:tab w:val="left" w:pos="720"/>
        </w:tabs>
        <w:spacing w:after="0" w:line="240" w:lineRule="auto"/>
        <w:ind w:left="1440"/>
        <w:rPr>
          <w:rFonts w:asciiTheme="minorHAnsi" w:hAnsiTheme="minorHAnsi"/>
        </w:rPr>
      </w:pPr>
    </w:p>
    <w:p w14:paraId="70E5422C" w14:textId="77777777" w:rsidR="00357665" w:rsidRPr="00040AB6" w:rsidRDefault="00357665" w:rsidP="00DC426E">
      <w:pPr>
        <w:pStyle w:val="ListParagraph"/>
        <w:tabs>
          <w:tab w:val="left" w:pos="720"/>
        </w:tabs>
        <w:spacing w:after="0" w:line="240" w:lineRule="auto"/>
        <w:ind w:left="1440"/>
        <w:rPr>
          <w:rFonts w:asciiTheme="minorHAnsi" w:hAnsiTheme="minorHAnsi"/>
          <w:sz w:val="24"/>
          <w:szCs w:val="24"/>
        </w:rPr>
      </w:pPr>
      <w:r w:rsidRPr="00040AB6">
        <w:rPr>
          <w:rFonts w:asciiTheme="minorHAnsi" w:hAnsiTheme="minorHAnsi"/>
          <w:sz w:val="24"/>
          <w:szCs w:val="24"/>
          <w:u w:val="single"/>
        </w:rPr>
        <w:t>Commercial</w:t>
      </w:r>
      <w:r w:rsidRPr="00040AB6">
        <w:rPr>
          <w:rFonts w:asciiTheme="minorHAnsi" w:hAnsiTheme="minorHAnsi"/>
          <w:sz w:val="24"/>
          <w:szCs w:val="24"/>
        </w:rPr>
        <w:t xml:space="preserve"> – Commercial customers are offered incentives for prescriptive </w:t>
      </w:r>
      <w:r w:rsidR="00DB35BF">
        <w:rPr>
          <w:rFonts w:asciiTheme="minorHAnsi" w:hAnsiTheme="minorHAnsi"/>
          <w:sz w:val="24"/>
          <w:szCs w:val="24"/>
        </w:rPr>
        <w:t xml:space="preserve">weatherization and </w:t>
      </w:r>
      <w:r w:rsidRPr="00040AB6">
        <w:rPr>
          <w:rFonts w:asciiTheme="minorHAnsi" w:hAnsiTheme="minorHAnsi"/>
          <w:sz w:val="24"/>
          <w:szCs w:val="24"/>
        </w:rPr>
        <w:t xml:space="preserve">efficient gas appliance installations, as well as efficient </w:t>
      </w:r>
      <w:r w:rsidRPr="00040AB6">
        <w:rPr>
          <w:rFonts w:asciiTheme="minorHAnsi" w:hAnsiTheme="minorHAnsi"/>
          <w:sz w:val="24"/>
          <w:szCs w:val="24"/>
        </w:rPr>
        <w:lastRenderedPageBreak/>
        <w:t xml:space="preserve">installations unique to the customer’s facilities that are identified in a custom study. </w:t>
      </w:r>
    </w:p>
    <w:p w14:paraId="70E5422D" w14:textId="77777777" w:rsidR="00357665" w:rsidRPr="00040AB6" w:rsidRDefault="00357665" w:rsidP="00626123">
      <w:pPr>
        <w:pStyle w:val="ListParagraph"/>
        <w:spacing w:after="0" w:line="240" w:lineRule="auto"/>
        <w:rPr>
          <w:rFonts w:asciiTheme="minorHAnsi" w:hAnsiTheme="minorHAnsi"/>
          <w:sz w:val="24"/>
          <w:szCs w:val="24"/>
        </w:rPr>
      </w:pPr>
    </w:p>
    <w:p w14:paraId="70E5422E" w14:textId="77777777" w:rsidR="00357665" w:rsidRPr="00040AB6" w:rsidRDefault="00357665" w:rsidP="00764461">
      <w:pPr>
        <w:tabs>
          <w:tab w:val="left" w:pos="1440"/>
        </w:tabs>
        <w:spacing w:after="0" w:line="240" w:lineRule="auto"/>
        <w:ind w:left="720"/>
        <w:rPr>
          <w:rFonts w:asciiTheme="minorHAnsi" w:hAnsiTheme="minorHAnsi"/>
          <w:sz w:val="24"/>
          <w:szCs w:val="24"/>
        </w:rPr>
      </w:pPr>
      <w:r w:rsidRPr="00040AB6">
        <w:rPr>
          <w:rFonts w:asciiTheme="minorHAnsi" w:hAnsiTheme="minorHAnsi"/>
          <w:sz w:val="24"/>
          <w:szCs w:val="24"/>
        </w:rPr>
        <w:t>Specific measure offerings</w:t>
      </w:r>
      <w:r w:rsidR="0045325A">
        <w:rPr>
          <w:rFonts w:asciiTheme="minorHAnsi" w:hAnsiTheme="minorHAnsi"/>
          <w:sz w:val="24"/>
          <w:szCs w:val="24"/>
        </w:rPr>
        <w:t xml:space="preserve"> and details</w:t>
      </w:r>
      <w:r w:rsidRPr="00040AB6">
        <w:rPr>
          <w:rFonts w:asciiTheme="minorHAnsi" w:hAnsiTheme="minorHAnsi"/>
          <w:sz w:val="24"/>
          <w:szCs w:val="24"/>
        </w:rPr>
        <w:t xml:space="preserve"> are as listed</w:t>
      </w:r>
      <w:r w:rsidR="00676821" w:rsidRPr="00040AB6">
        <w:rPr>
          <w:rFonts w:asciiTheme="minorHAnsi" w:hAnsiTheme="minorHAnsi"/>
          <w:sz w:val="24"/>
          <w:szCs w:val="24"/>
        </w:rPr>
        <w:t xml:space="preserve"> in </w:t>
      </w:r>
      <w:r w:rsidR="00BD7B19">
        <w:rPr>
          <w:rFonts w:asciiTheme="minorHAnsi" w:hAnsiTheme="minorHAnsi"/>
          <w:sz w:val="24"/>
          <w:szCs w:val="24"/>
        </w:rPr>
        <w:t xml:space="preserve">Appendix </w:t>
      </w:r>
      <w:r w:rsidR="00676821" w:rsidRPr="00040AB6">
        <w:rPr>
          <w:rFonts w:asciiTheme="minorHAnsi" w:hAnsiTheme="minorHAnsi"/>
          <w:sz w:val="24"/>
          <w:szCs w:val="24"/>
        </w:rPr>
        <w:t xml:space="preserve">A </w:t>
      </w:r>
      <w:r w:rsidR="0045325A">
        <w:rPr>
          <w:rFonts w:asciiTheme="minorHAnsi" w:hAnsiTheme="minorHAnsi"/>
          <w:sz w:val="24"/>
          <w:szCs w:val="24"/>
        </w:rPr>
        <w:t xml:space="preserve">and </w:t>
      </w:r>
      <w:r w:rsidR="00BD7B19">
        <w:rPr>
          <w:rFonts w:asciiTheme="minorHAnsi" w:hAnsiTheme="minorHAnsi"/>
          <w:sz w:val="24"/>
          <w:szCs w:val="24"/>
        </w:rPr>
        <w:t>Appendix</w:t>
      </w:r>
      <w:r w:rsidR="0045325A">
        <w:rPr>
          <w:rFonts w:asciiTheme="minorHAnsi" w:hAnsiTheme="minorHAnsi"/>
          <w:sz w:val="24"/>
          <w:szCs w:val="24"/>
        </w:rPr>
        <w:t xml:space="preserve"> B </w:t>
      </w:r>
      <w:r w:rsidR="00676821" w:rsidRPr="00040AB6">
        <w:rPr>
          <w:rFonts w:asciiTheme="minorHAnsi" w:hAnsiTheme="minorHAnsi"/>
          <w:sz w:val="24"/>
          <w:szCs w:val="24"/>
        </w:rPr>
        <w:t>to this Plan</w:t>
      </w:r>
      <w:r w:rsidR="00106C2C" w:rsidRPr="00040AB6">
        <w:rPr>
          <w:rFonts w:asciiTheme="minorHAnsi" w:hAnsiTheme="minorHAnsi"/>
          <w:sz w:val="24"/>
          <w:szCs w:val="24"/>
        </w:rPr>
        <w:t>.</w:t>
      </w:r>
    </w:p>
    <w:p w14:paraId="70E5422F" w14:textId="77777777" w:rsidR="00357665" w:rsidRDefault="00357665" w:rsidP="00764461">
      <w:pPr>
        <w:tabs>
          <w:tab w:val="left" w:pos="1440"/>
        </w:tabs>
        <w:spacing w:after="0" w:line="240" w:lineRule="auto"/>
        <w:ind w:left="720"/>
        <w:rPr>
          <w:rFonts w:asciiTheme="minorHAnsi" w:hAnsiTheme="minorHAnsi"/>
          <w:sz w:val="24"/>
          <w:szCs w:val="24"/>
        </w:rPr>
      </w:pPr>
    </w:p>
    <w:p w14:paraId="70E54230" w14:textId="77777777" w:rsidR="00E9708E" w:rsidRPr="00E9708E" w:rsidRDefault="00E9708E" w:rsidP="00764461">
      <w:pPr>
        <w:tabs>
          <w:tab w:val="left" w:pos="1440"/>
        </w:tabs>
        <w:spacing w:after="0" w:line="240" w:lineRule="auto"/>
        <w:ind w:left="720"/>
        <w:rPr>
          <w:rFonts w:asciiTheme="minorHAnsi" w:hAnsiTheme="minorHAnsi"/>
          <w:sz w:val="24"/>
          <w:szCs w:val="24"/>
          <w:u w:val="single"/>
        </w:rPr>
      </w:pPr>
      <w:r w:rsidRPr="00E9708E">
        <w:rPr>
          <w:rFonts w:asciiTheme="minorHAnsi" w:hAnsiTheme="minorHAnsi"/>
          <w:sz w:val="24"/>
          <w:szCs w:val="24"/>
          <w:u w:val="single"/>
        </w:rPr>
        <w:t>WA-LIEE</w:t>
      </w:r>
    </w:p>
    <w:p w14:paraId="70E54231" w14:textId="77777777" w:rsidR="00357665" w:rsidRDefault="00357665" w:rsidP="00764461">
      <w:pPr>
        <w:tabs>
          <w:tab w:val="left" w:pos="1440"/>
        </w:tabs>
        <w:spacing w:after="0" w:line="240" w:lineRule="auto"/>
        <w:ind w:left="720"/>
        <w:rPr>
          <w:rFonts w:asciiTheme="minorHAnsi" w:hAnsiTheme="minorHAnsi"/>
          <w:sz w:val="24"/>
          <w:szCs w:val="24"/>
        </w:rPr>
      </w:pPr>
      <w:r w:rsidRPr="00040AB6">
        <w:rPr>
          <w:rFonts w:asciiTheme="minorHAnsi" w:hAnsiTheme="minorHAnsi"/>
          <w:sz w:val="24"/>
          <w:szCs w:val="24"/>
        </w:rPr>
        <w:t>Under NW Natural’s low</w:t>
      </w:r>
      <w:r w:rsidR="00814F2A">
        <w:rPr>
          <w:rFonts w:asciiTheme="minorHAnsi" w:hAnsiTheme="minorHAnsi"/>
          <w:sz w:val="24"/>
          <w:szCs w:val="24"/>
        </w:rPr>
        <w:t>-</w:t>
      </w:r>
      <w:r w:rsidRPr="00040AB6">
        <w:rPr>
          <w:rFonts w:asciiTheme="minorHAnsi" w:hAnsiTheme="minorHAnsi"/>
          <w:sz w:val="24"/>
          <w:szCs w:val="24"/>
        </w:rPr>
        <w:t>income energy efficiency program, agencies administering the program leverage other funding sources with WA-LIEE dollars to provide whole-house weatherization services to qualifying customers.  Program details are available in the Company’s Schedule I, “</w:t>
      </w:r>
      <w:hyperlink r:id="rId13" w:history="1">
        <w:r w:rsidRPr="008C4F4E">
          <w:rPr>
            <w:rStyle w:val="Hyperlink"/>
            <w:rFonts w:asciiTheme="minorHAnsi" w:hAnsiTheme="minorHAnsi"/>
            <w:sz w:val="24"/>
            <w:szCs w:val="24"/>
          </w:rPr>
          <w:t>Washington Low Income Energy Efficiency Program (WA-LIEE)</w:t>
        </w:r>
      </w:hyperlink>
      <w:r w:rsidRPr="00040AB6">
        <w:rPr>
          <w:rFonts w:asciiTheme="minorHAnsi" w:hAnsiTheme="minorHAnsi"/>
          <w:sz w:val="24"/>
          <w:szCs w:val="24"/>
        </w:rPr>
        <w:t xml:space="preserve">.” </w:t>
      </w:r>
    </w:p>
    <w:p w14:paraId="70E54232" w14:textId="77777777" w:rsidR="005C39B1" w:rsidRPr="00AC364B" w:rsidRDefault="005C39B1" w:rsidP="00626123">
      <w:pPr>
        <w:pStyle w:val="ListParagraph"/>
        <w:spacing w:after="0" w:line="240" w:lineRule="auto"/>
        <w:rPr>
          <w:rFonts w:asciiTheme="minorHAnsi" w:hAnsiTheme="minorHAnsi"/>
          <w:sz w:val="24"/>
          <w:szCs w:val="24"/>
        </w:rPr>
      </w:pPr>
    </w:p>
    <w:p w14:paraId="70E54233" w14:textId="77777777" w:rsidR="000C6669" w:rsidRDefault="00DB0B43" w:rsidP="00512699">
      <w:pPr>
        <w:pStyle w:val="ListParagraph"/>
        <w:numPr>
          <w:ilvl w:val="0"/>
          <w:numId w:val="9"/>
        </w:numPr>
        <w:tabs>
          <w:tab w:val="left" w:pos="720"/>
        </w:tabs>
        <w:spacing w:after="0" w:line="240" w:lineRule="auto"/>
        <w:ind w:left="720"/>
        <w:rPr>
          <w:rFonts w:asciiTheme="minorHAnsi" w:hAnsiTheme="minorHAnsi"/>
          <w:sz w:val="32"/>
          <w:szCs w:val="32"/>
        </w:rPr>
      </w:pPr>
      <w:r w:rsidRPr="00FF5804">
        <w:rPr>
          <w:rFonts w:asciiTheme="minorHAnsi" w:hAnsiTheme="minorHAnsi"/>
          <w:sz w:val="32"/>
          <w:szCs w:val="32"/>
        </w:rPr>
        <w:t>Current-Year Program D</w:t>
      </w:r>
      <w:r w:rsidR="00D66C6C" w:rsidRPr="00FF5804">
        <w:rPr>
          <w:rFonts w:asciiTheme="minorHAnsi" w:hAnsiTheme="minorHAnsi"/>
          <w:sz w:val="32"/>
          <w:szCs w:val="32"/>
        </w:rPr>
        <w:t xml:space="preserve">rivers </w:t>
      </w:r>
    </w:p>
    <w:p w14:paraId="70E54234" w14:textId="77777777" w:rsidR="003055F4" w:rsidRDefault="00A952C4" w:rsidP="001E283F">
      <w:pPr>
        <w:tabs>
          <w:tab w:val="left" w:pos="720"/>
        </w:tabs>
        <w:spacing w:after="0" w:line="240" w:lineRule="auto"/>
        <w:ind w:left="720"/>
        <w:rPr>
          <w:rFonts w:asciiTheme="minorHAnsi" w:hAnsiTheme="minorHAnsi"/>
          <w:sz w:val="24"/>
          <w:szCs w:val="24"/>
        </w:rPr>
      </w:pPr>
      <w:r>
        <w:rPr>
          <w:rFonts w:asciiTheme="minorHAnsi" w:hAnsiTheme="minorHAnsi"/>
          <w:sz w:val="24"/>
          <w:szCs w:val="24"/>
        </w:rPr>
        <w:t>The residential and new homes programs carr</w:t>
      </w:r>
      <w:r w:rsidR="001E283F">
        <w:rPr>
          <w:rFonts w:asciiTheme="minorHAnsi" w:hAnsiTheme="minorHAnsi"/>
          <w:sz w:val="24"/>
          <w:szCs w:val="24"/>
        </w:rPr>
        <w:t>ied</w:t>
      </w:r>
      <w:r>
        <w:rPr>
          <w:rFonts w:asciiTheme="minorHAnsi" w:hAnsiTheme="minorHAnsi"/>
          <w:sz w:val="24"/>
          <w:szCs w:val="24"/>
        </w:rPr>
        <w:t xml:space="preserve"> much of the success and savings of NW Natural’s program in 2016. The New Homes Program is expected to remain successful </w:t>
      </w:r>
      <w:r w:rsidR="003055F4">
        <w:rPr>
          <w:rFonts w:asciiTheme="minorHAnsi" w:hAnsiTheme="minorHAnsi"/>
          <w:sz w:val="24"/>
          <w:szCs w:val="24"/>
        </w:rPr>
        <w:t xml:space="preserve">in 2017 </w:t>
      </w:r>
      <w:r>
        <w:rPr>
          <w:rFonts w:asciiTheme="minorHAnsi" w:hAnsiTheme="minorHAnsi"/>
          <w:sz w:val="24"/>
          <w:szCs w:val="24"/>
        </w:rPr>
        <w:t>due to a thriving housing market in SW Washington. To support the program’s growth and increase in market participation</w:t>
      </w:r>
      <w:r w:rsidR="002301EC">
        <w:rPr>
          <w:rFonts w:asciiTheme="minorHAnsi" w:hAnsiTheme="minorHAnsi"/>
          <w:sz w:val="24"/>
          <w:szCs w:val="24"/>
        </w:rPr>
        <w:t>,</w:t>
      </w:r>
      <w:r>
        <w:rPr>
          <w:rFonts w:asciiTheme="minorHAnsi" w:hAnsiTheme="minorHAnsi"/>
          <w:sz w:val="24"/>
          <w:szCs w:val="24"/>
        </w:rPr>
        <w:t xml:space="preserve"> the associated budget increased by 45%.</w:t>
      </w:r>
      <w:r w:rsidR="003055F4">
        <w:rPr>
          <w:rFonts w:asciiTheme="minorHAnsi" w:hAnsiTheme="minorHAnsi"/>
          <w:sz w:val="24"/>
          <w:szCs w:val="24"/>
        </w:rPr>
        <w:t xml:space="preserve"> This is the single largest contributor to the overall budget increase.</w:t>
      </w:r>
      <w:r>
        <w:rPr>
          <w:rFonts w:asciiTheme="minorHAnsi" w:hAnsiTheme="minorHAnsi"/>
          <w:sz w:val="24"/>
          <w:szCs w:val="24"/>
        </w:rPr>
        <w:t xml:space="preserve"> </w:t>
      </w:r>
    </w:p>
    <w:p w14:paraId="70E54235" w14:textId="77777777" w:rsidR="003055F4" w:rsidRDefault="003055F4" w:rsidP="001E283F">
      <w:pPr>
        <w:tabs>
          <w:tab w:val="left" w:pos="720"/>
        </w:tabs>
        <w:spacing w:after="0" w:line="240" w:lineRule="auto"/>
        <w:ind w:left="720"/>
        <w:rPr>
          <w:rFonts w:asciiTheme="minorHAnsi" w:hAnsiTheme="minorHAnsi"/>
          <w:sz w:val="24"/>
          <w:szCs w:val="24"/>
        </w:rPr>
      </w:pPr>
    </w:p>
    <w:p w14:paraId="70E54236" w14:textId="77777777" w:rsidR="00FF5804" w:rsidRDefault="00A952C4" w:rsidP="001E283F">
      <w:pPr>
        <w:tabs>
          <w:tab w:val="left" w:pos="720"/>
        </w:tabs>
        <w:spacing w:after="0" w:line="240" w:lineRule="auto"/>
        <w:ind w:left="720"/>
        <w:rPr>
          <w:rFonts w:asciiTheme="minorHAnsi" w:hAnsiTheme="minorHAnsi"/>
          <w:sz w:val="24"/>
          <w:szCs w:val="24"/>
        </w:rPr>
      </w:pPr>
      <w:r>
        <w:rPr>
          <w:rFonts w:asciiTheme="minorHAnsi" w:hAnsiTheme="minorHAnsi"/>
          <w:sz w:val="24"/>
          <w:szCs w:val="24"/>
        </w:rPr>
        <w:t>Countering th</w:t>
      </w:r>
      <w:r w:rsidR="003055F4">
        <w:rPr>
          <w:rFonts w:asciiTheme="minorHAnsi" w:hAnsiTheme="minorHAnsi"/>
          <w:sz w:val="24"/>
          <w:szCs w:val="24"/>
        </w:rPr>
        <w:t>e</w:t>
      </w:r>
      <w:r>
        <w:rPr>
          <w:rFonts w:asciiTheme="minorHAnsi" w:hAnsiTheme="minorHAnsi"/>
          <w:sz w:val="24"/>
          <w:szCs w:val="24"/>
        </w:rPr>
        <w:t xml:space="preserve"> growth in the</w:t>
      </w:r>
      <w:r w:rsidR="003055F4">
        <w:rPr>
          <w:rFonts w:asciiTheme="minorHAnsi" w:hAnsiTheme="minorHAnsi"/>
          <w:sz w:val="24"/>
          <w:szCs w:val="24"/>
        </w:rPr>
        <w:t xml:space="preserve"> New Homes</w:t>
      </w:r>
      <w:r>
        <w:rPr>
          <w:rFonts w:asciiTheme="minorHAnsi" w:hAnsiTheme="minorHAnsi"/>
          <w:sz w:val="24"/>
          <w:szCs w:val="24"/>
        </w:rPr>
        <w:t xml:space="preserve"> program is an updated Washington Residential Code which has reduced the savings</w:t>
      </w:r>
      <w:r w:rsidR="003055F4">
        <w:rPr>
          <w:rFonts w:asciiTheme="minorHAnsi" w:hAnsiTheme="minorHAnsi"/>
          <w:sz w:val="24"/>
          <w:szCs w:val="24"/>
        </w:rPr>
        <w:t xml:space="preserve"> </w:t>
      </w:r>
      <w:r w:rsidR="001E283F">
        <w:rPr>
          <w:rFonts w:asciiTheme="minorHAnsi" w:hAnsiTheme="minorHAnsi"/>
          <w:sz w:val="24"/>
          <w:szCs w:val="24"/>
        </w:rPr>
        <w:t>claimed</w:t>
      </w:r>
      <w:r>
        <w:rPr>
          <w:rFonts w:asciiTheme="minorHAnsi" w:hAnsiTheme="minorHAnsi"/>
          <w:sz w:val="24"/>
          <w:szCs w:val="24"/>
        </w:rPr>
        <w:t xml:space="preserve"> per home. So while there is an increase in cost, there is no associated bump in expected savings. </w:t>
      </w:r>
      <w:r w:rsidR="003055F4">
        <w:rPr>
          <w:rFonts w:asciiTheme="minorHAnsi" w:hAnsiTheme="minorHAnsi"/>
          <w:sz w:val="24"/>
          <w:szCs w:val="24"/>
        </w:rPr>
        <w:t>This explains much of the growth disparity between costs and savings in the 2017 Plan.</w:t>
      </w:r>
    </w:p>
    <w:p w14:paraId="70E54237" w14:textId="77777777" w:rsidR="00A952C4" w:rsidRDefault="00A952C4" w:rsidP="001E283F">
      <w:pPr>
        <w:tabs>
          <w:tab w:val="left" w:pos="720"/>
        </w:tabs>
        <w:spacing w:after="0" w:line="240" w:lineRule="auto"/>
        <w:ind w:left="720"/>
        <w:rPr>
          <w:rFonts w:asciiTheme="minorHAnsi" w:hAnsiTheme="minorHAnsi"/>
          <w:sz w:val="24"/>
          <w:szCs w:val="24"/>
        </w:rPr>
      </w:pPr>
    </w:p>
    <w:p w14:paraId="70E54238" w14:textId="77777777" w:rsidR="00A952C4" w:rsidRDefault="00A952C4" w:rsidP="001E283F">
      <w:pPr>
        <w:tabs>
          <w:tab w:val="left" w:pos="720"/>
        </w:tabs>
        <w:spacing w:after="0" w:line="240" w:lineRule="auto"/>
        <w:ind w:left="720"/>
        <w:rPr>
          <w:rFonts w:asciiTheme="minorHAnsi" w:hAnsiTheme="minorHAnsi"/>
          <w:sz w:val="24"/>
          <w:szCs w:val="24"/>
        </w:rPr>
      </w:pPr>
      <w:r>
        <w:rPr>
          <w:rFonts w:asciiTheme="minorHAnsi" w:hAnsiTheme="minorHAnsi"/>
          <w:sz w:val="24"/>
          <w:szCs w:val="24"/>
        </w:rPr>
        <w:t xml:space="preserve">On the Commercial side, the program </w:t>
      </w:r>
      <w:r w:rsidR="001E283F">
        <w:rPr>
          <w:rFonts w:asciiTheme="minorHAnsi" w:hAnsiTheme="minorHAnsi"/>
          <w:sz w:val="24"/>
          <w:szCs w:val="24"/>
        </w:rPr>
        <w:t>has been challenged</w:t>
      </w:r>
      <w:r>
        <w:rPr>
          <w:rFonts w:asciiTheme="minorHAnsi" w:hAnsiTheme="minorHAnsi"/>
          <w:sz w:val="24"/>
          <w:szCs w:val="24"/>
        </w:rPr>
        <w:t xml:space="preserve"> to reach eligible customers. </w:t>
      </w:r>
      <w:r w:rsidR="001E283F">
        <w:rPr>
          <w:rFonts w:asciiTheme="minorHAnsi" w:hAnsiTheme="minorHAnsi"/>
          <w:sz w:val="24"/>
          <w:szCs w:val="24"/>
        </w:rPr>
        <w:t xml:space="preserve">As a response to this </w:t>
      </w:r>
      <w:r w:rsidR="003055F4">
        <w:rPr>
          <w:rFonts w:asciiTheme="minorHAnsi" w:hAnsiTheme="minorHAnsi"/>
          <w:sz w:val="24"/>
          <w:szCs w:val="24"/>
        </w:rPr>
        <w:t>the Program Administrator is planning</w:t>
      </w:r>
      <w:r>
        <w:rPr>
          <w:rFonts w:asciiTheme="minorHAnsi" w:hAnsiTheme="minorHAnsi"/>
          <w:sz w:val="24"/>
          <w:szCs w:val="24"/>
        </w:rPr>
        <w:t xml:space="preserve"> various measures, marketing campaigns, bonuses and outreach strategies </w:t>
      </w:r>
      <w:r w:rsidR="003055F4">
        <w:rPr>
          <w:rFonts w:asciiTheme="minorHAnsi" w:hAnsiTheme="minorHAnsi"/>
          <w:sz w:val="24"/>
          <w:szCs w:val="24"/>
        </w:rPr>
        <w:t>to be</w:t>
      </w:r>
      <w:r>
        <w:rPr>
          <w:rFonts w:asciiTheme="minorHAnsi" w:hAnsiTheme="minorHAnsi"/>
          <w:sz w:val="24"/>
          <w:szCs w:val="24"/>
        </w:rPr>
        <w:t xml:space="preserve"> updated and </w:t>
      </w:r>
      <w:r w:rsidR="005D1F3F">
        <w:rPr>
          <w:rFonts w:asciiTheme="minorHAnsi" w:hAnsiTheme="minorHAnsi"/>
          <w:sz w:val="24"/>
          <w:szCs w:val="24"/>
        </w:rPr>
        <w:t xml:space="preserve">utilized </w:t>
      </w:r>
      <w:r>
        <w:rPr>
          <w:rFonts w:asciiTheme="minorHAnsi" w:hAnsiTheme="minorHAnsi"/>
          <w:sz w:val="24"/>
          <w:szCs w:val="24"/>
        </w:rPr>
        <w:t>during 2017.</w:t>
      </w:r>
    </w:p>
    <w:p w14:paraId="70E54239" w14:textId="77777777" w:rsidR="00FF5804" w:rsidRPr="00AC364B" w:rsidRDefault="00FF5804" w:rsidP="00FF5804">
      <w:pPr>
        <w:pStyle w:val="ListParagraph"/>
        <w:tabs>
          <w:tab w:val="left" w:pos="720"/>
        </w:tabs>
        <w:spacing w:after="0" w:line="240" w:lineRule="auto"/>
        <w:ind w:left="1080"/>
        <w:rPr>
          <w:rFonts w:asciiTheme="minorHAnsi" w:hAnsiTheme="minorHAnsi"/>
          <w:sz w:val="24"/>
          <w:szCs w:val="24"/>
          <w:highlight w:val="yellow"/>
        </w:rPr>
      </w:pPr>
    </w:p>
    <w:p w14:paraId="70E5423A" w14:textId="77777777" w:rsidR="00822685" w:rsidRPr="008C4F4E" w:rsidRDefault="00822685" w:rsidP="00512699">
      <w:pPr>
        <w:pStyle w:val="ListParagraph"/>
        <w:numPr>
          <w:ilvl w:val="0"/>
          <w:numId w:val="9"/>
        </w:numPr>
        <w:tabs>
          <w:tab w:val="left" w:pos="720"/>
        </w:tabs>
        <w:spacing w:after="0" w:line="240" w:lineRule="auto"/>
        <w:ind w:hanging="1080"/>
        <w:rPr>
          <w:rFonts w:asciiTheme="minorHAnsi" w:hAnsiTheme="minorHAnsi"/>
          <w:sz w:val="32"/>
          <w:szCs w:val="32"/>
        </w:rPr>
      </w:pPr>
      <w:r w:rsidRPr="008C4F4E">
        <w:rPr>
          <w:rFonts w:asciiTheme="minorHAnsi" w:hAnsiTheme="minorHAnsi"/>
          <w:sz w:val="32"/>
          <w:szCs w:val="32"/>
        </w:rPr>
        <w:t>Cost Effectiveness Standard</w:t>
      </w:r>
    </w:p>
    <w:p w14:paraId="70E5423B" w14:textId="77777777" w:rsidR="00C31476" w:rsidRDefault="00C31476" w:rsidP="00E9708E">
      <w:pPr>
        <w:pStyle w:val="BodyText"/>
        <w:widowControl/>
        <w:tabs>
          <w:tab w:val="left" w:pos="9720"/>
        </w:tabs>
        <w:ind w:left="720"/>
        <w:rPr>
          <w:rFonts w:asciiTheme="minorHAnsi" w:hAnsiTheme="minorHAnsi"/>
          <w:sz w:val="24"/>
          <w:szCs w:val="24"/>
        </w:rPr>
      </w:pPr>
      <w:r w:rsidRPr="00040AB6">
        <w:rPr>
          <w:rFonts w:asciiTheme="minorHAnsi" w:hAnsiTheme="minorHAnsi"/>
          <w:sz w:val="24"/>
          <w:szCs w:val="24"/>
        </w:rPr>
        <w:t xml:space="preserve">The goal of </w:t>
      </w:r>
      <w:r w:rsidR="00822685" w:rsidRPr="00040AB6">
        <w:rPr>
          <w:rFonts w:asciiTheme="minorHAnsi" w:hAnsiTheme="minorHAnsi"/>
          <w:sz w:val="24"/>
          <w:szCs w:val="24"/>
        </w:rPr>
        <w:t xml:space="preserve">NW Natural’s portfolio of residential, new homes, and commercial </w:t>
      </w:r>
      <w:r w:rsidRPr="00040AB6">
        <w:rPr>
          <w:rFonts w:asciiTheme="minorHAnsi" w:hAnsiTheme="minorHAnsi"/>
          <w:sz w:val="24"/>
          <w:szCs w:val="24"/>
        </w:rPr>
        <w:t xml:space="preserve">energy efficiency </w:t>
      </w:r>
      <w:r w:rsidR="00822685" w:rsidRPr="00040AB6">
        <w:rPr>
          <w:rFonts w:asciiTheme="minorHAnsi" w:hAnsiTheme="minorHAnsi"/>
          <w:sz w:val="24"/>
          <w:szCs w:val="24"/>
        </w:rPr>
        <w:t xml:space="preserve">programs </w:t>
      </w:r>
      <w:r w:rsidRPr="00040AB6">
        <w:rPr>
          <w:rFonts w:asciiTheme="minorHAnsi" w:hAnsiTheme="minorHAnsi"/>
          <w:sz w:val="24"/>
          <w:szCs w:val="24"/>
        </w:rPr>
        <w:t>is to acquire cost-effective gas therm savings. The portfolio of programs offered through the Energy Trust will be deemed cost-effective if</w:t>
      </w:r>
      <w:r w:rsidR="00B94D22">
        <w:rPr>
          <w:rFonts w:asciiTheme="minorHAnsi" w:hAnsiTheme="minorHAnsi"/>
          <w:sz w:val="24"/>
          <w:szCs w:val="24"/>
        </w:rPr>
        <w:t>,</w:t>
      </w:r>
      <w:r w:rsidRPr="00040AB6">
        <w:rPr>
          <w:rFonts w:asciiTheme="minorHAnsi" w:hAnsiTheme="minorHAnsi"/>
          <w:sz w:val="24"/>
          <w:szCs w:val="24"/>
        </w:rPr>
        <w:t xml:space="preserve"> at the end of the program year</w:t>
      </w:r>
      <w:r w:rsidR="00B94D22">
        <w:rPr>
          <w:rFonts w:asciiTheme="minorHAnsi" w:hAnsiTheme="minorHAnsi"/>
          <w:sz w:val="24"/>
          <w:szCs w:val="24"/>
        </w:rPr>
        <w:t>,</w:t>
      </w:r>
      <w:r w:rsidRPr="00040AB6">
        <w:rPr>
          <w:rFonts w:asciiTheme="minorHAnsi" w:hAnsiTheme="minorHAnsi"/>
          <w:sz w:val="24"/>
          <w:szCs w:val="24"/>
        </w:rPr>
        <w:t xml:space="preserve"> the program portfolio passes the Utility Cost </w:t>
      </w:r>
      <w:r w:rsidR="00D85227">
        <w:rPr>
          <w:rFonts w:asciiTheme="minorHAnsi" w:hAnsiTheme="minorHAnsi"/>
          <w:sz w:val="24"/>
          <w:szCs w:val="24"/>
        </w:rPr>
        <w:t xml:space="preserve">Test </w:t>
      </w:r>
      <w:r w:rsidRPr="00040AB6">
        <w:rPr>
          <w:rFonts w:asciiTheme="minorHAnsi" w:hAnsiTheme="minorHAnsi"/>
          <w:sz w:val="24"/>
          <w:szCs w:val="24"/>
        </w:rPr>
        <w:t>(UCT) by having a benefit to cost ratio of one or more.  The UCT is defined as follows:</w:t>
      </w:r>
    </w:p>
    <w:p w14:paraId="70E5423C" w14:textId="77777777" w:rsidR="000109AC" w:rsidRPr="00040AB6" w:rsidRDefault="000109AC" w:rsidP="00E9708E">
      <w:pPr>
        <w:pStyle w:val="BodyText"/>
        <w:widowControl/>
        <w:tabs>
          <w:tab w:val="left" w:pos="9720"/>
        </w:tabs>
        <w:ind w:left="720"/>
      </w:pPr>
    </w:p>
    <w:p w14:paraId="70E5423D" w14:textId="77777777" w:rsidR="00C31476" w:rsidRPr="00040AB6" w:rsidRDefault="00C31476" w:rsidP="008431AD">
      <w:pPr>
        <w:tabs>
          <w:tab w:val="left" w:pos="9720"/>
        </w:tabs>
        <w:autoSpaceDE w:val="0"/>
        <w:autoSpaceDN w:val="0"/>
        <w:adjustRightInd w:val="0"/>
        <w:spacing w:after="0" w:line="240" w:lineRule="auto"/>
        <w:ind w:left="720"/>
        <w:rPr>
          <w:rFonts w:asciiTheme="minorHAnsi" w:hAnsiTheme="minorHAnsi"/>
          <w:sz w:val="24"/>
          <w:szCs w:val="24"/>
        </w:rPr>
      </w:pPr>
      <w:r w:rsidRPr="00040AB6">
        <w:rPr>
          <w:rFonts w:asciiTheme="minorHAnsi" w:hAnsiTheme="minorHAnsi"/>
          <w:sz w:val="24"/>
          <w:szCs w:val="24"/>
        </w:rPr>
        <w:t xml:space="preserve">The UCT measures the present value of the energy savings </w:t>
      </w:r>
      <w:r w:rsidR="00137135" w:rsidRPr="00040AB6">
        <w:rPr>
          <w:rFonts w:asciiTheme="minorHAnsi" w:hAnsiTheme="minorHAnsi"/>
          <w:sz w:val="24"/>
          <w:szCs w:val="24"/>
        </w:rPr>
        <w:t>in relation to</w:t>
      </w:r>
      <w:r w:rsidRPr="00040AB6">
        <w:rPr>
          <w:rFonts w:asciiTheme="minorHAnsi" w:hAnsiTheme="minorHAnsi"/>
          <w:sz w:val="24"/>
          <w:szCs w:val="24"/>
        </w:rPr>
        <w:t xml:space="preserve"> the net costs incurred by the program, including incentive costs and excluding any net costs incurred</w:t>
      </w:r>
      <w:r w:rsidR="004E59E6">
        <w:rPr>
          <w:rFonts w:asciiTheme="minorHAnsi" w:hAnsiTheme="minorHAnsi"/>
          <w:sz w:val="24"/>
          <w:szCs w:val="24"/>
        </w:rPr>
        <w:t xml:space="preserve"> by the participant.  The UCT measures</w:t>
      </w:r>
      <w:r w:rsidRPr="00040AB6">
        <w:rPr>
          <w:rFonts w:asciiTheme="minorHAnsi" w:hAnsiTheme="minorHAnsi"/>
          <w:sz w:val="24"/>
          <w:szCs w:val="24"/>
        </w:rPr>
        <w:t xml:space="preserve"> </w:t>
      </w:r>
      <w:r w:rsidR="0045187F">
        <w:rPr>
          <w:rFonts w:asciiTheme="minorHAnsi" w:hAnsiTheme="minorHAnsi"/>
          <w:sz w:val="24"/>
          <w:szCs w:val="24"/>
        </w:rPr>
        <w:t>b</w:t>
      </w:r>
      <w:r w:rsidR="0045187F" w:rsidRPr="00040AB6">
        <w:rPr>
          <w:rFonts w:asciiTheme="minorHAnsi" w:hAnsiTheme="minorHAnsi"/>
          <w:sz w:val="24"/>
          <w:szCs w:val="24"/>
        </w:rPr>
        <w:t xml:space="preserve">enefits </w:t>
      </w:r>
      <w:r w:rsidRPr="00040AB6">
        <w:rPr>
          <w:rFonts w:asciiTheme="minorHAnsi" w:hAnsiTheme="minorHAnsi"/>
          <w:sz w:val="24"/>
          <w:szCs w:val="24"/>
        </w:rPr>
        <w:t xml:space="preserve">divided by </w:t>
      </w:r>
      <w:r w:rsidR="0045187F">
        <w:rPr>
          <w:rFonts w:asciiTheme="minorHAnsi" w:hAnsiTheme="minorHAnsi"/>
          <w:sz w:val="24"/>
          <w:szCs w:val="24"/>
        </w:rPr>
        <w:t>c</w:t>
      </w:r>
      <w:r w:rsidR="0045187F" w:rsidRPr="00040AB6">
        <w:rPr>
          <w:rFonts w:asciiTheme="minorHAnsi" w:hAnsiTheme="minorHAnsi"/>
          <w:sz w:val="24"/>
          <w:szCs w:val="24"/>
        </w:rPr>
        <w:t xml:space="preserve">osts </w:t>
      </w:r>
      <w:r w:rsidRPr="00040AB6">
        <w:rPr>
          <w:rFonts w:asciiTheme="minorHAnsi" w:hAnsiTheme="minorHAnsi"/>
          <w:sz w:val="24"/>
          <w:szCs w:val="24"/>
        </w:rPr>
        <w:t>where each is defined as follows:</w:t>
      </w:r>
    </w:p>
    <w:p w14:paraId="70E5423E" w14:textId="77777777" w:rsidR="00A02644" w:rsidRDefault="00A02644" w:rsidP="00C31476">
      <w:pPr>
        <w:tabs>
          <w:tab w:val="num" w:pos="1080"/>
          <w:tab w:val="left" w:pos="9720"/>
        </w:tabs>
        <w:autoSpaceDE w:val="0"/>
        <w:autoSpaceDN w:val="0"/>
        <w:adjustRightInd w:val="0"/>
        <w:spacing w:after="0" w:line="240" w:lineRule="auto"/>
        <w:ind w:left="1080"/>
        <w:rPr>
          <w:rFonts w:asciiTheme="minorHAnsi" w:hAnsiTheme="minorHAnsi"/>
          <w:sz w:val="24"/>
          <w:szCs w:val="24"/>
        </w:rPr>
      </w:pPr>
      <w:r>
        <w:rPr>
          <w:rFonts w:asciiTheme="minorHAnsi" w:hAnsiTheme="minorHAnsi"/>
          <w:sz w:val="24"/>
          <w:szCs w:val="24"/>
        </w:rPr>
        <w:br w:type="page"/>
      </w:r>
    </w:p>
    <w:p w14:paraId="70E5423F" w14:textId="77777777" w:rsidR="00C31476" w:rsidRDefault="001D659E" w:rsidP="001D659E">
      <w:pPr>
        <w:tabs>
          <w:tab w:val="left" w:pos="9720"/>
        </w:tabs>
        <w:spacing w:after="0" w:line="240" w:lineRule="auto"/>
        <w:ind w:left="720"/>
        <w:outlineLvl w:val="0"/>
        <w:rPr>
          <w:rFonts w:asciiTheme="minorHAnsi" w:hAnsiTheme="minorHAnsi"/>
          <w:sz w:val="24"/>
          <w:szCs w:val="24"/>
        </w:rPr>
      </w:pPr>
      <w:r w:rsidRPr="00040AB6">
        <w:rPr>
          <w:rFonts w:asciiTheme="minorHAnsi" w:hAnsiTheme="minorHAnsi"/>
          <w:sz w:val="24"/>
          <w:szCs w:val="24"/>
        </w:rPr>
        <w:lastRenderedPageBreak/>
        <w:t>UCT</w:t>
      </w:r>
      <w:r w:rsidR="00C31476" w:rsidRPr="00040AB6">
        <w:rPr>
          <w:rFonts w:asciiTheme="minorHAnsi" w:hAnsiTheme="minorHAnsi"/>
          <w:sz w:val="24"/>
          <w:szCs w:val="24"/>
        </w:rPr>
        <w:t xml:space="preserve"> </w:t>
      </w:r>
      <w:r w:rsidR="00C31476" w:rsidRPr="00040AB6">
        <w:rPr>
          <w:rFonts w:asciiTheme="minorHAnsi" w:hAnsiTheme="minorHAnsi"/>
          <w:b/>
          <w:sz w:val="24"/>
          <w:szCs w:val="24"/>
        </w:rPr>
        <w:t>Benefits</w:t>
      </w:r>
      <w:r w:rsidR="00C31476" w:rsidRPr="00040AB6">
        <w:rPr>
          <w:rFonts w:asciiTheme="minorHAnsi" w:hAnsiTheme="minorHAnsi"/>
          <w:sz w:val="24"/>
          <w:szCs w:val="24"/>
        </w:rPr>
        <w:t xml:space="preserve"> are:</w:t>
      </w:r>
    </w:p>
    <w:p w14:paraId="70E54240" w14:textId="77777777" w:rsidR="00693FBC" w:rsidRPr="00040AB6" w:rsidRDefault="00693FBC" w:rsidP="00693FBC">
      <w:pPr>
        <w:tabs>
          <w:tab w:val="left" w:pos="9720"/>
        </w:tabs>
        <w:spacing w:after="0" w:line="240" w:lineRule="auto"/>
        <w:outlineLvl w:val="0"/>
        <w:rPr>
          <w:rFonts w:asciiTheme="minorHAnsi" w:hAnsiTheme="minorHAnsi"/>
          <w:sz w:val="24"/>
          <w:szCs w:val="24"/>
        </w:rPr>
      </w:pPr>
    </w:p>
    <w:p w14:paraId="70E54241" w14:textId="77777777" w:rsidR="008431AD" w:rsidRPr="00040AB6" w:rsidRDefault="00C31476" w:rsidP="008431AD">
      <w:pPr>
        <w:pStyle w:val="ListParagraph"/>
        <w:numPr>
          <w:ilvl w:val="0"/>
          <w:numId w:val="20"/>
        </w:numPr>
        <w:tabs>
          <w:tab w:val="left" w:pos="1440"/>
          <w:tab w:val="left" w:pos="9720"/>
        </w:tabs>
        <w:autoSpaceDE w:val="0"/>
        <w:autoSpaceDN w:val="0"/>
        <w:adjustRightInd w:val="0"/>
        <w:spacing w:after="0" w:line="240" w:lineRule="auto"/>
        <w:rPr>
          <w:rFonts w:asciiTheme="minorHAnsi" w:hAnsiTheme="minorHAnsi"/>
          <w:sz w:val="24"/>
          <w:szCs w:val="24"/>
        </w:rPr>
      </w:pPr>
      <w:r w:rsidRPr="00040AB6">
        <w:rPr>
          <w:rFonts w:asciiTheme="minorHAnsi" w:hAnsiTheme="minorHAnsi"/>
          <w:sz w:val="24"/>
          <w:szCs w:val="24"/>
        </w:rPr>
        <w:t>The value of gas energy saved based on the Company’s avoided costs</w:t>
      </w:r>
      <w:r w:rsidR="008431AD" w:rsidRPr="00040AB6">
        <w:rPr>
          <w:rFonts w:asciiTheme="minorHAnsi" w:hAnsiTheme="minorHAnsi"/>
          <w:sz w:val="24"/>
          <w:szCs w:val="24"/>
        </w:rPr>
        <w:t>.  The Company’s avoided costs include the following values:</w:t>
      </w:r>
    </w:p>
    <w:p w14:paraId="70E54242" w14:textId="77777777" w:rsidR="008431AD" w:rsidRPr="00122F13" w:rsidRDefault="008431AD" w:rsidP="000109AC">
      <w:pPr>
        <w:autoSpaceDE w:val="0"/>
        <w:autoSpaceDN w:val="0"/>
        <w:spacing w:after="0" w:line="240" w:lineRule="auto"/>
        <w:ind w:left="1620" w:hanging="540"/>
        <w:rPr>
          <w:rFonts w:asciiTheme="minorHAnsi" w:hAnsiTheme="minorHAnsi"/>
          <w:sz w:val="24"/>
          <w:szCs w:val="24"/>
        </w:rPr>
      </w:pPr>
      <w:r w:rsidRPr="00040AB6">
        <w:rPr>
          <w:rFonts w:asciiTheme="minorHAnsi" w:hAnsiTheme="minorHAnsi"/>
          <w:sz w:val="24"/>
          <w:szCs w:val="24"/>
        </w:rPr>
        <w:t xml:space="preserve">• </w:t>
      </w:r>
      <w:r w:rsidRPr="00040AB6">
        <w:rPr>
          <w:rFonts w:asciiTheme="minorHAnsi" w:hAnsiTheme="minorHAnsi"/>
          <w:sz w:val="24"/>
          <w:szCs w:val="24"/>
        </w:rPr>
        <w:tab/>
      </w:r>
      <w:r w:rsidRPr="004B67E4">
        <w:rPr>
          <w:rFonts w:asciiTheme="minorHAnsi" w:hAnsiTheme="minorHAnsi"/>
          <w:sz w:val="24"/>
          <w:szCs w:val="24"/>
        </w:rPr>
        <w:t xml:space="preserve">The long term gas price forecast compiled from a consultant’s </w:t>
      </w:r>
      <w:r w:rsidR="00092C5B" w:rsidRPr="004B67E4">
        <w:rPr>
          <w:rFonts w:asciiTheme="minorHAnsi" w:hAnsiTheme="minorHAnsi"/>
          <w:sz w:val="24"/>
          <w:szCs w:val="24"/>
        </w:rPr>
        <w:t xml:space="preserve">carbon policy embedded </w:t>
      </w:r>
      <w:r w:rsidRPr="004B67E4">
        <w:rPr>
          <w:rFonts w:asciiTheme="minorHAnsi" w:hAnsiTheme="minorHAnsi"/>
          <w:sz w:val="24"/>
          <w:szCs w:val="24"/>
        </w:rPr>
        <w:t>gas price forecast;</w:t>
      </w:r>
    </w:p>
    <w:p w14:paraId="70E54243" w14:textId="77777777" w:rsidR="008431AD" w:rsidRPr="001D65C7" w:rsidRDefault="008431AD" w:rsidP="008431AD">
      <w:pPr>
        <w:autoSpaceDE w:val="0"/>
        <w:autoSpaceDN w:val="0"/>
        <w:spacing w:after="0" w:line="240" w:lineRule="auto"/>
        <w:ind w:left="1620" w:hanging="540"/>
        <w:rPr>
          <w:rFonts w:asciiTheme="minorHAnsi" w:hAnsiTheme="minorHAnsi"/>
          <w:sz w:val="24"/>
          <w:szCs w:val="24"/>
        </w:rPr>
      </w:pPr>
      <w:r w:rsidRPr="002F795F">
        <w:rPr>
          <w:rFonts w:asciiTheme="minorHAnsi" w:hAnsiTheme="minorHAnsi"/>
          <w:sz w:val="24"/>
          <w:szCs w:val="24"/>
        </w:rPr>
        <w:t xml:space="preserve">• </w:t>
      </w:r>
      <w:r w:rsidRPr="002F795F">
        <w:rPr>
          <w:rFonts w:asciiTheme="minorHAnsi" w:hAnsiTheme="minorHAnsi"/>
          <w:sz w:val="24"/>
          <w:szCs w:val="24"/>
        </w:rPr>
        <w:tab/>
        <w:t>Gas storage carrying costs for inventory;</w:t>
      </w:r>
    </w:p>
    <w:p w14:paraId="70E54244" w14:textId="77777777" w:rsidR="005847CA" w:rsidRPr="00E9708E" w:rsidRDefault="008431AD" w:rsidP="008431AD">
      <w:pPr>
        <w:autoSpaceDE w:val="0"/>
        <w:autoSpaceDN w:val="0"/>
        <w:spacing w:after="0" w:line="240" w:lineRule="auto"/>
        <w:ind w:left="1620" w:hanging="540"/>
        <w:rPr>
          <w:rFonts w:asciiTheme="minorHAnsi" w:hAnsiTheme="minorHAnsi"/>
          <w:sz w:val="24"/>
          <w:szCs w:val="24"/>
        </w:rPr>
      </w:pPr>
      <w:r w:rsidRPr="001D65C7">
        <w:rPr>
          <w:rFonts w:asciiTheme="minorHAnsi" w:hAnsiTheme="minorHAnsi"/>
          <w:sz w:val="24"/>
          <w:szCs w:val="24"/>
        </w:rPr>
        <w:t xml:space="preserve">• </w:t>
      </w:r>
      <w:r w:rsidRPr="001D65C7">
        <w:rPr>
          <w:rFonts w:asciiTheme="minorHAnsi" w:hAnsiTheme="minorHAnsi"/>
          <w:sz w:val="24"/>
          <w:szCs w:val="24"/>
        </w:rPr>
        <w:tab/>
        <w:t xml:space="preserve">Upstream variable transmission costs; </w:t>
      </w:r>
    </w:p>
    <w:p w14:paraId="70E54245" w14:textId="77777777" w:rsidR="005847CA" w:rsidRPr="00E9708E" w:rsidRDefault="005847CA" w:rsidP="005008C6">
      <w:pPr>
        <w:pStyle w:val="ListParagraph"/>
        <w:numPr>
          <w:ilvl w:val="0"/>
          <w:numId w:val="26"/>
        </w:numPr>
        <w:autoSpaceDE w:val="0"/>
        <w:autoSpaceDN w:val="0"/>
        <w:spacing w:after="0" w:line="240" w:lineRule="auto"/>
        <w:ind w:left="1620" w:hanging="540"/>
        <w:rPr>
          <w:rFonts w:asciiTheme="minorHAnsi" w:hAnsiTheme="minorHAnsi"/>
          <w:sz w:val="24"/>
          <w:szCs w:val="24"/>
        </w:rPr>
      </w:pPr>
      <w:r w:rsidRPr="00E9708E">
        <w:rPr>
          <w:rFonts w:asciiTheme="minorHAnsi" w:hAnsiTheme="minorHAnsi"/>
          <w:sz w:val="24"/>
          <w:szCs w:val="24"/>
        </w:rPr>
        <w:t>Incremental system capacity costs;</w:t>
      </w:r>
    </w:p>
    <w:p w14:paraId="70E54246" w14:textId="77777777" w:rsidR="000109AC" w:rsidRDefault="005847CA" w:rsidP="000109AC">
      <w:pPr>
        <w:pStyle w:val="ListParagraph"/>
        <w:numPr>
          <w:ilvl w:val="0"/>
          <w:numId w:val="26"/>
        </w:numPr>
        <w:autoSpaceDE w:val="0"/>
        <w:autoSpaceDN w:val="0"/>
        <w:spacing w:after="0" w:line="240" w:lineRule="auto"/>
        <w:ind w:left="1620" w:hanging="540"/>
        <w:rPr>
          <w:rFonts w:asciiTheme="minorHAnsi" w:hAnsiTheme="minorHAnsi"/>
          <w:sz w:val="24"/>
          <w:szCs w:val="24"/>
        </w:rPr>
      </w:pPr>
      <w:r w:rsidRPr="00BD1A74">
        <w:rPr>
          <w:rFonts w:asciiTheme="minorHAnsi" w:hAnsiTheme="minorHAnsi"/>
          <w:sz w:val="24"/>
          <w:szCs w:val="24"/>
        </w:rPr>
        <w:t xml:space="preserve">Incremental system distribution </w:t>
      </w:r>
      <w:r w:rsidR="002301EC">
        <w:rPr>
          <w:rFonts w:asciiTheme="minorHAnsi" w:hAnsiTheme="minorHAnsi"/>
          <w:sz w:val="24"/>
          <w:szCs w:val="24"/>
        </w:rPr>
        <w:t xml:space="preserve">capacity </w:t>
      </w:r>
      <w:r w:rsidRPr="00BD1A74">
        <w:rPr>
          <w:rFonts w:asciiTheme="minorHAnsi" w:hAnsiTheme="minorHAnsi"/>
          <w:sz w:val="24"/>
          <w:szCs w:val="24"/>
        </w:rPr>
        <w:t xml:space="preserve">costs; </w:t>
      </w:r>
    </w:p>
    <w:p w14:paraId="70E54247" w14:textId="77777777" w:rsidR="00737F45" w:rsidRPr="00737F45" w:rsidRDefault="005847CA" w:rsidP="00737F45">
      <w:pPr>
        <w:pStyle w:val="ListParagraph"/>
        <w:numPr>
          <w:ilvl w:val="0"/>
          <w:numId w:val="26"/>
        </w:numPr>
        <w:autoSpaceDE w:val="0"/>
        <w:autoSpaceDN w:val="0"/>
        <w:spacing w:after="0" w:line="240" w:lineRule="auto"/>
        <w:ind w:left="1620" w:hanging="540"/>
        <w:rPr>
          <w:rFonts w:asciiTheme="minorHAnsi" w:hAnsiTheme="minorHAnsi"/>
          <w:sz w:val="24"/>
          <w:szCs w:val="24"/>
        </w:rPr>
      </w:pPr>
      <w:r w:rsidRPr="000109AC">
        <w:rPr>
          <w:rFonts w:asciiTheme="minorHAnsi" w:hAnsiTheme="minorHAnsi"/>
          <w:sz w:val="24"/>
          <w:szCs w:val="24"/>
        </w:rPr>
        <w:t>The hedge value of DSM</w:t>
      </w:r>
      <w:r w:rsidR="00737F45" w:rsidRPr="00737F45">
        <w:rPr>
          <w:rFonts w:asciiTheme="minorHAnsi" w:hAnsiTheme="minorHAnsi"/>
          <w:sz w:val="24"/>
          <w:szCs w:val="24"/>
        </w:rPr>
        <w:t xml:space="preserve">; and </w:t>
      </w:r>
    </w:p>
    <w:p w14:paraId="70E54248" w14:textId="77777777" w:rsidR="005847CA" w:rsidRPr="00AC364B" w:rsidRDefault="00737F45" w:rsidP="00AC364B">
      <w:pPr>
        <w:pStyle w:val="ListParagraph"/>
        <w:numPr>
          <w:ilvl w:val="0"/>
          <w:numId w:val="26"/>
        </w:numPr>
        <w:autoSpaceDE w:val="0"/>
        <w:autoSpaceDN w:val="0"/>
        <w:spacing w:after="0" w:line="240" w:lineRule="auto"/>
        <w:ind w:left="1620" w:hanging="540"/>
        <w:rPr>
          <w:rFonts w:asciiTheme="minorHAnsi" w:hAnsiTheme="minorHAnsi"/>
          <w:sz w:val="24"/>
          <w:szCs w:val="24"/>
        </w:rPr>
      </w:pPr>
      <w:r w:rsidRPr="00AB792F">
        <w:rPr>
          <w:iCs/>
          <w:sz w:val="24"/>
          <w:szCs w:val="24"/>
        </w:rPr>
        <w:t xml:space="preserve">Washington </w:t>
      </w:r>
      <w:r w:rsidR="002301EC">
        <w:rPr>
          <w:iCs/>
          <w:sz w:val="24"/>
          <w:szCs w:val="24"/>
        </w:rPr>
        <w:t xml:space="preserve">specific </w:t>
      </w:r>
      <w:r w:rsidRPr="00AB792F">
        <w:rPr>
          <w:iCs/>
          <w:sz w:val="24"/>
          <w:szCs w:val="24"/>
        </w:rPr>
        <w:t>state carbon policy</w:t>
      </w:r>
      <w:r w:rsidR="002301EC">
        <w:rPr>
          <w:iCs/>
          <w:sz w:val="24"/>
          <w:szCs w:val="24"/>
        </w:rPr>
        <w:t xml:space="preserve"> proxy</w:t>
      </w:r>
      <w:r w:rsidRPr="00AB792F">
        <w:rPr>
          <w:iCs/>
          <w:sz w:val="24"/>
          <w:szCs w:val="24"/>
        </w:rPr>
        <w:t xml:space="preserve"> adder.</w:t>
      </w:r>
    </w:p>
    <w:p w14:paraId="70E54249" w14:textId="77777777" w:rsidR="00693FBC" w:rsidRPr="000109AC" w:rsidRDefault="00693FBC" w:rsidP="00693FBC">
      <w:pPr>
        <w:pStyle w:val="ListParagraph"/>
        <w:autoSpaceDE w:val="0"/>
        <w:autoSpaceDN w:val="0"/>
        <w:spacing w:after="0" w:line="240" w:lineRule="auto"/>
        <w:ind w:left="1620"/>
        <w:rPr>
          <w:rFonts w:asciiTheme="minorHAnsi" w:hAnsiTheme="minorHAnsi"/>
          <w:sz w:val="24"/>
          <w:szCs w:val="24"/>
        </w:rPr>
      </w:pPr>
    </w:p>
    <w:p w14:paraId="70E5424A" w14:textId="77777777" w:rsidR="00C31476" w:rsidRPr="00040AB6" w:rsidRDefault="00C31476" w:rsidP="001D659E">
      <w:pPr>
        <w:tabs>
          <w:tab w:val="left" w:pos="1440"/>
          <w:tab w:val="left" w:pos="9720"/>
        </w:tabs>
        <w:autoSpaceDE w:val="0"/>
        <w:autoSpaceDN w:val="0"/>
        <w:adjustRightInd w:val="0"/>
        <w:spacing w:after="0" w:line="240" w:lineRule="auto"/>
        <w:ind w:left="990" w:hanging="270"/>
        <w:rPr>
          <w:rFonts w:asciiTheme="minorHAnsi" w:hAnsiTheme="minorHAnsi"/>
          <w:sz w:val="24"/>
          <w:szCs w:val="24"/>
        </w:rPr>
      </w:pPr>
      <w:r w:rsidRPr="00040AB6">
        <w:rPr>
          <w:rFonts w:asciiTheme="minorHAnsi" w:hAnsiTheme="minorHAnsi"/>
          <w:sz w:val="24"/>
          <w:szCs w:val="24"/>
        </w:rPr>
        <w:t>2.  The 10% credit for the benefits of conservation in addressing risk and uncertainty as well as unquantified environmental benefits</w:t>
      </w:r>
      <w:r w:rsidR="008431AD" w:rsidRPr="00040AB6">
        <w:rPr>
          <w:rFonts w:asciiTheme="minorHAnsi" w:hAnsiTheme="minorHAnsi"/>
          <w:sz w:val="24"/>
          <w:szCs w:val="24"/>
        </w:rPr>
        <w:t>.</w:t>
      </w:r>
    </w:p>
    <w:p w14:paraId="70E5424B" w14:textId="77777777" w:rsidR="00C31476" w:rsidRPr="00040AB6" w:rsidRDefault="00C31476" w:rsidP="001D659E">
      <w:pPr>
        <w:tabs>
          <w:tab w:val="left" w:pos="9720"/>
        </w:tabs>
        <w:autoSpaceDE w:val="0"/>
        <w:autoSpaceDN w:val="0"/>
        <w:adjustRightInd w:val="0"/>
        <w:spacing w:after="0" w:line="240" w:lineRule="auto"/>
        <w:ind w:left="720"/>
        <w:rPr>
          <w:rFonts w:asciiTheme="minorHAnsi" w:hAnsiTheme="minorHAnsi"/>
          <w:sz w:val="24"/>
          <w:szCs w:val="24"/>
        </w:rPr>
      </w:pPr>
    </w:p>
    <w:p w14:paraId="70E5424C" w14:textId="77777777" w:rsidR="00C31476" w:rsidRDefault="001D659E" w:rsidP="001D659E">
      <w:pPr>
        <w:tabs>
          <w:tab w:val="left" w:pos="9720"/>
        </w:tabs>
        <w:autoSpaceDE w:val="0"/>
        <w:autoSpaceDN w:val="0"/>
        <w:adjustRightInd w:val="0"/>
        <w:spacing w:after="0" w:line="240" w:lineRule="auto"/>
        <w:ind w:left="720"/>
        <w:rPr>
          <w:rFonts w:asciiTheme="minorHAnsi" w:hAnsiTheme="minorHAnsi"/>
          <w:sz w:val="24"/>
          <w:szCs w:val="24"/>
        </w:rPr>
      </w:pPr>
      <w:r w:rsidRPr="00040AB6">
        <w:rPr>
          <w:rFonts w:asciiTheme="minorHAnsi" w:hAnsiTheme="minorHAnsi"/>
          <w:sz w:val="24"/>
          <w:szCs w:val="24"/>
        </w:rPr>
        <w:t>UCT</w:t>
      </w:r>
      <w:r w:rsidR="00C31476" w:rsidRPr="00040AB6">
        <w:rPr>
          <w:rFonts w:asciiTheme="minorHAnsi" w:hAnsiTheme="minorHAnsi"/>
          <w:sz w:val="24"/>
          <w:szCs w:val="24"/>
        </w:rPr>
        <w:t xml:space="preserve"> </w:t>
      </w:r>
      <w:r w:rsidR="00C31476" w:rsidRPr="00040AB6">
        <w:rPr>
          <w:rFonts w:asciiTheme="minorHAnsi" w:hAnsiTheme="minorHAnsi"/>
          <w:b/>
          <w:sz w:val="24"/>
          <w:szCs w:val="24"/>
        </w:rPr>
        <w:t>Costs</w:t>
      </w:r>
      <w:r w:rsidR="00C31476" w:rsidRPr="00040AB6">
        <w:rPr>
          <w:rFonts w:asciiTheme="minorHAnsi" w:hAnsiTheme="minorHAnsi"/>
          <w:sz w:val="24"/>
          <w:szCs w:val="24"/>
        </w:rPr>
        <w:t xml:space="preserve"> </w:t>
      </w:r>
      <w:r w:rsidRPr="00040AB6">
        <w:rPr>
          <w:rFonts w:asciiTheme="minorHAnsi" w:hAnsiTheme="minorHAnsi"/>
          <w:sz w:val="24"/>
          <w:szCs w:val="24"/>
        </w:rPr>
        <w:t>are</w:t>
      </w:r>
      <w:r w:rsidR="00C31476" w:rsidRPr="00040AB6">
        <w:rPr>
          <w:rFonts w:asciiTheme="minorHAnsi" w:hAnsiTheme="minorHAnsi"/>
          <w:sz w:val="24"/>
          <w:szCs w:val="24"/>
        </w:rPr>
        <w:t xml:space="preserve">: </w:t>
      </w:r>
    </w:p>
    <w:p w14:paraId="70E5424D" w14:textId="77777777" w:rsidR="00693FBC" w:rsidRPr="00040AB6" w:rsidRDefault="00693FBC" w:rsidP="001D659E">
      <w:pPr>
        <w:tabs>
          <w:tab w:val="left" w:pos="9720"/>
        </w:tabs>
        <w:autoSpaceDE w:val="0"/>
        <w:autoSpaceDN w:val="0"/>
        <w:adjustRightInd w:val="0"/>
        <w:spacing w:after="0" w:line="240" w:lineRule="auto"/>
        <w:ind w:left="720"/>
        <w:rPr>
          <w:rFonts w:asciiTheme="minorHAnsi" w:hAnsiTheme="minorHAnsi"/>
          <w:sz w:val="24"/>
          <w:szCs w:val="24"/>
        </w:rPr>
      </w:pPr>
    </w:p>
    <w:p w14:paraId="70E5424E" w14:textId="77777777" w:rsidR="00C31476" w:rsidRPr="00040AB6" w:rsidRDefault="00C31476" w:rsidP="001D659E">
      <w:pPr>
        <w:tabs>
          <w:tab w:val="left" w:pos="9720"/>
        </w:tabs>
        <w:autoSpaceDE w:val="0"/>
        <w:autoSpaceDN w:val="0"/>
        <w:adjustRightInd w:val="0"/>
        <w:spacing w:after="0" w:line="240" w:lineRule="auto"/>
        <w:ind w:left="720"/>
        <w:rPr>
          <w:rFonts w:asciiTheme="minorHAnsi" w:hAnsiTheme="minorHAnsi"/>
          <w:sz w:val="24"/>
          <w:szCs w:val="24"/>
        </w:rPr>
      </w:pPr>
      <w:r w:rsidRPr="00040AB6">
        <w:rPr>
          <w:rFonts w:asciiTheme="minorHAnsi" w:hAnsiTheme="minorHAnsi"/>
          <w:sz w:val="24"/>
          <w:szCs w:val="24"/>
        </w:rPr>
        <w:t>1.  Incentives paid to the participant</w:t>
      </w:r>
      <w:r w:rsidR="001D659E" w:rsidRPr="00040AB6">
        <w:rPr>
          <w:rFonts w:asciiTheme="minorHAnsi" w:hAnsiTheme="minorHAnsi"/>
          <w:sz w:val="24"/>
          <w:szCs w:val="24"/>
        </w:rPr>
        <w:t>;</w:t>
      </w:r>
    </w:p>
    <w:p w14:paraId="70E5424F" w14:textId="77777777" w:rsidR="00C31476" w:rsidRPr="00040AB6" w:rsidRDefault="00C31476" w:rsidP="001D659E">
      <w:pPr>
        <w:tabs>
          <w:tab w:val="left" w:pos="9720"/>
        </w:tabs>
        <w:autoSpaceDE w:val="0"/>
        <w:autoSpaceDN w:val="0"/>
        <w:adjustRightInd w:val="0"/>
        <w:spacing w:after="0" w:line="240" w:lineRule="auto"/>
        <w:ind w:left="720"/>
        <w:rPr>
          <w:rFonts w:asciiTheme="minorHAnsi" w:hAnsiTheme="minorHAnsi"/>
          <w:sz w:val="24"/>
          <w:szCs w:val="24"/>
        </w:rPr>
      </w:pPr>
      <w:r w:rsidRPr="00040AB6">
        <w:rPr>
          <w:rFonts w:asciiTheme="minorHAnsi" w:hAnsiTheme="minorHAnsi"/>
          <w:sz w:val="24"/>
          <w:szCs w:val="24"/>
        </w:rPr>
        <w:t>2.  Administrative costs</w:t>
      </w:r>
      <w:r w:rsidR="001D659E" w:rsidRPr="00040AB6">
        <w:rPr>
          <w:rFonts w:asciiTheme="minorHAnsi" w:hAnsiTheme="minorHAnsi"/>
          <w:sz w:val="24"/>
          <w:szCs w:val="24"/>
        </w:rPr>
        <w:t>; and</w:t>
      </w:r>
    </w:p>
    <w:p w14:paraId="70E54250" w14:textId="77777777" w:rsidR="00C31476" w:rsidRPr="00040AB6" w:rsidRDefault="00C31476" w:rsidP="001D659E">
      <w:pPr>
        <w:tabs>
          <w:tab w:val="left" w:pos="9720"/>
        </w:tabs>
        <w:autoSpaceDE w:val="0"/>
        <w:autoSpaceDN w:val="0"/>
        <w:adjustRightInd w:val="0"/>
        <w:spacing w:after="0" w:line="240" w:lineRule="auto"/>
        <w:ind w:left="720"/>
        <w:rPr>
          <w:rFonts w:asciiTheme="minorHAnsi" w:hAnsiTheme="minorHAnsi"/>
          <w:sz w:val="24"/>
          <w:szCs w:val="24"/>
        </w:rPr>
      </w:pPr>
      <w:r w:rsidRPr="00040AB6">
        <w:rPr>
          <w:rFonts w:asciiTheme="minorHAnsi" w:hAnsiTheme="minorHAnsi"/>
          <w:sz w:val="24"/>
          <w:szCs w:val="24"/>
        </w:rPr>
        <w:t xml:space="preserve">3.  </w:t>
      </w:r>
      <w:r w:rsidR="001D659E" w:rsidRPr="00040AB6">
        <w:rPr>
          <w:rFonts w:asciiTheme="minorHAnsi" w:hAnsiTheme="minorHAnsi"/>
          <w:sz w:val="24"/>
          <w:szCs w:val="24"/>
        </w:rPr>
        <w:t>Evaluation, verification, and monitoring.</w:t>
      </w:r>
    </w:p>
    <w:p w14:paraId="70E54251" w14:textId="77777777" w:rsidR="00C31476" w:rsidRPr="00040AB6" w:rsidRDefault="00C31476" w:rsidP="008431AD">
      <w:pPr>
        <w:tabs>
          <w:tab w:val="left" w:pos="9720"/>
        </w:tabs>
        <w:spacing w:after="0" w:line="240" w:lineRule="auto"/>
        <w:ind w:left="720"/>
        <w:rPr>
          <w:rFonts w:asciiTheme="minorHAnsi" w:hAnsiTheme="minorHAnsi"/>
          <w:sz w:val="24"/>
          <w:szCs w:val="24"/>
        </w:rPr>
      </w:pPr>
    </w:p>
    <w:p w14:paraId="70E54252" w14:textId="77777777" w:rsidR="001D659E" w:rsidRPr="00040AB6" w:rsidRDefault="001D659E" w:rsidP="008431AD">
      <w:pPr>
        <w:tabs>
          <w:tab w:val="left" w:pos="9720"/>
        </w:tabs>
        <w:spacing w:after="0" w:line="240" w:lineRule="auto"/>
        <w:ind w:left="720"/>
        <w:rPr>
          <w:rFonts w:asciiTheme="minorHAnsi" w:hAnsiTheme="minorHAnsi"/>
          <w:sz w:val="24"/>
          <w:szCs w:val="24"/>
        </w:rPr>
      </w:pPr>
      <w:r w:rsidRPr="00040AB6">
        <w:rPr>
          <w:rFonts w:asciiTheme="minorHAnsi" w:hAnsiTheme="minorHAnsi"/>
          <w:sz w:val="24"/>
          <w:szCs w:val="24"/>
        </w:rPr>
        <w:t xml:space="preserve">The Company will continue to monitor and report how </w:t>
      </w:r>
      <w:r w:rsidR="0045187F">
        <w:rPr>
          <w:rFonts w:asciiTheme="minorHAnsi" w:hAnsiTheme="minorHAnsi"/>
          <w:sz w:val="24"/>
          <w:szCs w:val="24"/>
        </w:rPr>
        <w:t xml:space="preserve">the </w:t>
      </w:r>
      <w:r w:rsidRPr="00040AB6">
        <w:rPr>
          <w:rFonts w:asciiTheme="minorHAnsi" w:hAnsiTheme="minorHAnsi"/>
          <w:sz w:val="24"/>
          <w:szCs w:val="24"/>
        </w:rPr>
        <w:t>portfolio fa</w:t>
      </w:r>
      <w:r w:rsidR="000109AC">
        <w:rPr>
          <w:rFonts w:asciiTheme="minorHAnsi" w:hAnsiTheme="minorHAnsi"/>
          <w:sz w:val="24"/>
          <w:szCs w:val="24"/>
        </w:rPr>
        <w:t>res</w:t>
      </w:r>
      <w:r w:rsidRPr="00040AB6">
        <w:rPr>
          <w:rFonts w:asciiTheme="minorHAnsi" w:hAnsiTheme="minorHAnsi"/>
          <w:sz w:val="24"/>
          <w:szCs w:val="24"/>
        </w:rPr>
        <w:t xml:space="preserve"> using the Total Resource Cost (TRC)</w:t>
      </w:r>
      <w:r w:rsidR="00092C5B">
        <w:rPr>
          <w:rFonts w:asciiTheme="minorHAnsi" w:hAnsiTheme="minorHAnsi"/>
          <w:sz w:val="24"/>
          <w:szCs w:val="24"/>
        </w:rPr>
        <w:t xml:space="preserve"> Test</w:t>
      </w:r>
      <w:r w:rsidRPr="00040AB6">
        <w:rPr>
          <w:rFonts w:asciiTheme="minorHAnsi" w:hAnsiTheme="minorHAnsi"/>
          <w:sz w:val="24"/>
          <w:szCs w:val="24"/>
        </w:rPr>
        <w:t xml:space="preserve">, which is </w:t>
      </w:r>
      <w:r w:rsidR="005720E9" w:rsidRPr="00040AB6">
        <w:rPr>
          <w:rFonts w:asciiTheme="minorHAnsi" w:hAnsiTheme="minorHAnsi"/>
          <w:sz w:val="24"/>
          <w:szCs w:val="24"/>
        </w:rPr>
        <w:t>benefits</w:t>
      </w:r>
      <w:r w:rsidRPr="00040AB6">
        <w:rPr>
          <w:rFonts w:asciiTheme="minorHAnsi" w:hAnsiTheme="minorHAnsi"/>
          <w:sz w:val="24"/>
          <w:szCs w:val="24"/>
        </w:rPr>
        <w:t xml:space="preserve"> divided by </w:t>
      </w:r>
      <w:r w:rsidR="005720E9" w:rsidRPr="00040AB6">
        <w:rPr>
          <w:rFonts w:asciiTheme="minorHAnsi" w:hAnsiTheme="minorHAnsi"/>
          <w:sz w:val="24"/>
          <w:szCs w:val="24"/>
        </w:rPr>
        <w:t>costs</w:t>
      </w:r>
      <w:r w:rsidRPr="00040AB6">
        <w:rPr>
          <w:rFonts w:asciiTheme="minorHAnsi" w:hAnsiTheme="minorHAnsi"/>
          <w:sz w:val="24"/>
          <w:szCs w:val="24"/>
        </w:rPr>
        <w:t xml:space="preserve"> when each is defined as follows:</w:t>
      </w:r>
    </w:p>
    <w:p w14:paraId="70E54253" w14:textId="77777777" w:rsidR="00693FBC" w:rsidRDefault="00693FBC" w:rsidP="008431AD">
      <w:pPr>
        <w:tabs>
          <w:tab w:val="left" w:pos="9720"/>
        </w:tabs>
        <w:spacing w:after="0" w:line="240" w:lineRule="auto"/>
        <w:ind w:left="720"/>
        <w:outlineLvl w:val="0"/>
        <w:rPr>
          <w:rFonts w:asciiTheme="minorHAnsi" w:hAnsiTheme="minorHAnsi"/>
          <w:sz w:val="24"/>
          <w:szCs w:val="24"/>
        </w:rPr>
      </w:pPr>
    </w:p>
    <w:p w14:paraId="70E54254" w14:textId="77777777" w:rsidR="00693FBC" w:rsidRDefault="001D659E" w:rsidP="008431AD">
      <w:pPr>
        <w:tabs>
          <w:tab w:val="left" w:pos="9720"/>
        </w:tabs>
        <w:spacing w:after="0" w:line="240" w:lineRule="auto"/>
        <w:ind w:left="720"/>
        <w:outlineLvl w:val="0"/>
        <w:rPr>
          <w:rFonts w:asciiTheme="minorHAnsi" w:hAnsiTheme="minorHAnsi"/>
          <w:sz w:val="24"/>
          <w:szCs w:val="24"/>
        </w:rPr>
      </w:pPr>
      <w:r w:rsidRPr="00040AB6">
        <w:rPr>
          <w:rFonts w:asciiTheme="minorHAnsi" w:hAnsiTheme="minorHAnsi"/>
          <w:sz w:val="24"/>
          <w:szCs w:val="24"/>
        </w:rPr>
        <w:t>TRC</w:t>
      </w:r>
      <w:r w:rsidR="00C31476" w:rsidRPr="00040AB6">
        <w:rPr>
          <w:rFonts w:asciiTheme="minorHAnsi" w:hAnsiTheme="minorHAnsi"/>
          <w:sz w:val="24"/>
          <w:szCs w:val="24"/>
        </w:rPr>
        <w:t xml:space="preserve"> </w:t>
      </w:r>
      <w:r w:rsidR="00C31476" w:rsidRPr="00040AB6">
        <w:rPr>
          <w:rFonts w:asciiTheme="minorHAnsi" w:hAnsiTheme="minorHAnsi"/>
          <w:b/>
          <w:sz w:val="24"/>
          <w:szCs w:val="24"/>
        </w:rPr>
        <w:t xml:space="preserve">Benefits </w:t>
      </w:r>
      <w:r w:rsidR="00C31476" w:rsidRPr="00040AB6">
        <w:rPr>
          <w:rFonts w:asciiTheme="minorHAnsi" w:hAnsiTheme="minorHAnsi"/>
          <w:sz w:val="24"/>
          <w:szCs w:val="24"/>
        </w:rPr>
        <w:t>include</w:t>
      </w:r>
      <w:r w:rsidR="00A05B15">
        <w:rPr>
          <w:rFonts w:asciiTheme="minorHAnsi" w:hAnsiTheme="minorHAnsi"/>
          <w:sz w:val="24"/>
          <w:szCs w:val="24"/>
        </w:rPr>
        <w:t>:</w:t>
      </w:r>
    </w:p>
    <w:p w14:paraId="70E54255" w14:textId="77777777" w:rsidR="00693FBC" w:rsidRDefault="00693FBC" w:rsidP="00693FBC">
      <w:pPr>
        <w:pStyle w:val="ListParagraph"/>
        <w:tabs>
          <w:tab w:val="left" w:pos="1440"/>
          <w:tab w:val="left" w:pos="9720"/>
        </w:tabs>
        <w:autoSpaceDE w:val="0"/>
        <w:autoSpaceDN w:val="0"/>
        <w:adjustRightInd w:val="0"/>
        <w:spacing w:after="0" w:line="240" w:lineRule="auto"/>
        <w:ind w:left="1080"/>
        <w:rPr>
          <w:rFonts w:asciiTheme="minorHAnsi" w:hAnsiTheme="minorHAnsi"/>
          <w:sz w:val="24"/>
          <w:szCs w:val="24"/>
        </w:rPr>
      </w:pPr>
    </w:p>
    <w:p w14:paraId="70E54256" w14:textId="77777777" w:rsidR="005A39B1" w:rsidRPr="00040AB6" w:rsidRDefault="005A39B1" w:rsidP="005A39B1">
      <w:pPr>
        <w:pStyle w:val="ListParagraph"/>
        <w:numPr>
          <w:ilvl w:val="0"/>
          <w:numId w:val="22"/>
        </w:numPr>
        <w:tabs>
          <w:tab w:val="left" w:pos="1440"/>
          <w:tab w:val="left" w:pos="9720"/>
        </w:tabs>
        <w:autoSpaceDE w:val="0"/>
        <w:autoSpaceDN w:val="0"/>
        <w:adjustRightInd w:val="0"/>
        <w:spacing w:after="0" w:line="240" w:lineRule="auto"/>
        <w:rPr>
          <w:rFonts w:asciiTheme="minorHAnsi" w:hAnsiTheme="minorHAnsi"/>
          <w:sz w:val="24"/>
          <w:szCs w:val="24"/>
        </w:rPr>
      </w:pPr>
      <w:r w:rsidRPr="00040AB6">
        <w:rPr>
          <w:rFonts w:asciiTheme="minorHAnsi" w:hAnsiTheme="minorHAnsi"/>
          <w:sz w:val="24"/>
          <w:szCs w:val="24"/>
        </w:rPr>
        <w:t>The value of gas energy saved based on the Company’s avoided costs.  The Company’s avoided costs include the following values:</w:t>
      </w:r>
    </w:p>
    <w:p w14:paraId="70E54257" w14:textId="77777777" w:rsidR="005A39B1" w:rsidRPr="00122F13" w:rsidRDefault="005A39B1" w:rsidP="000109AC">
      <w:pPr>
        <w:autoSpaceDE w:val="0"/>
        <w:autoSpaceDN w:val="0"/>
        <w:spacing w:after="0" w:line="240" w:lineRule="auto"/>
        <w:ind w:left="1620" w:hanging="540"/>
        <w:rPr>
          <w:rFonts w:asciiTheme="minorHAnsi" w:hAnsiTheme="minorHAnsi"/>
          <w:sz w:val="24"/>
          <w:szCs w:val="24"/>
        </w:rPr>
      </w:pPr>
      <w:r w:rsidRPr="00040AB6">
        <w:rPr>
          <w:rFonts w:asciiTheme="minorHAnsi" w:hAnsiTheme="minorHAnsi"/>
          <w:sz w:val="24"/>
          <w:szCs w:val="24"/>
        </w:rPr>
        <w:t xml:space="preserve">• </w:t>
      </w:r>
      <w:r w:rsidRPr="00040AB6">
        <w:rPr>
          <w:rFonts w:asciiTheme="minorHAnsi" w:hAnsiTheme="minorHAnsi"/>
          <w:sz w:val="24"/>
          <w:szCs w:val="24"/>
        </w:rPr>
        <w:tab/>
      </w:r>
      <w:r w:rsidRPr="004B67E4">
        <w:rPr>
          <w:rFonts w:asciiTheme="minorHAnsi" w:hAnsiTheme="minorHAnsi"/>
          <w:sz w:val="24"/>
          <w:szCs w:val="24"/>
        </w:rPr>
        <w:t xml:space="preserve">The long term gas price forecast compiled from a consultant’s </w:t>
      </w:r>
      <w:r w:rsidR="00092C5B" w:rsidRPr="004B67E4">
        <w:rPr>
          <w:rFonts w:asciiTheme="minorHAnsi" w:hAnsiTheme="minorHAnsi"/>
          <w:sz w:val="24"/>
          <w:szCs w:val="24"/>
        </w:rPr>
        <w:t xml:space="preserve">carbon policy embedded </w:t>
      </w:r>
      <w:r w:rsidRPr="004B67E4">
        <w:rPr>
          <w:rFonts w:asciiTheme="minorHAnsi" w:hAnsiTheme="minorHAnsi"/>
          <w:sz w:val="24"/>
          <w:szCs w:val="24"/>
        </w:rPr>
        <w:t>gas price forecast;</w:t>
      </w:r>
    </w:p>
    <w:p w14:paraId="70E54258" w14:textId="77777777" w:rsidR="005A39B1" w:rsidRPr="002F795F" w:rsidRDefault="005A39B1" w:rsidP="005A39B1">
      <w:pPr>
        <w:autoSpaceDE w:val="0"/>
        <w:autoSpaceDN w:val="0"/>
        <w:spacing w:after="0" w:line="240" w:lineRule="auto"/>
        <w:ind w:left="1620" w:hanging="540"/>
        <w:rPr>
          <w:rFonts w:asciiTheme="minorHAnsi" w:hAnsiTheme="minorHAnsi"/>
          <w:sz w:val="24"/>
          <w:szCs w:val="24"/>
        </w:rPr>
      </w:pPr>
      <w:r w:rsidRPr="002F795F">
        <w:rPr>
          <w:rFonts w:asciiTheme="minorHAnsi" w:hAnsiTheme="minorHAnsi"/>
          <w:sz w:val="24"/>
          <w:szCs w:val="24"/>
        </w:rPr>
        <w:t xml:space="preserve">• </w:t>
      </w:r>
      <w:r w:rsidRPr="002F795F">
        <w:rPr>
          <w:rFonts w:asciiTheme="minorHAnsi" w:hAnsiTheme="minorHAnsi"/>
          <w:sz w:val="24"/>
          <w:szCs w:val="24"/>
        </w:rPr>
        <w:tab/>
        <w:t>Gas storage carrying costs for inventory;</w:t>
      </w:r>
    </w:p>
    <w:p w14:paraId="70E54259" w14:textId="77777777" w:rsidR="005A39B1" w:rsidRPr="001D65C7" w:rsidRDefault="005A39B1" w:rsidP="005A39B1">
      <w:pPr>
        <w:autoSpaceDE w:val="0"/>
        <w:autoSpaceDN w:val="0"/>
        <w:spacing w:after="0" w:line="240" w:lineRule="auto"/>
        <w:ind w:left="1620" w:hanging="540"/>
        <w:rPr>
          <w:rFonts w:asciiTheme="minorHAnsi" w:hAnsiTheme="minorHAnsi"/>
          <w:sz w:val="24"/>
          <w:szCs w:val="24"/>
        </w:rPr>
      </w:pPr>
      <w:r w:rsidRPr="001D65C7">
        <w:rPr>
          <w:rFonts w:asciiTheme="minorHAnsi" w:hAnsiTheme="minorHAnsi"/>
          <w:sz w:val="24"/>
          <w:szCs w:val="24"/>
        </w:rPr>
        <w:t xml:space="preserve">• </w:t>
      </w:r>
      <w:r w:rsidRPr="001D65C7">
        <w:rPr>
          <w:rFonts w:asciiTheme="minorHAnsi" w:hAnsiTheme="minorHAnsi"/>
          <w:sz w:val="24"/>
          <w:szCs w:val="24"/>
        </w:rPr>
        <w:tab/>
        <w:t xml:space="preserve">Upstream variable transmission costs; </w:t>
      </w:r>
    </w:p>
    <w:p w14:paraId="70E5425A" w14:textId="77777777" w:rsidR="005008C6" w:rsidRPr="00E9708E" w:rsidRDefault="005008C6" w:rsidP="005008C6">
      <w:pPr>
        <w:pStyle w:val="ListParagraph"/>
        <w:numPr>
          <w:ilvl w:val="0"/>
          <w:numId w:val="26"/>
        </w:numPr>
        <w:autoSpaceDE w:val="0"/>
        <w:autoSpaceDN w:val="0"/>
        <w:spacing w:after="0" w:line="240" w:lineRule="auto"/>
        <w:ind w:left="1620" w:hanging="540"/>
        <w:rPr>
          <w:rFonts w:asciiTheme="minorHAnsi" w:hAnsiTheme="minorHAnsi"/>
          <w:sz w:val="24"/>
          <w:szCs w:val="24"/>
        </w:rPr>
      </w:pPr>
      <w:r w:rsidRPr="00E9708E">
        <w:rPr>
          <w:rFonts w:asciiTheme="minorHAnsi" w:hAnsiTheme="minorHAnsi"/>
          <w:sz w:val="24"/>
          <w:szCs w:val="24"/>
        </w:rPr>
        <w:t>Incremental system capacity costs;</w:t>
      </w:r>
    </w:p>
    <w:p w14:paraId="70E5425B" w14:textId="77777777" w:rsidR="005008C6" w:rsidRPr="00BD1A74" w:rsidRDefault="005008C6" w:rsidP="005C21F8">
      <w:pPr>
        <w:pStyle w:val="ListParagraph"/>
        <w:numPr>
          <w:ilvl w:val="0"/>
          <w:numId w:val="26"/>
        </w:numPr>
        <w:autoSpaceDE w:val="0"/>
        <w:autoSpaceDN w:val="0"/>
        <w:spacing w:after="0" w:line="240" w:lineRule="auto"/>
        <w:ind w:left="1620" w:hanging="540"/>
        <w:rPr>
          <w:rFonts w:asciiTheme="minorHAnsi" w:hAnsiTheme="minorHAnsi"/>
          <w:sz w:val="24"/>
          <w:szCs w:val="24"/>
        </w:rPr>
      </w:pPr>
      <w:r w:rsidRPr="00BD1A74">
        <w:rPr>
          <w:rFonts w:asciiTheme="minorHAnsi" w:hAnsiTheme="minorHAnsi"/>
          <w:sz w:val="24"/>
          <w:szCs w:val="24"/>
        </w:rPr>
        <w:t xml:space="preserve">Incremental system distribution </w:t>
      </w:r>
      <w:r w:rsidR="002301EC">
        <w:rPr>
          <w:rFonts w:asciiTheme="minorHAnsi" w:hAnsiTheme="minorHAnsi"/>
          <w:sz w:val="24"/>
          <w:szCs w:val="24"/>
        </w:rPr>
        <w:t xml:space="preserve">capacity </w:t>
      </w:r>
      <w:r w:rsidRPr="00BD1A74">
        <w:rPr>
          <w:rFonts w:asciiTheme="minorHAnsi" w:hAnsiTheme="minorHAnsi"/>
          <w:sz w:val="24"/>
          <w:szCs w:val="24"/>
        </w:rPr>
        <w:t xml:space="preserve">costs; </w:t>
      </w:r>
    </w:p>
    <w:p w14:paraId="70E5425C" w14:textId="77777777" w:rsidR="005A39B1" w:rsidRDefault="005008C6" w:rsidP="000109AC">
      <w:pPr>
        <w:pStyle w:val="ListParagraph"/>
        <w:numPr>
          <w:ilvl w:val="0"/>
          <w:numId w:val="26"/>
        </w:numPr>
        <w:autoSpaceDE w:val="0"/>
        <w:autoSpaceDN w:val="0"/>
        <w:spacing w:after="0" w:line="240" w:lineRule="auto"/>
        <w:ind w:left="1620" w:hanging="540"/>
        <w:rPr>
          <w:rFonts w:asciiTheme="minorHAnsi" w:hAnsiTheme="minorHAnsi"/>
          <w:sz w:val="24"/>
          <w:szCs w:val="24"/>
        </w:rPr>
      </w:pPr>
      <w:r w:rsidRPr="00BD1A74">
        <w:rPr>
          <w:rFonts w:asciiTheme="minorHAnsi" w:hAnsiTheme="minorHAnsi"/>
          <w:sz w:val="24"/>
          <w:szCs w:val="24"/>
        </w:rPr>
        <w:t>The hedge value of DSM</w:t>
      </w:r>
      <w:r w:rsidR="002301EC">
        <w:rPr>
          <w:rFonts w:asciiTheme="minorHAnsi" w:hAnsiTheme="minorHAnsi"/>
          <w:sz w:val="24"/>
          <w:szCs w:val="24"/>
        </w:rPr>
        <w:t>; and</w:t>
      </w:r>
    </w:p>
    <w:p w14:paraId="70E5425D" w14:textId="77777777" w:rsidR="002301EC" w:rsidRDefault="002301EC" w:rsidP="000109AC">
      <w:pPr>
        <w:pStyle w:val="ListParagraph"/>
        <w:numPr>
          <w:ilvl w:val="0"/>
          <w:numId w:val="26"/>
        </w:numPr>
        <w:autoSpaceDE w:val="0"/>
        <w:autoSpaceDN w:val="0"/>
        <w:spacing w:after="0" w:line="240" w:lineRule="auto"/>
        <w:ind w:left="1620" w:hanging="540"/>
        <w:rPr>
          <w:rFonts w:asciiTheme="minorHAnsi" w:hAnsiTheme="minorHAnsi"/>
          <w:sz w:val="24"/>
          <w:szCs w:val="24"/>
        </w:rPr>
      </w:pPr>
      <w:r>
        <w:rPr>
          <w:rFonts w:asciiTheme="minorHAnsi" w:hAnsiTheme="minorHAnsi"/>
          <w:sz w:val="24"/>
          <w:szCs w:val="24"/>
        </w:rPr>
        <w:t>Washington specific state carbon policy proxy adder.</w:t>
      </w:r>
    </w:p>
    <w:p w14:paraId="70E5425E" w14:textId="77777777" w:rsidR="00693FBC" w:rsidRPr="000109AC" w:rsidRDefault="00693FBC" w:rsidP="00693FBC">
      <w:pPr>
        <w:pStyle w:val="ListParagraph"/>
        <w:autoSpaceDE w:val="0"/>
        <w:autoSpaceDN w:val="0"/>
        <w:spacing w:after="0" w:line="240" w:lineRule="auto"/>
        <w:ind w:left="1620"/>
        <w:rPr>
          <w:rFonts w:asciiTheme="minorHAnsi" w:hAnsiTheme="minorHAnsi"/>
          <w:sz w:val="24"/>
          <w:szCs w:val="24"/>
        </w:rPr>
      </w:pPr>
    </w:p>
    <w:p w14:paraId="70E5425F" w14:textId="77777777" w:rsidR="00C31476" w:rsidRPr="00693FBC" w:rsidRDefault="00C31476" w:rsidP="00693FBC">
      <w:pPr>
        <w:pStyle w:val="ListParagraph"/>
        <w:numPr>
          <w:ilvl w:val="0"/>
          <w:numId w:val="22"/>
        </w:numPr>
        <w:tabs>
          <w:tab w:val="left" w:pos="990"/>
          <w:tab w:val="left" w:pos="9720"/>
        </w:tabs>
        <w:autoSpaceDE w:val="0"/>
        <w:autoSpaceDN w:val="0"/>
        <w:adjustRightInd w:val="0"/>
        <w:spacing w:after="0" w:line="240" w:lineRule="auto"/>
        <w:rPr>
          <w:rFonts w:asciiTheme="minorHAnsi" w:hAnsiTheme="minorHAnsi"/>
          <w:sz w:val="24"/>
          <w:szCs w:val="24"/>
        </w:rPr>
      </w:pPr>
      <w:r w:rsidRPr="00693FBC">
        <w:rPr>
          <w:rFonts w:asciiTheme="minorHAnsi" w:hAnsiTheme="minorHAnsi"/>
          <w:sz w:val="24"/>
          <w:szCs w:val="24"/>
        </w:rPr>
        <w:t>Non-energy benefits as quantified by a reasonable and practical method</w:t>
      </w:r>
      <w:r w:rsidR="001D659E" w:rsidRPr="00693FBC">
        <w:rPr>
          <w:rFonts w:asciiTheme="minorHAnsi" w:hAnsiTheme="minorHAnsi"/>
          <w:sz w:val="24"/>
          <w:szCs w:val="24"/>
        </w:rPr>
        <w:t>;</w:t>
      </w:r>
      <w:r w:rsidR="008431AD" w:rsidRPr="00693FBC">
        <w:rPr>
          <w:rFonts w:asciiTheme="minorHAnsi" w:hAnsiTheme="minorHAnsi"/>
          <w:sz w:val="24"/>
          <w:szCs w:val="24"/>
        </w:rPr>
        <w:t xml:space="preserve"> and</w:t>
      </w:r>
    </w:p>
    <w:p w14:paraId="70E54260" w14:textId="77777777" w:rsidR="00693FBC" w:rsidRPr="00693FBC" w:rsidRDefault="00693FBC" w:rsidP="00693FBC">
      <w:pPr>
        <w:pStyle w:val="ListParagraph"/>
        <w:tabs>
          <w:tab w:val="left" w:pos="990"/>
          <w:tab w:val="left" w:pos="9720"/>
        </w:tabs>
        <w:autoSpaceDE w:val="0"/>
        <w:autoSpaceDN w:val="0"/>
        <w:adjustRightInd w:val="0"/>
        <w:spacing w:after="0" w:line="240" w:lineRule="auto"/>
        <w:ind w:left="1080"/>
        <w:rPr>
          <w:rFonts w:asciiTheme="minorHAnsi" w:hAnsiTheme="minorHAnsi"/>
          <w:sz w:val="24"/>
          <w:szCs w:val="24"/>
        </w:rPr>
      </w:pPr>
    </w:p>
    <w:p w14:paraId="70E54261" w14:textId="77777777" w:rsidR="00C31476" w:rsidRPr="00040AB6" w:rsidRDefault="00C31476" w:rsidP="008431AD">
      <w:pPr>
        <w:tabs>
          <w:tab w:val="left" w:pos="990"/>
          <w:tab w:val="left" w:pos="9720"/>
        </w:tabs>
        <w:autoSpaceDE w:val="0"/>
        <w:autoSpaceDN w:val="0"/>
        <w:adjustRightInd w:val="0"/>
        <w:spacing w:after="0" w:line="240" w:lineRule="auto"/>
        <w:ind w:left="1080" w:hanging="360"/>
        <w:rPr>
          <w:rFonts w:asciiTheme="minorHAnsi" w:hAnsiTheme="minorHAnsi"/>
          <w:sz w:val="24"/>
          <w:szCs w:val="24"/>
        </w:rPr>
      </w:pPr>
      <w:r w:rsidRPr="00040AB6">
        <w:rPr>
          <w:rFonts w:asciiTheme="minorHAnsi" w:hAnsiTheme="minorHAnsi"/>
          <w:sz w:val="24"/>
          <w:szCs w:val="24"/>
        </w:rPr>
        <w:t xml:space="preserve">3.  </w:t>
      </w:r>
      <w:r w:rsidR="001D659E" w:rsidRPr="00040AB6">
        <w:rPr>
          <w:rFonts w:asciiTheme="minorHAnsi" w:hAnsiTheme="minorHAnsi"/>
          <w:sz w:val="24"/>
          <w:szCs w:val="24"/>
        </w:rPr>
        <w:tab/>
        <w:t>The 10% credit for the benefits of conservation in addressing risk and uncertainty as well as unquantified environmental benefits</w:t>
      </w:r>
      <w:r w:rsidR="008431AD" w:rsidRPr="00040AB6">
        <w:rPr>
          <w:rFonts w:asciiTheme="minorHAnsi" w:hAnsiTheme="minorHAnsi"/>
          <w:sz w:val="24"/>
          <w:szCs w:val="24"/>
        </w:rPr>
        <w:t>.</w:t>
      </w:r>
    </w:p>
    <w:p w14:paraId="70E54262" w14:textId="77777777" w:rsidR="00693FBC" w:rsidRDefault="00693FBC" w:rsidP="008431AD">
      <w:pPr>
        <w:tabs>
          <w:tab w:val="left" w:pos="9720"/>
        </w:tabs>
        <w:autoSpaceDE w:val="0"/>
        <w:autoSpaceDN w:val="0"/>
        <w:adjustRightInd w:val="0"/>
        <w:spacing w:after="0" w:line="240" w:lineRule="auto"/>
        <w:ind w:left="720"/>
        <w:rPr>
          <w:rFonts w:asciiTheme="minorHAnsi" w:hAnsiTheme="minorHAnsi"/>
          <w:sz w:val="24"/>
          <w:szCs w:val="24"/>
        </w:rPr>
      </w:pPr>
    </w:p>
    <w:p w14:paraId="70E54263" w14:textId="77777777" w:rsidR="00C31476" w:rsidRDefault="00EB0E8F" w:rsidP="008431AD">
      <w:pPr>
        <w:tabs>
          <w:tab w:val="left" w:pos="9720"/>
        </w:tabs>
        <w:autoSpaceDE w:val="0"/>
        <w:autoSpaceDN w:val="0"/>
        <w:adjustRightInd w:val="0"/>
        <w:spacing w:after="0" w:line="240" w:lineRule="auto"/>
        <w:ind w:left="720"/>
        <w:rPr>
          <w:rFonts w:asciiTheme="minorHAnsi" w:hAnsiTheme="minorHAnsi"/>
          <w:sz w:val="24"/>
          <w:szCs w:val="24"/>
        </w:rPr>
      </w:pPr>
      <w:r w:rsidRPr="00040AB6">
        <w:rPr>
          <w:rFonts w:asciiTheme="minorHAnsi" w:hAnsiTheme="minorHAnsi"/>
          <w:sz w:val="24"/>
          <w:szCs w:val="24"/>
        </w:rPr>
        <w:t>TRC</w:t>
      </w:r>
      <w:r w:rsidR="001D659E" w:rsidRPr="00040AB6">
        <w:rPr>
          <w:rFonts w:asciiTheme="minorHAnsi" w:hAnsiTheme="minorHAnsi"/>
          <w:sz w:val="24"/>
          <w:szCs w:val="24"/>
        </w:rPr>
        <w:t xml:space="preserve"> </w:t>
      </w:r>
      <w:r w:rsidR="001D659E" w:rsidRPr="00040AB6">
        <w:rPr>
          <w:rFonts w:asciiTheme="minorHAnsi" w:hAnsiTheme="minorHAnsi"/>
          <w:b/>
          <w:sz w:val="24"/>
          <w:szCs w:val="24"/>
        </w:rPr>
        <w:t xml:space="preserve">Costs </w:t>
      </w:r>
      <w:r w:rsidR="008431AD" w:rsidRPr="00040AB6">
        <w:rPr>
          <w:rFonts w:asciiTheme="minorHAnsi" w:hAnsiTheme="minorHAnsi"/>
          <w:sz w:val="24"/>
          <w:szCs w:val="24"/>
        </w:rPr>
        <w:t>are</w:t>
      </w:r>
      <w:r w:rsidR="00C31476" w:rsidRPr="00040AB6">
        <w:rPr>
          <w:rFonts w:asciiTheme="minorHAnsi" w:hAnsiTheme="minorHAnsi"/>
          <w:sz w:val="24"/>
          <w:szCs w:val="24"/>
        </w:rPr>
        <w:t xml:space="preserve">: </w:t>
      </w:r>
    </w:p>
    <w:p w14:paraId="70E54264" w14:textId="77777777" w:rsidR="00693FBC" w:rsidRPr="00040AB6" w:rsidRDefault="00693FBC" w:rsidP="008431AD">
      <w:pPr>
        <w:tabs>
          <w:tab w:val="left" w:pos="9720"/>
        </w:tabs>
        <w:autoSpaceDE w:val="0"/>
        <w:autoSpaceDN w:val="0"/>
        <w:adjustRightInd w:val="0"/>
        <w:spacing w:after="0" w:line="240" w:lineRule="auto"/>
        <w:ind w:left="720"/>
        <w:rPr>
          <w:rFonts w:asciiTheme="minorHAnsi" w:hAnsiTheme="minorHAnsi"/>
          <w:sz w:val="24"/>
          <w:szCs w:val="24"/>
        </w:rPr>
      </w:pPr>
    </w:p>
    <w:p w14:paraId="70E54265" w14:textId="77777777" w:rsidR="00C31476" w:rsidRPr="00040AB6" w:rsidRDefault="00C31476" w:rsidP="008431AD">
      <w:pPr>
        <w:tabs>
          <w:tab w:val="left" w:pos="1080"/>
          <w:tab w:val="left" w:pos="9720"/>
        </w:tabs>
        <w:autoSpaceDE w:val="0"/>
        <w:autoSpaceDN w:val="0"/>
        <w:adjustRightInd w:val="0"/>
        <w:spacing w:after="0" w:line="240" w:lineRule="auto"/>
        <w:ind w:left="720"/>
        <w:rPr>
          <w:rFonts w:asciiTheme="minorHAnsi" w:hAnsiTheme="minorHAnsi"/>
          <w:sz w:val="24"/>
          <w:szCs w:val="24"/>
        </w:rPr>
      </w:pPr>
      <w:r w:rsidRPr="00040AB6">
        <w:rPr>
          <w:rFonts w:asciiTheme="minorHAnsi" w:hAnsiTheme="minorHAnsi"/>
          <w:sz w:val="24"/>
          <w:szCs w:val="24"/>
        </w:rPr>
        <w:t xml:space="preserve">1. </w:t>
      </w:r>
      <w:r w:rsidR="00854330" w:rsidRPr="00040AB6">
        <w:rPr>
          <w:rFonts w:asciiTheme="minorHAnsi" w:hAnsiTheme="minorHAnsi"/>
          <w:sz w:val="24"/>
          <w:szCs w:val="24"/>
        </w:rPr>
        <w:tab/>
      </w:r>
      <w:r w:rsidRPr="00040AB6">
        <w:rPr>
          <w:rFonts w:asciiTheme="minorHAnsi" w:hAnsiTheme="minorHAnsi"/>
          <w:sz w:val="24"/>
          <w:szCs w:val="24"/>
        </w:rPr>
        <w:t>Incentives paid to the participant</w:t>
      </w:r>
      <w:r w:rsidR="001D659E" w:rsidRPr="00040AB6">
        <w:rPr>
          <w:rFonts w:asciiTheme="minorHAnsi" w:hAnsiTheme="minorHAnsi"/>
          <w:sz w:val="24"/>
          <w:szCs w:val="24"/>
        </w:rPr>
        <w:t xml:space="preserve">; </w:t>
      </w:r>
    </w:p>
    <w:p w14:paraId="70E54266" w14:textId="77777777" w:rsidR="00C31476" w:rsidRPr="00040AB6" w:rsidRDefault="00C31476" w:rsidP="008431AD">
      <w:pPr>
        <w:tabs>
          <w:tab w:val="left" w:pos="1080"/>
          <w:tab w:val="left" w:pos="9720"/>
        </w:tabs>
        <w:autoSpaceDE w:val="0"/>
        <w:autoSpaceDN w:val="0"/>
        <w:adjustRightInd w:val="0"/>
        <w:spacing w:after="0" w:line="240" w:lineRule="auto"/>
        <w:ind w:left="720"/>
        <w:rPr>
          <w:rFonts w:asciiTheme="minorHAnsi" w:hAnsiTheme="minorHAnsi"/>
          <w:sz w:val="24"/>
          <w:szCs w:val="24"/>
        </w:rPr>
      </w:pPr>
      <w:r w:rsidRPr="00040AB6">
        <w:rPr>
          <w:rFonts w:asciiTheme="minorHAnsi" w:hAnsiTheme="minorHAnsi"/>
          <w:sz w:val="24"/>
          <w:szCs w:val="24"/>
        </w:rPr>
        <w:t xml:space="preserve">2. </w:t>
      </w:r>
      <w:r w:rsidR="00854330" w:rsidRPr="00040AB6">
        <w:rPr>
          <w:rFonts w:asciiTheme="minorHAnsi" w:hAnsiTheme="minorHAnsi"/>
          <w:sz w:val="24"/>
          <w:szCs w:val="24"/>
        </w:rPr>
        <w:tab/>
      </w:r>
      <w:r w:rsidRPr="00040AB6">
        <w:rPr>
          <w:rFonts w:asciiTheme="minorHAnsi" w:hAnsiTheme="minorHAnsi"/>
          <w:sz w:val="24"/>
          <w:szCs w:val="24"/>
        </w:rPr>
        <w:t>Administrative costs</w:t>
      </w:r>
      <w:r w:rsidR="001D659E" w:rsidRPr="00040AB6">
        <w:rPr>
          <w:rFonts w:asciiTheme="minorHAnsi" w:hAnsiTheme="minorHAnsi"/>
          <w:sz w:val="24"/>
          <w:szCs w:val="24"/>
        </w:rPr>
        <w:t xml:space="preserve">; </w:t>
      </w:r>
    </w:p>
    <w:p w14:paraId="70E54267" w14:textId="77777777" w:rsidR="00C31476" w:rsidRPr="00040AB6" w:rsidRDefault="00C31476" w:rsidP="008431AD">
      <w:pPr>
        <w:tabs>
          <w:tab w:val="left" w:pos="1080"/>
          <w:tab w:val="left" w:pos="9720"/>
        </w:tabs>
        <w:autoSpaceDE w:val="0"/>
        <w:autoSpaceDN w:val="0"/>
        <w:adjustRightInd w:val="0"/>
        <w:spacing w:after="0" w:line="240" w:lineRule="auto"/>
        <w:ind w:left="1080" w:hanging="360"/>
        <w:rPr>
          <w:rFonts w:asciiTheme="minorHAnsi" w:hAnsiTheme="minorHAnsi"/>
          <w:sz w:val="24"/>
          <w:szCs w:val="24"/>
        </w:rPr>
      </w:pPr>
      <w:r w:rsidRPr="00040AB6">
        <w:rPr>
          <w:rFonts w:asciiTheme="minorHAnsi" w:hAnsiTheme="minorHAnsi"/>
          <w:sz w:val="24"/>
          <w:szCs w:val="24"/>
        </w:rPr>
        <w:t xml:space="preserve">3. </w:t>
      </w:r>
      <w:r w:rsidR="00854330" w:rsidRPr="00040AB6">
        <w:rPr>
          <w:rFonts w:asciiTheme="minorHAnsi" w:hAnsiTheme="minorHAnsi"/>
          <w:sz w:val="24"/>
          <w:szCs w:val="24"/>
        </w:rPr>
        <w:tab/>
      </w:r>
      <w:r w:rsidR="001D659E" w:rsidRPr="00040AB6">
        <w:rPr>
          <w:rFonts w:asciiTheme="minorHAnsi" w:hAnsiTheme="minorHAnsi"/>
          <w:sz w:val="24"/>
          <w:szCs w:val="24"/>
        </w:rPr>
        <w:t>Evaluation, verification, and monitoring; and</w:t>
      </w:r>
    </w:p>
    <w:p w14:paraId="70E54268" w14:textId="77777777" w:rsidR="00C31476" w:rsidRPr="00040AB6" w:rsidRDefault="00C31476" w:rsidP="008431AD">
      <w:pPr>
        <w:tabs>
          <w:tab w:val="left" w:pos="1080"/>
          <w:tab w:val="left" w:pos="9720"/>
        </w:tabs>
        <w:autoSpaceDE w:val="0"/>
        <w:autoSpaceDN w:val="0"/>
        <w:adjustRightInd w:val="0"/>
        <w:spacing w:after="0" w:line="240" w:lineRule="auto"/>
        <w:ind w:left="1080" w:hanging="360"/>
        <w:rPr>
          <w:rFonts w:asciiTheme="minorHAnsi" w:hAnsiTheme="minorHAnsi"/>
          <w:sz w:val="24"/>
          <w:szCs w:val="24"/>
        </w:rPr>
      </w:pPr>
      <w:r w:rsidRPr="00040AB6">
        <w:rPr>
          <w:rFonts w:asciiTheme="minorHAnsi" w:hAnsiTheme="minorHAnsi"/>
          <w:sz w:val="24"/>
          <w:szCs w:val="24"/>
        </w:rPr>
        <w:t xml:space="preserve">4. </w:t>
      </w:r>
      <w:r w:rsidR="00854330" w:rsidRPr="00040AB6">
        <w:rPr>
          <w:rFonts w:asciiTheme="minorHAnsi" w:hAnsiTheme="minorHAnsi"/>
          <w:sz w:val="24"/>
          <w:szCs w:val="24"/>
        </w:rPr>
        <w:tab/>
      </w:r>
      <w:r w:rsidRPr="00040AB6">
        <w:rPr>
          <w:rFonts w:asciiTheme="minorHAnsi" w:hAnsiTheme="minorHAnsi"/>
          <w:sz w:val="24"/>
          <w:szCs w:val="24"/>
        </w:rPr>
        <w:t>The participant’s remaining out-of-pocket costs for the installed cost of the measures after incentives and Federal tax credits.</w:t>
      </w:r>
    </w:p>
    <w:p w14:paraId="70E54269" w14:textId="77777777" w:rsidR="00B94D22" w:rsidRPr="00040AB6" w:rsidRDefault="00B94D22" w:rsidP="008536DA">
      <w:pPr>
        <w:tabs>
          <w:tab w:val="num" w:pos="360"/>
          <w:tab w:val="left" w:pos="9720"/>
        </w:tabs>
        <w:autoSpaceDE w:val="0"/>
        <w:autoSpaceDN w:val="0"/>
        <w:adjustRightInd w:val="0"/>
        <w:spacing w:after="0" w:line="240" w:lineRule="auto"/>
        <w:rPr>
          <w:rFonts w:asciiTheme="minorHAnsi" w:hAnsiTheme="minorHAnsi"/>
          <w:sz w:val="24"/>
          <w:szCs w:val="24"/>
        </w:rPr>
      </w:pPr>
    </w:p>
    <w:p w14:paraId="70E5426A" w14:textId="77777777" w:rsidR="00C31476" w:rsidRPr="00040AB6" w:rsidRDefault="00C31476" w:rsidP="00C31476">
      <w:pPr>
        <w:pStyle w:val="BodyText"/>
        <w:widowControl/>
        <w:tabs>
          <w:tab w:val="left" w:pos="9720"/>
        </w:tabs>
        <w:ind w:left="720"/>
        <w:rPr>
          <w:rFonts w:asciiTheme="minorHAnsi" w:hAnsiTheme="minorHAnsi"/>
          <w:sz w:val="24"/>
          <w:szCs w:val="24"/>
          <w:u w:val="single"/>
        </w:rPr>
      </w:pPr>
      <w:r w:rsidRPr="00040AB6">
        <w:rPr>
          <w:rFonts w:asciiTheme="minorHAnsi" w:hAnsiTheme="minorHAnsi"/>
          <w:sz w:val="24"/>
          <w:szCs w:val="24"/>
          <w:u w:val="single"/>
        </w:rPr>
        <w:t>L</w:t>
      </w:r>
      <w:r w:rsidR="00106C2C" w:rsidRPr="00040AB6">
        <w:rPr>
          <w:rFonts w:asciiTheme="minorHAnsi" w:hAnsiTheme="minorHAnsi"/>
          <w:sz w:val="24"/>
          <w:szCs w:val="24"/>
          <w:u w:val="single"/>
        </w:rPr>
        <w:t>evelized Cost Metric</w:t>
      </w:r>
    </w:p>
    <w:p w14:paraId="70E5426B" w14:textId="77777777" w:rsidR="00C31476" w:rsidRPr="00040AB6" w:rsidRDefault="00C31476" w:rsidP="00C31476">
      <w:pPr>
        <w:pStyle w:val="BodyText"/>
        <w:widowControl/>
        <w:tabs>
          <w:tab w:val="left" w:pos="9720"/>
        </w:tabs>
        <w:ind w:left="720"/>
        <w:rPr>
          <w:rFonts w:asciiTheme="minorHAnsi" w:hAnsiTheme="minorHAnsi"/>
          <w:sz w:val="24"/>
          <w:szCs w:val="24"/>
        </w:rPr>
      </w:pPr>
      <w:r w:rsidRPr="00040AB6">
        <w:rPr>
          <w:rFonts w:asciiTheme="minorHAnsi" w:hAnsiTheme="minorHAnsi"/>
          <w:sz w:val="24"/>
          <w:szCs w:val="24"/>
        </w:rPr>
        <w:t xml:space="preserve">The portfolio of measures promoted through the program will also meet </w:t>
      </w:r>
      <w:r w:rsidR="00EB0E8F" w:rsidRPr="00040AB6">
        <w:rPr>
          <w:rFonts w:asciiTheme="minorHAnsi" w:hAnsiTheme="minorHAnsi"/>
          <w:sz w:val="24"/>
          <w:szCs w:val="24"/>
        </w:rPr>
        <w:t>and report on a</w:t>
      </w:r>
      <w:r w:rsidRPr="00040AB6">
        <w:rPr>
          <w:rFonts w:asciiTheme="minorHAnsi" w:hAnsiTheme="minorHAnsi"/>
          <w:sz w:val="24"/>
          <w:szCs w:val="24"/>
        </w:rPr>
        <w:t xml:space="preserve"> Levelized Cost metric, which is determined as follows:</w:t>
      </w:r>
    </w:p>
    <w:p w14:paraId="70E5426C" w14:textId="77777777" w:rsidR="00C31476" w:rsidRPr="00040AB6" w:rsidRDefault="00C31476" w:rsidP="00C31476">
      <w:pPr>
        <w:pStyle w:val="BodyText"/>
        <w:widowControl/>
        <w:tabs>
          <w:tab w:val="left" w:pos="9720"/>
        </w:tabs>
        <w:ind w:left="720"/>
        <w:rPr>
          <w:rFonts w:asciiTheme="minorHAnsi" w:hAnsiTheme="minorHAnsi"/>
          <w:sz w:val="24"/>
          <w:szCs w:val="24"/>
        </w:rPr>
      </w:pPr>
      <w:r w:rsidRPr="00040AB6">
        <w:rPr>
          <w:rFonts w:asciiTheme="minorHAnsi" w:hAnsiTheme="minorHAnsi"/>
          <w:sz w:val="24"/>
          <w:szCs w:val="24"/>
        </w:rPr>
        <w:t xml:space="preserve"> </w:t>
      </w:r>
    </w:p>
    <w:p w14:paraId="70E5426D" w14:textId="77777777" w:rsidR="00C31476" w:rsidRPr="00040AB6" w:rsidRDefault="00C31476" w:rsidP="00693FBC">
      <w:pPr>
        <w:tabs>
          <w:tab w:val="left" w:pos="9720"/>
        </w:tabs>
        <w:autoSpaceDE w:val="0"/>
        <w:autoSpaceDN w:val="0"/>
        <w:adjustRightInd w:val="0"/>
        <w:spacing w:line="240" w:lineRule="auto"/>
        <w:ind w:left="720"/>
        <w:rPr>
          <w:rFonts w:asciiTheme="minorHAnsi" w:hAnsiTheme="minorHAnsi"/>
          <w:sz w:val="24"/>
          <w:szCs w:val="24"/>
        </w:rPr>
      </w:pPr>
      <w:r w:rsidRPr="00040AB6">
        <w:rPr>
          <w:rFonts w:asciiTheme="minorHAnsi" w:hAnsiTheme="minorHAnsi"/>
          <w:sz w:val="24"/>
          <w:szCs w:val="24"/>
        </w:rPr>
        <w:t xml:space="preserve">The levelized cost is the present value of the total </w:t>
      </w:r>
      <w:r w:rsidR="00B94D22">
        <w:rPr>
          <w:rFonts w:asciiTheme="minorHAnsi" w:hAnsiTheme="minorHAnsi"/>
          <w:sz w:val="24"/>
          <w:szCs w:val="24"/>
        </w:rPr>
        <w:t xml:space="preserve">net </w:t>
      </w:r>
      <w:r w:rsidRPr="00040AB6">
        <w:rPr>
          <w:rFonts w:asciiTheme="minorHAnsi" w:hAnsiTheme="minorHAnsi"/>
          <w:sz w:val="24"/>
          <w:szCs w:val="24"/>
        </w:rPr>
        <w:t xml:space="preserve">cost of a measure over its economic life, converted to equal annual payments.  The levelized cost calculation starts with the incremental capital cost of a given measure or package of measures.  The total cost is amortized over an estimated measure lifetime using the discount rate established in the Company’s most current IRP.  The annual net measure cost is then divided by the annual net energy savings (therms) from the measure application (again relative to a standard technology) to produce the levelized cost estimate in dollars per therm saved, as illustrated in the following formula. </w:t>
      </w:r>
    </w:p>
    <w:p w14:paraId="70E5426E" w14:textId="77777777" w:rsidR="00C31476" w:rsidRPr="00040AB6" w:rsidRDefault="00C31476" w:rsidP="00C31476">
      <w:pPr>
        <w:tabs>
          <w:tab w:val="left" w:pos="1710"/>
          <w:tab w:val="left" w:pos="9720"/>
        </w:tabs>
        <w:autoSpaceDE w:val="0"/>
        <w:autoSpaceDN w:val="0"/>
        <w:adjustRightInd w:val="0"/>
        <w:ind w:left="720"/>
        <w:rPr>
          <w:rFonts w:asciiTheme="minorHAnsi" w:hAnsiTheme="minorHAnsi"/>
          <w:sz w:val="24"/>
          <w:szCs w:val="24"/>
        </w:rPr>
      </w:pPr>
      <w:r w:rsidRPr="00040AB6">
        <w:rPr>
          <w:rFonts w:asciiTheme="minorHAnsi" w:hAnsiTheme="minorHAnsi"/>
          <w:sz w:val="24"/>
          <w:szCs w:val="24"/>
        </w:rPr>
        <w:object w:dxaOrig="4099" w:dyaOrig="700" w14:anchorId="70E543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30pt" o:ole="">
            <v:imagedata r:id="rId14" o:title=""/>
          </v:shape>
          <o:OLEObject Type="Embed" ProgID="Equation.3" ShapeID="_x0000_i1025" DrawAspect="Content" ObjectID="_1542109862" r:id="rId15"/>
        </w:object>
      </w:r>
    </w:p>
    <w:p w14:paraId="70E5426F" w14:textId="77777777" w:rsidR="00822685" w:rsidRPr="00040AB6" w:rsidRDefault="00C31476" w:rsidP="00693FBC">
      <w:pPr>
        <w:spacing w:line="240" w:lineRule="auto"/>
        <w:ind w:left="720"/>
        <w:rPr>
          <w:rFonts w:asciiTheme="minorHAnsi" w:hAnsiTheme="minorHAnsi"/>
          <w:sz w:val="24"/>
          <w:szCs w:val="24"/>
        </w:rPr>
      </w:pPr>
      <w:r w:rsidRPr="00040AB6">
        <w:rPr>
          <w:rFonts w:asciiTheme="minorHAnsi" w:hAnsiTheme="minorHAnsi"/>
          <w:sz w:val="24"/>
          <w:szCs w:val="24"/>
        </w:rPr>
        <w:t>The levelized cost of an energy efficiency measure is cost-effective if it is less than the average levelized costs of other supply-side options.  A cost-effective threshold is established in the Company’s most current IRP and further refined through the BCR test.</w:t>
      </w:r>
    </w:p>
    <w:p w14:paraId="70E54270" w14:textId="77777777" w:rsidR="00822685" w:rsidRPr="00693FBC" w:rsidRDefault="00182EF4" w:rsidP="00FC75F5">
      <w:pPr>
        <w:tabs>
          <w:tab w:val="left" w:pos="720"/>
        </w:tabs>
        <w:spacing w:after="0" w:line="240" w:lineRule="auto"/>
        <w:rPr>
          <w:rFonts w:asciiTheme="minorHAnsi" w:hAnsiTheme="minorHAnsi"/>
          <w:sz w:val="24"/>
          <w:szCs w:val="24"/>
          <w:u w:val="single"/>
        </w:rPr>
      </w:pPr>
      <w:r>
        <w:rPr>
          <w:rFonts w:asciiTheme="minorHAnsi" w:hAnsiTheme="minorHAnsi"/>
          <w:sz w:val="24"/>
          <w:szCs w:val="24"/>
        </w:rPr>
        <w:tab/>
      </w:r>
      <w:r w:rsidRPr="00693FBC">
        <w:rPr>
          <w:rFonts w:asciiTheme="minorHAnsi" w:hAnsiTheme="minorHAnsi"/>
          <w:sz w:val="24"/>
          <w:szCs w:val="24"/>
          <w:u w:val="single"/>
        </w:rPr>
        <w:t>Avoided Cost</w:t>
      </w:r>
    </w:p>
    <w:p w14:paraId="70E54271" w14:textId="77777777" w:rsidR="00737F45" w:rsidRPr="00693FBC" w:rsidRDefault="00737F45" w:rsidP="00737F45">
      <w:pPr>
        <w:spacing w:after="0" w:line="240" w:lineRule="auto"/>
        <w:ind w:left="720"/>
        <w:rPr>
          <w:rFonts w:asciiTheme="minorHAnsi" w:hAnsiTheme="minorHAnsi"/>
          <w:sz w:val="24"/>
          <w:szCs w:val="24"/>
        </w:rPr>
      </w:pPr>
      <w:r w:rsidRPr="00693FBC">
        <w:rPr>
          <w:rFonts w:asciiTheme="minorHAnsi" w:hAnsiTheme="minorHAnsi"/>
          <w:sz w:val="24"/>
          <w:szCs w:val="24"/>
        </w:rPr>
        <w:t xml:space="preserve">The avoided cost calculation from the 2016 EE Plan was updated with a new natural gas price forecast and captured the hedge value of demand side management as well as supply and distribution capacity avoided costs. The avoided cost calculation further evolved during 2016 while working with the Technical Working Group on the </w:t>
      </w:r>
      <w:hyperlink r:id="rId16" w:history="1">
        <w:r w:rsidRPr="00415D87">
          <w:rPr>
            <w:rStyle w:val="Hyperlink"/>
            <w:rFonts w:asciiTheme="minorHAnsi" w:hAnsiTheme="minorHAnsi"/>
            <w:sz w:val="24"/>
            <w:szCs w:val="24"/>
          </w:rPr>
          <w:t>2016 Integrated Resource Plan (IRP)</w:t>
        </w:r>
        <w:r>
          <w:rPr>
            <w:rStyle w:val="FootnoteReference"/>
            <w:rFonts w:asciiTheme="minorHAnsi" w:hAnsiTheme="minorHAnsi"/>
            <w:color w:val="0000FF"/>
            <w:sz w:val="24"/>
            <w:szCs w:val="24"/>
            <w:u w:val="single"/>
          </w:rPr>
          <w:footnoteReference w:id="3"/>
        </w:r>
        <w:r w:rsidRPr="00415D87">
          <w:rPr>
            <w:rStyle w:val="Hyperlink"/>
            <w:rFonts w:asciiTheme="minorHAnsi" w:hAnsiTheme="minorHAnsi"/>
            <w:sz w:val="24"/>
            <w:szCs w:val="24"/>
          </w:rPr>
          <w:t>.</w:t>
        </w:r>
      </w:hyperlink>
      <w:r w:rsidRPr="00693FBC">
        <w:rPr>
          <w:rFonts w:asciiTheme="minorHAnsi" w:hAnsiTheme="minorHAnsi"/>
          <w:sz w:val="24"/>
          <w:szCs w:val="24"/>
        </w:rPr>
        <w:t xml:space="preserve"> For the 2017 EE Plan, in addition to the improvements made to the avoided cost calculation for the 2016 EE Plan, a</w:t>
      </w:r>
      <w:r>
        <w:rPr>
          <w:rFonts w:asciiTheme="minorHAnsi" w:hAnsiTheme="minorHAnsi"/>
          <w:sz w:val="24"/>
          <w:szCs w:val="24"/>
        </w:rPr>
        <w:t xml:space="preserve"> state carbon policy proxy</w:t>
      </w:r>
      <w:r w:rsidRPr="00693FBC">
        <w:rPr>
          <w:rFonts w:asciiTheme="minorHAnsi" w:hAnsiTheme="minorHAnsi"/>
          <w:sz w:val="24"/>
          <w:szCs w:val="24"/>
        </w:rPr>
        <w:t xml:space="preserve"> adder is included to</w:t>
      </w:r>
      <w:r>
        <w:rPr>
          <w:rFonts w:asciiTheme="minorHAnsi" w:hAnsiTheme="minorHAnsi"/>
          <w:sz w:val="24"/>
          <w:szCs w:val="24"/>
        </w:rPr>
        <w:t xml:space="preserve"> represent the expected cost of compliance of uncertain</w:t>
      </w:r>
      <w:r w:rsidRPr="00693FBC">
        <w:rPr>
          <w:rFonts w:asciiTheme="minorHAnsi" w:hAnsiTheme="minorHAnsi"/>
          <w:sz w:val="24"/>
          <w:szCs w:val="24"/>
        </w:rPr>
        <w:t xml:space="preserve"> Washington state carbon policy. The natural gas price forecast in both the 2014 IRP and 2016 IRP include the expected impact to natural gas customers of national carbon policy while the incremental state carbon policy adder new to this EE Plan reflects the impacts of Washington-specific state carbon policy.</w:t>
      </w:r>
    </w:p>
    <w:p w14:paraId="70E54272" w14:textId="77777777" w:rsidR="004E59E6" w:rsidRDefault="004E59E6" w:rsidP="00693FBC">
      <w:pPr>
        <w:spacing w:after="0" w:line="240" w:lineRule="auto"/>
        <w:ind w:left="720"/>
        <w:rPr>
          <w:rFonts w:asciiTheme="minorHAnsi" w:hAnsiTheme="minorHAnsi"/>
          <w:sz w:val="24"/>
          <w:szCs w:val="24"/>
        </w:rPr>
      </w:pPr>
    </w:p>
    <w:p w14:paraId="70E54273" w14:textId="77777777" w:rsidR="00DA2F21" w:rsidRPr="00693FBC" w:rsidRDefault="00DA2F21" w:rsidP="00693FBC">
      <w:pPr>
        <w:spacing w:after="0" w:line="240" w:lineRule="auto"/>
        <w:ind w:left="720"/>
        <w:rPr>
          <w:rFonts w:asciiTheme="minorHAnsi" w:hAnsiTheme="minorHAnsi"/>
          <w:sz w:val="24"/>
          <w:szCs w:val="24"/>
        </w:rPr>
      </w:pPr>
      <w:r w:rsidRPr="00693FBC">
        <w:rPr>
          <w:rFonts w:asciiTheme="minorHAnsi" w:hAnsiTheme="minorHAnsi"/>
          <w:sz w:val="24"/>
          <w:szCs w:val="24"/>
        </w:rPr>
        <w:t xml:space="preserve">NW Natural and Energy Trust will continue to collaborate to make additional improvements to the avoided cost calculation methodology. Continuing work on the avoided cost calculation further refines the true avoided cost for Washington customers by identifying how energy savings on peak help avoid or delay investment in capacity resources.  </w:t>
      </w:r>
    </w:p>
    <w:p w14:paraId="70E54274" w14:textId="77777777" w:rsidR="00693FBC" w:rsidRPr="00AC364B" w:rsidRDefault="00693FBC" w:rsidP="00FC75F5">
      <w:pPr>
        <w:tabs>
          <w:tab w:val="left" w:pos="720"/>
        </w:tabs>
        <w:spacing w:after="0" w:line="240" w:lineRule="auto"/>
        <w:rPr>
          <w:rFonts w:asciiTheme="minorHAnsi" w:hAnsiTheme="minorHAnsi"/>
          <w:sz w:val="24"/>
          <w:szCs w:val="24"/>
        </w:rPr>
      </w:pPr>
    </w:p>
    <w:p w14:paraId="70E54275" w14:textId="77777777" w:rsidR="00357665" w:rsidRPr="008C4F4E" w:rsidRDefault="00357665" w:rsidP="00512699">
      <w:pPr>
        <w:pStyle w:val="ListParagraph"/>
        <w:numPr>
          <w:ilvl w:val="0"/>
          <w:numId w:val="9"/>
        </w:numPr>
        <w:tabs>
          <w:tab w:val="left" w:pos="720"/>
        </w:tabs>
        <w:spacing w:after="0" w:line="240" w:lineRule="auto"/>
        <w:ind w:hanging="1080"/>
        <w:rPr>
          <w:rFonts w:asciiTheme="minorHAnsi" w:hAnsiTheme="minorHAnsi"/>
          <w:sz w:val="44"/>
          <w:szCs w:val="44"/>
        </w:rPr>
      </w:pPr>
      <w:r w:rsidRPr="008C4F4E">
        <w:rPr>
          <w:rFonts w:asciiTheme="minorHAnsi" w:hAnsiTheme="minorHAnsi"/>
          <w:sz w:val="32"/>
          <w:szCs w:val="32"/>
        </w:rPr>
        <w:t xml:space="preserve">Program Evaluation, Monitoring and Verification </w:t>
      </w:r>
    </w:p>
    <w:p w14:paraId="70E54276" w14:textId="77777777" w:rsidR="00FA7971" w:rsidRPr="00040AB6" w:rsidRDefault="00357665" w:rsidP="00FC75F5">
      <w:pPr>
        <w:tabs>
          <w:tab w:val="left" w:pos="720"/>
        </w:tabs>
        <w:spacing w:after="0" w:line="240" w:lineRule="auto"/>
        <w:rPr>
          <w:rFonts w:asciiTheme="minorHAnsi" w:hAnsiTheme="minorHAnsi" w:cs="Calibri"/>
          <w:sz w:val="24"/>
          <w:szCs w:val="24"/>
        </w:rPr>
      </w:pPr>
      <w:r w:rsidRPr="00040AB6">
        <w:rPr>
          <w:rFonts w:asciiTheme="minorHAnsi" w:hAnsiTheme="minorHAnsi" w:cs="Calibri"/>
          <w:sz w:val="24"/>
          <w:szCs w:val="24"/>
        </w:rPr>
        <w:tab/>
      </w:r>
    </w:p>
    <w:p w14:paraId="70E54277" w14:textId="77777777" w:rsidR="00357665" w:rsidRPr="00040AB6" w:rsidRDefault="00FA7971" w:rsidP="00FC75F5">
      <w:pPr>
        <w:tabs>
          <w:tab w:val="left" w:pos="720"/>
        </w:tabs>
        <w:spacing w:after="0" w:line="240" w:lineRule="auto"/>
        <w:rPr>
          <w:rFonts w:asciiTheme="minorHAnsi" w:hAnsiTheme="minorHAnsi" w:cs="Calibri"/>
          <w:sz w:val="24"/>
          <w:szCs w:val="24"/>
          <w:u w:val="single"/>
        </w:rPr>
      </w:pPr>
      <w:r w:rsidRPr="00040AB6">
        <w:rPr>
          <w:rFonts w:asciiTheme="minorHAnsi" w:hAnsiTheme="minorHAnsi" w:cs="Calibri"/>
          <w:sz w:val="24"/>
          <w:szCs w:val="24"/>
        </w:rPr>
        <w:tab/>
      </w:r>
      <w:r w:rsidR="00357665" w:rsidRPr="00040AB6">
        <w:rPr>
          <w:rFonts w:asciiTheme="minorHAnsi" w:hAnsiTheme="minorHAnsi" w:cs="Calibri"/>
          <w:sz w:val="24"/>
          <w:szCs w:val="24"/>
          <w:u w:val="single"/>
        </w:rPr>
        <w:t>Impact Evaluations</w:t>
      </w:r>
    </w:p>
    <w:p w14:paraId="70E54278" w14:textId="77777777" w:rsidR="00106C2C" w:rsidRPr="00040AB6" w:rsidRDefault="00B94D22" w:rsidP="00C54531">
      <w:pPr>
        <w:tabs>
          <w:tab w:val="center" w:pos="720"/>
        </w:tabs>
        <w:spacing w:after="0" w:line="240" w:lineRule="auto"/>
        <w:ind w:left="720"/>
        <w:rPr>
          <w:rFonts w:asciiTheme="minorHAnsi" w:hAnsiTheme="minorHAnsi" w:cs="Calibri"/>
          <w:sz w:val="24"/>
          <w:szCs w:val="24"/>
        </w:rPr>
      </w:pPr>
      <w:r>
        <w:rPr>
          <w:rFonts w:asciiTheme="minorHAnsi" w:hAnsiTheme="minorHAnsi" w:cs="Calibri"/>
          <w:sz w:val="24"/>
          <w:szCs w:val="24"/>
        </w:rPr>
        <w:t xml:space="preserve">Annual savings are reported based on the deemed, gross savings, for each measure. </w:t>
      </w:r>
      <w:r w:rsidR="00357665" w:rsidRPr="00040AB6">
        <w:rPr>
          <w:rFonts w:asciiTheme="minorHAnsi" w:hAnsiTheme="minorHAnsi" w:cs="Calibri"/>
          <w:sz w:val="24"/>
          <w:szCs w:val="24"/>
        </w:rPr>
        <w:t xml:space="preserve">The deemed savings used </w:t>
      </w:r>
      <w:r>
        <w:rPr>
          <w:rFonts w:asciiTheme="minorHAnsi" w:hAnsiTheme="minorHAnsi" w:cs="Calibri"/>
          <w:sz w:val="24"/>
          <w:szCs w:val="24"/>
        </w:rPr>
        <w:t>is</w:t>
      </w:r>
      <w:r w:rsidR="00357665" w:rsidRPr="00040AB6">
        <w:rPr>
          <w:rFonts w:asciiTheme="minorHAnsi" w:hAnsiTheme="minorHAnsi" w:cs="Calibri"/>
          <w:sz w:val="24"/>
          <w:szCs w:val="24"/>
        </w:rPr>
        <w:t xml:space="preserve"> consistent with the most current impact studies performed on the programs that  Energy Trust delivers in Oregon until impact evaluations include results from the </w:t>
      </w:r>
      <w:r w:rsidR="00FE0DD2" w:rsidRPr="00040AB6">
        <w:rPr>
          <w:rFonts w:asciiTheme="minorHAnsi" w:hAnsiTheme="minorHAnsi" w:cs="Calibri"/>
          <w:sz w:val="24"/>
          <w:szCs w:val="24"/>
        </w:rPr>
        <w:t xml:space="preserve">Washington-delivered programs. </w:t>
      </w:r>
      <w:r w:rsidR="00357665" w:rsidRPr="00040AB6">
        <w:rPr>
          <w:rFonts w:asciiTheme="minorHAnsi" w:hAnsiTheme="minorHAnsi" w:cs="Calibri"/>
          <w:sz w:val="24"/>
          <w:szCs w:val="24"/>
        </w:rPr>
        <w:t xml:space="preserve"> The Energy Trust performs the impact study wherein they analyze customers’ energy usage data before and after a measure </w:t>
      </w:r>
      <w:r w:rsidR="00FE0DD2" w:rsidRPr="00040AB6">
        <w:rPr>
          <w:rFonts w:asciiTheme="minorHAnsi" w:hAnsiTheme="minorHAnsi" w:cs="Calibri"/>
          <w:sz w:val="24"/>
          <w:szCs w:val="24"/>
        </w:rPr>
        <w:t>i</w:t>
      </w:r>
      <w:r w:rsidR="00357665" w:rsidRPr="00040AB6">
        <w:rPr>
          <w:rFonts w:asciiTheme="minorHAnsi" w:hAnsiTheme="minorHAnsi" w:cs="Calibri"/>
          <w:sz w:val="24"/>
          <w:szCs w:val="24"/>
        </w:rPr>
        <w:t xml:space="preserve">s installed.  </w:t>
      </w:r>
      <w:r w:rsidR="00FE0DD2" w:rsidRPr="00040AB6">
        <w:rPr>
          <w:rFonts w:asciiTheme="minorHAnsi" w:hAnsiTheme="minorHAnsi" w:cs="Calibri"/>
          <w:sz w:val="24"/>
          <w:szCs w:val="24"/>
        </w:rPr>
        <w:t xml:space="preserve">The </w:t>
      </w:r>
      <w:r w:rsidR="00FE0DD2" w:rsidRPr="00040AB6">
        <w:rPr>
          <w:rFonts w:asciiTheme="minorHAnsi" w:hAnsiTheme="minorHAnsi"/>
          <w:sz w:val="24"/>
          <w:szCs w:val="24"/>
        </w:rPr>
        <w:t>savings from a</w:t>
      </w:r>
      <w:r w:rsidR="000A1DFE" w:rsidRPr="00040AB6">
        <w:rPr>
          <w:rFonts w:asciiTheme="minorHAnsi" w:hAnsiTheme="minorHAnsi"/>
          <w:sz w:val="24"/>
          <w:szCs w:val="24"/>
        </w:rPr>
        <w:t xml:space="preserve">ll </w:t>
      </w:r>
      <w:r w:rsidR="00FE0DD2" w:rsidRPr="00040AB6">
        <w:rPr>
          <w:rFonts w:asciiTheme="minorHAnsi" w:hAnsiTheme="minorHAnsi"/>
          <w:sz w:val="24"/>
          <w:szCs w:val="24"/>
        </w:rPr>
        <w:t xml:space="preserve">measures </w:t>
      </w:r>
      <w:r w:rsidR="000A1DFE" w:rsidRPr="00040AB6">
        <w:rPr>
          <w:rFonts w:asciiTheme="minorHAnsi" w:hAnsiTheme="minorHAnsi"/>
          <w:sz w:val="24"/>
          <w:szCs w:val="24"/>
        </w:rPr>
        <w:t xml:space="preserve">are analyzed annually unless sample sizes </w:t>
      </w:r>
      <w:r>
        <w:rPr>
          <w:rFonts w:asciiTheme="minorHAnsi" w:hAnsiTheme="minorHAnsi"/>
          <w:sz w:val="24"/>
          <w:szCs w:val="24"/>
        </w:rPr>
        <w:t>(</w:t>
      </w:r>
      <w:r w:rsidR="000A1DFE" w:rsidRPr="00040AB6">
        <w:rPr>
          <w:rFonts w:asciiTheme="minorHAnsi" w:hAnsiTheme="minorHAnsi"/>
          <w:sz w:val="24"/>
          <w:szCs w:val="24"/>
        </w:rPr>
        <w:t>based on participation rates</w:t>
      </w:r>
      <w:r>
        <w:rPr>
          <w:rFonts w:asciiTheme="minorHAnsi" w:hAnsiTheme="minorHAnsi"/>
          <w:sz w:val="24"/>
          <w:szCs w:val="24"/>
        </w:rPr>
        <w:t>)</w:t>
      </w:r>
      <w:r w:rsidR="000A1DFE" w:rsidRPr="00040AB6">
        <w:rPr>
          <w:rFonts w:asciiTheme="minorHAnsi" w:hAnsiTheme="minorHAnsi"/>
          <w:sz w:val="24"/>
          <w:szCs w:val="24"/>
        </w:rPr>
        <w:t xml:space="preserve"> are not statistically significant.  </w:t>
      </w:r>
      <w:r w:rsidR="00FE0DD2" w:rsidRPr="00040AB6">
        <w:rPr>
          <w:rFonts w:asciiTheme="minorHAnsi" w:hAnsiTheme="minorHAnsi"/>
          <w:sz w:val="24"/>
          <w:szCs w:val="24"/>
        </w:rPr>
        <w:t xml:space="preserve">From </w:t>
      </w:r>
      <w:r w:rsidR="00357665" w:rsidRPr="00040AB6">
        <w:rPr>
          <w:rFonts w:asciiTheme="minorHAnsi" w:hAnsiTheme="minorHAnsi"/>
          <w:sz w:val="24"/>
          <w:szCs w:val="24"/>
        </w:rPr>
        <w:t>th</w:t>
      </w:r>
      <w:r w:rsidR="00FE0DD2" w:rsidRPr="00040AB6">
        <w:rPr>
          <w:rFonts w:asciiTheme="minorHAnsi" w:hAnsiTheme="minorHAnsi"/>
          <w:sz w:val="24"/>
          <w:szCs w:val="24"/>
        </w:rPr>
        <w:t>e impact evaluation</w:t>
      </w:r>
      <w:r w:rsidR="00357665" w:rsidRPr="00040AB6">
        <w:rPr>
          <w:rFonts w:asciiTheme="minorHAnsi" w:hAnsiTheme="minorHAnsi"/>
          <w:sz w:val="24"/>
          <w:szCs w:val="24"/>
        </w:rPr>
        <w:t>, the</w:t>
      </w:r>
      <w:r w:rsidR="000A1DFE" w:rsidRPr="00040AB6">
        <w:rPr>
          <w:rFonts w:asciiTheme="minorHAnsi" w:hAnsiTheme="minorHAnsi"/>
          <w:sz w:val="24"/>
          <w:szCs w:val="24"/>
        </w:rPr>
        <w:t xml:space="preserve"> Energy Trust is </w:t>
      </w:r>
      <w:r w:rsidR="00357665" w:rsidRPr="00040AB6">
        <w:rPr>
          <w:rFonts w:asciiTheme="minorHAnsi" w:hAnsiTheme="minorHAnsi"/>
          <w:sz w:val="24"/>
          <w:szCs w:val="24"/>
        </w:rPr>
        <w:t xml:space="preserve">able to determine if average savings are consistent with deemed savings.  If they are not, the deemed savings are “trued-up” </w:t>
      </w:r>
      <w:r w:rsidR="000A1DFE" w:rsidRPr="00040AB6">
        <w:rPr>
          <w:rFonts w:asciiTheme="minorHAnsi" w:hAnsiTheme="minorHAnsi"/>
          <w:sz w:val="24"/>
          <w:szCs w:val="24"/>
        </w:rPr>
        <w:t xml:space="preserve">once annually </w:t>
      </w:r>
      <w:r w:rsidR="00357665" w:rsidRPr="00040AB6">
        <w:rPr>
          <w:rFonts w:asciiTheme="minorHAnsi" w:hAnsiTheme="minorHAnsi"/>
          <w:sz w:val="24"/>
          <w:szCs w:val="24"/>
        </w:rPr>
        <w:t xml:space="preserve">to reflect the findings.  </w:t>
      </w:r>
      <w:r w:rsidR="000A1DFE" w:rsidRPr="00040AB6">
        <w:rPr>
          <w:rFonts w:asciiTheme="minorHAnsi" w:hAnsiTheme="minorHAnsi"/>
          <w:sz w:val="24"/>
          <w:szCs w:val="24"/>
        </w:rPr>
        <w:t xml:space="preserve">A link to the annual true up report as well as </w:t>
      </w:r>
      <w:r w:rsidR="00FE0DD2" w:rsidRPr="00040AB6">
        <w:rPr>
          <w:rFonts w:asciiTheme="minorHAnsi" w:hAnsiTheme="minorHAnsi"/>
          <w:sz w:val="24"/>
          <w:szCs w:val="24"/>
        </w:rPr>
        <w:t xml:space="preserve">a short summary of the results </w:t>
      </w:r>
      <w:r w:rsidR="000A1DFE" w:rsidRPr="00040AB6">
        <w:rPr>
          <w:rFonts w:asciiTheme="minorHAnsi" w:hAnsiTheme="minorHAnsi"/>
          <w:sz w:val="24"/>
          <w:szCs w:val="24"/>
        </w:rPr>
        <w:t>will be provided in the quarterly report following the report’s release.</w:t>
      </w:r>
      <w:r w:rsidR="000A1DFE" w:rsidRPr="00040AB6">
        <w:rPr>
          <w:rFonts w:asciiTheme="minorHAnsi" w:hAnsiTheme="minorHAnsi" w:cs="Calibri"/>
          <w:sz w:val="24"/>
          <w:szCs w:val="24"/>
        </w:rPr>
        <w:t xml:space="preserve"> </w:t>
      </w:r>
    </w:p>
    <w:p w14:paraId="70E54279" w14:textId="77777777" w:rsidR="00106C2C" w:rsidRPr="00040AB6" w:rsidRDefault="00106C2C" w:rsidP="00C54531">
      <w:pPr>
        <w:spacing w:after="0" w:line="240" w:lineRule="auto"/>
        <w:rPr>
          <w:rFonts w:asciiTheme="minorHAnsi" w:hAnsiTheme="minorHAnsi" w:cs="Calibri"/>
          <w:sz w:val="24"/>
          <w:szCs w:val="24"/>
        </w:rPr>
      </w:pPr>
    </w:p>
    <w:p w14:paraId="70E5427A" w14:textId="77777777" w:rsidR="00357665" w:rsidRPr="00040AB6" w:rsidRDefault="00357665" w:rsidP="00C54531">
      <w:pPr>
        <w:pStyle w:val="ListParagraph"/>
        <w:spacing w:after="0" w:line="240" w:lineRule="auto"/>
        <w:rPr>
          <w:rFonts w:asciiTheme="minorHAnsi" w:hAnsiTheme="minorHAnsi" w:cs="Calibri"/>
          <w:sz w:val="24"/>
          <w:szCs w:val="24"/>
          <w:u w:val="single"/>
        </w:rPr>
      </w:pPr>
      <w:r w:rsidRPr="00040AB6">
        <w:rPr>
          <w:rFonts w:asciiTheme="minorHAnsi" w:hAnsiTheme="minorHAnsi" w:cs="Calibri"/>
          <w:sz w:val="24"/>
          <w:szCs w:val="24"/>
          <w:u w:val="single"/>
        </w:rPr>
        <w:t>Process Evaluations</w:t>
      </w:r>
    </w:p>
    <w:p w14:paraId="70E5427B" w14:textId="77777777" w:rsidR="009C3D0A" w:rsidRDefault="00357665" w:rsidP="009C3D0A">
      <w:pPr>
        <w:tabs>
          <w:tab w:val="center" w:pos="720"/>
        </w:tabs>
        <w:spacing w:after="0" w:line="240" w:lineRule="auto"/>
        <w:ind w:left="720"/>
        <w:rPr>
          <w:rFonts w:asciiTheme="minorHAnsi" w:hAnsiTheme="minorHAnsi"/>
          <w:sz w:val="24"/>
          <w:szCs w:val="24"/>
        </w:rPr>
      </w:pPr>
      <w:r w:rsidRPr="00040AB6">
        <w:rPr>
          <w:rFonts w:asciiTheme="minorHAnsi" w:hAnsiTheme="minorHAnsi"/>
          <w:sz w:val="24"/>
          <w:szCs w:val="24"/>
        </w:rPr>
        <w:t>Besid</w:t>
      </w:r>
      <w:r w:rsidR="004E59E6">
        <w:rPr>
          <w:rFonts w:asciiTheme="minorHAnsi" w:hAnsiTheme="minorHAnsi"/>
          <w:sz w:val="24"/>
          <w:szCs w:val="24"/>
        </w:rPr>
        <w:t xml:space="preserve">es impact evaluations, </w:t>
      </w:r>
      <w:r w:rsidRPr="00040AB6">
        <w:rPr>
          <w:rFonts w:asciiTheme="minorHAnsi" w:hAnsiTheme="minorHAnsi"/>
          <w:sz w:val="24"/>
          <w:szCs w:val="24"/>
        </w:rPr>
        <w:t xml:space="preserve">Energy Trust </w:t>
      </w:r>
      <w:r w:rsidR="0061226F" w:rsidRPr="00040AB6">
        <w:rPr>
          <w:rFonts w:asciiTheme="minorHAnsi" w:hAnsiTheme="minorHAnsi"/>
          <w:sz w:val="24"/>
          <w:szCs w:val="24"/>
        </w:rPr>
        <w:t xml:space="preserve">contracts with </w:t>
      </w:r>
      <w:r w:rsidRPr="00040AB6">
        <w:rPr>
          <w:rFonts w:asciiTheme="minorHAnsi" w:hAnsiTheme="minorHAnsi"/>
          <w:sz w:val="24"/>
          <w:szCs w:val="24"/>
        </w:rPr>
        <w:t>a third party to perform a process evaluation on all general energy efficiency programs offered</w:t>
      </w:r>
      <w:r w:rsidR="0061226F" w:rsidRPr="00040AB6">
        <w:rPr>
          <w:rFonts w:asciiTheme="minorHAnsi" w:hAnsiTheme="minorHAnsi"/>
          <w:sz w:val="24"/>
          <w:szCs w:val="24"/>
        </w:rPr>
        <w:t>, typically on an annual basis</w:t>
      </w:r>
      <w:r w:rsidRPr="00040AB6">
        <w:rPr>
          <w:rFonts w:asciiTheme="minorHAnsi" w:hAnsiTheme="minorHAnsi"/>
          <w:sz w:val="24"/>
          <w:szCs w:val="24"/>
        </w:rPr>
        <w:t xml:space="preserve">.  The third party studies and reports on the processes employed for each program.  Study results are available on the Energy Trust’s website:  </w:t>
      </w:r>
      <w:r w:rsidR="006E130D" w:rsidRPr="00040AB6">
        <w:rPr>
          <w:rFonts w:asciiTheme="minorHAnsi" w:hAnsiTheme="minorHAnsi"/>
          <w:sz w:val="24"/>
          <w:szCs w:val="24"/>
        </w:rPr>
        <w:t>www.energytrust.org</w:t>
      </w:r>
      <w:r w:rsidRPr="00040AB6">
        <w:rPr>
          <w:rFonts w:asciiTheme="minorHAnsi" w:hAnsiTheme="minorHAnsi"/>
          <w:sz w:val="24"/>
          <w:szCs w:val="24"/>
        </w:rPr>
        <w:t>.</w:t>
      </w:r>
      <w:r w:rsidR="000A1DFE" w:rsidRPr="00040AB6">
        <w:rPr>
          <w:rFonts w:asciiTheme="minorHAnsi" w:hAnsiTheme="minorHAnsi"/>
          <w:sz w:val="24"/>
          <w:szCs w:val="24"/>
        </w:rPr>
        <w:t xml:space="preserve">  A link to the annual process evaluation</w:t>
      </w:r>
      <w:r w:rsidR="00B94D22">
        <w:rPr>
          <w:rFonts w:asciiTheme="minorHAnsi" w:hAnsiTheme="minorHAnsi"/>
          <w:sz w:val="24"/>
          <w:szCs w:val="24"/>
        </w:rPr>
        <w:t>,</w:t>
      </w:r>
      <w:r w:rsidR="000A1DFE" w:rsidRPr="00040AB6">
        <w:rPr>
          <w:rFonts w:asciiTheme="minorHAnsi" w:hAnsiTheme="minorHAnsi"/>
          <w:sz w:val="24"/>
          <w:szCs w:val="24"/>
        </w:rPr>
        <w:t xml:space="preserve"> as well as </w:t>
      </w:r>
      <w:r w:rsidR="00FE0DD2" w:rsidRPr="00040AB6">
        <w:rPr>
          <w:rFonts w:asciiTheme="minorHAnsi" w:hAnsiTheme="minorHAnsi"/>
          <w:sz w:val="24"/>
          <w:szCs w:val="24"/>
        </w:rPr>
        <w:t>a short summary of the results</w:t>
      </w:r>
      <w:r w:rsidR="00B94D22">
        <w:rPr>
          <w:rFonts w:asciiTheme="minorHAnsi" w:hAnsiTheme="minorHAnsi"/>
          <w:sz w:val="24"/>
          <w:szCs w:val="24"/>
        </w:rPr>
        <w:t>,</w:t>
      </w:r>
      <w:r w:rsidR="000A1DFE" w:rsidRPr="00040AB6">
        <w:rPr>
          <w:rFonts w:asciiTheme="minorHAnsi" w:hAnsiTheme="minorHAnsi"/>
          <w:sz w:val="24"/>
          <w:szCs w:val="24"/>
        </w:rPr>
        <w:t xml:space="preserve"> will be provided in the quarterly report following the report’s release. </w:t>
      </w:r>
    </w:p>
    <w:p w14:paraId="70E5427C" w14:textId="77777777" w:rsidR="00693FBC" w:rsidRDefault="00693FBC" w:rsidP="009C3D0A">
      <w:pPr>
        <w:tabs>
          <w:tab w:val="center" w:pos="720"/>
        </w:tabs>
        <w:spacing w:after="0" w:line="240" w:lineRule="auto"/>
        <w:ind w:left="720"/>
        <w:rPr>
          <w:rFonts w:asciiTheme="minorHAnsi" w:hAnsiTheme="minorHAnsi"/>
          <w:sz w:val="24"/>
          <w:szCs w:val="24"/>
        </w:rPr>
      </w:pPr>
    </w:p>
    <w:p w14:paraId="70E5427D" w14:textId="77777777" w:rsidR="00357665" w:rsidRPr="008C4F4E" w:rsidRDefault="00357665" w:rsidP="00512699">
      <w:pPr>
        <w:pStyle w:val="ListParagraph"/>
        <w:numPr>
          <w:ilvl w:val="0"/>
          <w:numId w:val="9"/>
        </w:numPr>
        <w:tabs>
          <w:tab w:val="left" w:pos="720"/>
        </w:tabs>
        <w:spacing w:after="0" w:line="240" w:lineRule="auto"/>
        <w:ind w:hanging="1080"/>
        <w:rPr>
          <w:rFonts w:asciiTheme="minorHAnsi" w:hAnsiTheme="minorHAnsi"/>
          <w:sz w:val="32"/>
          <w:szCs w:val="32"/>
        </w:rPr>
      </w:pPr>
      <w:r w:rsidRPr="008C4F4E">
        <w:rPr>
          <w:rFonts w:asciiTheme="minorHAnsi" w:hAnsiTheme="minorHAnsi"/>
          <w:sz w:val="32"/>
          <w:szCs w:val="32"/>
        </w:rPr>
        <w:t>Process for Program Changes</w:t>
      </w:r>
    </w:p>
    <w:p w14:paraId="70E5427E" w14:textId="77777777" w:rsidR="00357665" w:rsidRPr="00040AB6" w:rsidRDefault="00357665" w:rsidP="00E5636B">
      <w:pPr>
        <w:pStyle w:val="ListParagraph"/>
        <w:spacing w:after="0" w:line="240" w:lineRule="auto"/>
        <w:rPr>
          <w:rFonts w:asciiTheme="minorHAnsi" w:hAnsiTheme="minorHAnsi"/>
          <w:sz w:val="24"/>
          <w:szCs w:val="24"/>
        </w:rPr>
      </w:pPr>
      <w:r w:rsidRPr="00040AB6">
        <w:rPr>
          <w:rFonts w:asciiTheme="minorHAnsi" w:hAnsiTheme="minorHAnsi"/>
          <w:sz w:val="24"/>
          <w:szCs w:val="24"/>
        </w:rPr>
        <w:t xml:space="preserve">NW Natural will file to revise </w:t>
      </w:r>
      <w:r w:rsidR="00BD7B19">
        <w:rPr>
          <w:rFonts w:asciiTheme="minorHAnsi" w:hAnsiTheme="minorHAnsi"/>
          <w:sz w:val="24"/>
          <w:szCs w:val="24"/>
        </w:rPr>
        <w:t xml:space="preserve">Appendix </w:t>
      </w:r>
      <w:r w:rsidR="00676821" w:rsidRPr="00040AB6">
        <w:rPr>
          <w:rFonts w:asciiTheme="minorHAnsi" w:hAnsiTheme="minorHAnsi"/>
          <w:sz w:val="24"/>
          <w:szCs w:val="24"/>
        </w:rPr>
        <w:t>A of its Energy Efficiency Plan</w:t>
      </w:r>
      <w:r w:rsidRPr="00040AB6">
        <w:rPr>
          <w:rFonts w:asciiTheme="minorHAnsi" w:hAnsiTheme="minorHAnsi"/>
          <w:sz w:val="24"/>
          <w:szCs w:val="24"/>
        </w:rPr>
        <w:t xml:space="preserve"> when it plans to add, change</w:t>
      </w:r>
      <w:r w:rsidR="00FE0DD2" w:rsidRPr="00040AB6">
        <w:rPr>
          <w:rFonts w:asciiTheme="minorHAnsi" w:hAnsiTheme="minorHAnsi"/>
          <w:sz w:val="24"/>
          <w:szCs w:val="24"/>
        </w:rPr>
        <w:t>,</w:t>
      </w:r>
      <w:r w:rsidRPr="00040AB6">
        <w:rPr>
          <w:rFonts w:asciiTheme="minorHAnsi" w:hAnsiTheme="minorHAnsi"/>
          <w:sz w:val="24"/>
          <w:szCs w:val="24"/>
        </w:rPr>
        <w:t xml:space="preserve"> or remove a long- term incentive offering.  </w:t>
      </w:r>
      <w:r w:rsidR="00676821" w:rsidRPr="00040AB6">
        <w:rPr>
          <w:rFonts w:asciiTheme="minorHAnsi" w:hAnsiTheme="minorHAnsi"/>
          <w:sz w:val="24"/>
          <w:szCs w:val="24"/>
        </w:rPr>
        <w:t xml:space="preserve">Every year the Company will consider if </w:t>
      </w:r>
      <w:r w:rsidRPr="00040AB6">
        <w:rPr>
          <w:rFonts w:asciiTheme="minorHAnsi" w:hAnsiTheme="minorHAnsi"/>
          <w:sz w:val="24"/>
          <w:szCs w:val="24"/>
        </w:rPr>
        <w:t xml:space="preserve">program year changes are </w:t>
      </w:r>
      <w:r w:rsidR="00676821" w:rsidRPr="00040AB6">
        <w:rPr>
          <w:rFonts w:asciiTheme="minorHAnsi" w:hAnsiTheme="minorHAnsi"/>
          <w:sz w:val="24"/>
          <w:szCs w:val="24"/>
        </w:rPr>
        <w:t>needed.  If they are</w:t>
      </w:r>
      <w:r w:rsidRPr="00040AB6">
        <w:rPr>
          <w:rFonts w:asciiTheme="minorHAnsi" w:hAnsiTheme="minorHAnsi"/>
          <w:sz w:val="24"/>
          <w:szCs w:val="24"/>
        </w:rPr>
        <w:t>, the Company will</w:t>
      </w:r>
      <w:r w:rsidR="00676821" w:rsidRPr="00040AB6">
        <w:rPr>
          <w:rFonts w:asciiTheme="minorHAnsi" w:hAnsiTheme="minorHAnsi"/>
          <w:sz w:val="24"/>
          <w:szCs w:val="24"/>
        </w:rPr>
        <w:t xml:space="preserve"> revise its EE Plan</w:t>
      </w:r>
      <w:r w:rsidRPr="00040AB6">
        <w:rPr>
          <w:rFonts w:asciiTheme="minorHAnsi" w:hAnsiTheme="minorHAnsi"/>
          <w:sz w:val="24"/>
          <w:szCs w:val="24"/>
        </w:rPr>
        <w:t xml:space="preserve"> to make requested program modifications when it makes its annual advice filing, submitted no later than December 1, to revise the performance metrics</w:t>
      </w:r>
      <w:r w:rsidR="00676821" w:rsidRPr="00040AB6">
        <w:rPr>
          <w:rFonts w:asciiTheme="minorHAnsi" w:hAnsiTheme="minorHAnsi"/>
          <w:sz w:val="24"/>
          <w:szCs w:val="24"/>
        </w:rPr>
        <w:t xml:space="preserve"> and budget that are also</w:t>
      </w:r>
      <w:r w:rsidRPr="00040AB6">
        <w:rPr>
          <w:rFonts w:asciiTheme="minorHAnsi" w:hAnsiTheme="minorHAnsi"/>
          <w:sz w:val="24"/>
          <w:szCs w:val="24"/>
        </w:rPr>
        <w:t xml:space="preserve"> included in the Plan.  This does not preclude the Company from filing to revise Schedule G or its EE Plan at any time during the year.  Advice filings revising or adding measures will include:</w:t>
      </w:r>
    </w:p>
    <w:p w14:paraId="70E5427F" w14:textId="77777777" w:rsidR="00357665" w:rsidRPr="00040AB6" w:rsidRDefault="00357665" w:rsidP="00E5636B">
      <w:pPr>
        <w:pStyle w:val="ListParagraph"/>
        <w:spacing w:after="0" w:line="240" w:lineRule="auto"/>
        <w:rPr>
          <w:rFonts w:asciiTheme="minorHAnsi" w:hAnsiTheme="minorHAnsi"/>
          <w:sz w:val="24"/>
          <w:szCs w:val="24"/>
        </w:rPr>
      </w:pPr>
    </w:p>
    <w:p w14:paraId="70E54280" w14:textId="77777777" w:rsidR="00357665" w:rsidRPr="00040AB6" w:rsidRDefault="00357665" w:rsidP="002B3884">
      <w:pPr>
        <w:pStyle w:val="ListParagraph"/>
        <w:numPr>
          <w:ilvl w:val="0"/>
          <w:numId w:val="12"/>
        </w:numPr>
        <w:tabs>
          <w:tab w:val="left" w:pos="2160"/>
        </w:tabs>
        <w:spacing w:after="0" w:line="240" w:lineRule="auto"/>
        <w:ind w:left="2160" w:hanging="720"/>
        <w:rPr>
          <w:rFonts w:asciiTheme="minorHAnsi" w:hAnsiTheme="minorHAnsi"/>
          <w:sz w:val="24"/>
          <w:szCs w:val="24"/>
        </w:rPr>
      </w:pPr>
      <w:r w:rsidRPr="00040AB6">
        <w:rPr>
          <w:rFonts w:asciiTheme="minorHAnsi" w:hAnsiTheme="minorHAnsi"/>
          <w:sz w:val="24"/>
          <w:szCs w:val="24"/>
        </w:rPr>
        <w:t>A benefit</w:t>
      </w:r>
      <w:r w:rsidR="003652B4">
        <w:rPr>
          <w:rFonts w:asciiTheme="minorHAnsi" w:hAnsiTheme="minorHAnsi"/>
          <w:sz w:val="24"/>
          <w:szCs w:val="24"/>
        </w:rPr>
        <w:t>-</w:t>
      </w:r>
      <w:r w:rsidRPr="00040AB6">
        <w:rPr>
          <w:rFonts w:asciiTheme="minorHAnsi" w:hAnsiTheme="minorHAnsi"/>
          <w:sz w:val="24"/>
          <w:szCs w:val="24"/>
        </w:rPr>
        <w:t xml:space="preserve">cost ratio (“BCR”) calculator demonstrating the measure’s life, measure cost, the quantifiable non-energy benefits, the utility system benefits and the societal BCR; and </w:t>
      </w:r>
    </w:p>
    <w:p w14:paraId="70E54281" w14:textId="77777777" w:rsidR="00676821" w:rsidRPr="00040AB6" w:rsidRDefault="00676821" w:rsidP="002B3884">
      <w:pPr>
        <w:pStyle w:val="ListParagraph"/>
        <w:tabs>
          <w:tab w:val="left" w:pos="2160"/>
        </w:tabs>
        <w:spacing w:after="0" w:line="240" w:lineRule="auto"/>
        <w:ind w:left="1800"/>
        <w:rPr>
          <w:rFonts w:asciiTheme="minorHAnsi" w:hAnsiTheme="minorHAnsi"/>
          <w:sz w:val="24"/>
          <w:szCs w:val="24"/>
        </w:rPr>
      </w:pPr>
    </w:p>
    <w:p w14:paraId="70E54282" w14:textId="77777777" w:rsidR="00357665" w:rsidRPr="00040AB6" w:rsidRDefault="000E1BC9" w:rsidP="004D1E3F">
      <w:pPr>
        <w:pStyle w:val="ListParagraph"/>
        <w:numPr>
          <w:ilvl w:val="0"/>
          <w:numId w:val="12"/>
        </w:numPr>
        <w:tabs>
          <w:tab w:val="left" w:pos="2160"/>
        </w:tabs>
        <w:spacing w:after="0" w:line="240" w:lineRule="auto"/>
        <w:ind w:left="2160" w:hanging="720"/>
        <w:rPr>
          <w:rFonts w:asciiTheme="minorHAnsi" w:hAnsiTheme="minorHAnsi"/>
          <w:sz w:val="24"/>
          <w:szCs w:val="24"/>
        </w:rPr>
      </w:pPr>
      <w:r w:rsidRPr="00040AB6">
        <w:rPr>
          <w:rFonts w:asciiTheme="minorHAnsi" w:hAnsiTheme="minorHAnsi"/>
          <w:sz w:val="24"/>
          <w:szCs w:val="24"/>
        </w:rPr>
        <w:t>For new measures, a</w:t>
      </w:r>
      <w:r w:rsidR="00357665" w:rsidRPr="00040AB6">
        <w:rPr>
          <w:rFonts w:asciiTheme="minorHAnsi" w:hAnsiTheme="minorHAnsi"/>
          <w:sz w:val="24"/>
          <w:szCs w:val="24"/>
        </w:rPr>
        <w:t xml:space="preserve"> blessing memo which refers to an in-house Energy Trust document that summarizes the vetting of a measure before it is introduced as a program offering.  The EEAG will be given the opportunity to review all tariff filings before they are filed.  The Company will generally give the EEAG ten business days to review a draft filing.  The EEAG’s review process will not be less than five business days.  </w:t>
      </w:r>
    </w:p>
    <w:p w14:paraId="70E54283" w14:textId="77777777" w:rsidR="00676821" w:rsidRPr="00040AB6" w:rsidRDefault="00676821" w:rsidP="002B3884">
      <w:pPr>
        <w:pStyle w:val="ListParagraph"/>
        <w:tabs>
          <w:tab w:val="left" w:pos="2160"/>
        </w:tabs>
        <w:spacing w:after="0" w:line="240" w:lineRule="auto"/>
        <w:ind w:left="1800"/>
        <w:rPr>
          <w:rFonts w:asciiTheme="minorHAnsi" w:hAnsiTheme="minorHAnsi"/>
          <w:sz w:val="24"/>
          <w:szCs w:val="24"/>
        </w:rPr>
      </w:pPr>
    </w:p>
    <w:p w14:paraId="70E54284" w14:textId="77777777" w:rsidR="00357665" w:rsidRPr="00040AB6" w:rsidRDefault="00357665" w:rsidP="00676821">
      <w:pPr>
        <w:pStyle w:val="ListParagraph"/>
        <w:tabs>
          <w:tab w:val="left" w:pos="2160"/>
        </w:tabs>
        <w:spacing w:after="0" w:line="240" w:lineRule="auto"/>
        <w:ind w:left="2160" w:hanging="720"/>
        <w:rPr>
          <w:rFonts w:asciiTheme="minorHAnsi" w:hAnsiTheme="minorHAnsi"/>
          <w:sz w:val="24"/>
          <w:szCs w:val="24"/>
        </w:rPr>
      </w:pPr>
      <w:r w:rsidRPr="00040AB6">
        <w:rPr>
          <w:rFonts w:asciiTheme="minorHAnsi" w:hAnsiTheme="minorHAnsi"/>
          <w:sz w:val="24"/>
          <w:szCs w:val="24"/>
        </w:rPr>
        <w:t>3)</w:t>
      </w:r>
      <w:r w:rsidR="00676821" w:rsidRPr="00040AB6">
        <w:rPr>
          <w:rFonts w:asciiTheme="minorHAnsi" w:hAnsiTheme="minorHAnsi"/>
          <w:sz w:val="24"/>
          <w:szCs w:val="24"/>
        </w:rPr>
        <w:tab/>
      </w:r>
      <w:r w:rsidRPr="00040AB6">
        <w:rPr>
          <w:rFonts w:asciiTheme="minorHAnsi" w:hAnsiTheme="minorHAnsi"/>
          <w:sz w:val="24"/>
          <w:szCs w:val="24"/>
        </w:rPr>
        <w:t>New programs</w:t>
      </w:r>
      <w:r w:rsidR="00FE0DD2" w:rsidRPr="00040AB6">
        <w:rPr>
          <w:rFonts w:asciiTheme="minorHAnsi" w:hAnsiTheme="minorHAnsi"/>
          <w:sz w:val="24"/>
          <w:szCs w:val="24"/>
        </w:rPr>
        <w:t xml:space="preserve"> proposed mid-cycle</w:t>
      </w:r>
      <w:r w:rsidRPr="00040AB6">
        <w:rPr>
          <w:rFonts w:asciiTheme="minorHAnsi" w:hAnsiTheme="minorHAnsi"/>
          <w:sz w:val="24"/>
          <w:szCs w:val="24"/>
        </w:rPr>
        <w:t xml:space="preserve"> will include a program-specific plan addressing the possible need for program-specific metrics.</w:t>
      </w:r>
    </w:p>
    <w:p w14:paraId="70E54285" w14:textId="77777777" w:rsidR="00357665" w:rsidRPr="00040AB6" w:rsidRDefault="00357665" w:rsidP="00BE4A87">
      <w:pPr>
        <w:pStyle w:val="ListParagraph"/>
        <w:spacing w:after="0" w:line="240" w:lineRule="auto"/>
        <w:ind w:left="1440"/>
        <w:rPr>
          <w:rFonts w:asciiTheme="minorHAnsi" w:hAnsiTheme="minorHAnsi"/>
          <w:sz w:val="24"/>
          <w:szCs w:val="24"/>
        </w:rPr>
      </w:pPr>
    </w:p>
    <w:p w14:paraId="70E54286" w14:textId="77777777" w:rsidR="00357665" w:rsidRPr="00040AB6" w:rsidRDefault="00FE0DD2" w:rsidP="00FE0DD2">
      <w:pPr>
        <w:spacing w:after="0" w:line="240" w:lineRule="auto"/>
        <w:ind w:left="720"/>
        <w:rPr>
          <w:rFonts w:asciiTheme="minorHAnsi" w:hAnsiTheme="minorHAnsi"/>
          <w:sz w:val="24"/>
          <w:szCs w:val="24"/>
        </w:rPr>
      </w:pPr>
      <w:r w:rsidRPr="00040AB6">
        <w:rPr>
          <w:rFonts w:asciiTheme="minorHAnsi" w:hAnsiTheme="minorHAnsi"/>
          <w:sz w:val="24"/>
          <w:szCs w:val="24"/>
        </w:rPr>
        <w:t>Please note that not all a</w:t>
      </w:r>
      <w:r w:rsidR="00357665" w:rsidRPr="00040AB6">
        <w:rPr>
          <w:rFonts w:asciiTheme="minorHAnsi" w:hAnsiTheme="minorHAnsi"/>
          <w:sz w:val="24"/>
          <w:szCs w:val="24"/>
        </w:rPr>
        <w:t xml:space="preserve">dvice </w:t>
      </w:r>
      <w:r w:rsidRPr="00040AB6">
        <w:rPr>
          <w:rFonts w:asciiTheme="minorHAnsi" w:hAnsiTheme="minorHAnsi"/>
          <w:sz w:val="24"/>
          <w:szCs w:val="24"/>
        </w:rPr>
        <w:t>f</w:t>
      </w:r>
      <w:r w:rsidR="00357665" w:rsidRPr="00040AB6">
        <w:rPr>
          <w:rFonts w:asciiTheme="minorHAnsi" w:hAnsiTheme="minorHAnsi"/>
          <w:sz w:val="24"/>
          <w:szCs w:val="24"/>
        </w:rPr>
        <w:t xml:space="preserve">ilings must include the EE Plan.  The EE Plan will only be included when it is being revised. </w:t>
      </w:r>
    </w:p>
    <w:p w14:paraId="70E54287" w14:textId="77777777" w:rsidR="00357665" w:rsidRPr="00040AB6" w:rsidRDefault="00357665" w:rsidP="00E5636B">
      <w:pPr>
        <w:pStyle w:val="ListParagraph"/>
        <w:spacing w:after="0" w:line="240" w:lineRule="auto"/>
        <w:rPr>
          <w:rFonts w:asciiTheme="minorHAnsi" w:hAnsiTheme="minorHAnsi"/>
          <w:sz w:val="24"/>
          <w:szCs w:val="24"/>
        </w:rPr>
      </w:pPr>
    </w:p>
    <w:p w14:paraId="70E54288" w14:textId="77777777" w:rsidR="00106C2C" w:rsidRDefault="00357665" w:rsidP="000109AC">
      <w:pPr>
        <w:pStyle w:val="ListParagraph"/>
        <w:spacing w:after="0" w:line="240" w:lineRule="auto"/>
        <w:rPr>
          <w:rFonts w:asciiTheme="minorHAnsi" w:hAnsiTheme="minorHAnsi"/>
          <w:sz w:val="24"/>
          <w:szCs w:val="24"/>
        </w:rPr>
      </w:pPr>
      <w:r w:rsidRPr="00040AB6">
        <w:rPr>
          <w:rFonts w:asciiTheme="minorHAnsi" w:hAnsiTheme="minorHAnsi"/>
          <w:sz w:val="24"/>
          <w:szCs w:val="24"/>
        </w:rPr>
        <w:t xml:space="preserve">The Company will work to resolve issues with EEAG members before filing.  If the EEAG cannot completely recommend approval of a filing, the Company may still choose to make the filing with the WUTC with the understanding that EEAG members may intervene in that public proceeding.  </w:t>
      </w:r>
    </w:p>
    <w:p w14:paraId="70E54289" w14:textId="77777777" w:rsidR="004E59E6" w:rsidRPr="00637F8E" w:rsidRDefault="004E59E6" w:rsidP="000109AC">
      <w:pPr>
        <w:pStyle w:val="ListParagraph"/>
        <w:spacing w:after="0" w:line="240" w:lineRule="auto"/>
        <w:rPr>
          <w:rFonts w:asciiTheme="minorHAnsi" w:hAnsiTheme="minorHAnsi"/>
          <w:sz w:val="24"/>
          <w:szCs w:val="24"/>
        </w:rPr>
      </w:pPr>
    </w:p>
    <w:p w14:paraId="70E5428A" w14:textId="77777777" w:rsidR="00357665" w:rsidRPr="008C4F4E" w:rsidRDefault="00357665" w:rsidP="00512699">
      <w:pPr>
        <w:pStyle w:val="ListParagraph"/>
        <w:numPr>
          <w:ilvl w:val="0"/>
          <w:numId w:val="9"/>
        </w:numPr>
        <w:spacing w:after="0" w:line="240" w:lineRule="auto"/>
        <w:ind w:left="720"/>
        <w:rPr>
          <w:rFonts w:asciiTheme="minorHAnsi" w:hAnsiTheme="minorHAnsi"/>
          <w:sz w:val="32"/>
          <w:szCs w:val="32"/>
        </w:rPr>
      </w:pPr>
      <w:r w:rsidRPr="008C4F4E">
        <w:rPr>
          <w:rFonts w:asciiTheme="minorHAnsi" w:hAnsiTheme="minorHAnsi"/>
          <w:sz w:val="32"/>
          <w:szCs w:val="32"/>
        </w:rPr>
        <w:t>Annual Schedule for Program Planning</w:t>
      </w:r>
    </w:p>
    <w:p w14:paraId="70E5428B" w14:textId="77777777" w:rsidR="00357665" w:rsidRPr="00040AB6" w:rsidRDefault="00357665" w:rsidP="001F07EE">
      <w:pPr>
        <w:pStyle w:val="ListParagraph"/>
        <w:spacing w:after="0" w:line="240" w:lineRule="auto"/>
        <w:rPr>
          <w:rFonts w:asciiTheme="minorHAnsi" w:hAnsiTheme="minorHAnsi"/>
          <w:sz w:val="24"/>
          <w:szCs w:val="24"/>
        </w:rPr>
      </w:pPr>
      <w:r w:rsidRPr="00040AB6">
        <w:rPr>
          <w:rFonts w:asciiTheme="minorHAnsi" w:hAnsiTheme="minorHAnsi"/>
          <w:sz w:val="24"/>
          <w:szCs w:val="24"/>
        </w:rPr>
        <w:t>By November 15 of each year, the Company will provide the EEAG with the following proposals for the next program year, which will subsequently be filed with the WUTC in a new docket that will contain all the required reporting for the calendar year, including a link to the Purchased Gas Adjustment (PGA) filing wherein program costs are recovered:</w:t>
      </w:r>
    </w:p>
    <w:p w14:paraId="70E5428C" w14:textId="77777777" w:rsidR="00357665" w:rsidRPr="00040AB6" w:rsidRDefault="00357665" w:rsidP="001F07EE">
      <w:pPr>
        <w:pStyle w:val="ListParagraph"/>
        <w:spacing w:after="0" w:line="240" w:lineRule="auto"/>
        <w:ind w:left="1440"/>
        <w:rPr>
          <w:rFonts w:asciiTheme="minorHAnsi" w:hAnsiTheme="minorHAnsi"/>
          <w:sz w:val="24"/>
          <w:szCs w:val="24"/>
          <w:u w:val="single"/>
        </w:rPr>
      </w:pPr>
    </w:p>
    <w:p w14:paraId="70E5428D" w14:textId="77777777" w:rsidR="00357665" w:rsidRPr="00040AB6" w:rsidRDefault="00357665" w:rsidP="001F07EE">
      <w:pPr>
        <w:pStyle w:val="ListParagraph"/>
        <w:spacing w:after="0" w:line="240" w:lineRule="auto"/>
        <w:ind w:left="1440"/>
        <w:rPr>
          <w:rFonts w:asciiTheme="minorHAnsi" w:hAnsiTheme="minorHAnsi"/>
          <w:sz w:val="24"/>
          <w:szCs w:val="24"/>
        </w:rPr>
      </w:pPr>
      <w:r w:rsidRPr="00040AB6">
        <w:rPr>
          <w:rFonts w:asciiTheme="minorHAnsi" w:hAnsiTheme="minorHAnsi"/>
          <w:sz w:val="24"/>
          <w:szCs w:val="24"/>
          <w:u w:val="single"/>
        </w:rPr>
        <w:t>Budget</w:t>
      </w:r>
    </w:p>
    <w:p w14:paraId="70E5428E" w14:textId="77777777" w:rsidR="00357665" w:rsidRDefault="00357665" w:rsidP="001F07EE">
      <w:pPr>
        <w:pStyle w:val="ListParagraph"/>
        <w:spacing w:after="0" w:line="240" w:lineRule="auto"/>
        <w:ind w:left="1440"/>
        <w:rPr>
          <w:rFonts w:asciiTheme="minorHAnsi" w:hAnsiTheme="minorHAnsi"/>
          <w:sz w:val="24"/>
          <w:szCs w:val="24"/>
        </w:rPr>
      </w:pPr>
      <w:r w:rsidRPr="00040AB6">
        <w:rPr>
          <w:rFonts w:asciiTheme="minorHAnsi" w:hAnsiTheme="minorHAnsi"/>
          <w:sz w:val="24"/>
          <w:szCs w:val="24"/>
        </w:rPr>
        <w:t xml:space="preserve">The Company will provide a total estimated program budget for the next calendar year.  The budget will present expected expenditures by program and customer class. </w:t>
      </w:r>
    </w:p>
    <w:p w14:paraId="70E5428F" w14:textId="77777777" w:rsidR="00565BDF" w:rsidRPr="00040AB6" w:rsidRDefault="00565BDF" w:rsidP="001F07EE">
      <w:pPr>
        <w:pStyle w:val="ListParagraph"/>
        <w:spacing w:after="0" w:line="240" w:lineRule="auto"/>
        <w:ind w:left="1440"/>
        <w:rPr>
          <w:rFonts w:asciiTheme="minorHAnsi" w:hAnsiTheme="minorHAnsi"/>
          <w:sz w:val="24"/>
          <w:szCs w:val="24"/>
        </w:rPr>
      </w:pPr>
    </w:p>
    <w:p w14:paraId="70E54290" w14:textId="77777777" w:rsidR="00357665" w:rsidRPr="00040AB6" w:rsidRDefault="00357665" w:rsidP="004873B8">
      <w:pPr>
        <w:pStyle w:val="ListParagraph"/>
        <w:spacing w:after="0" w:line="240" w:lineRule="auto"/>
        <w:ind w:left="1440"/>
        <w:rPr>
          <w:rFonts w:asciiTheme="minorHAnsi" w:hAnsiTheme="minorHAnsi"/>
          <w:sz w:val="24"/>
          <w:szCs w:val="24"/>
        </w:rPr>
      </w:pPr>
      <w:r w:rsidRPr="00040AB6">
        <w:rPr>
          <w:rFonts w:asciiTheme="minorHAnsi" w:hAnsiTheme="minorHAnsi"/>
          <w:sz w:val="24"/>
          <w:szCs w:val="24"/>
        </w:rPr>
        <w:t xml:space="preserve">Please note that this budget forecast will be based on the best information available at the time.  As the year progresses, budgeted dollars may be reallocated among various programs or new offerings that are approved by the WUTC.  </w:t>
      </w:r>
    </w:p>
    <w:p w14:paraId="70E54291" w14:textId="77777777" w:rsidR="00357665" w:rsidRPr="00040AB6" w:rsidRDefault="00357665" w:rsidP="004873B8">
      <w:pPr>
        <w:spacing w:after="0" w:line="240" w:lineRule="auto"/>
        <w:rPr>
          <w:rFonts w:asciiTheme="minorHAnsi" w:hAnsiTheme="minorHAnsi"/>
          <w:sz w:val="24"/>
          <w:szCs w:val="24"/>
        </w:rPr>
      </w:pPr>
    </w:p>
    <w:p w14:paraId="70E54292" w14:textId="77777777" w:rsidR="00357665" w:rsidRPr="00040AB6" w:rsidRDefault="00357665" w:rsidP="004873B8">
      <w:pPr>
        <w:pStyle w:val="ListParagraph"/>
        <w:spacing w:after="0" w:line="240" w:lineRule="auto"/>
        <w:ind w:left="1440"/>
        <w:rPr>
          <w:rFonts w:asciiTheme="minorHAnsi" w:hAnsiTheme="minorHAnsi"/>
          <w:sz w:val="24"/>
          <w:szCs w:val="24"/>
          <w:u w:val="single"/>
        </w:rPr>
      </w:pPr>
      <w:r w:rsidRPr="00040AB6">
        <w:rPr>
          <w:rFonts w:asciiTheme="minorHAnsi" w:hAnsiTheme="minorHAnsi"/>
          <w:sz w:val="24"/>
          <w:szCs w:val="24"/>
          <w:u w:val="single"/>
        </w:rPr>
        <w:t>Funding Schedule</w:t>
      </w:r>
    </w:p>
    <w:p w14:paraId="70E54293" w14:textId="77777777" w:rsidR="00357665" w:rsidRPr="00040AB6" w:rsidRDefault="00357665" w:rsidP="001F07EE">
      <w:pPr>
        <w:pStyle w:val="ListParagraph"/>
        <w:spacing w:after="0" w:line="240" w:lineRule="auto"/>
        <w:ind w:left="1440"/>
        <w:rPr>
          <w:rFonts w:asciiTheme="minorHAnsi" w:hAnsiTheme="minorHAnsi"/>
          <w:sz w:val="24"/>
          <w:szCs w:val="24"/>
        </w:rPr>
      </w:pPr>
      <w:r w:rsidRPr="00040AB6">
        <w:rPr>
          <w:rFonts w:asciiTheme="minorHAnsi" w:hAnsiTheme="minorHAnsi"/>
          <w:sz w:val="24"/>
          <w:szCs w:val="24"/>
        </w:rPr>
        <w:t xml:space="preserve">A funding schedule is a contractually-agreed-to timeline between NW Natural and Energy Trust wherewith NW Natural will provide Energy Trust the necessary </w:t>
      </w:r>
      <w:r w:rsidR="00C21507">
        <w:rPr>
          <w:rFonts w:asciiTheme="minorHAnsi" w:hAnsiTheme="minorHAnsi"/>
          <w:sz w:val="24"/>
          <w:szCs w:val="24"/>
        </w:rPr>
        <w:t xml:space="preserve">funding </w:t>
      </w:r>
      <w:r w:rsidRPr="00040AB6">
        <w:rPr>
          <w:rFonts w:asciiTheme="minorHAnsi" w:hAnsiTheme="minorHAnsi"/>
          <w:sz w:val="24"/>
          <w:szCs w:val="24"/>
        </w:rPr>
        <w:t xml:space="preserve">for program administration and delivery.  The amounts dispersed to the Energy Trust in one year are the sum of all funds needed for that program year determined by subtracting any unspent or uncommitted funds previously dispersed to the Energy Trust for the Washington program from the total forecasted budget.  </w:t>
      </w:r>
    </w:p>
    <w:p w14:paraId="70E54294" w14:textId="77777777" w:rsidR="00357665" w:rsidRPr="00040AB6" w:rsidRDefault="00357665" w:rsidP="001F07EE">
      <w:pPr>
        <w:pStyle w:val="ListParagraph"/>
        <w:spacing w:after="0" w:line="240" w:lineRule="auto"/>
        <w:ind w:left="1440"/>
        <w:rPr>
          <w:rFonts w:asciiTheme="minorHAnsi" w:hAnsiTheme="minorHAnsi"/>
          <w:sz w:val="24"/>
          <w:szCs w:val="24"/>
        </w:rPr>
      </w:pPr>
    </w:p>
    <w:p w14:paraId="70E54295" w14:textId="77777777" w:rsidR="00357665" w:rsidRPr="00040AB6" w:rsidRDefault="00357665" w:rsidP="001F07EE">
      <w:pPr>
        <w:pStyle w:val="ListParagraph"/>
        <w:spacing w:after="0" w:line="240" w:lineRule="auto"/>
        <w:ind w:left="1440"/>
        <w:rPr>
          <w:rFonts w:asciiTheme="minorHAnsi" w:hAnsiTheme="minorHAnsi"/>
          <w:sz w:val="24"/>
          <w:szCs w:val="24"/>
          <w:u w:val="single"/>
        </w:rPr>
      </w:pPr>
      <w:r w:rsidRPr="00040AB6">
        <w:rPr>
          <w:rFonts w:asciiTheme="minorHAnsi" w:hAnsiTheme="minorHAnsi"/>
          <w:sz w:val="24"/>
          <w:szCs w:val="24"/>
          <w:u w:val="single"/>
        </w:rPr>
        <w:t>Metrics</w:t>
      </w:r>
    </w:p>
    <w:p w14:paraId="70E54296" w14:textId="77777777" w:rsidR="00357665" w:rsidRPr="00040AB6" w:rsidRDefault="00357665" w:rsidP="001F07EE">
      <w:pPr>
        <w:pStyle w:val="ListParagraph"/>
        <w:spacing w:after="0" w:line="240" w:lineRule="auto"/>
        <w:ind w:left="1440"/>
        <w:rPr>
          <w:rFonts w:asciiTheme="minorHAnsi" w:hAnsiTheme="minorHAnsi"/>
          <w:sz w:val="24"/>
          <w:szCs w:val="24"/>
        </w:rPr>
      </w:pPr>
      <w:r w:rsidRPr="00040AB6">
        <w:rPr>
          <w:rFonts w:asciiTheme="minorHAnsi" w:hAnsiTheme="minorHAnsi"/>
          <w:sz w:val="24"/>
          <w:szCs w:val="24"/>
        </w:rPr>
        <w:t>The Company will propose performance metrics that will address the following:</w:t>
      </w:r>
    </w:p>
    <w:p w14:paraId="70E54297" w14:textId="77777777" w:rsidR="00357665" w:rsidRPr="00637F8E" w:rsidRDefault="00357665" w:rsidP="001F07EE">
      <w:pPr>
        <w:pStyle w:val="ListParagraph"/>
        <w:spacing w:after="0" w:line="240" w:lineRule="auto"/>
        <w:ind w:left="1440"/>
        <w:rPr>
          <w:rFonts w:asciiTheme="minorHAnsi" w:hAnsiTheme="minorHAnsi"/>
          <w:sz w:val="20"/>
          <w:szCs w:val="20"/>
        </w:rPr>
      </w:pPr>
    </w:p>
    <w:p w14:paraId="70E54298" w14:textId="77777777" w:rsidR="00357665" w:rsidRPr="00040AB6" w:rsidRDefault="00357665" w:rsidP="001F07EE">
      <w:pPr>
        <w:numPr>
          <w:ilvl w:val="0"/>
          <w:numId w:val="2"/>
        </w:numPr>
        <w:spacing w:after="0" w:line="240" w:lineRule="auto"/>
        <w:ind w:left="1800"/>
        <w:rPr>
          <w:rFonts w:asciiTheme="minorHAnsi" w:hAnsiTheme="minorHAnsi"/>
          <w:sz w:val="24"/>
          <w:szCs w:val="24"/>
        </w:rPr>
      </w:pPr>
      <w:r w:rsidRPr="00040AB6">
        <w:rPr>
          <w:rFonts w:asciiTheme="minorHAnsi" w:hAnsiTheme="minorHAnsi"/>
          <w:sz w:val="24"/>
          <w:szCs w:val="24"/>
        </w:rPr>
        <w:t>Total program costs</w:t>
      </w:r>
    </w:p>
    <w:p w14:paraId="70E54299" w14:textId="77777777" w:rsidR="00357665" w:rsidRPr="00040AB6" w:rsidRDefault="00357665" w:rsidP="001F07EE">
      <w:pPr>
        <w:numPr>
          <w:ilvl w:val="0"/>
          <w:numId w:val="2"/>
        </w:numPr>
        <w:spacing w:after="0" w:line="240" w:lineRule="auto"/>
        <w:ind w:left="1800"/>
        <w:rPr>
          <w:rFonts w:asciiTheme="minorHAnsi" w:hAnsiTheme="minorHAnsi"/>
          <w:sz w:val="24"/>
          <w:szCs w:val="24"/>
        </w:rPr>
      </w:pPr>
      <w:r w:rsidRPr="00040AB6">
        <w:rPr>
          <w:rFonts w:asciiTheme="minorHAnsi" w:hAnsiTheme="minorHAnsi"/>
          <w:sz w:val="24"/>
          <w:szCs w:val="24"/>
        </w:rPr>
        <w:t>Projected therm savings consistent with most recent IRP</w:t>
      </w:r>
    </w:p>
    <w:p w14:paraId="70E5429A" w14:textId="77777777" w:rsidR="00357665" w:rsidRPr="00040AB6" w:rsidRDefault="00357665" w:rsidP="001F07EE">
      <w:pPr>
        <w:numPr>
          <w:ilvl w:val="0"/>
          <w:numId w:val="2"/>
        </w:numPr>
        <w:spacing w:after="0" w:line="240" w:lineRule="auto"/>
        <w:ind w:left="1800"/>
        <w:rPr>
          <w:rFonts w:asciiTheme="minorHAnsi" w:hAnsiTheme="minorHAnsi"/>
          <w:sz w:val="24"/>
          <w:szCs w:val="24"/>
        </w:rPr>
      </w:pPr>
      <w:r w:rsidRPr="00040AB6">
        <w:rPr>
          <w:rFonts w:asciiTheme="minorHAnsi" w:hAnsiTheme="minorHAnsi"/>
          <w:sz w:val="24"/>
          <w:szCs w:val="24"/>
        </w:rPr>
        <w:t>Average levelized cost for measures</w:t>
      </w:r>
    </w:p>
    <w:p w14:paraId="70E5429B" w14:textId="77777777" w:rsidR="00357665" w:rsidRPr="00040AB6" w:rsidRDefault="00357665" w:rsidP="001F07EE">
      <w:pPr>
        <w:numPr>
          <w:ilvl w:val="0"/>
          <w:numId w:val="2"/>
        </w:numPr>
        <w:spacing w:after="0" w:line="240" w:lineRule="auto"/>
        <w:ind w:left="1800"/>
        <w:rPr>
          <w:rFonts w:asciiTheme="minorHAnsi" w:hAnsiTheme="minorHAnsi"/>
          <w:sz w:val="24"/>
          <w:szCs w:val="24"/>
        </w:rPr>
      </w:pPr>
      <w:r w:rsidRPr="00040AB6">
        <w:rPr>
          <w:rFonts w:asciiTheme="minorHAnsi" w:hAnsiTheme="minorHAnsi"/>
          <w:sz w:val="24"/>
          <w:szCs w:val="24"/>
        </w:rPr>
        <w:t>A ceiling for average cost per therm</w:t>
      </w:r>
    </w:p>
    <w:p w14:paraId="70E5429C" w14:textId="77777777" w:rsidR="00357665" w:rsidRPr="00040AB6" w:rsidRDefault="00357665" w:rsidP="001F07EE">
      <w:pPr>
        <w:numPr>
          <w:ilvl w:val="0"/>
          <w:numId w:val="2"/>
        </w:numPr>
        <w:spacing w:after="0" w:line="240" w:lineRule="auto"/>
        <w:ind w:left="1800"/>
        <w:rPr>
          <w:rFonts w:asciiTheme="minorHAnsi" w:hAnsiTheme="minorHAnsi"/>
          <w:sz w:val="24"/>
          <w:szCs w:val="24"/>
        </w:rPr>
      </w:pPr>
      <w:r w:rsidRPr="00040AB6">
        <w:rPr>
          <w:rFonts w:asciiTheme="minorHAnsi" w:hAnsiTheme="minorHAnsi"/>
          <w:sz w:val="24"/>
          <w:szCs w:val="24"/>
        </w:rPr>
        <w:t>Projected homes to be weatherized in the WA-LIEE program</w:t>
      </w:r>
    </w:p>
    <w:p w14:paraId="70E5429D" w14:textId="77777777" w:rsidR="00357665" w:rsidRPr="00040AB6" w:rsidRDefault="00357665" w:rsidP="001F07EE">
      <w:pPr>
        <w:spacing w:after="0" w:line="240" w:lineRule="auto"/>
        <w:ind w:left="1440"/>
        <w:rPr>
          <w:rFonts w:asciiTheme="minorHAnsi" w:hAnsiTheme="minorHAnsi"/>
          <w:sz w:val="24"/>
          <w:szCs w:val="24"/>
        </w:rPr>
      </w:pPr>
    </w:p>
    <w:p w14:paraId="70E5429E" w14:textId="77777777" w:rsidR="00357665" w:rsidRPr="00040AB6" w:rsidRDefault="00357665" w:rsidP="001F07EE">
      <w:pPr>
        <w:spacing w:after="0" w:line="240" w:lineRule="auto"/>
        <w:ind w:left="1440"/>
        <w:rPr>
          <w:rFonts w:asciiTheme="minorHAnsi" w:hAnsiTheme="minorHAnsi"/>
          <w:sz w:val="24"/>
          <w:szCs w:val="24"/>
        </w:rPr>
      </w:pPr>
      <w:r w:rsidRPr="00040AB6">
        <w:rPr>
          <w:rFonts w:asciiTheme="minorHAnsi" w:hAnsiTheme="minorHAnsi"/>
          <w:sz w:val="24"/>
          <w:szCs w:val="24"/>
        </w:rPr>
        <w:t>The Company expects that Utility Cost</w:t>
      </w:r>
      <w:r w:rsidR="00C21507">
        <w:rPr>
          <w:rFonts w:asciiTheme="minorHAnsi" w:hAnsiTheme="minorHAnsi"/>
          <w:sz w:val="24"/>
          <w:szCs w:val="24"/>
        </w:rPr>
        <w:t xml:space="preserve"> Test</w:t>
      </w:r>
      <w:r w:rsidRPr="00040AB6">
        <w:rPr>
          <w:rFonts w:asciiTheme="minorHAnsi" w:hAnsiTheme="minorHAnsi"/>
          <w:sz w:val="24"/>
          <w:szCs w:val="24"/>
        </w:rPr>
        <w:t xml:space="preserve"> (UC</w:t>
      </w:r>
      <w:r w:rsidR="00C21507">
        <w:rPr>
          <w:rFonts w:asciiTheme="minorHAnsi" w:hAnsiTheme="minorHAnsi"/>
          <w:sz w:val="24"/>
          <w:szCs w:val="24"/>
        </w:rPr>
        <w:t>T</w:t>
      </w:r>
      <w:r w:rsidRPr="00040AB6">
        <w:rPr>
          <w:rFonts w:asciiTheme="minorHAnsi" w:hAnsiTheme="minorHAnsi"/>
          <w:sz w:val="24"/>
          <w:szCs w:val="24"/>
        </w:rPr>
        <w:t>) at the portfolio level should</w:t>
      </w:r>
      <w:r w:rsidR="00C21507">
        <w:rPr>
          <w:rFonts w:asciiTheme="minorHAnsi" w:hAnsiTheme="minorHAnsi"/>
          <w:sz w:val="24"/>
          <w:szCs w:val="24"/>
        </w:rPr>
        <w:t xml:space="preserve"> </w:t>
      </w:r>
      <w:r w:rsidRPr="00040AB6">
        <w:rPr>
          <w:rFonts w:asciiTheme="minorHAnsi" w:hAnsiTheme="minorHAnsi"/>
          <w:sz w:val="24"/>
          <w:szCs w:val="24"/>
        </w:rPr>
        <w:t>be greater than 1.0 and will report compliance to this on an annual basis.</w:t>
      </w:r>
      <w:r w:rsidR="00C54531" w:rsidRPr="00040AB6">
        <w:rPr>
          <w:rFonts w:asciiTheme="minorHAnsi" w:hAnsiTheme="minorHAnsi"/>
          <w:sz w:val="24"/>
          <w:szCs w:val="24"/>
        </w:rPr>
        <w:t xml:space="preserve"> The Company will also report on the portfolio TRC.</w:t>
      </w:r>
    </w:p>
    <w:p w14:paraId="70E5429F" w14:textId="77777777" w:rsidR="00357665" w:rsidRPr="00040AB6" w:rsidRDefault="00357665" w:rsidP="001F07EE">
      <w:pPr>
        <w:spacing w:after="0" w:line="240" w:lineRule="auto"/>
        <w:ind w:left="1440"/>
        <w:rPr>
          <w:rFonts w:asciiTheme="minorHAnsi" w:hAnsiTheme="minorHAnsi"/>
          <w:sz w:val="24"/>
          <w:szCs w:val="24"/>
        </w:rPr>
      </w:pPr>
    </w:p>
    <w:p w14:paraId="70E542A0" w14:textId="77777777" w:rsidR="00357665" w:rsidRPr="00040AB6" w:rsidRDefault="00357665" w:rsidP="001F07EE">
      <w:pPr>
        <w:spacing w:after="0" w:line="240" w:lineRule="auto"/>
        <w:ind w:left="1440"/>
        <w:rPr>
          <w:rFonts w:asciiTheme="minorHAnsi" w:hAnsiTheme="minorHAnsi"/>
          <w:sz w:val="24"/>
          <w:szCs w:val="24"/>
        </w:rPr>
      </w:pPr>
      <w:r w:rsidRPr="00040AB6">
        <w:rPr>
          <w:rFonts w:asciiTheme="minorHAnsi" w:hAnsiTheme="minorHAnsi"/>
          <w:sz w:val="24"/>
          <w:szCs w:val="24"/>
        </w:rPr>
        <w:t xml:space="preserve">The Company will come to agreement with the EEAG on the next year’s budget and performance metrics before making a tariff filing with the WUTC to modify this plan so that it incorporates the next year’s projected costs and metrics accordingly.  This filing will be made annually not later than December 1 for a January 1 effective date. </w:t>
      </w:r>
    </w:p>
    <w:p w14:paraId="70E542A1" w14:textId="77777777" w:rsidR="00357665" w:rsidRPr="00040AB6" w:rsidRDefault="00357665" w:rsidP="001F07EE">
      <w:pPr>
        <w:pStyle w:val="ListParagraph"/>
        <w:spacing w:after="0" w:line="240" w:lineRule="auto"/>
        <w:ind w:left="1440"/>
        <w:rPr>
          <w:rFonts w:asciiTheme="minorHAnsi" w:hAnsiTheme="minorHAnsi"/>
          <w:sz w:val="24"/>
          <w:szCs w:val="24"/>
        </w:rPr>
      </w:pPr>
    </w:p>
    <w:p w14:paraId="70E542A2" w14:textId="77777777" w:rsidR="00357665" w:rsidRPr="00040AB6" w:rsidRDefault="00357665" w:rsidP="001F07EE">
      <w:pPr>
        <w:pStyle w:val="ListParagraph"/>
        <w:spacing w:after="0" w:line="240" w:lineRule="auto"/>
        <w:ind w:left="1440"/>
        <w:rPr>
          <w:rFonts w:asciiTheme="minorHAnsi" w:hAnsiTheme="minorHAnsi"/>
          <w:sz w:val="24"/>
          <w:szCs w:val="24"/>
        </w:rPr>
      </w:pPr>
      <w:r w:rsidRPr="00040AB6">
        <w:rPr>
          <w:rFonts w:asciiTheme="minorHAnsi" w:hAnsiTheme="minorHAnsi"/>
          <w:sz w:val="24"/>
          <w:szCs w:val="24"/>
        </w:rPr>
        <w:t>Generally, milestones for the program year will be as follows:</w:t>
      </w:r>
    </w:p>
    <w:p w14:paraId="70E542A3" w14:textId="77777777" w:rsidR="00357665" w:rsidRPr="00637F8E" w:rsidRDefault="00357665" w:rsidP="001F07EE">
      <w:pPr>
        <w:pStyle w:val="ListParagraph"/>
        <w:spacing w:after="0" w:line="240" w:lineRule="auto"/>
        <w:ind w:left="1440"/>
        <w:rPr>
          <w:rFonts w:asciiTheme="minorHAnsi" w:hAnsiTheme="minorHAnsi"/>
          <w:sz w:val="24"/>
          <w:szCs w:val="24"/>
          <w:u w:val="single"/>
        </w:rPr>
      </w:pPr>
    </w:p>
    <w:tbl>
      <w:tblPr>
        <w:tblW w:w="919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45"/>
        <w:gridCol w:w="6353"/>
      </w:tblGrid>
      <w:tr w:rsidR="00357665" w:rsidRPr="00040AB6" w14:paraId="70E542A5" w14:textId="77777777" w:rsidTr="004873B8">
        <w:tc>
          <w:tcPr>
            <w:tcW w:w="9198" w:type="dxa"/>
            <w:gridSpan w:val="2"/>
          </w:tcPr>
          <w:p w14:paraId="70E542A4" w14:textId="77777777" w:rsidR="00357665" w:rsidRPr="005D4315" w:rsidRDefault="00357665" w:rsidP="005D4315">
            <w:pPr>
              <w:tabs>
                <w:tab w:val="left" w:pos="720"/>
              </w:tabs>
              <w:spacing w:after="0" w:line="240" w:lineRule="auto"/>
              <w:ind w:left="720" w:hanging="720"/>
              <w:rPr>
                <w:rFonts w:asciiTheme="minorHAnsi" w:hAnsiTheme="minorHAnsi"/>
                <w:b/>
                <w:sz w:val="24"/>
                <w:szCs w:val="24"/>
              </w:rPr>
            </w:pPr>
            <w:r w:rsidRPr="005D4315">
              <w:rPr>
                <w:rFonts w:asciiTheme="minorHAnsi" w:hAnsiTheme="minorHAnsi"/>
                <w:b/>
                <w:sz w:val="24"/>
                <w:szCs w:val="24"/>
              </w:rPr>
              <w:t>Program Year Schedule</w:t>
            </w:r>
          </w:p>
        </w:tc>
      </w:tr>
      <w:tr w:rsidR="00357665" w:rsidRPr="00040AB6" w14:paraId="70E542A8" w14:textId="77777777" w:rsidTr="004873B8">
        <w:tc>
          <w:tcPr>
            <w:tcW w:w="2845" w:type="dxa"/>
          </w:tcPr>
          <w:p w14:paraId="70E542A6" w14:textId="77777777" w:rsidR="00357665" w:rsidRPr="00040AB6" w:rsidRDefault="00357665" w:rsidP="00500691">
            <w:pPr>
              <w:tabs>
                <w:tab w:val="left" w:pos="720"/>
              </w:tabs>
              <w:spacing w:after="0" w:line="240" w:lineRule="auto"/>
              <w:rPr>
                <w:rFonts w:asciiTheme="minorHAnsi" w:hAnsiTheme="minorHAnsi"/>
                <w:sz w:val="24"/>
                <w:szCs w:val="24"/>
              </w:rPr>
            </w:pPr>
            <w:r w:rsidRPr="00040AB6">
              <w:rPr>
                <w:rFonts w:asciiTheme="minorHAnsi" w:hAnsiTheme="minorHAnsi"/>
                <w:sz w:val="24"/>
                <w:szCs w:val="24"/>
              </w:rPr>
              <w:t>January 1</w:t>
            </w:r>
          </w:p>
        </w:tc>
        <w:tc>
          <w:tcPr>
            <w:tcW w:w="6353" w:type="dxa"/>
          </w:tcPr>
          <w:p w14:paraId="70E542A7" w14:textId="77777777" w:rsidR="00357665" w:rsidRPr="00040AB6" w:rsidRDefault="00357665" w:rsidP="00500691">
            <w:pPr>
              <w:tabs>
                <w:tab w:val="left" w:pos="720"/>
              </w:tabs>
              <w:spacing w:after="0" w:line="240" w:lineRule="auto"/>
              <w:rPr>
                <w:rFonts w:asciiTheme="minorHAnsi" w:hAnsiTheme="minorHAnsi"/>
                <w:sz w:val="24"/>
                <w:szCs w:val="24"/>
              </w:rPr>
            </w:pPr>
            <w:r w:rsidRPr="00040AB6">
              <w:rPr>
                <w:rFonts w:asciiTheme="minorHAnsi" w:hAnsiTheme="minorHAnsi"/>
                <w:sz w:val="24"/>
                <w:szCs w:val="24"/>
              </w:rPr>
              <w:t>Start of program year</w:t>
            </w:r>
          </w:p>
        </w:tc>
      </w:tr>
      <w:tr w:rsidR="00357665" w:rsidRPr="00040AB6" w14:paraId="70E542AB" w14:textId="77777777" w:rsidTr="00637F8E">
        <w:trPr>
          <w:trHeight w:val="305"/>
        </w:trPr>
        <w:tc>
          <w:tcPr>
            <w:tcW w:w="2845" w:type="dxa"/>
          </w:tcPr>
          <w:p w14:paraId="70E542A9" w14:textId="77777777" w:rsidR="00357665" w:rsidRPr="00040AB6" w:rsidRDefault="00357665" w:rsidP="00500691">
            <w:pPr>
              <w:tabs>
                <w:tab w:val="left" w:pos="720"/>
              </w:tabs>
              <w:spacing w:after="0" w:line="240" w:lineRule="auto"/>
              <w:rPr>
                <w:rFonts w:asciiTheme="minorHAnsi" w:hAnsiTheme="minorHAnsi"/>
                <w:sz w:val="24"/>
                <w:szCs w:val="24"/>
              </w:rPr>
            </w:pPr>
            <w:r w:rsidRPr="00040AB6">
              <w:rPr>
                <w:rFonts w:asciiTheme="minorHAnsi" w:hAnsiTheme="minorHAnsi"/>
                <w:sz w:val="24"/>
                <w:szCs w:val="24"/>
              </w:rPr>
              <w:t>April 25</w:t>
            </w:r>
          </w:p>
        </w:tc>
        <w:tc>
          <w:tcPr>
            <w:tcW w:w="6353" w:type="dxa"/>
          </w:tcPr>
          <w:p w14:paraId="70E542AA" w14:textId="77777777" w:rsidR="00357665" w:rsidRPr="00040AB6" w:rsidRDefault="00357665" w:rsidP="00637F8E">
            <w:pPr>
              <w:tabs>
                <w:tab w:val="left" w:pos="492"/>
              </w:tabs>
              <w:spacing w:after="0" w:line="240" w:lineRule="auto"/>
              <w:ind w:left="12"/>
              <w:rPr>
                <w:rFonts w:asciiTheme="minorHAnsi" w:hAnsiTheme="minorHAnsi"/>
                <w:sz w:val="24"/>
                <w:szCs w:val="24"/>
              </w:rPr>
            </w:pPr>
            <w:r w:rsidRPr="00040AB6">
              <w:rPr>
                <w:rFonts w:asciiTheme="minorHAnsi" w:hAnsiTheme="minorHAnsi"/>
                <w:sz w:val="24"/>
                <w:szCs w:val="24"/>
              </w:rPr>
              <w:t>Annual report for previous program year</w:t>
            </w:r>
            <w:r w:rsidR="006C5306" w:rsidRPr="00040AB6">
              <w:rPr>
                <w:rFonts w:asciiTheme="minorHAnsi" w:hAnsiTheme="minorHAnsi"/>
                <w:sz w:val="24"/>
                <w:szCs w:val="24"/>
              </w:rPr>
              <w:t xml:space="preserve"> is filed.</w:t>
            </w:r>
          </w:p>
        </w:tc>
      </w:tr>
      <w:tr w:rsidR="001E283F" w:rsidRPr="00040AB6" w14:paraId="70E542AE" w14:textId="77777777" w:rsidTr="004873B8">
        <w:tc>
          <w:tcPr>
            <w:tcW w:w="2845" w:type="dxa"/>
          </w:tcPr>
          <w:p w14:paraId="70E542AC" w14:textId="77777777" w:rsidR="001E283F" w:rsidRPr="00040AB6" w:rsidRDefault="001E283F" w:rsidP="00500691">
            <w:pPr>
              <w:tabs>
                <w:tab w:val="left" w:pos="720"/>
              </w:tabs>
              <w:spacing w:after="0" w:line="240" w:lineRule="auto"/>
              <w:rPr>
                <w:rFonts w:asciiTheme="minorHAnsi" w:hAnsiTheme="minorHAnsi"/>
                <w:sz w:val="24"/>
                <w:szCs w:val="24"/>
              </w:rPr>
            </w:pPr>
            <w:r>
              <w:rPr>
                <w:rFonts w:asciiTheme="minorHAnsi" w:hAnsiTheme="minorHAnsi"/>
                <w:sz w:val="24"/>
                <w:szCs w:val="24"/>
              </w:rPr>
              <w:t>Second Quarter</w:t>
            </w:r>
          </w:p>
        </w:tc>
        <w:tc>
          <w:tcPr>
            <w:tcW w:w="6353" w:type="dxa"/>
          </w:tcPr>
          <w:p w14:paraId="70E542AD" w14:textId="77777777" w:rsidR="001E283F" w:rsidRPr="00040AB6" w:rsidRDefault="001E283F" w:rsidP="00500691">
            <w:pPr>
              <w:tabs>
                <w:tab w:val="left" w:pos="720"/>
              </w:tabs>
              <w:spacing w:after="0" w:line="240" w:lineRule="auto"/>
              <w:rPr>
                <w:rFonts w:asciiTheme="minorHAnsi" w:hAnsiTheme="minorHAnsi"/>
                <w:sz w:val="24"/>
                <w:szCs w:val="24"/>
              </w:rPr>
            </w:pPr>
            <w:r>
              <w:rPr>
                <w:rFonts w:asciiTheme="minorHAnsi" w:hAnsiTheme="minorHAnsi"/>
                <w:sz w:val="24"/>
                <w:szCs w:val="24"/>
              </w:rPr>
              <w:t>NW Natural check in with County agencies regarding WA-LIEE progress and performance.  Understand any necessary changes and report to EEAG.</w:t>
            </w:r>
          </w:p>
        </w:tc>
      </w:tr>
      <w:tr w:rsidR="00357665" w:rsidRPr="00040AB6" w14:paraId="70E542B1" w14:textId="77777777" w:rsidTr="004873B8">
        <w:tc>
          <w:tcPr>
            <w:tcW w:w="2845" w:type="dxa"/>
          </w:tcPr>
          <w:p w14:paraId="70E542AF" w14:textId="77777777" w:rsidR="00357665" w:rsidRPr="00040AB6" w:rsidRDefault="00357665" w:rsidP="00500691">
            <w:pPr>
              <w:tabs>
                <w:tab w:val="left" w:pos="720"/>
              </w:tabs>
              <w:spacing w:after="0" w:line="240" w:lineRule="auto"/>
              <w:rPr>
                <w:rFonts w:asciiTheme="minorHAnsi" w:hAnsiTheme="minorHAnsi"/>
                <w:sz w:val="24"/>
                <w:szCs w:val="24"/>
              </w:rPr>
            </w:pPr>
            <w:r w:rsidRPr="00040AB6">
              <w:rPr>
                <w:rFonts w:asciiTheme="minorHAnsi" w:hAnsiTheme="minorHAnsi"/>
                <w:sz w:val="24"/>
                <w:szCs w:val="24"/>
              </w:rPr>
              <w:t>May 25</w:t>
            </w:r>
          </w:p>
        </w:tc>
        <w:tc>
          <w:tcPr>
            <w:tcW w:w="6353" w:type="dxa"/>
          </w:tcPr>
          <w:p w14:paraId="70E542B0" w14:textId="77777777" w:rsidR="00357665" w:rsidRPr="00040AB6" w:rsidRDefault="00357665" w:rsidP="00500691">
            <w:pPr>
              <w:tabs>
                <w:tab w:val="left" w:pos="720"/>
              </w:tabs>
              <w:spacing w:after="0" w:line="240" w:lineRule="auto"/>
              <w:rPr>
                <w:rFonts w:asciiTheme="minorHAnsi" w:hAnsiTheme="minorHAnsi"/>
                <w:sz w:val="24"/>
                <w:szCs w:val="24"/>
              </w:rPr>
            </w:pPr>
            <w:r w:rsidRPr="00040AB6">
              <w:rPr>
                <w:rFonts w:asciiTheme="minorHAnsi" w:hAnsiTheme="minorHAnsi"/>
                <w:sz w:val="24"/>
                <w:szCs w:val="24"/>
              </w:rPr>
              <w:t>Q1 report on January 1 through  March 31 of current year</w:t>
            </w:r>
          </w:p>
        </w:tc>
      </w:tr>
      <w:tr w:rsidR="00357665" w:rsidRPr="00040AB6" w14:paraId="70E542B4" w14:textId="77777777" w:rsidTr="004873B8">
        <w:tc>
          <w:tcPr>
            <w:tcW w:w="2845" w:type="dxa"/>
          </w:tcPr>
          <w:p w14:paraId="70E542B2" w14:textId="77777777" w:rsidR="00357665" w:rsidRPr="00040AB6" w:rsidRDefault="00357665" w:rsidP="00500691">
            <w:pPr>
              <w:tabs>
                <w:tab w:val="left" w:pos="720"/>
              </w:tabs>
              <w:spacing w:after="0" w:line="240" w:lineRule="auto"/>
              <w:rPr>
                <w:rFonts w:asciiTheme="minorHAnsi" w:hAnsiTheme="minorHAnsi"/>
                <w:sz w:val="24"/>
                <w:szCs w:val="24"/>
              </w:rPr>
            </w:pPr>
            <w:r w:rsidRPr="00040AB6">
              <w:rPr>
                <w:rFonts w:asciiTheme="minorHAnsi" w:hAnsiTheme="minorHAnsi"/>
                <w:sz w:val="24"/>
                <w:szCs w:val="24"/>
              </w:rPr>
              <w:t>August 25</w:t>
            </w:r>
          </w:p>
        </w:tc>
        <w:tc>
          <w:tcPr>
            <w:tcW w:w="6353" w:type="dxa"/>
          </w:tcPr>
          <w:p w14:paraId="70E542B3" w14:textId="77777777" w:rsidR="00357665" w:rsidRPr="00040AB6" w:rsidRDefault="00357665" w:rsidP="00500691">
            <w:pPr>
              <w:tabs>
                <w:tab w:val="left" w:pos="720"/>
              </w:tabs>
              <w:spacing w:after="0" w:line="240" w:lineRule="auto"/>
              <w:rPr>
                <w:rFonts w:asciiTheme="minorHAnsi" w:hAnsiTheme="minorHAnsi"/>
                <w:sz w:val="24"/>
                <w:szCs w:val="24"/>
              </w:rPr>
            </w:pPr>
            <w:r w:rsidRPr="00040AB6">
              <w:rPr>
                <w:rFonts w:asciiTheme="minorHAnsi" w:hAnsiTheme="minorHAnsi"/>
                <w:sz w:val="24"/>
                <w:szCs w:val="24"/>
              </w:rPr>
              <w:t>Q2 report on April 1 through June 30 and YTD</w:t>
            </w:r>
          </w:p>
        </w:tc>
      </w:tr>
      <w:tr w:rsidR="00357665" w:rsidRPr="00040AB6" w14:paraId="70E542B7" w14:textId="77777777" w:rsidTr="004873B8">
        <w:tc>
          <w:tcPr>
            <w:tcW w:w="2845" w:type="dxa"/>
          </w:tcPr>
          <w:p w14:paraId="70E542B5" w14:textId="77777777" w:rsidR="00357665" w:rsidRPr="00040AB6" w:rsidRDefault="00357665" w:rsidP="00500691">
            <w:pPr>
              <w:tabs>
                <w:tab w:val="left" w:pos="720"/>
              </w:tabs>
              <w:spacing w:after="0" w:line="240" w:lineRule="auto"/>
              <w:rPr>
                <w:rFonts w:asciiTheme="minorHAnsi" w:hAnsiTheme="minorHAnsi"/>
                <w:sz w:val="24"/>
                <w:szCs w:val="24"/>
              </w:rPr>
            </w:pPr>
            <w:r w:rsidRPr="00040AB6">
              <w:rPr>
                <w:rFonts w:asciiTheme="minorHAnsi" w:hAnsiTheme="minorHAnsi"/>
                <w:sz w:val="24"/>
                <w:szCs w:val="24"/>
              </w:rPr>
              <w:t>October 1</w:t>
            </w:r>
          </w:p>
        </w:tc>
        <w:tc>
          <w:tcPr>
            <w:tcW w:w="6353" w:type="dxa"/>
          </w:tcPr>
          <w:p w14:paraId="70E542B6" w14:textId="77777777" w:rsidR="00357665" w:rsidRPr="00040AB6" w:rsidRDefault="00E2128A" w:rsidP="00E2128A">
            <w:pPr>
              <w:tabs>
                <w:tab w:val="left" w:pos="720"/>
              </w:tabs>
              <w:spacing w:after="0" w:line="240" w:lineRule="auto"/>
              <w:rPr>
                <w:rFonts w:asciiTheme="minorHAnsi" w:hAnsiTheme="minorHAnsi"/>
                <w:sz w:val="24"/>
                <w:szCs w:val="24"/>
              </w:rPr>
            </w:pPr>
            <w:r w:rsidRPr="00040AB6">
              <w:rPr>
                <w:rFonts w:asciiTheme="minorHAnsi" w:hAnsiTheme="minorHAnsi"/>
                <w:sz w:val="24"/>
                <w:szCs w:val="24"/>
              </w:rPr>
              <w:t>Tariff filing submitted for program cost recovery.</w:t>
            </w:r>
          </w:p>
        </w:tc>
      </w:tr>
      <w:tr w:rsidR="00E2128A" w:rsidRPr="00040AB6" w14:paraId="70E542BA" w14:textId="77777777" w:rsidTr="004873B8">
        <w:tc>
          <w:tcPr>
            <w:tcW w:w="2845" w:type="dxa"/>
          </w:tcPr>
          <w:p w14:paraId="70E542B8" w14:textId="77777777" w:rsidR="00E2128A" w:rsidRPr="00040AB6" w:rsidRDefault="00E2128A" w:rsidP="00500691">
            <w:pPr>
              <w:tabs>
                <w:tab w:val="left" w:pos="720"/>
              </w:tabs>
              <w:spacing w:after="0" w:line="240" w:lineRule="auto"/>
              <w:rPr>
                <w:rFonts w:asciiTheme="minorHAnsi" w:hAnsiTheme="minorHAnsi"/>
                <w:sz w:val="24"/>
                <w:szCs w:val="24"/>
              </w:rPr>
            </w:pPr>
            <w:r w:rsidRPr="00040AB6">
              <w:rPr>
                <w:rFonts w:asciiTheme="minorHAnsi" w:hAnsiTheme="minorHAnsi"/>
                <w:sz w:val="24"/>
                <w:szCs w:val="24"/>
              </w:rPr>
              <w:t>November 1</w:t>
            </w:r>
          </w:p>
        </w:tc>
        <w:tc>
          <w:tcPr>
            <w:tcW w:w="6353" w:type="dxa"/>
          </w:tcPr>
          <w:p w14:paraId="70E542B9" w14:textId="77777777" w:rsidR="00E2128A" w:rsidRPr="00040AB6" w:rsidDel="00E2128A" w:rsidRDefault="00E2128A" w:rsidP="00E2128A">
            <w:pPr>
              <w:tabs>
                <w:tab w:val="left" w:pos="720"/>
              </w:tabs>
              <w:spacing w:after="0" w:line="240" w:lineRule="auto"/>
              <w:rPr>
                <w:rFonts w:asciiTheme="minorHAnsi" w:hAnsiTheme="minorHAnsi"/>
                <w:sz w:val="24"/>
                <w:szCs w:val="24"/>
              </w:rPr>
            </w:pPr>
            <w:r w:rsidRPr="00040AB6">
              <w:rPr>
                <w:rFonts w:asciiTheme="minorHAnsi" w:hAnsiTheme="minorHAnsi"/>
                <w:sz w:val="24"/>
                <w:szCs w:val="24"/>
              </w:rPr>
              <w:t>Requested effective date of program cost recovery filing.</w:t>
            </w:r>
          </w:p>
        </w:tc>
      </w:tr>
      <w:tr w:rsidR="00357665" w:rsidRPr="00040AB6" w14:paraId="70E542BD" w14:textId="77777777" w:rsidTr="004873B8">
        <w:tc>
          <w:tcPr>
            <w:tcW w:w="2845" w:type="dxa"/>
          </w:tcPr>
          <w:p w14:paraId="70E542BB" w14:textId="77777777" w:rsidR="00357665" w:rsidRPr="00040AB6" w:rsidRDefault="00357665" w:rsidP="00500691">
            <w:pPr>
              <w:tabs>
                <w:tab w:val="left" w:pos="720"/>
              </w:tabs>
              <w:spacing w:after="0" w:line="240" w:lineRule="auto"/>
              <w:rPr>
                <w:rFonts w:asciiTheme="minorHAnsi" w:hAnsiTheme="minorHAnsi"/>
                <w:sz w:val="24"/>
                <w:szCs w:val="24"/>
              </w:rPr>
            </w:pPr>
            <w:r w:rsidRPr="00040AB6">
              <w:rPr>
                <w:rFonts w:asciiTheme="minorHAnsi" w:hAnsiTheme="minorHAnsi"/>
                <w:sz w:val="24"/>
                <w:szCs w:val="24"/>
              </w:rPr>
              <w:t>November 15</w:t>
            </w:r>
          </w:p>
        </w:tc>
        <w:tc>
          <w:tcPr>
            <w:tcW w:w="6353" w:type="dxa"/>
          </w:tcPr>
          <w:p w14:paraId="70E542BC" w14:textId="77777777" w:rsidR="00357665" w:rsidRPr="00040AB6" w:rsidRDefault="00357665" w:rsidP="00A879A1">
            <w:pPr>
              <w:tabs>
                <w:tab w:val="left" w:pos="720"/>
              </w:tabs>
              <w:spacing w:after="0" w:line="240" w:lineRule="auto"/>
              <w:rPr>
                <w:rFonts w:asciiTheme="minorHAnsi" w:hAnsiTheme="minorHAnsi"/>
                <w:sz w:val="24"/>
                <w:szCs w:val="24"/>
              </w:rPr>
            </w:pPr>
            <w:r w:rsidRPr="00040AB6">
              <w:rPr>
                <w:rFonts w:asciiTheme="minorHAnsi" w:hAnsiTheme="minorHAnsi"/>
                <w:sz w:val="24"/>
                <w:szCs w:val="24"/>
              </w:rPr>
              <w:t>Share next year’s budget range, funding schedule, and proposed performance metrics with EEAG no later than this date</w:t>
            </w:r>
          </w:p>
        </w:tc>
      </w:tr>
      <w:tr w:rsidR="00357665" w:rsidRPr="00040AB6" w14:paraId="70E542C0" w14:textId="77777777" w:rsidTr="004873B8">
        <w:tc>
          <w:tcPr>
            <w:tcW w:w="2845" w:type="dxa"/>
          </w:tcPr>
          <w:p w14:paraId="70E542BE" w14:textId="77777777" w:rsidR="00357665" w:rsidRPr="00040AB6" w:rsidRDefault="00357665" w:rsidP="00A05B15">
            <w:pPr>
              <w:tabs>
                <w:tab w:val="left" w:pos="720"/>
              </w:tabs>
              <w:spacing w:after="0" w:line="240" w:lineRule="auto"/>
              <w:rPr>
                <w:rFonts w:asciiTheme="minorHAnsi" w:hAnsiTheme="minorHAnsi"/>
                <w:sz w:val="24"/>
                <w:szCs w:val="24"/>
              </w:rPr>
            </w:pPr>
            <w:r w:rsidRPr="00040AB6">
              <w:rPr>
                <w:rFonts w:asciiTheme="minorHAnsi" w:hAnsiTheme="minorHAnsi"/>
                <w:sz w:val="24"/>
                <w:szCs w:val="24"/>
              </w:rPr>
              <w:t>November 25</w:t>
            </w:r>
          </w:p>
        </w:tc>
        <w:tc>
          <w:tcPr>
            <w:tcW w:w="6353" w:type="dxa"/>
          </w:tcPr>
          <w:p w14:paraId="70E542BF" w14:textId="77777777" w:rsidR="00357665" w:rsidRPr="00040AB6" w:rsidRDefault="00357665" w:rsidP="00500691">
            <w:pPr>
              <w:tabs>
                <w:tab w:val="left" w:pos="720"/>
              </w:tabs>
              <w:spacing w:after="0" w:line="240" w:lineRule="auto"/>
              <w:rPr>
                <w:rFonts w:asciiTheme="minorHAnsi" w:hAnsiTheme="minorHAnsi"/>
                <w:sz w:val="24"/>
                <w:szCs w:val="24"/>
              </w:rPr>
            </w:pPr>
            <w:r w:rsidRPr="00040AB6">
              <w:rPr>
                <w:rFonts w:asciiTheme="minorHAnsi" w:hAnsiTheme="minorHAnsi"/>
                <w:sz w:val="24"/>
                <w:szCs w:val="24"/>
              </w:rPr>
              <w:t>Q3 report on July 1 through September 30 and YTD</w:t>
            </w:r>
          </w:p>
        </w:tc>
      </w:tr>
      <w:tr w:rsidR="00357665" w:rsidRPr="00040AB6" w14:paraId="70E542C3" w14:textId="77777777" w:rsidTr="004873B8">
        <w:tc>
          <w:tcPr>
            <w:tcW w:w="2845" w:type="dxa"/>
          </w:tcPr>
          <w:p w14:paraId="70E542C1" w14:textId="77777777" w:rsidR="00357665" w:rsidRPr="00040AB6" w:rsidRDefault="00357665" w:rsidP="00500691">
            <w:pPr>
              <w:tabs>
                <w:tab w:val="left" w:pos="720"/>
              </w:tabs>
              <w:spacing w:after="0" w:line="240" w:lineRule="auto"/>
              <w:rPr>
                <w:rFonts w:asciiTheme="minorHAnsi" w:hAnsiTheme="minorHAnsi"/>
                <w:sz w:val="24"/>
                <w:szCs w:val="24"/>
              </w:rPr>
            </w:pPr>
            <w:r w:rsidRPr="00040AB6">
              <w:rPr>
                <w:rFonts w:asciiTheme="minorHAnsi" w:hAnsiTheme="minorHAnsi"/>
                <w:sz w:val="24"/>
                <w:szCs w:val="24"/>
              </w:rPr>
              <w:t>December 1</w:t>
            </w:r>
          </w:p>
        </w:tc>
        <w:tc>
          <w:tcPr>
            <w:tcW w:w="6353" w:type="dxa"/>
          </w:tcPr>
          <w:p w14:paraId="70E542C2" w14:textId="77777777" w:rsidR="00357665" w:rsidRPr="00040AB6" w:rsidRDefault="00357665" w:rsidP="00500691">
            <w:pPr>
              <w:tabs>
                <w:tab w:val="left" w:pos="720"/>
              </w:tabs>
              <w:spacing w:after="0" w:line="240" w:lineRule="auto"/>
              <w:rPr>
                <w:rFonts w:asciiTheme="minorHAnsi" w:hAnsiTheme="minorHAnsi"/>
                <w:sz w:val="24"/>
                <w:szCs w:val="24"/>
              </w:rPr>
            </w:pPr>
            <w:r w:rsidRPr="00040AB6">
              <w:rPr>
                <w:rFonts w:asciiTheme="minorHAnsi" w:hAnsiTheme="minorHAnsi"/>
                <w:sz w:val="24"/>
                <w:szCs w:val="24"/>
              </w:rPr>
              <w:t>Latest date to file EE Plan for next program year</w:t>
            </w:r>
          </w:p>
        </w:tc>
      </w:tr>
      <w:tr w:rsidR="00357665" w:rsidRPr="00040AB6" w14:paraId="70E542C6" w14:textId="77777777" w:rsidTr="004873B8">
        <w:tc>
          <w:tcPr>
            <w:tcW w:w="2845" w:type="dxa"/>
          </w:tcPr>
          <w:p w14:paraId="70E542C4" w14:textId="77777777" w:rsidR="00357665" w:rsidRPr="00040AB6" w:rsidRDefault="00357665" w:rsidP="00500691">
            <w:pPr>
              <w:tabs>
                <w:tab w:val="left" w:pos="720"/>
              </w:tabs>
              <w:spacing w:after="0" w:line="240" w:lineRule="auto"/>
              <w:rPr>
                <w:rFonts w:asciiTheme="minorHAnsi" w:hAnsiTheme="minorHAnsi"/>
                <w:sz w:val="24"/>
                <w:szCs w:val="24"/>
              </w:rPr>
            </w:pPr>
            <w:r w:rsidRPr="00040AB6">
              <w:rPr>
                <w:rFonts w:asciiTheme="minorHAnsi" w:hAnsiTheme="minorHAnsi"/>
                <w:sz w:val="24"/>
                <w:szCs w:val="24"/>
              </w:rPr>
              <w:t>January 1</w:t>
            </w:r>
          </w:p>
        </w:tc>
        <w:tc>
          <w:tcPr>
            <w:tcW w:w="6353" w:type="dxa"/>
          </w:tcPr>
          <w:p w14:paraId="70E542C5" w14:textId="77777777" w:rsidR="00357665" w:rsidRPr="00040AB6" w:rsidRDefault="00357665" w:rsidP="00500691">
            <w:pPr>
              <w:tabs>
                <w:tab w:val="left" w:pos="720"/>
              </w:tabs>
              <w:spacing w:after="0" w:line="240" w:lineRule="auto"/>
              <w:rPr>
                <w:rFonts w:asciiTheme="minorHAnsi" w:hAnsiTheme="minorHAnsi"/>
                <w:sz w:val="24"/>
                <w:szCs w:val="24"/>
              </w:rPr>
            </w:pPr>
            <w:r w:rsidRPr="00040AB6">
              <w:rPr>
                <w:rFonts w:asciiTheme="minorHAnsi" w:hAnsiTheme="minorHAnsi"/>
                <w:sz w:val="24"/>
                <w:szCs w:val="24"/>
              </w:rPr>
              <w:t>Start of next program year; new EE Plan effective</w:t>
            </w:r>
          </w:p>
        </w:tc>
      </w:tr>
    </w:tbl>
    <w:p w14:paraId="70E542C7" w14:textId="77777777" w:rsidR="00357665" w:rsidRPr="00040AB6" w:rsidRDefault="00357665" w:rsidP="00E5636B">
      <w:pPr>
        <w:pStyle w:val="ListParagraph"/>
        <w:spacing w:after="0" w:line="240" w:lineRule="auto"/>
        <w:rPr>
          <w:rFonts w:asciiTheme="minorHAnsi" w:hAnsiTheme="minorHAnsi"/>
          <w:sz w:val="32"/>
          <w:szCs w:val="32"/>
        </w:rPr>
      </w:pPr>
    </w:p>
    <w:p w14:paraId="70E542C8" w14:textId="77777777" w:rsidR="00357665" w:rsidRPr="000A65B2" w:rsidRDefault="00357665" w:rsidP="00512699">
      <w:pPr>
        <w:pStyle w:val="ListParagraph"/>
        <w:numPr>
          <w:ilvl w:val="0"/>
          <w:numId w:val="9"/>
        </w:numPr>
        <w:spacing w:after="0" w:line="240" w:lineRule="auto"/>
        <w:ind w:left="720"/>
        <w:rPr>
          <w:rFonts w:asciiTheme="minorHAnsi" w:hAnsiTheme="minorHAnsi"/>
          <w:sz w:val="32"/>
          <w:szCs w:val="32"/>
        </w:rPr>
      </w:pPr>
      <w:r w:rsidRPr="000A65B2">
        <w:rPr>
          <w:rFonts w:asciiTheme="minorHAnsi" w:hAnsiTheme="minorHAnsi"/>
          <w:sz w:val="32"/>
          <w:szCs w:val="32"/>
        </w:rPr>
        <w:t>Reporting</w:t>
      </w:r>
    </w:p>
    <w:p w14:paraId="70E542C9" w14:textId="77777777" w:rsidR="00357665" w:rsidRPr="00040AB6" w:rsidRDefault="00DC7F29" w:rsidP="000245F6">
      <w:pPr>
        <w:pStyle w:val="ListParagraph"/>
        <w:rPr>
          <w:rFonts w:asciiTheme="minorHAnsi" w:hAnsiTheme="minorHAnsi"/>
          <w:sz w:val="24"/>
          <w:szCs w:val="24"/>
        </w:rPr>
      </w:pPr>
      <w:r w:rsidRPr="00040AB6">
        <w:rPr>
          <w:rFonts w:asciiTheme="minorHAnsi" w:hAnsiTheme="minorHAnsi"/>
          <w:sz w:val="24"/>
          <w:szCs w:val="24"/>
        </w:rPr>
        <w:t>The Company will file a</w:t>
      </w:r>
      <w:r w:rsidR="00357665" w:rsidRPr="00040AB6">
        <w:rPr>
          <w:rFonts w:asciiTheme="minorHAnsi" w:hAnsiTheme="minorHAnsi"/>
          <w:sz w:val="24"/>
          <w:szCs w:val="24"/>
        </w:rPr>
        <w:t xml:space="preserve">ll required reporting with the WUTC in the docket established for the current program year.  </w:t>
      </w:r>
    </w:p>
    <w:p w14:paraId="70E542CA" w14:textId="77777777" w:rsidR="00357665" w:rsidRPr="00040AB6" w:rsidRDefault="00357665" w:rsidP="000245F6">
      <w:pPr>
        <w:pStyle w:val="ListParagraph"/>
        <w:rPr>
          <w:rFonts w:asciiTheme="minorHAnsi" w:hAnsiTheme="minorHAnsi"/>
          <w:sz w:val="24"/>
          <w:szCs w:val="24"/>
          <w:u w:val="single"/>
        </w:rPr>
      </w:pPr>
    </w:p>
    <w:p w14:paraId="70E542CB" w14:textId="77777777" w:rsidR="00357665" w:rsidRPr="00040AB6" w:rsidRDefault="00357665" w:rsidP="000245F6">
      <w:pPr>
        <w:pStyle w:val="ListParagraph"/>
        <w:rPr>
          <w:rFonts w:asciiTheme="minorHAnsi" w:hAnsiTheme="minorHAnsi"/>
          <w:sz w:val="24"/>
          <w:szCs w:val="24"/>
          <w:u w:val="single"/>
        </w:rPr>
      </w:pPr>
      <w:r w:rsidRPr="00040AB6">
        <w:rPr>
          <w:rFonts w:asciiTheme="minorHAnsi" w:hAnsiTheme="minorHAnsi"/>
          <w:sz w:val="24"/>
          <w:szCs w:val="24"/>
          <w:u w:val="single"/>
        </w:rPr>
        <w:t>Quarterly</w:t>
      </w:r>
    </w:p>
    <w:p w14:paraId="70E542CC" w14:textId="77777777" w:rsidR="00357665" w:rsidRPr="00040AB6" w:rsidRDefault="00357665" w:rsidP="000245F6">
      <w:pPr>
        <w:pStyle w:val="ListParagraph"/>
        <w:rPr>
          <w:rFonts w:asciiTheme="minorHAnsi" w:hAnsiTheme="minorHAnsi"/>
          <w:sz w:val="24"/>
          <w:szCs w:val="24"/>
        </w:rPr>
      </w:pPr>
      <w:r w:rsidRPr="00040AB6">
        <w:rPr>
          <w:rFonts w:asciiTheme="minorHAnsi" w:hAnsiTheme="minorHAnsi"/>
          <w:sz w:val="24"/>
          <w:szCs w:val="24"/>
        </w:rPr>
        <w:t>The Company will report on its program on a calendar year basis.  Quarterly reports will be provided to the EEAG and filed with the WUTC on the following schedule:</w:t>
      </w:r>
    </w:p>
    <w:p w14:paraId="70E542CD" w14:textId="77777777" w:rsidR="00357665" w:rsidRPr="00040AB6" w:rsidRDefault="00357665" w:rsidP="008A7584">
      <w:pPr>
        <w:pStyle w:val="ListParagraph"/>
        <w:ind w:left="1440"/>
        <w:rPr>
          <w:rFonts w:asciiTheme="minorHAnsi" w:hAnsiTheme="minorHAnsi"/>
          <w:sz w:val="24"/>
          <w:szCs w:val="24"/>
        </w:rPr>
      </w:pPr>
      <w:r w:rsidRPr="00040AB6">
        <w:rPr>
          <w:rFonts w:asciiTheme="minorHAnsi" w:hAnsiTheme="minorHAnsi"/>
          <w:sz w:val="24"/>
          <w:szCs w:val="24"/>
        </w:rPr>
        <w:t>1Q – May 25</w:t>
      </w:r>
    </w:p>
    <w:p w14:paraId="70E542CE" w14:textId="77777777" w:rsidR="00357665" w:rsidRPr="00040AB6" w:rsidRDefault="00357665" w:rsidP="008A7584">
      <w:pPr>
        <w:pStyle w:val="ListParagraph"/>
        <w:ind w:left="1440"/>
        <w:rPr>
          <w:rFonts w:asciiTheme="minorHAnsi" w:hAnsiTheme="minorHAnsi"/>
          <w:sz w:val="24"/>
          <w:szCs w:val="24"/>
        </w:rPr>
      </w:pPr>
      <w:r w:rsidRPr="00040AB6">
        <w:rPr>
          <w:rFonts w:asciiTheme="minorHAnsi" w:hAnsiTheme="minorHAnsi"/>
          <w:sz w:val="24"/>
          <w:szCs w:val="24"/>
        </w:rPr>
        <w:t>2Q – August 25</w:t>
      </w:r>
    </w:p>
    <w:p w14:paraId="70E542CF" w14:textId="77777777" w:rsidR="00A879A1" w:rsidRPr="00040AB6" w:rsidRDefault="00357665" w:rsidP="00A879A1">
      <w:pPr>
        <w:pStyle w:val="ListParagraph"/>
        <w:ind w:left="1440"/>
        <w:rPr>
          <w:rFonts w:asciiTheme="minorHAnsi" w:hAnsiTheme="minorHAnsi"/>
          <w:sz w:val="24"/>
          <w:szCs w:val="24"/>
        </w:rPr>
      </w:pPr>
      <w:r w:rsidRPr="00040AB6">
        <w:rPr>
          <w:rFonts w:asciiTheme="minorHAnsi" w:hAnsiTheme="minorHAnsi"/>
          <w:sz w:val="24"/>
          <w:szCs w:val="24"/>
        </w:rPr>
        <w:t>3Q – November 25</w:t>
      </w:r>
    </w:p>
    <w:p w14:paraId="70E542D0" w14:textId="77777777" w:rsidR="00357665" w:rsidRPr="00040AB6" w:rsidRDefault="00357665" w:rsidP="008A7584">
      <w:pPr>
        <w:pStyle w:val="ListParagraph"/>
        <w:ind w:left="1440"/>
        <w:rPr>
          <w:rFonts w:asciiTheme="minorHAnsi" w:hAnsiTheme="minorHAnsi"/>
          <w:sz w:val="24"/>
          <w:szCs w:val="24"/>
        </w:rPr>
      </w:pPr>
    </w:p>
    <w:p w14:paraId="70E542D1" w14:textId="77777777" w:rsidR="00357665" w:rsidRPr="00040AB6" w:rsidRDefault="00357665" w:rsidP="000245F6">
      <w:pPr>
        <w:pStyle w:val="ListParagraph"/>
        <w:rPr>
          <w:rFonts w:asciiTheme="minorHAnsi" w:hAnsiTheme="minorHAnsi"/>
          <w:sz w:val="24"/>
          <w:szCs w:val="24"/>
          <w:u w:val="single"/>
        </w:rPr>
      </w:pPr>
      <w:r w:rsidRPr="00040AB6">
        <w:rPr>
          <w:rFonts w:asciiTheme="minorHAnsi" w:hAnsiTheme="minorHAnsi"/>
          <w:sz w:val="24"/>
          <w:szCs w:val="24"/>
          <w:u w:val="single"/>
        </w:rPr>
        <w:t>Annual</w:t>
      </w:r>
    </w:p>
    <w:p w14:paraId="70E542D2" w14:textId="77777777" w:rsidR="00357665" w:rsidRPr="00040AB6" w:rsidRDefault="00357665" w:rsidP="008A7584">
      <w:pPr>
        <w:pStyle w:val="ListParagraph"/>
        <w:rPr>
          <w:rFonts w:asciiTheme="minorHAnsi" w:hAnsiTheme="minorHAnsi"/>
          <w:sz w:val="24"/>
          <w:szCs w:val="24"/>
        </w:rPr>
      </w:pPr>
      <w:r w:rsidRPr="00040AB6">
        <w:rPr>
          <w:rFonts w:asciiTheme="minorHAnsi" w:hAnsiTheme="minorHAnsi"/>
          <w:sz w:val="24"/>
          <w:szCs w:val="24"/>
        </w:rPr>
        <w:t>An annual report will be due annually for the previous year by April 25</w:t>
      </w:r>
      <w:r w:rsidRPr="00040AB6">
        <w:rPr>
          <w:rFonts w:asciiTheme="minorHAnsi" w:hAnsiTheme="minorHAnsi"/>
          <w:sz w:val="24"/>
          <w:szCs w:val="24"/>
          <w:vertAlign w:val="superscript"/>
        </w:rPr>
        <w:t>th</w:t>
      </w:r>
      <w:r w:rsidRPr="00040AB6">
        <w:rPr>
          <w:rFonts w:asciiTheme="minorHAnsi" w:hAnsiTheme="minorHAnsi"/>
          <w:sz w:val="24"/>
          <w:szCs w:val="24"/>
        </w:rPr>
        <w:t xml:space="preserve">. </w:t>
      </w:r>
    </w:p>
    <w:p w14:paraId="70E542D3" w14:textId="77777777" w:rsidR="004D1E3F" w:rsidRPr="00040AB6" w:rsidRDefault="00357665" w:rsidP="00E16413">
      <w:pPr>
        <w:spacing w:after="0" w:line="240" w:lineRule="auto"/>
        <w:ind w:firstLine="720"/>
        <w:rPr>
          <w:rFonts w:asciiTheme="minorHAnsi" w:hAnsiTheme="minorHAnsi"/>
          <w:sz w:val="24"/>
          <w:szCs w:val="24"/>
          <w:u w:val="single"/>
        </w:rPr>
      </w:pPr>
      <w:r w:rsidRPr="00040AB6">
        <w:rPr>
          <w:rFonts w:asciiTheme="minorHAnsi" w:hAnsiTheme="minorHAnsi"/>
          <w:sz w:val="24"/>
          <w:szCs w:val="24"/>
          <w:u w:val="single"/>
        </w:rPr>
        <w:t>EEAG Review</w:t>
      </w:r>
    </w:p>
    <w:p w14:paraId="70E542D4" w14:textId="77777777" w:rsidR="00357665" w:rsidRPr="00040AB6" w:rsidRDefault="00357665" w:rsidP="00E16413">
      <w:pPr>
        <w:spacing w:after="0" w:line="240" w:lineRule="auto"/>
        <w:ind w:left="720"/>
        <w:rPr>
          <w:rFonts w:asciiTheme="minorHAnsi" w:hAnsiTheme="minorHAnsi"/>
          <w:sz w:val="24"/>
          <w:szCs w:val="24"/>
        </w:rPr>
      </w:pPr>
      <w:r w:rsidRPr="00040AB6">
        <w:rPr>
          <w:rFonts w:asciiTheme="minorHAnsi" w:hAnsiTheme="minorHAnsi"/>
          <w:sz w:val="24"/>
          <w:szCs w:val="24"/>
        </w:rPr>
        <w:t xml:space="preserve">The EEAG will meet either in person or by teleconference to review </w:t>
      </w:r>
      <w:r w:rsidR="00CB32EA" w:rsidRPr="00040AB6">
        <w:rPr>
          <w:rFonts w:asciiTheme="minorHAnsi" w:hAnsiTheme="minorHAnsi"/>
          <w:sz w:val="24"/>
          <w:szCs w:val="24"/>
        </w:rPr>
        <w:t>the</w:t>
      </w:r>
      <w:r w:rsidRPr="00040AB6">
        <w:rPr>
          <w:rFonts w:asciiTheme="minorHAnsi" w:hAnsiTheme="minorHAnsi"/>
          <w:sz w:val="24"/>
          <w:szCs w:val="24"/>
        </w:rPr>
        <w:t xml:space="preserve"> annual report</w:t>
      </w:r>
      <w:r w:rsidR="00CB32EA" w:rsidRPr="00040AB6">
        <w:rPr>
          <w:rFonts w:asciiTheme="minorHAnsi" w:hAnsiTheme="minorHAnsi"/>
          <w:sz w:val="24"/>
          <w:szCs w:val="24"/>
        </w:rPr>
        <w:t xml:space="preserve"> and as requested</w:t>
      </w:r>
      <w:r w:rsidR="00C21507">
        <w:rPr>
          <w:rFonts w:asciiTheme="minorHAnsi" w:hAnsiTheme="minorHAnsi"/>
          <w:sz w:val="24"/>
          <w:szCs w:val="24"/>
        </w:rPr>
        <w:t xml:space="preserve"> if additional meetings are needed</w:t>
      </w:r>
      <w:r w:rsidRPr="00040AB6">
        <w:rPr>
          <w:rFonts w:asciiTheme="minorHAnsi" w:hAnsiTheme="minorHAnsi"/>
          <w:sz w:val="24"/>
          <w:szCs w:val="24"/>
        </w:rPr>
        <w:t>.</w:t>
      </w:r>
    </w:p>
    <w:p w14:paraId="70E542D5" w14:textId="77777777" w:rsidR="00357665" w:rsidRPr="00040AB6" w:rsidRDefault="00357665" w:rsidP="008A7584">
      <w:pPr>
        <w:pStyle w:val="ListParagraph"/>
        <w:spacing w:after="0" w:line="240" w:lineRule="auto"/>
        <w:rPr>
          <w:rFonts w:asciiTheme="minorHAnsi" w:hAnsiTheme="minorHAnsi"/>
          <w:sz w:val="24"/>
          <w:szCs w:val="24"/>
        </w:rPr>
      </w:pPr>
    </w:p>
    <w:p w14:paraId="70E542D6" w14:textId="77777777" w:rsidR="00357665" w:rsidRPr="00040AB6" w:rsidRDefault="00357665" w:rsidP="008A7584">
      <w:pPr>
        <w:pStyle w:val="ListParagraph"/>
        <w:spacing w:after="0" w:line="240" w:lineRule="auto"/>
        <w:rPr>
          <w:rFonts w:asciiTheme="minorHAnsi" w:hAnsiTheme="minorHAnsi"/>
          <w:sz w:val="24"/>
          <w:szCs w:val="24"/>
          <w:u w:val="single"/>
        </w:rPr>
      </w:pPr>
      <w:r w:rsidRPr="00040AB6">
        <w:rPr>
          <w:rFonts w:asciiTheme="minorHAnsi" w:hAnsiTheme="minorHAnsi"/>
          <w:sz w:val="24"/>
          <w:szCs w:val="24"/>
          <w:u w:val="single"/>
        </w:rPr>
        <w:t>Content of Reports</w:t>
      </w:r>
    </w:p>
    <w:p w14:paraId="70E542D7" w14:textId="77777777" w:rsidR="00357665" w:rsidRPr="00040AB6" w:rsidRDefault="00357665" w:rsidP="008A7584">
      <w:pPr>
        <w:pStyle w:val="ListParagraph"/>
        <w:spacing w:after="0" w:line="240" w:lineRule="auto"/>
        <w:rPr>
          <w:rFonts w:asciiTheme="minorHAnsi" w:hAnsiTheme="minorHAnsi"/>
          <w:sz w:val="24"/>
          <w:szCs w:val="24"/>
        </w:rPr>
      </w:pPr>
      <w:r w:rsidRPr="00040AB6">
        <w:rPr>
          <w:rFonts w:asciiTheme="minorHAnsi" w:hAnsiTheme="minorHAnsi"/>
          <w:sz w:val="24"/>
          <w:szCs w:val="24"/>
        </w:rPr>
        <w:t>The quarterly reports will include</w:t>
      </w:r>
    </w:p>
    <w:p w14:paraId="70E542D8" w14:textId="77777777" w:rsidR="00357665" w:rsidRPr="00040AB6" w:rsidRDefault="00357665" w:rsidP="000A65B2">
      <w:pPr>
        <w:pStyle w:val="ListParagraph"/>
        <w:numPr>
          <w:ilvl w:val="3"/>
          <w:numId w:val="29"/>
        </w:numPr>
        <w:spacing w:after="0" w:line="240" w:lineRule="auto"/>
        <w:ind w:left="1980" w:hanging="540"/>
        <w:rPr>
          <w:rFonts w:asciiTheme="minorHAnsi" w:hAnsiTheme="minorHAnsi"/>
          <w:sz w:val="24"/>
          <w:szCs w:val="24"/>
        </w:rPr>
      </w:pPr>
      <w:r w:rsidRPr="00040AB6">
        <w:rPr>
          <w:rFonts w:asciiTheme="minorHAnsi" w:hAnsiTheme="minorHAnsi"/>
          <w:sz w:val="24"/>
          <w:szCs w:val="24"/>
        </w:rPr>
        <w:t>Quarterly progress toward annual program metrics</w:t>
      </w:r>
    </w:p>
    <w:p w14:paraId="70E542D9" w14:textId="77777777" w:rsidR="00357665" w:rsidRPr="00040AB6" w:rsidRDefault="00357665" w:rsidP="000A65B2">
      <w:pPr>
        <w:pStyle w:val="ListParagraph"/>
        <w:numPr>
          <w:ilvl w:val="3"/>
          <w:numId w:val="29"/>
        </w:numPr>
        <w:spacing w:after="0" w:line="240" w:lineRule="auto"/>
        <w:ind w:left="1980" w:hanging="540"/>
        <w:rPr>
          <w:rFonts w:asciiTheme="minorHAnsi" w:hAnsiTheme="minorHAnsi"/>
          <w:sz w:val="24"/>
          <w:szCs w:val="24"/>
        </w:rPr>
      </w:pPr>
      <w:r w:rsidRPr="00040AB6">
        <w:rPr>
          <w:rFonts w:asciiTheme="minorHAnsi" w:hAnsiTheme="minorHAnsi"/>
          <w:sz w:val="24"/>
          <w:szCs w:val="24"/>
        </w:rPr>
        <w:t>A breakdown of costs by program and customer sector</w:t>
      </w:r>
    </w:p>
    <w:p w14:paraId="70E542DA" w14:textId="77777777" w:rsidR="00357665" w:rsidRPr="00040AB6" w:rsidRDefault="00357665" w:rsidP="000A65B2">
      <w:pPr>
        <w:pStyle w:val="ListParagraph"/>
        <w:numPr>
          <w:ilvl w:val="3"/>
          <w:numId w:val="29"/>
        </w:numPr>
        <w:spacing w:after="0" w:line="240" w:lineRule="auto"/>
        <w:ind w:left="1980" w:hanging="540"/>
        <w:rPr>
          <w:rFonts w:asciiTheme="minorHAnsi" w:hAnsiTheme="minorHAnsi"/>
          <w:sz w:val="24"/>
          <w:szCs w:val="24"/>
        </w:rPr>
      </w:pPr>
      <w:r w:rsidRPr="00040AB6">
        <w:rPr>
          <w:rFonts w:asciiTheme="minorHAnsi" w:hAnsiTheme="minorHAnsi"/>
          <w:sz w:val="24"/>
          <w:szCs w:val="24"/>
        </w:rPr>
        <w:t>A reporting on percentage of program costs spent on customer incentives</w:t>
      </w:r>
    </w:p>
    <w:p w14:paraId="70E542DB" w14:textId="77777777" w:rsidR="00357665" w:rsidRPr="00040AB6" w:rsidRDefault="00357665" w:rsidP="000A65B2">
      <w:pPr>
        <w:pStyle w:val="ListParagraph"/>
        <w:numPr>
          <w:ilvl w:val="3"/>
          <w:numId w:val="29"/>
        </w:numPr>
        <w:spacing w:after="0" w:line="240" w:lineRule="auto"/>
        <w:ind w:left="1980" w:hanging="540"/>
        <w:rPr>
          <w:rFonts w:asciiTheme="minorHAnsi" w:hAnsiTheme="minorHAnsi"/>
          <w:sz w:val="24"/>
          <w:szCs w:val="24"/>
        </w:rPr>
      </w:pPr>
      <w:r w:rsidRPr="00040AB6">
        <w:rPr>
          <w:rFonts w:asciiTheme="minorHAnsi" w:hAnsiTheme="minorHAnsi"/>
          <w:sz w:val="24"/>
          <w:szCs w:val="24"/>
        </w:rPr>
        <w:t>The funding received to date</w:t>
      </w:r>
    </w:p>
    <w:p w14:paraId="70E542DC" w14:textId="77777777" w:rsidR="005B4B2B" w:rsidRPr="00040AB6" w:rsidRDefault="005B4B2B" w:rsidP="000A65B2">
      <w:pPr>
        <w:pStyle w:val="ListParagraph"/>
        <w:numPr>
          <w:ilvl w:val="3"/>
          <w:numId w:val="29"/>
        </w:numPr>
        <w:spacing w:after="0" w:line="240" w:lineRule="auto"/>
        <w:ind w:left="1980" w:hanging="540"/>
        <w:rPr>
          <w:rFonts w:asciiTheme="minorHAnsi" w:hAnsiTheme="minorHAnsi"/>
          <w:sz w:val="24"/>
          <w:szCs w:val="24"/>
        </w:rPr>
      </w:pPr>
      <w:r w:rsidRPr="00040AB6">
        <w:rPr>
          <w:rFonts w:asciiTheme="minorHAnsi" w:hAnsiTheme="minorHAnsi"/>
          <w:sz w:val="24"/>
          <w:szCs w:val="24"/>
        </w:rPr>
        <w:t>Energy payback estimator site traffic statistics</w:t>
      </w:r>
      <w:r w:rsidRPr="00040AB6">
        <w:rPr>
          <w:rFonts w:asciiTheme="minorHAnsi" w:hAnsiTheme="minorHAnsi" w:cstheme="minorHAnsi"/>
          <w:sz w:val="24"/>
          <w:szCs w:val="24"/>
        </w:rPr>
        <w:t xml:space="preserve"> both in aggregate and by geography, detailing the volume of visits to the URL</w:t>
      </w:r>
    </w:p>
    <w:p w14:paraId="70E542DD" w14:textId="77777777" w:rsidR="00C54531" w:rsidRPr="00040AB6" w:rsidRDefault="009C3D0A" w:rsidP="000A65B2">
      <w:pPr>
        <w:pStyle w:val="ListParagraph"/>
        <w:numPr>
          <w:ilvl w:val="3"/>
          <w:numId w:val="29"/>
        </w:numPr>
        <w:spacing w:after="0" w:line="240" w:lineRule="auto"/>
        <w:ind w:left="1980" w:hanging="540"/>
        <w:rPr>
          <w:rFonts w:asciiTheme="minorHAnsi" w:hAnsiTheme="minorHAnsi"/>
          <w:sz w:val="24"/>
          <w:szCs w:val="24"/>
        </w:rPr>
      </w:pPr>
      <w:r>
        <w:rPr>
          <w:rFonts w:asciiTheme="minorHAnsi" w:hAnsiTheme="minorHAnsi"/>
          <w:sz w:val="24"/>
          <w:szCs w:val="24"/>
        </w:rPr>
        <w:t>A status report on Northwest Energy Efficiency Alliance (</w:t>
      </w:r>
      <w:r w:rsidR="00C54531" w:rsidRPr="00040AB6">
        <w:rPr>
          <w:rFonts w:asciiTheme="minorHAnsi" w:hAnsiTheme="minorHAnsi"/>
          <w:sz w:val="24"/>
          <w:szCs w:val="24"/>
        </w:rPr>
        <w:t>NEEA</w:t>
      </w:r>
      <w:r>
        <w:rPr>
          <w:rFonts w:asciiTheme="minorHAnsi" w:hAnsiTheme="minorHAnsi"/>
          <w:sz w:val="24"/>
          <w:szCs w:val="24"/>
        </w:rPr>
        <w:t>)</w:t>
      </w:r>
      <w:r w:rsidR="00C54531" w:rsidRPr="00040AB6">
        <w:rPr>
          <w:rFonts w:asciiTheme="minorHAnsi" w:hAnsiTheme="minorHAnsi"/>
          <w:sz w:val="24"/>
          <w:szCs w:val="24"/>
        </w:rPr>
        <w:t>, market transformation efforts, spending, and activity</w:t>
      </w:r>
    </w:p>
    <w:p w14:paraId="70E542DE" w14:textId="77777777" w:rsidR="00C54531" w:rsidRPr="00040AB6" w:rsidRDefault="00C54531" w:rsidP="000A65B2">
      <w:pPr>
        <w:pStyle w:val="ListParagraph"/>
        <w:numPr>
          <w:ilvl w:val="3"/>
          <w:numId w:val="29"/>
        </w:numPr>
        <w:spacing w:after="0" w:line="240" w:lineRule="auto"/>
        <w:ind w:left="1980" w:hanging="540"/>
        <w:rPr>
          <w:rFonts w:asciiTheme="minorHAnsi" w:hAnsiTheme="minorHAnsi"/>
          <w:sz w:val="24"/>
          <w:szCs w:val="24"/>
        </w:rPr>
      </w:pPr>
      <w:r w:rsidRPr="00040AB6">
        <w:rPr>
          <w:rFonts w:asciiTheme="minorHAnsi" w:hAnsiTheme="minorHAnsi"/>
          <w:sz w:val="24"/>
          <w:szCs w:val="24"/>
        </w:rPr>
        <w:t>The 2Q report will include a report on the Company’s mid-year transactional review of the Energy Trust’s expenses</w:t>
      </w:r>
    </w:p>
    <w:p w14:paraId="70E542DF" w14:textId="77777777" w:rsidR="00357665" w:rsidRPr="00040AB6" w:rsidRDefault="00357665" w:rsidP="000A65B2">
      <w:pPr>
        <w:pStyle w:val="ListParagraph"/>
        <w:numPr>
          <w:ilvl w:val="3"/>
          <w:numId w:val="29"/>
        </w:numPr>
        <w:spacing w:after="0" w:line="240" w:lineRule="auto"/>
        <w:ind w:left="1980" w:hanging="540"/>
        <w:rPr>
          <w:rFonts w:asciiTheme="minorHAnsi" w:hAnsiTheme="minorHAnsi"/>
          <w:sz w:val="24"/>
          <w:szCs w:val="24"/>
        </w:rPr>
      </w:pPr>
      <w:r w:rsidRPr="00040AB6">
        <w:rPr>
          <w:rFonts w:asciiTheme="minorHAnsi" w:hAnsiTheme="minorHAnsi"/>
          <w:sz w:val="24"/>
          <w:szCs w:val="24"/>
        </w:rPr>
        <w:t xml:space="preserve">The 2Q report will include a 6 month check in on WA-LIEE </w:t>
      </w:r>
    </w:p>
    <w:p w14:paraId="70E542E0" w14:textId="77777777" w:rsidR="000A65B2" w:rsidRDefault="00357665" w:rsidP="00276FB5">
      <w:pPr>
        <w:pStyle w:val="ListParagraph"/>
        <w:numPr>
          <w:ilvl w:val="0"/>
          <w:numId w:val="34"/>
        </w:numPr>
        <w:spacing w:after="0" w:line="240" w:lineRule="auto"/>
        <w:ind w:left="2340"/>
        <w:rPr>
          <w:rFonts w:asciiTheme="minorHAnsi" w:hAnsiTheme="minorHAnsi"/>
          <w:sz w:val="24"/>
          <w:szCs w:val="24"/>
        </w:rPr>
      </w:pPr>
      <w:r w:rsidRPr="000A65B2">
        <w:rPr>
          <w:rFonts w:asciiTheme="minorHAnsi" w:hAnsiTheme="minorHAnsi"/>
          <w:sz w:val="24"/>
          <w:szCs w:val="24"/>
        </w:rPr>
        <w:t xml:space="preserve">program year costs, </w:t>
      </w:r>
    </w:p>
    <w:p w14:paraId="70E542E1" w14:textId="77777777" w:rsidR="000A65B2" w:rsidRDefault="000A65B2" w:rsidP="00276FB5">
      <w:pPr>
        <w:pStyle w:val="ListParagraph"/>
        <w:numPr>
          <w:ilvl w:val="0"/>
          <w:numId w:val="34"/>
        </w:numPr>
        <w:spacing w:after="0" w:line="240" w:lineRule="auto"/>
        <w:ind w:left="2340"/>
        <w:rPr>
          <w:rFonts w:asciiTheme="minorHAnsi" w:hAnsiTheme="minorHAnsi"/>
          <w:sz w:val="24"/>
          <w:szCs w:val="24"/>
        </w:rPr>
      </w:pPr>
      <w:r>
        <w:rPr>
          <w:rFonts w:asciiTheme="minorHAnsi" w:hAnsiTheme="minorHAnsi"/>
          <w:sz w:val="24"/>
          <w:szCs w:val="24"/>
        </w:rPr>
        <w:t>homes served,</w:t>
      </w:r>
    </w:p>
    <w:p w14:paraId="70E542E2" w14:textId="77777777" w:rsidR="00276FB5" w:rsidRDefault="00357665" w:rsidP="00276FB5">
      <w:pPr>
        <w:pStyle w:val="ListParagraph"/>
        <w:numPr>
          <w:ilvl w:val="0"/>
          <w:numId w:val="34"/>
        </w:numPr>
        <w:spacing w:after="0" w:line="240" w:lineRule="auto"/>
        <w:ind w:left="2340"/>
        <w:rPr>
          <w:rFonts w:asciiTheme="minorHAnsi" w:hAnsiTheme="minorHAnsi"/>
          <w:sz w:val="24"/>
          <w:szCs w:val="24"/>
        </w:rPr>
      </w:pPr>
      <w:r w:rsidRPr="000A65B2">
        <w:rPr>
          <w:rFonts w:asciiTheme="minorHAnsi" w:hAnsiTheme="minorHAnsi"/>
          <w:sz w:val="24"/>
          <w:szCs w:val="24"/>
        </w:rPr>
        <w:t xml:space="preserve">estimated total therms saved per home, and </w:t>
      </w:r>
    </w:p>
    <w:p w14:paraId="70E542E3" w14:textId="77777777" w:rsidR="00276FB5" w:rsidRDefault="00D558E9" w:rsidP="00276FB5">
      <w:pPr>
        <w:pStyle w:val="ListParagraph"/>
        <w:numPr>
          <w:ilvl w:val="0"/>
          <w:numId w:val="34"/>
        </w:numPr>
        <w:spacing w:after="0" w:line="240" w:lineRule="auto"/>
        <w:ind w:left="2340"/>
        <w:rPr>
          <w:rFonts w:asciiTheme="minorHAnsi" w:hAnsiTheme="minorHAnsi"/>
          <w:sz w:val="24"/>
          <w:szCs w:val="24"/>
        </w:rPr>
      </w:pPr>
      <w:r w:rsidRPr="00276FB5">
        <w:rPr>
          <w:rFonts w:asciiTheme="minorHAnsi" w:hAnsiTheme="minorHAnsi"/>
          <w:sz w:val="24"/>
          <w:szCs w:val="24"/>
        </w:rPr>
        <w:t>total therm savings to-date</w:t>
      </w:r>
      <w:r w:rsidR="008B1D58" w:rsidRPr="00276FB5">
        <w:rPr>
          <w:rFonts w:asciiTheme="minorHAnsi" w:hAnsiTheme="minorHAnsi"/>
          <w:sz w:val="24"/>
          <w:szCs w:val="24"/>
        </w:rPr>
        <w:t xml:space="preserve"> </w:t>
      </w:r>
    </w:p>
    <w:p w14:paraId="70E542E4" w14:textId="77777777" w:rsidR="00062D10" w:rsidRPr="00276FB5" w:rsidRDefault="00D558E9" w:rsidP="00276FB5">
      <w:pPr>
        <w:pStyle w:val="ListParagraph"/>
        <w:numPr>
          <w:ilvl w:val="3"/>
          <w:numId w:val="29"/>
        </w:numPr>
        <w:spacing w:after="0" w:line="240" w:lineRule="auto"/>
        <w:ind w:left="1980" w:hanging="540"/>
        <w:rPr>
          <w:rFonts w:asciiTheme="minorHAnsi" w:hAnsiTheme="minorHAnsi"/>
          <w:sz w:val="24"/>
          <w:szCs w:val="24"/>
        </w:rPr>
      </w:pPr>
      <w:r w:rsidRPr="00276FB5">
        <w:rPr>
          <w:rFonts w:asciiTheme="minorHAnsi" w:hAnsiTheme="minorHAnsi"/>
          <w:sz w:val="24"/>
          <w:szCs w:val="24"/>
        </w:rPr>
        <w:t>The quarterly report following the annual release of the impact and process report will include a link to that report and a short summary of the findings</w:t>
      </w:r>
    </w:p>
    <w:p w14:paraId="70E542E5" w14:textId="77777777" w:rsidR="00357665" w:rsidRPr="00040AB6" w:rsidRDefault="00357665" w:rsidP="008A7584">
      <w:pPr>
        <w:pStyle w:val="ListParagraph"/>
        <w:spacing w:after="0" w:line="240" w:lineRule="auto"/>
        <w:rPr>
          <w:rFonts w:asciiTheme="minorHAnsi" w:hAnsiTheme="minorHAnsi"/>
          <w:sz w:val="24"/>
          <w:szCs w:val="24"/>
        </w:rPr>
      </w:pPr>
    </w:p>
    <w:p w14:paraId="70E542E6" w14:textId="77777777" w:rsidR="00357665" w:rsidRPr="00040AB6" w:rsidRDefault="00357665" w:rsidP="008A7584">
      <w:pPr>
        <w:pStyle w:val="ListParagraph"/>
        <w:spacing w:after="0" w:line="240" w:lineRule="auto"/>
        <w:rPr>
          <w:rFonts w:asciiTheme="minorHAnsi" w:hAnsiTheme="minorHAnsi"/>
          <w:sz w:val="24"/>
          <w:szCs w:val="24"/>
        </w:rPr>
      </w:pPr>
      <w:r w:rsidRPr="00040AB6">
        <w:rPr>
          <w:rFonts w:asciiTheme="minorHAnsi" w:hAnsiTheme="minorHAnsi"/>
          <w:sz w:val="24"/>
          <w:szCs w:val="24"/>
        </w:rPr>
        <w:t>The annual report will include the following:</w:t>
      </w:r>
    </w:p>
    <w:p w14:paraId="70E542E7" w14:textId="77777777" w:rsidR="00357665" w:rsidRPr="00040AB6" w:rsidRDefault="00357665" w:rsidP="000A65B2">
      <w:pPr>
        <w:pStyle w:val="ListParagraph"/>
        <w:numPr>
          <w:ilvl w:val="0"/>
          <w:numId w:val="32"/>
        </w:numPr>
        <w:tabs>
          <w:tab w:val="left" w:pos="1980"/>
        </w:tabs>
        <w:spacing w:after="0" w:line="240" w:lineRule="auto"/>
        <w:ind w:left="1980" w:hanging="540"/>
        <w:rPr>
          <w:rFonts w:asciiTheme="minorHAnsi" w:hAnsiTheme="minorHAnsi"/>
          <w:sz w:val="24"/>
          <w:szCs w:val="24"/>
          <w:u w:val="single"/>
        </w:rPr>
      </w:pPr>
      <w:r w:rsidRPr="00040AB6">
        <w:rPr>
          <w:rFonts w:asciiTheme="minorHAnsi" w:hAnsiTheme="minorHAnsi"/>
          <w:sz w:val="24"/>
          <w:szCs w:val="24"/>
        </w:rPr>
        <w:t>Budget compared to actual results by program</w:t>
      </w:r>
    </w:p>
    <w:p w14:paraId="70E542E8" w14:textId="77777777" w:rsidR="00AC3991" w:rsidRPr="00040AB6" w:rsidRDefault="00357665" w:rsidP="000A65B2">
      <w:pPr>
        <w:pStyle w:val="ListParagraph"/>
        <w:numPr>
          <w:ilvl w:val="0"/>
          <w:numId w:val="32"/>
        </w:numPr>
        <w:tabs>
          <w:tab w:val="left" w:pos="1980"/>
          <w:tab w:val="left" w:pos="2160"/>
        </w:tabs>
        <w:spacing w:after="0" w:line="240" w:lineRule="auto"/>
        <w:ind w:left="1980" w:hanging="540"/>
        <w:rPr>
          <w:rFonts w:asciiTheme="minorHAnsi" w:hAnsiTheme="minorHAnsi"/>
          <w:sz w:val="24"/>
          <w:szCs w:val="24"/>
          <w:u w:val="single"/>
        </w:rPr>
      </w:pPr>
      <w:r w:rsidRPr="00040AB6">
        <w:rPr>
          <w:rFonts w:asciiTheme="minorHAnsi" w:hAnsiTheme="minorHAnsi"/>
          <w:sz w:val="24"/>
          <w:szCs w:val="24"/>
        </w:rPr>
        <w:t>Cost-effectiveness calculations on a program by program and total portfolio basis</w:t>
      </w:r>
      <w:r w:rsidR="00AC3991" w:rsidRPr="00040AB6">
        <w:rPr>
          <w:rFonts w:asciiTheme="minorHAnsi" w:hAnsiTheme="minorHAnsi"/>
          <w:sz w:val="24"/>
          <w:szCs w:val="24"/>
        </w:rPr>
        <w:t xml:space="preserve">. Total </w:t>
      </w:r>
      <w:r w:rsidR="00A05B15">
        <w:rPr>
          <w:rFonts w:asciiTheme="minorHAnsi" w:hAnsiTheme="minorHAnsi"/>
          <w:sz w:val="24"/>
          <w:szCs w:val="24"/>
        </w:rPr>
        <w:t>p</w:t>
      </w:r>
      <w:r w:rsidR="00A05B15" w:rsidRPr="00040AB6">
        <w:rPr>
          <w:rFonts w:asciiTheme="minorHAnsi" w:hAnsiTheme="minorHAnsi"/>
          <w:sz w:val="24"/>
          <w:szCs w:val="24"/>
        </w:rPr>
        <w:t xml:space="preserve">ortfolio </w:t>
      </w:r>
      <w:r w:rsidR="00AC3991" w:rsidRPr="00040AB6">
        <w:rPr>
          <w:rFonts w:asciiTheme="minorHAnsi" w:hAnsiTheme="minorHAnsi"/>
          <w:sz w:val="24"/>
          <w:szCs w:val="24"/>
        </w:rPr>
        <w:t xml:space="preserve">means all residential and commercial programs. </w:t>
      </w:r>
    </w:p>
    <w:p w14:paraId="70E542E9" w14:textId="77777777" w:rsidR="00357665" w:rsidRPr="00040AB6" w:rsidRDefault="00AC3991" w:rsidP="000A65B2">
      <w:pPr>
        <w:pStyle w:val="ListParagraph"/>
        <w:numPr>
          <w:ilvl w:val="0"/>
          <w:numId w:val="32"/>
        </w:numPr>
        <w:tabs>
          <w:tab w:val="left" w:pos="1980"/>
        </w:tabs>
        <w:spacing w:after="0" w:line="240" w:lineRule="auto"/>
        <w:ind w:left="1980" w:hanging="540"/>
        <w:rPr>
          <w:rFonts w:asciiTheme="minorHAnsi" w:hAnsiTheme="minorHAnsi"/>
          <w:sz w:val="24"/>
          <w:szCs w:val="24"/>
          <w:u w:val="single"/>
        </w:rPr>
      </w:pPr>
      <w:r w:rsidRPr="00040AB6">
        <w:rPr>
          <w:rFonts w:asciiTheme="minorHAnsi" w:hAnsiTheme="minorHAnsi"/>
          <w:sz w:val="24"/>
          <w:szCs w:val="24"/>
        </w:rPr>
        <w:t>Cost-effectiveness calculations of the total portfolio plus NEEA expenses</w:t>
      </w:r>
    </w:p>
    <w:p w14:paraId="70E542EA" w14:textId="77777777" w:rsidR="00357665" w:rsidRPr="00040AB6" w:rsidRDefault="00357665" w:rsidP="000A65B2">
      <w:pPr>
        <w:pStyle w:val="ListParagraph"/>
        <w:numPr>
          <w:ilvl w:val="0"/>
          <w:numId w:val="32"/>
        </w:numPr>
        <w:tabs>
          <w:tab w:val="left" w:pos="1980"/>
        </w:tabs>
        <w:spacing w:after="0" w:line="240" w:lineRule="auto"/>
        <w:ind w:left="1980" w:hanging="540"/>
        <w:rPr>
          <w:rFonts w:asciiTheme="minorHAnsi" w:hAnsiTheme="minorHAnsi"/>
          <w:sz w:val="24"/>
          <w:szCs w:val="24"/>
          <w:u w:val="single"/>
        </w:rPr>
      </w:pPr>
      <w:r w:rsidRPr="00040AB6">
        <w:rPr>
          <w:rFonts w:asciiTheme="minorHAnsi" w:hAnsiTheme="minorHAnsi"/>
          <w:sz w:val="24"/>
          <w:szCs w:val="24"/>
        </w:rPr>
        <w:t xml:space="preserve">Measure level participation (units installed and savings) under each program </w:t>
      </w:r>
    </w:p>
    <w:p w14:paraId="70E542EB" w14:textId="77777777" w:rsidR="00357665" w:rsidRPr="00040AB6" w:rsidRDefault="00357665" w:rsidP="000A65B2">
      <w:pPr>
        <w:pStyle w:val="ListParagraph"/>
        <w:numPr>
          <w:ilvl w:val="0"/>
          <w:numId w:val="32"/>
        </w:numPr>
        <w:tabs>
          <w:tab w:val="left" w:pos="1980"/>
        </w:tabs>
        <w:spacing w:after="0" w:line="240" w:lineRule="auto"/>
        <w:ind w:left="1980" w:hanging="540"/>
        <w:rPr>
          <w:rFonts w:asciiTheme="minorHAnsi" w:hAnsiTheme="minorHAnsi"/>
          <w:sz w:val="24"/>
          <w:szCs w:val="24"/>
          <w:u w:val="single"/>
        </w:rPr>
      </w:pPr>
      <w:r w:rsidRPr="00040AB6">
        <w:rPr>
          <w:rFonts w:asciiTheme="minorHAnsi" w:hAnsiTheme="minorHAnsi"/>
          <w:sz w:val="24"/>
          <w:szCs w:val="24"/>
        </w:rPr>
        <w:t xml:space="preserve">Reporting on achievement of metrics </w:t>
      </w:r>
    </w:p>
    <w:p w14:paraId="70E542EC" w14:textId="77777777" w:rsidR="00C7463B" w:rsidRPr="00C7463B" w:rsidRDefault="005B4B2B" w:rsidP="00C7463B">
      <w:pPr>
        <w:pStyle w:val="ListParagraph"/>
        <w:numPr>
          <w:ilvl w:val="0"/>
          <w:numId w:val="32"/>
        </w:numPr>
        <w:tabs>
          <w:tab w:val="left" w:pos="1980"/>
        </w:tabs>
        <w:spacing w:after="0" w:line="240" w:lineRule="auto"/>
        <w:ind w:left="1980" w:hanging="540"/>
        <w:rPr>
          <w:rFonts w:asciiTheme="minorHAnsi" w:hAnsiTheme="minorHAnsi"/>
          <w:sz w:val="24"/>
          <w:szCs w:val="24"/>
          <w:u w:val="single"/>
        </w:rPr>
      </w:pPr>
      <w:r w:rsidRPr="00040AB6">
        <w:rPr>
          <w:rFonts w:asciiTheme="minorHAnsi" w:hAnsiTheme="minorHAnsi"/>
          <w:sz w:val="24"/>
          <w:szCs w:val="24"/>
        </w:rPr>
        <w:t>Energy payback estimator site traffic statistics</w:t>
      </w:r>
      <w:r w:rsidRPr="00040AB6">
        <w:rPr>
          <w:rFonts w:asciiTheme="minorHAnsi" w:hAnsiTheme="minorHAnsi" w:cstheme="minorHAnsi"/>
          <w:sz w:val="24"/>
          <w:szCs w:val="24"/>
        </w:rPr>
        <w:t xml:space="preserve"> both in aggregate and by geography, detailing the volume of visits to the URL</w:t>
      </w:r>
    </w:p>
    <w:p w14:paraId="70E542ED" w14:textId="77777777" w:rsidR="00C54531" w:rsidRPr="00C7463B" w:rsidRDefault="00C54531" w:rsidP="00C7463B">
      <w:pPr>
        <w:pStyle w:val="ListParagraph"/>
        <w:numPr>
          <w:ilvl w:val="0"/>
          <w:numId w:val="32"/>
        </w:numPr>
        <w:tabs>
          <w:tab w:val="left" w:pos="1980"/>
        </w:tabs>
        <w:spacing w:after="0" w:line="240" w:lineRule="auto"/>
        <w:ind w:left="1980" w:hanging="540"/>
        <w:rPr>
          <w:rFonts w:asciiTheme="minorHAnsi" w:hAnsiTheme="minorHAnsi"/>
          <w:sz w:val="24"/>
          <w:szCs w:val="24"/>
          <w:u w:val="single"/>
        </w:rPr>
      </w:pPr>
      <w:r w:rsidRPr="00C7463B">
        <w:rPr>
          <w:rFonts w:asciiTheme="minorHAnsi" w:hAnsiTheme="minorHAnsi"/>
          <w:sz w:val="24"/>
          <w:szCs w:val="24"/>
        </w:rPr>
        <w:t>A status report on NEEA, market transformation efforts, spending, and activity</w:t>
      </w:r>
    </w:p>
    <w:p w14:paraId="70E542EE" w14:textId="77777777" w:rsidR="00C54531" w:rsidRPr="00040AB6" w:rsidRDefault="00C54531" w:rsidP="000A65B2">
      <w:pPr>
        <w:pStyle w:val="ListParagraph"/>
        <w:numPr>
          <w:ilvl w:val="0"/>
          <w:numId w:val="32"/>
        </w:numPr>
        <w:tabs>
          <w:tab w:val="left" w:pos="1980"/>
        </w:tabs>
        <w:spacing w:after="0" w:line="240" w:lineRule="auto"/>
        <w:ind w:left="1980" w:hanging="540"/>
        <w:rPr>
          <w:rFonts w:asciiTheme="minorHAnsi" w:hAnsiTheme="minorHAnsi"/>
          <w:sz w:val="24"/>
          <w:szCs w:val="24"/>
          <w:u w:val="single"/>
        </w:rPr>
      </w:pPr>
      <w:r w:rsidRPr="00040AB6">
        <w:rPr>
          <w:rFonts w:asciiTheme="minorHAnsi" w:hAnsiTheme="minorHAnsi"/>
          <w:sz w:val="24"/>
          <w:szCs w:val="24"/>
        </w:rPr>
        <w:t>An overview of the Company’s year-end review of Energy Trust transactions.</w:t>
      </w:r>
    </w:p>
    <w:p w14:paraId="70E542EF" w14:textId="77777777" w:rsidR="00357665" w:rsidRPr="00040AB6" w:rsidRDefault="00357665" w:rsidP="000A65B2">
      <w:pPr>
        <w:pStyle w:val="ListParagraph"/>
        <w:numPr>
          <w:ilvl w:val="0"/>
          <w:numId w:val="32"/>
        </w:numPr>
        <w:tabs>
          <w:tab w:val="left" w:pos="1980"/>
        </w:tabs>
        <w:spacing w:after="0" w:line="240" w:lineRule="auto"/>
        <w:ind w:left="1980" w:hanging="540"/>
        <w:rPr>
          <w:rFonts w:asciiTheme="minorHAnsi" w:hAnsiTheme="minorHAnsi"/>
          <w:sz w:val="24"/>
          <w:szCs w:val="24"/>
          <w:u w:val="single"/>
        </w:rPr>
      </w:pPr>
      <w:r w:rsidRPr="00040AB6">
        <w:rPr>
          <w:rFonts w:asciiTheme="minorHAnsi" w:hAnsiTheme="minorHAnsi"/>
          <w:sz w:val="24"/>
          <w:szCs w:val="24"/>
        </w:rPr>
        <w:t>Evaluation results (if performed)</w:t>
      </w:r>
    </w:p>
    <w:p w14:paraId="70E542F0" w14:textId="77777777" w:rsidR="00357665" w:rsidRPr="00040AB6" w:rsidRDefault="00357665" w:rsidP="000A65B2">
      <w:pPr>
        <w:pStyle w:val="ListParagraph"/>
        <w:numPr>
          <w:ilvl w:val="0"/>
          <w:numId w:val="32"/>
        </w:numPr>
        <w:tabs>
          <w:tab w:val="left" w:pos="1980"/>
        </w:tabs>
        <w:spacing w:after="0" w:line="240" w:lineRule="auto"/>
        <w:ind w:left="1980" w:hanging="540"/>
        <w:rPr>
          <w:rFonts w:asciiTheme="minorHAnsi" w:hAnsiTheme="minorHAnsi"/>
          <w:sz w:val="24"/>
          <w:szCs w:val="24"/>
          <w:u w:val="single"/>
        </w:rPr>
      </w:pPr>
      <w:r w:rsidRPr="00040AB6">
        <w:rPr>
          <w:rFonts w:asciiTheme="minorHAnsi" w:hAnsiTheme="minorHAnsi"/>
          <w:sz w:val="24"/>
          <w:szCs w:val="24"/>
        </w:rPr>
        <w:t>WA-LIEE program results including:</w:t>
      </w:r>
    </w:p>
    <w:p w14:paraId="70E542F1" w14:textId="77777777" w:rsidR="00357665" w:rsidRPr="00040AB6" w:rsidRDefault="00637F8E" w:rsidP="000A65B2">
      <w:pPr>
        <w:pStyle w:val="ListParagraph"/>
        <w:numPr>
          <w:ilvl w:val="2"/>
          <w:numId w:val="5"/>
        </w:numPr>
        <w:spacing w:after="0" w:line="240" w:lineRule="auto"/>
        <w:ind w:leftChars="818" w:left="1800" w:firstLineChars="75" w:firstLine="180"/>
        <w:rPr>
          <w:rFonts w:asciiTheme="minorHAnsi" w:hAnsiTheme="minorHAnsi"/>
          <w:sz w:val="24"/>
          <w:szCs w:val="24"/>
          <w:u w:val="single"/>
        </w:rPr>
      </w:pPr>
      <w:r>
        <w:rPr>
          <w:rFonts w:asciiTheme="minorHAnsi" w:hAnsiTheme="minorHAnsi"/>
          <w:sz w:val="24"/>
          <w:szCs w:val="24"/>
        </w:rPr>
        <w:t xml:space="preserve"> </w:t>
      </w:r>
      <w:r w:rsidR="00357665" w:rsidRPr="00040AB6">
        <w:rPr>
          <w:rFonts w:asciiTheme="minorHAnsi" w:hAnsiTheme="minorHAnsi"/>
          <w:sz w:val="24"/>
          <w:szCs w:val="24"/>
        </w:rPr>
        <w:t>total program year costs</w:t>
      </w:r>
    </w:p>
    <w:p w14:paraId="70E542F2" w14:textId="77777777" w:rsidR="00357665" w:rsidRPr="00040AB6" w:rsidRDefault="00637F8E" w:rsidP="000A65B2">
      <w:pPr>
        <w:pStyle w:val="ListParagraph"/>
        <w:numPr>
          <w:ilvl w:val="2"/>
          <w:numId w:val="5"/>
        </w:numPr>
        <w:spacing w:after="0" w:line="240" w:lineRule="auto"/>
        <w:ind w:leftChars="818" w:left="1800" w:firstLineChars="75" w:firstLine="180"/>
        <w:rPr>
          <w:rFonts w:asciiTheme="minorHAnsi" w:hAnsiTheme="minorHAnsi"/>
          <w:sz w:val="24"/>
          <w:szCs w:val="24"/>
          <w:u w:val="single"/>
        </w:rPr>
      </w:pPr>
      <w:r>
        <w:rPr>
          <w:rFonts w:asciiTheme="minorHAnsi" w:hAnsiTheme="minorHAnsi"/>
          <w:sz w:val="24"/>
          <w:szCs w:val="24"/>
        </w:rPr>
        <w:t xml:space="preserve"> </w:t>
      </w:r>
      <w:r w:rsidR="00357665" w:rsidRPr="00040AB6">
        <w:rPr>
          <w:rFonts w:asciiTheme="minorHAnsi" w:hAnsiTheme="minorHAnsi"/>
          <w:sz w:val="24"/>
          <w:szCs w:val="24"/>
        </w:rPr>
        <w:t>homes served</w:t>
      </w:r>
    </w:p>
    <w:p w14:paraId="70E542F3" w14:textId="77777777" w:rsidR="00357665" w:rsidRPr="00040AB6" w:rsidRDefault="00637F8E" w:rsidP="000A65B2">
      <w:pPr>
        <w:pStyle w:val="ListParagraph"/>
        <w:numPr>
          <w:ilvl w:val="2"/>
          <w:numId w:val="5"/>
        </w:numPr>
        <w:spacing w:after="0" w:line="240" w:lineRule="auto"/>
        <w:ind w:leftChars="818" w:left="1800" w:firstLineChars="75" w:firstLine="180"/>
        <w:rPr>
          <w:rFonts w:asciiTheme="minorHAnsi" w:hAnsiTheme="minorHAnsi"/>
          <w:sz w:val="24"/>
          <w:szCs w:val="24"/>
          <w:u w:val="single"/>
        </w:rPr>
      </w:pPr>
      <w:r>
        <w:rPr>
          <w:rFonts w:asciiTheme="minorHAnsi" w:hAnsiTheme="minorHAnsi"/>
          <w:sz w:val="24"/>
          <w:szCs w:val="24"/>
        </w:rPr>
        <w:t xml:space="preserve"> </w:t>
      </w:r>
      <w:r w:rsidR="00357665" w:rsidRPr="00040AB6">
        <w:rPr>
          <w:rFonts w:asciiTheme="minorHAnsi" w:hAnsiTheme="minorHAnsi"/>
          <w:sz w:val="24"/>
          <w:szCs w:val="24"/>
        </w:rPr>
        <w:t xml:space="preserve">estimated total therm savings, and </w:t>
      </w:r>
    </w:p>
    <w:p w14:paraId="70E542F4" w14:textId="77777777" w:rsidR="00357665" w:rsidRPr="00040AB6" w:rsidRDefault="00637F8E" w:rsidP="000A65B2">
      <w:pPr>
        <w:pStyle w:val="ListParagraph"/>
        <w:numPr>
          <w:ilvl w:val="2"/>
          <w:numId w:val="5"/>
        </w:numPr>
        <w:ind w:leftChars="818" w:left="1800" w:firstLineChars="75" w:firstLine="180"/>
        <w:rPr>
          <w:rFonts w:asciiTheme="minorHAnsi" w:hAnsiTheme="minorHAnsi"/>
          <w:sz w:val="24"/>
          <w:szCs w:val="24"/>
          <w:u w:val="single"/>
        </w:rPr>
      </w:pPr>
      <w:r>
        <w:rPr>
          <w:rFonts w:asciiTheme="minorHAnsi" w:hAnsiTheme="minorHAnsi"/>
          <w:sz w:val="24"/>
          <w:szCs w:val="24"/>
        </w:rPr>
        <w:t xml:space="preserve"> </w:t>
      </w:r>
      <w:r w:rsidR="00357665" w:rsidRPr="00040AB6">
        <w:rPr>
          <w:rFonts w:asciiTheme="minorHAnsi" w:hAnsiTheme="minorHAnsi"/>
          <w:sz w:val="24"/>
          <w:szCs w:val="24"/>
        </w:rPr>
        <w:t xml:space="preserve">average therms saved per home </w:t>
      </w:r>
    </w:p>
    <w:p w14:paraId="70E542F5" w14:textId="77777777" w:rsidR="00357665" w:rsidRPr="00040AB6" w:rsidRDefault="00357665" w:rsidP="0020795C">
      <w:pPr>
        <w:pStyle w:val="ListParagraph"/>
        <w:ind w:left="1800"/>
        <w:rPr>
          <w:rFonts w:asciiTheme="minorHAnsi" w:hAnsiTheme="minorHAnsi"/>
          <w:sz w:val="24"/>
          <w:szCs w:val="24"/>
          <w:u w:val="single"/>
        </w:rPr>
      </w:pPr>
    </w:p>
    <w:p w14:paraId="70E542F6" w14:textId="77777777" w:rsidR="00357665" w:rsidRPr="008C4F4E" w:rsidRDefault="00E92871" w:rsidP="00512699">
      <w:pPr>
        <w:pStyle w:val="ListParagraph"/>
        <w:numPr>
          <w:ilvl w:val="0"/>
          <w:numId w:val="9"/>
        </w:numPr>
        <w:spacing w:after="0" w:line="240" w:lineRule="auto"/>
        <w:ind w:left="720"/>
        <w:rPr>
          <w:rFonts w:asciiTheme="minorHAnsi" w:hAnsiTheme="minorHAnsi"/>
          <w:sz w:val="32"/>
          <w:szCs w:val="32"/>
        </w:rPr>
      </w:pPr>
      <w:r w:rsidRPr="008C4F4E">
        <w:rPr>
          <w:rFonts w:asciiTheme="minorHAnsi" w:hAnsiTheme="minorHAnsi"/>
          <w:sz w:val="32"/>
          <w:szCs w:val="32"/>
        </w:rPr>
        <w:t>Annual Program Budget</w:t>
      </w:r>
    </w:p>
    <w:p w14:paraId="70E542F7" w14:textId="77777777" w:rsidR="000B26EB" w:rsidRDefault="000B26EB" w:rsidP="00BF2975">
      <w:pPr>
        <w:spacing w:after="0" w:line="240" w:lineRule="auto"/>
        <w:ind w:left="720"/>
        <w:rPr>
          <w:rFonts w:asciiTheme="minorHAnsi" w:hAnsiTheme="minorHAnsi"/>
          <w:sz w:val="24"/>
          <w:szCs w:val="24"/>
          <w:u w:val="single"/>
        </w:rPr>
      </w:pPr>
    </w:p>
    <w:p w14:paraId="70E542F8" w14:textId="77777777" w:rsidR="00676821" w:rsidRPr="00040AB6" w:rsidRDefault="00676821" w:rsidP="00BF2975">
      <w:pPr>
        <w:spacing w:after="0" w:line="240" w:lineRule="auto"/>
        <w:ind w:left="720"/>
        <w:rPr>
          <w:rFonts w:asciiTheme="minorHAnsi" w:hAnsiTheme="minorHAnsi"/>
          <w:sz w:val="24"/>
          <w:szCs w:val="24"/>
          <w:u w:val="single"/>
        </w:rPr>
      </w:pPr>
      <w:r w:rsidRPr="00040AB6">
        <w:rPr>
          <w:rFonts w:asciiTheme="minorHAnsi" w:hAnsiTheme="minorHAnsi"/>
          <w:sz w:val="24"/>
          <w:szCs w:val="24"/>
          <w:u w:val="single"/>
        </w:rPr>
        <w:t>Budgets</w:t>
      </w:r>
    </w:p>
    <w:p w14:paraId="70E542F9" w14:textId="77777777" w:rsidR="00357665" w:rsidRPr="00040AB6" w:rsidRDefault="00357665" w:rsidP="00BF2975">
      <w:pPr>
        <w:spacing w:after="0" w:line="240" w:lineRule="auto"/>
        <w:ind w:left="720"/>
        <w:rPr>
          <w:rFonts w:asciiTheme="minorHAnsi" w:hAnsiTheme="minorHAnsi"/>
          <w:sz w:val="24"/>
          <w:szCs w:val="24"/>
        </w:rPr>
      </w:pPr>
      <w:r w:rsidRPr="00040AB6">
        <w:rPr>
          <w:rFonts w:asciiTheme="minorHAnsi" w:hAnsiTheme="minorHAnsi"/>
          <w:sz w:val="24"/>
          <w:szCs w:val="24"/>
        </w:rPr>
        <w:t xml:space="preserve">Forecasted program costs </w:t>
      </w:r>
      <w:r w:rsidR="004D1E3F" w:rsidRPr="00040AB6">
        <w:rPr>
          <w:rFonts w:asciiTheme="minorHAnsi" w:hAnsiTheme="minorHAnsi"/>
          <w:sz w:val="24"/>
          <w:szCs w:val="24"/>
        </w:rPr>
        <w:t xml:space="preserve">for the next calendar year </w:t>
      </w:r>
      <w:r w:rsidRPr="00040AB6">
        <w:rPr>
          <w:rFonts w:asciiTheme="minorHAnsi" w:hAnsiTheme="minorHAnsi"/>
          <w:sz w:val="24"/>
          <w:szCs w:val="24"/>
        </w:rPr>
        <w:t xml:space="preserve">will be reviewed </w:t>
      </w:r>
      <w:r w:rsidR="004D1E3F" w:rsidRPr="00040AB6">
        <w:rPr>
          <w:rFonts w:asciiTheme="minorHAnsi" w:hAnsiTheme="minorHAnsi"/>
          <w:sz w:val="24"/>
          <w:szCs w:val="24"/>
        </w:rPr>
        <w:t>annually</w:t>
      </w:r>
      <w:r w:rsidRPr="00040AB6">
        <w:rPr>
          <w:rFonts w:asciiTheme="minorHAnsi" w:hAnsiTheme="minorHAnsi"/>
          <w:sz w:val="24"/>
          <w:szCs w:val="24"/>
        </w:rPr>
        <w:t xml:space="preserve"> in November when metrics are </w:t>
      </w:r>
      <w:r w:rsidR="004D1E3F" w:rsidRPr="00040AB6">
        <w:rPr>
          <w:rFonts w:asciiTheme="minorHAnsi" w:hAnsiTheme="minorHAnsi"/>
          <w:sz w:val="24"/>
          <w:szCs w:val="24"/>
        </w:rPr>
        <w:t xml:space="preserve">also </w:t>
      </w:r>
      <w:r w:rsidRPr="00040AB6">
        <w:rPr>
          <w:rFonts w:asciiTheme="minorHAnsi" w:hAnsiTheme="minorHAnsi"/>
          <w:sz w:val="24"/>
          <w:szCs w:val="24"/>
        </w:rPr>
        <w:t xml:space="preserve">proposed for the following program year.  </w:t>
      </w:r>
    </w:p>
    <w:p w14:paraId="70E542FA" w14:textId="77777777" w:rsidR="000B26EB" w:rsidRDefault="000B26EB" w:rsidP="000B26EB">
      <w:pPr>
        <w:spacing w:after="0" w:line="240" w:lineRule="auto"/>
        <w:ind w:firstLine="720"/>
        <w:rPr>
          <w:rFonts w:asciiTheme="minorHAnsi" w:hAnsiTheme="minorHAnsi"/>
          <w:sz w:val="24"/>
          <w:szCs w:val="24"/>
          <w:u w:val="single"/>
        </w:rPr>
      </w:pPr>
    </w:p>
    <w:p w14:paraId="70E542FB" w14:textId="77777777" w:rsidR="00676821" w:rsidRPr="000B26EB" w:rsidRDefault="00676821" w:rsidP="000B26EB">
      <w:pPr>
        <w:spacing w:after="0" w:line="240" w:lineRule="auto"/>
        <w:ind w:firstLine="720"/>
        <w:rPr>
          <w:rFonts w:asciiTheme="minorHAnsi" w:hAnsiTheme="minorHAnsi"/>
          <w:sz w:val="24"/>
          <w:szCs w:val="24"/>
        </w:rPr>
      </w:pPr>
      <w:r w:rsidRPr="00040AB6">
        <w:rPr>
          <w:rFonts w:asciiTheme="minorHAnsi" w:hAnsiTheme="minorHAnsi"/>
          <w:sz w:val="24"/>
          <w:szCs w:val="24"/>
          <w:u w:val="single"/>
        </w:rPr>
        <w:t>Actual Costs</w:t>
      </w:r>
    </w:p>
    <w:p w14:paraId="70E542FC" w14:textId="77777777" w:rsidR="00357665" w:rsidRPr="00040AB6" w:rsidRDefault="00357665" w:rsidP="00BF2975">
      <w:pPr>
        <w:spacing w:after="0" w:line="240" w:lineRule="auto"/>
        <w:ind w:left="720"/>
        <w:rPr>
          <w:rFonts w:asciiTheme="minorHAnsi" w:hAnsiTheme="minorHAnsi"/>
          <w:sz w:val="24"/>
          <w:szCs w:val="24"/>
        </w:rPr>
      </w:pPr>
      <w:r w:rsidRPr="00040AB6">
        <w:rPr>
          <w:rFonts w:asciiTheme="minorHAnsi" w:hAnsiTheme="minorHAnsi"/>
          <w:sz w:val="24"/>
          <w:szCs w:val="24"/>
        </w:rPr>
        <w:t xml:space="preserve">Each year, the Company will file its annual report by April 25 which will detail costs and acquisitions for the previous program year.  This filing will trigger the EEAG’s review of general energy efficiency and WA-LIEE program costs.  </w:t>
      </w:r>
    </w:p>
    <w:p w14:paraId="70E542FD" w14:textId="77777777" w:rsidR="004E59E6" w:rsidRPr="00040AB6" w:rsidRDefault="004E59E6" w:rsidP="00AC364B">
      <w:pPr>
        <w:spacing w:after="0" w:line="240" w:lineRule="auto"/>
        <w:rPr>
          <w:rFonts w:asciiTheme="minorHAnsi" w:hAnsiTheme="minorHAnsi"/>
          <w:sz w:val="24"/>
          <w:szCs w:val="24"/>
        </w:rPr>
      </w:pPr>
    </w:p>
    <w:p w14:paraId="70E542FE" w14:textId="77777777" w:rsidR="00AC364B" w:rsidRPr="00AC364B" w:rsidRDefault="00357665" w:rsidP="00512699">
      <w:pPr>
        <w:pStyle w:val="ListParagraph"/>
        <w:numPr>
          <w:ilvl w:val="0"/>
          <w:numId w:val="9"/>
        </w:numPr>
        <w:tabs>
          <w:tab w:val="left" w:pos="720"/>
        </w:tabs>
        <w:spacing w:after="0" w:line="240" w:lineRule="auto"/>
        <w:ind w:left="720"/>
        <w:rPr>
          <w:rFonts w:asciiTheme="minorHAnsi" w:hAnsiTheme="minorHAnsi"/>
          <w:sz w:val="32"/>
          <w:szCs w:val="32"/>
        </w:rPr>
      </w:pPr>
      <w:r w:rsidRPr="008C4F4E">
        <w:rPr>
          <w:rFonts w:asciiTheme="minorHAnsi" w:hAnsiTheme="minorHAnsi"/>
          <w:sz w:val="32"/>
          <w:szCs w:val="32"/>
        </w:rPr>
        <w:t>Cost Recovery</w:t>
      </w:r>
    </w:p>
    <w:p w14:paraId="70E542FF" w14:textId="77777777" w:rsidR="00E92871" w:rsidRPr="00040AB6" w:rsidRDefault="00357665" w:rsidP="00E172E4">
      <w:pPr>
        <w:pStyle w:val="ListParagraph"/>
        <w:spacing w:after="0" w:line="240" w:lineRule="auto"/>
        <w:rPr>
          <w:rFonts w:asciiTheme="minorHAnsi" w:hAnsiTheme="minorHAnsi"/>
          <w:sz w:val="24"/>
          <w:szCs w:val="24"/>
        </w:rPr>
      </w:pPr>
      <w:r w:rsidRPr="00040AB6">
        <w:rPr>
          <w:rFonts w:asciiTheme="minorHAnsi" w:hAnsiTheme="minorHAnsi"/>
          <w:sz w:val="24"/>
          <w:szCs w:val="24"/>
        </w:rPr>
        <w:t xml:space="preserve">Energy Efficiency and WA-LIEE program costs </w:t>
      </w:r>
      <w:r w:rsidR="006C5306" w:rsidRPr="00040AB6">
        <w:rPr>
          <w:rFonts w:asciiTheme="minorHAnsi" w:hAnsiTheme="minorHAnsi"/>
          <w:sz w:val="24"/>
          <w:szCs w:val="24"/>
        </w:rPr>
        <w:t>are</w:t>
      </w:r>
      <w:r w:rsidRPr="00040AB6">
        <w:rPr>
          <w:rFonts w:asciiTheme="minorHAnsi" w:hAnsiTheme="minorHAnsi"/>
          <w:sz w:val="24"/>
          <w:szCs w:val="24"/>
        </w:rPr>
        <w:t xml:space="preserve"> deferred and later amortized for recovery</w:t>
      </w:r>
      <w:r w:rsidR="00F25BC2" w:rsidRPr="00040AB6">
        <w:rPr>
          <w:rFonts w:asciiTheme="minorHAnsi" w:hAnsiTheme="minorHAnsi"/>
          <w:sz w:val="24"/>
          <w:szCs w:val="24"/>
        </w:rPr>
        <w:t xml:space="preserve"> from applicable customers on an equal cents per margin basis as established annually in the</w:t>
      </w:r>
      <w:r w:rsidR="004D1E3F" w:rsidRPr="00040AB6">
        <w:rPr>
          <w:rFonts w:asciiTheme="minorHAnsi" w:hAnsiTheme="minorHAnsi"/>
          <w:sz w:val="24"/>
          <w:szCs w:val="24"/>
        </w:rPr>
        <w:t xml:space="preserve"> temporary rate</w:t>
      </w:r>
      <w:r w:rsidR="00F25BC2" w:rsidRPr="00040AB6">
        <w:rPr>
          <w:rFonts w:asciiTheme="minorHAnsi" w:hAnsiTheme="minorHAnsi"/>
          <w:sz w:val="24"/>
          <w:szCs w:val="24"/>
        </w:rPr>
        <w:t xml:space="preserve"> adjustments, Schedules 215 and 230, respectively.  </w:t>
      </w:r>
      <w:r w:rsidR="00C21507">
        <w:rPr>
          <w:rFonts w:asciiTheme="minorHAnsi" w:hAnsiTheme="minorHAnsi"/>
          <w:sz w:val="24"/>
          <w:szCs w:val="24"/>
        </w:rPr>
        <w:t>The</w:t>
      </w:r>
      <w:r w:rsidR="00F25BC2" w:rsidRPr="00040AB6">
        <w:rPr>
          <w:rFonts w:asciiTheme="minorHAnsi" w:hAnsiTheme="minorHAnsi"/>
          <w:sz w:val="24"/>
          <w:szCs w:val="24"/>
        </w:rPr>
        <w:t xml:space="preserve"> Company will </w:t>
      </w:r>
      <w:r w:rsidR="00084FE6" w:rsidRPr="00040AB6">
        <w:rPr>
          <w:rFonts w:asciiTheme="minorHAnsi" w:hAnsiTheme="minorHAnsi"/>
          <w:sz w:val="24"/>
          <w:szCs w:val="24"/>
        </w:rPr>
        <w:t>annually submit</w:t>
      </w:r>
      <w:r w:rsidR="00E92871" w:rsidRPr="00040AB6">
        <w:rPr>
          <w:rFonts w:asciiTheme="minorHAnsi" w:hAnsiTheme="minorHAnsi"/>
          <w:sz w:val="24"/>
          <w:szCs w:val="24"/>
        </w:rPr>
        <w:t xml:space="preserve"> a stand-alone filing</w:t>
      </w:r>
      <w:r w:rsidR="00084FE6" w:rsidRPr="00040AB6">
        <w:rPr>
          <w:rFonts w:asciiTheme="minorHAnsi" w:hAnsiTheme="minorHAnsi"/>
          <w:sz w:val="24"/>
          <w:szCs w:val="24"/>
        </w:rPr>
        <w:t xml:space="preserve"> concurrent with its PGA filing, for cost recovery of </w:t>
      </w:r>
      <w:r w:rsidR="001078A0" w:rsidRPr="00040AB6">
        <w:rPr>
          <w:rFonts w:asciiTheme="minorHAnsi" w:hAnsiTheme="minorHAnsi"/>
          <w:sz w:val="24"/>
          <w:szCs w:val="24"/>
        </w:rPr>
        <w:t xml:space="preserve">its </w:t>
      </w:r>
      <w:r w:rsidR="00084FE6" w:rsidRPr="00040AB6">
        <w:rPr>
          <w:rFonts w:asciiTheme="minorHAnsi" w:hAnsiTheme="minorHAnsi"/>
          <w:sz w:val="24"/>
          <w:szCs w:val="24"/>
        </w:rPr>
        <w:t>energy efficiency program expenses for the prior calendar year</w:t>
      </w:r>
      <w:r w:rsidRPr="00040AB6">
        <w:rPr>
          <w:rFonts w:asciiTheme="minorHAnsi" w:hAnsiTheme="minorHAnsi"/>
          <w:sz w:val="24"/>
          <w:szCs w:val="24"/>
        </w:rPr>
        <w:t xml:space="preserve">.  </w:t>
      </w:r>
      <w:r w:rsidR="00084FE6" w:rsidRPr="00040AB6">
        <w:rPr>
          <w:rFonts w:asciiTheme="minorHAnsi" w:hAnsiTheme="minorHAnsi"/>
          <w:sz w:val="24"/>
          <w:szCs w:val="24"/>
        </w:rPr>
        <w:t>That annual filing will</w:t>
      </w:r>
      <w:r w:rsidR="00E92871" w:rsidRPr="00040AB6">
        <w:rPr>
          <w:rFonts w:asciiTheme="minorHAnsi" w:hAnsiTheme="minorHAnsi"/>
          <w:sz w:val="24"/>
          <w:szCs w:val="24"/>
        </w:rPr>
        <w:t xml:space="preserve"> include the following information:</w:t>
      </w:r>
    </w:p>
    <w:p w14:paraId="70E54300" w14:textId="77777777" w:rsidR="001078A0" w:rsidRPr="00040AB6" w:rsidRDefault="001078A0" w:rsidP="00E172E4">
      <w:pPr>
        <w:pStyle w:val="ListParagraph"/>
        <w:spacing w:after="0" w:line="240" w:lineRule="auto"/>
        <w:rPr>
          <w:rFonts w:asciiTheme="minorHAnsi" w:hAnsiTheme="minorHAnsi"/>
          <w:sz w:val="24"/>
          <w:szCs w:val="24"/>
        </w:rPr>
      </w:pPr>
    </w:p>
    <w:p w14:paraId="70E54301" w14:textId="77777777" w:rsidR="00FA06CC" w:rsidRPr="00040AB6" w:rsidRDefault="00FA06CC" w:rsidP="00F25BC2">
      <w:pPr>
        <w:pStyle w:val="ListParagraph"/>
        <w:numPr>
          <w:ilvl w:val="0"/>
          <w:numId w:val="15"/>
        </w:numPr>
        <w:spacing w:after="0" w:line="240" w:lineRule="auto"/>
        <w:ind w:left="1440"/>
        <w:contextualSpacing w:val="0"/>
        <w:rPr>
          <w:rFonts w:asciiTheme="minorHAnsi" w:hAnsiTheme="minorHAnsi"/>
          <w:sz w:val="24"/>
          <w:szCs w:val="24"/>
        </w:rPr>
      </w:pPr>
      <w:r w:rsidRPr="00040AB6">
        <w:rPr>
          <w:rFonts w:asciiTheme="minorHAnsi" w:hAnsiTheme="minorHAnsi"/>
          <w:sz w:val="24"/>
          <w:szCs w:val="24"/>
        </w:rPr>
        <w:t xml:space="preserve">Background on the Company’s </w:t>
      </w:r>
      <w:r w:rsidR="00E35E77" w:rsidRPr="00040AB6">
        <w:rPr>
          <w:rFonts w:asciiTheme="minorHAnsi" w:hAnsiTheme="minorHAnsi"/>
          <w:sz w:val="24"/>
          <w:szCs w:val="24"/>
        </w:rPr>
        <w:t xml:space="preserve">energy efficiency </w:t>
      </w:r>
      <w:r w:rsidRPr="00040AB6">
        <w:rPr>
          <w:rFonts w:asciiTheme="minorHAnsi" w:hAnsiTheme="minorHAnsi"/>
          <w:sz w:val="24"/>
          <w:szCs w:val="24"/>
        </w:rPr>
        <w:t xml:space="preserve">programs and </w:t>
      </w:r>
      <w:r w:rsidR="00E35E77" w:rsidRPr="00040AB6">
        <w:rPr>
          <w:rFonts w:asciiTheme="minorHAnsi" w:hAnsiTheme="minorHAnsi"/>
          <w:sz w:val="24"/>
          <w:szCs w:val="24"/>
        </w:rPr>
        <w:t>cost recovery</w:t>
      </w:r>
    </w:p>
    <w:p w14:paraId="70E54302" w14:textId="77777777" w:rsidR="00DE4408" w:rsidRPr="00040AB6" w:rsidRDefault="00DE4408" w:rsidP="00F25BC2">
      <w:pPr>
        <w:pStyle w:val="ListParagraph"/>
        <w:numPr>
          <w:ilvl w:val="0"/>
          <w:numId w:val="15"/>
        </w:numPr>
        <w:spacing w:after="0" w:line="240" w:lineRule="auto"/>
        <w:ind w:left="1440"/>
        <w:contextualSpacing w:val="0"/>
        <w:rPr>
          <w:rFonts w:asciiTheme="minorHAnsi" w:hAnsiTheme="minorHAnsi"/>
          <w:sz w:val="24"/>
          <w:szCs w:val="24"/>
        </w:rPr>
      </w:pPr>
      <w:r w:rsidRPr="00040AB6">
        <w:rPr>
          <w:rFonts w:asciiTheme="minorHAnsi" w:hAnsiTheme="minorHAnsi"/>
          <w:sz w:val="24"/>
          <w:szCs w:val="24"/>
        </w:rPr>
        <w:t>A copy of the prior program year</w:t>
      </w:r>
      <w:r w:rsidR="00E35E77" w:rsidRPr="00040AB6">
        <w:rPr>
          <w:rFonts w:asciiTheme="minorHAnsi" w:hAnsiTheme="minorHAnsi"/>
          <w:sz w:val="24"/>
          <w:szCs w:val="24"/>
        </w:rPr>
        <w:t>’s</w:t>
      </w:r>
      <w:r w:rsidRPr="00040AB6">
        <w:rPr>
          <w:rFonts w:asciiTheme="minorHAnsi" w:hAnsiTheme="minorHAnsi"/>
          <w:sz w:val="24"/>
          <w:szCs w:val="24"/>
        </w:rPr>
        <w:t xml:space="preserve"> </w:t>
      </w:r>
      <w:r w:rsidR="00035E11">
        <w:rPr>
          <w:rFonts w:asciiTheme="minorHAnsi" w:hAnsiTheme="minorHAnsi"/>
          <w:sz w:val="24"/>
          <w:szCs w:val="24"/>
        </w:rPr>
        <w:t>a</w:t>
      </w:r>
      <w:r w:rsidRPr="00040AB6">
        <w:rPr>
          <w:rFonts w:asciiTheme="minorHAnsi" w:hAnsiTheme="minorHAnsi"/>
          <w:sz w:val="24"/>
          <w:szCs w:val="24"/>
        </w:rPr>
        <w:t xml:space="preserve">nnual </w:t>
      </w:r>
      <w:r w:rsidR="00035E11">
        <w:rPr>
          <w:rFonts w:asciiTheme="minorHAnsi" w:hAnsiTheme="minorHAnsi"/>
          <w:sz w:val="24"/>
          <w:szCs w:val="24"/>
        </w:rPr>
        <w:t>r</w:t>
      </w:r>
      <w:r w:rsidR="00035E11" w:rsidRPr="00040AB6">
        <w:rPr>
          <w:rFonts w:asciiTheme="minorHAnsi" w:hAnsiTheme="minorHAnsi"/>
          <w:sz w:val="24"/>
          <w:szCs w:val="24"/>
        </w:rPr>
        <w:t xml:space="preserve">eport </w:t>
      </w:r>
      <w:r w:rsidRPr="00040AB6">
        <w:rPr>
          <w:rFonts w:asciiTheme="minorHAnsi" w:hAnsiTheme="minorHAnsi"/>
          <w:sz w:val="24"/>
          <w:szCs w:val="24"/>
        </w:rPr>
        <w:t xml:space="preserve">which will include </w:t>
      </w:r>
      <w:r w:rsidR="00E35E77" w:rsidRPr="00040AB6">
        <w:rPr>
          <w:rFonts w:asciiTheme="minorHAnsi" w:hAnsiTheme="minorHAnsi"/>
          <w:sz w:val="24"/>
          <w:szCs w:val="24"/>
        </w:rPr>
        <w:t>detail</w:t>
      </w:r>
      <w:r w:rsidRPr="00040AB6">
        <w:rPr>
          <w:rFonts w:asciiTheme="minorHAnsi" w:hAnsiTheme="minorHAnsi"/>
          <w:sz w:val="24"/>
          <w:szCs w:val="24"/>
        </w:rPr>
        <w:t xml:space="preserve"> on the achievement of performance metrics</w:t>
      </w:r>
      <w:r w:rsidR="00C21507">
        <w:rPr>
          <w:rFonts w:asciiTheme="minorHAnsi" w:hAnsiTheme="minorHAnsi"/>
          <w:sz w:val="24"/>
          <w:szCs w:val="24"/>
        </w:rPr>
        <w:t>,</w:t>
      </w:r>
      <w:r w:rsidR="00E35E77" w:rsidRPr="00040AB6">
        <w:rPr>
          <w:rFonts w:asciiTheme="minorHAnsi" w:hAnsiTheme="minorHAnsi"/>
          <w:sz w:val="24"/>
          <w:szCs w:val="24"/>
        </w:rPr>
        <w:t xml:space="preserve"> </w:t>
      </w:r>
      <w:r w:rsidR="000946C0" w:rsidRPr="00040AB6">
        <w:rPr>
          <w:rFonts w:asciiTheme="minorHAnsi" w:hAnsiTheme="minorHAnsi"/>
          <w:sz w:val="24"/>
          <w:szCs w:val="24"/>
        </w:rPr>
        <w:t xml:space="preserve">the </w:t>
      </w:r>
      <w:r w:rsidR="00E35E77" w:rsidRPr="00040AB6">
        <w:rPr>
          <w:rFonts w:asciiTheme="minorHAnsi" w:hAnsiTheme="minorHAnsi"/>
          <w:sz w:val="24"/>
          <w:szCs w:val="24"/>
        </w:rPr>
        <w:t>forecasted budget</w:t>
      </w:r>
      <w:r w:rsidR="000946C0" w:rsidRPr="00040AB6">
        <w:rPr>
          <w:rFonts w:asciiTheme="minorHAnsi" w:hAnsiTheme="minorHAnsi"/>
          <w:sz w:val="24"/>
          <w:szCs w:val="24"/>
        </w:rPr>
        <w:t xml:space="preserve"> for that year</w:t>
      </w:r>
      <w:r w:rsidR="00E35E77" w:rsidRPr="00040AB6">
        <w:rPr>
          <w:rFonts w:asciiTheme="minorHAnsi" w:hAnsiTheme="minorHAnsi"/>
          <w:sz w:val="24"/>
          <w:szCs w:val="24"/>
        </w:rPr>
        <w:t xml:space="preserve"> and actual expenditures</w:t>
      </w:r>
    </w:p>
    <w:p w14:paraId="70E54303" w14:textId="77777777" w:rsidR="00BE7265" w:rsidRPr="00040AB6" w:rsidRDefault="00BE7265" w:rsidP="00F25BC2">
      <w:pPr>
        <w:pStyle w:val="ListParagraph"/>
        <w:numPr>
          <w:ilvl w:val="0"/>
          <w:numId w:val="15"/>
        </w:numPr>
        <w:spacing w:after="0" w:line="240" w:lineRule="auto"/>
        <w:ind w:left="1440"/>
        <w:contextualSpacing w:val="0"/>
        <w:rPr>
          <w:rFonts w:asciiTheme="minorHAnsi" w:hAnsiTheme="minorHAnsi"/>
          <w:sz w:val="24"/>
          <w:szCs w:val="24"/>
        </w:rPr>
      </w:pPr>
      <w:r w:rsidRPr="00040AB6">
        <w:rPr>
          <w:rFonts w:asciiTheme="minorHAnsi" w:hAnsiTheme="minorHAnsi"/>
          <w:sz w:val="24"/>
          <w:szCs w:val="24"/>
        </w:rPr>
        <w:t>The total dollar amount the Company is seeking to recover</w:t>
      </w:r>
    </w:p>
    <w:p w14:paraId="70E54304" w14:textId="77777777" w:rsidR="00BE7265" w:rsidRPr="00040AB6" w:rsidRDefault="00BE7265" w:rsidP="00BE7265">
      <w:pPr>
        <w:pStyle w:val="NormalWeb"/>
        <w:numPr>
          <w:ilvl w:val="0"/>
          <w:numId w:val="15"/>
        </w:numPr>
        <w:ind w:left="1440"/>
        <w:rPr>
          <w:rFonts w:asciiTheme="minorHAnsi" w:hAnsiTheme="minorHAnsi" w:cs="Calibri"/>
        </w:rPr>
      </w:pPr>
      <w:r w:rsidRPr="00040AB6">
        <w:rPr>
          <w:rFonts w:asciiTheme="minorHAnsi" w:hAnsiTheme="minorHAnsi" w:cs="Calibri"/>
        </w:rPr>
        <w:t xml:space="preserve">The total incremental dollar impact that the proposed rate change will have </w:t>
      </w:r>
      <w:r w:rsidR="00814D49" w:rsidRPr="00040AB6">
        <w:rPr>
          <w:rFonts w:asciiTheme="minorHAnsi" w:hAnsiTheme="minorHAnsi" w:cs="Calibri"/>
        </w:rPr>
        <w:t>on average</w:t>
      </w:r>
      <w:r w:rsidRPr="00040AB6">
        <w:rPr>
          <w:rFonts w:asciiTheme="minorHAnsi" w:hAnsiTheme="minorHAnsi" w:cs="Calibri"/>
        </w:rPr>
        <w:t xml:space="preserve"> residential and commercial customer monthly bills</w:t>
      </w:r>
      <w:r w:rsidRPr="00040AB6">
        <w:rPr>
          <w:rFonts w:asciiTheme="minorHAnsi" w:hAnsiTheme="minorHAnsi"/>
        </w:rPr>
        <w:t xml:space="preserve"> </w:t>
      </w:r>
    </w:p>
    <w:p w14:paraId="70E54305" w14:textId="77777777" w:rsidR="00FA06CC" w:rsidRPr="00040AB6" w:rsidRDefault="00BE7265" w:rsidP="00F25BC2">
      <w:pPr>
        <w:pStyle w:val="ListParagraph"/>
        <w:numPr>
          <w:ilvl w:val="0"/>
          <w:numId w:val="15"/>
        </w:numPr>
        <w:spacing w:after="0" w:line="240" w:lineRule="auto"/>
        <w:ind w:left="1440"/>
        <w:contextualSpacing w:val="0"/>
        <w:rPr>
          <w:rFonts w:asciiTheme="minorHAnsi" w:hAnsiTheme="minorHAnsi"/>
          <w:sz w:val="24"/>
          <w:szCs w:val="24"/>
        </w:rPr>
      </w:pPr>
      <w:r w:rsidRPr="00040AB6">
        <w:rPr>
          <w:rFonts w:asciiTheme="minorHAnsi" w:hAnsiTheme="minorHAnsi"/>
          <w:sz w:val="24"/>
          <w:szCs w:val="24"/>
        </w:rPr>
        <w:t>Total a</w:t>
      </w:r>
      <w:r w:rsidR="00DE4408" w:rsidRPr="00040AB6">
        <w:rPr>
          <w:rFonts w:asciiTheme="minorHAnsi" w:hAnsiTheme="minorHAnsi"/>
          <w:sz w:val="24"/>
          <w:szCs w:val="24"/>
        </w:rPr>
        <w:t>verage m</w:t>
      </w:r>
      <w:r w:rsidR="00FA06CC" w:rsidRPr="00040AB6">
        <w:rPr>
          <w:rFonts w:asciiTheme="minorHAnsi" w:hAnsiTheme="minorHAnsi"/>
          <w:sz w:val="24"/>
          <w:szCs w:val="24"/>
        </w:rPr>
        <w:t>onthly bill of proposed rate for</w:t>
      </w:r>
      <w:r w:rsidR="00DE4408" w:rsidRPr="00040AB6">
        <w:rPr>
          <w:rFonts w:asciiTheme="minorHAnsi" w:hAnsiTheme="minorHAnsi"/>
          <w:sz w:val="24"/>
          <w:szCs w:val="24"/>
        </w:rPr>
        <w:t xml:space="preserve"> applicable</w:t>
      </w:r>
      <w:r w:rsidR="00FA06CC" w:rsidRPr="00040AB6">
        <w:rPr>
          <w:rFonts w:asciiTheme="minorHAnsi" w:hAnsiTheme="minorHAnsi"/>
          <w:sz w:val="24"/>
          <w:szCs w:val="24"/>
        </w:rPr>
        <w:t xml:space="preserve"> </w:t>
      </w:r>
      <w:r w:rsidR="00DE4408" w:rsidRPr="00040AB6">
        <w:rPr>
          <w:rFonts w:asciiTheme="minorHAnsi" w:hAnsiTheme="minorHAnsi"/>
          <w:sz w:val="24"/>
          <w:szCs w:val="24"/>
        </w:rPr>
        <w:t>customers</w:t>
      </w:r>
    </w:p>
    <w:p w14:paraId="70E54306" w14:textId="77777777" w:rsidR="00FA06CC" w:rsidRPr="00040AB6" w:rsidRDefault="00FA06CC" w:rsidP="00F25BC2">
      <w:pPr>
        <w:pStyle w:val="ListParagraph"/>
        <w:numPr>
          <w:ilvl w:val="0"/>
          <w:numId w:val="15"/>
        </w:numPr>
        <w:spacing w:after="0" w:line="240" w:lineRule="auto"/>
        <w:ind w:left="1440"/>
        <w:contextualSpacing w:val="0"/>
        <w:rPr>
          <w:rFonts w:asciiTheme="minorHAnsi" w:hAnsiTheme="minorHAnsi"/>
          <w:sz w:val="24"/>
          <w:szCs w:val="24"/>
        </w:rPr>
      </w:pPr>
      <w:r w:rsidRPr="00040AB6">
        <w:rPr>
          <w:rFonts w:asciiTheme="minorHAnsi" w:hAnsiTheme="minorHAnsi"/>
          <w:sz w:val="24"/>
          <w:szCs w:val="24"/>
        </w:rPr>
        <w:t>Work</w:t>
      </w:r>
      <w:r w:rsidR="00E35E77" w:rsidRPr="00040AB6">
        <w:rPr>
          <w:rFonts w:asciiTheme="minorHAnsi" w:hAnsiTheme="minorHAnsi"/>
          <w:sz w:val="24"/>
          <w:szCs w:val="24"/>
        </w:rPr>
        <w:t xml:space="preserve"> </w:t>
      </w:r>
      <w:r w:rsidRPr="00040AB6">
        <w:rPr>
          <w:rFonts w:asciiTheme="minorHAnsi" w:hAnsiTheme="minorHAnsi"/>
          <w:sz w:val="24"/>
          <w:szCs w:val="24"/>
        </w:rPr>
        <w:t xml:space="preserve">papers demonstrating the analysis behind the collection rate </w:t>
      </w:r>
    </w:p>
    <w:p w14:paraId="70E54307" w14:textId="77777777" w:rsidR="00357665" w:rsidRPr="00040AB6" w:rsidRDefault="00357665" w:rsidP="00BF2975">
      <w:pPr>
        <w:spacing w:after="0" w:line="240" w:lineRule="auto"/>
        <w:ind w:left="720"/>
        <w:rPr>
          <w:rFonts w:asciiTheme="minorHAnsi" w:hAnsiTheme="minorHAnsi"/>
          <w:sz w:val="24"/>
          <w:szCs w:val="24"/>
        </w:rPr>
      </w:pPr>
    </w:p>
    <w:p w14:paraId="70E54308" w14:textId="77777777" w:rsidR="00AC364B" w:rsidRPr="00AC364B" w:rsidRDefault="00D90EBA" w:rsidP="00AC364B">
      <w:pPr>
        <w:spacing w:line="240" w:lineRule="auto"/>
        <w:ind w:left="720"/>
        <w:rPr>
          <w:rFonts w:asciiTheme="minorHAnsi" w:hAnsiTheme="minorHAnsi"/>
          <w:sz w:val="24"/>
          <w:szCs w:val="24"/>
        </w:rPr>
      </w:pPr>
      <w:r w:rsidRPr="00040AB6">
        <w:rPr>
          <w:rFonts w:asciiTheme="minorHAnsi" w:hAnsiTheme="minorHAnsi"/>
          <w:sz w:val="24"/>
          <w:szCs w:val="24"/>
        </w:rPr>
        <w:t>T</w:t>
      </w:r>
      <w:r w:rsidR="00E92871" w:rsidRPr="00040AB6">
        <w:rPr>
          <w:rFonts w:asciiTheme="minorHAnsi" w:hAnsiTheme="minorHAnsi"/>
          <w:sz w:val="24"/>
          <w:szCs w:val="24"/>
        </w:rPr>
        <w:t xml:space="preserve">he Company </w:t>
      </w:r>
      <w:r w:rsidRPr="00040AB6">
        <w:rPr>
          <w:rFonts w:asciiTheme="minorHAnsi" w:hAnsiTheme="minorHAnsi"/>
          <w:sz w:val="24"/>
          <w:szCs w:val="24"/>
        </w:rPr>
        <w:t>also includes a</w:t>
      </w:r>
      <w:r w:rsidR="00E92871" w:rsidRPr="00040AB6">
        <w:rPr>
          <w:rFonts w:asciiTheme="minorHAnsi" w:hAnsiTheme="minorHAnsi"/>
          <w:sz w:val="24"/>
          <w:szCs w:val="24"/>
        </w:rPr>
        <w:t xml:space="preserve"> message on applicable </w:t>
      </w:r>
      <w:r w:rsidR="00035E11">
        <w:rPr>
          <w:rFonts w:asciiTheme="minorHAnsi" w:hAnsiTheme="minorHAnsi"/>
          <w:sz w:val="24"/>
          <w:szCs w:val="24"/>
        </w:rPr>
        <w:t>c</w:t>
      </w:r>
      <w:r w:rsidR="00E92871" w:rsidRPr="00040AB6">
        <w:rPr>
          <w:rFonts w:asciiTheme="minorHAnsi" w:hAnsiTheme="minorHAnsi"/>
          <w:sz w:val="24"/>
          <w:szCs w:val="24"/>
        </w:rPr>
        <w:t xml:space="preserve">ustomers’ monthly bills </w:t>
      </w:r>
      <w:r w:rsidR="00E91352" w:rsidRPr="00040AB6">
        <w:rPr>
          <w:rFonts w:asciiTheme="minorHAnsi" w:hAnsiTheme="minorHAnsi"/>
          <w:sz w:val="24"/>
          <w:szCs w:val="24"/>
        </w:rPr>
        <w:t xml:space="preserve">stating </w:t>
      </w:r>
      <w:r w:rsidR="00622178" w:rsidRPr="00040AB6">
        <w:rPr>
          <w:rFonts w:asciiTheme="minorHAnsi" w:hAnsiTheme="minorHAnsi"/>
          <w:sz w:val="24"/>
          <w:szCs w:val="24"/>
        </w:rPr>
        <w:t>how much of their current monthly bill</w:t>
      </w:r>
      <w:r w:rsidR="00177605" w:rsidRPr="00040AB6">
        <w:rPr>
          <w:rFonts w:asciiTheme="minorHAnsi" w:hAnsiTheme="minorHAnsi"/>
          <w:sz w:val="24"/>
          <w:szCs w:val="24"/>
        </w:rPr>
        <w:t xml:space="preserve"> </w:t>
      </w:r>
      <w:r w:rsidR="00622178" w:rsidRPr="00040AB6">
        <w:rPr>
          <w:rFonts w:asciiTheme="minorHAnsi" w:hAnsiTheme="minorHAnsi"/>
          <w:sz w:val="24"/>
          <w:szCs w:val="24"/>
        </w:rPr>
        <w:t>represents costs collected to pay for the</w:t>
      </w:r>
      <w:r w:rsidR="00C76326" w:rsidRPr="00040AB6">
        <w:rPr>
          <w:rFonts w:asciiTheme="minorHAnsi" w:hAnsiTheme="minorHAnsi"/>
          <w:sz w:val="24"/>
          <w:szCs w:val="24"/>
        </w:rPr>
        <w:t xml:space="preserve"> </w:t>
      </w:r>
      <w:r w:rsidR="00622178" w:rsidRPr="00040AB6">
        <w:rPr>
          <w:rFonts w:asciiTheme="minorHAnsi" w:hAnsiTheme="minorHAnsi"/>
          <w:sz w:val="24"/>
          <w:szCs w:val="24"/>
        </w:rPr>
        <w:t>r</w:t>
      </w:r>
      <w:r w:rsidR="00177605" w:rsidRPr="00040AB6">
        <w:rPr>
          <w:rFonts w:asciiTheme="minorHAnsi" w:hAnsiTheme="minorHAnsi"/>
          <w:sz w:val="24"/>
          <w:szCs w:val="24"/>
        </w:rPr>
        <w:t xml:space="preserve">esidential </w:t>
      </w:r>
      <w:r w:rsidR="00622178" w:rsidRPr="00040AB6">
        <w:rPr>
          <w:rFonts w:asciiTheme="minorHAnsi" w:hAnsiTheme="minorHAnsi"/>
          <w:sz w:val="24"/>
          <w:szCs w:val="24"/>
        </w:rPr>
        <w:t xml:space="preserve">and commercial </w:t>
      </w:r>
      <w:r w:rsidR="00177605" w:rsidRPr="00040AB6">
        <w:rPr>
          <w:rFonts w:asciiTheme="minorHAnsi" w:hAnsiTheme="minorHAnsi"/>
          <w:sz w:val="24"/>
          <w:szCs w:val="24"/>
        </w:rPr>
        <w:t xml:space="preserve">energy efficiency programs. </w:t>
      </w:r>
      <w:r w:rsidR="00622178" w:rsidRPr="00040AB6">
        <w:rPr>
          <w:rFonts w:asciiTheme="minorHAnsi" w:hAnsiTheme="minorHAnsi"/>
          <w:sz w:val="24"/>
          <w:szCs w:val="24"/>
        </w:rPr>
        <w:t xml:space="preserve"> </w:t>
      </w:r>
    </w:p>
    <w:p w14:paraId="70E54309" w14:textId="77777777" w:rsidR="00357665" w:rsidRPr="008C4F4E" w:rsidRDefault="00EA2A1F" w:rsidP="00512699">
      <w:pPr>
        <w:pStyle w:val="ListParagraph"/>
        <w:numPr>
          <w:ilvl w:val="0"/>
          <w:numId w:val="9"/>
        </w:numPr>
        <w:spacing w:after="0" w:line="240" w:lineRule="auto"/>
        <w:ind w:left="720"/>
        <w:rPr>
          <w:rFonts w:asciiTheme="minorHAnsi" w:hAnsiTheme="minorHAnsi"/>
          <w:sz w:val="32"/>
          <w:szCs w:val="32"/>
        </w:rPr>
      </w:pPr>
      <w:r w:rsidRPr="008C4F4E">
        <w:rPr>
          <w:rFonts w:asciiTheme="minorHAnsi" w:hAnsiTheme="minorHAnsi"/>
          <w:sz w:val="32"/>
          <w:szCs w:val="32"/>
        </w:rPr>
        <w:t>201</w:t>
      </w:r>
      <w:r w:rsidR="003830E0" w:rsidRPr="008C4F4E">
        <w:rPr>
          <w:rFonts w:asciiTheme="minorHAnsi" w:hAnsiTheme="minorHAnsi"/>
          <w:sz w:val="32"/>
          <w:szCs w:val="32"/>
        </w:rPr>
        <w:t>7</w:t>
      </w:r>
      <w:r w:rsidRPr="008C4F4E">
        <w:rPr>
          <w:rFonts w:asciiTheme="minorHAnsi" w:hAnsiTheme="minorHAnsi"/>
          <w:sz w:val="32"/>
          <w:szCs w:val="32"/>
        </w:rPr>
        <w:t xml:space="preserve"> </w:t>
      </w:r>
      <w:r w:rsidR="00357665" w:rsidRPr="008C4F4E">
        <w:rPr>
          <w:rFonts w:asciiTheme="minorHAnsi" w:hAnsiTheme="minorHAnsi"/>
          <w:sz w:val="32"/>
          <w:szCs w:val="32"/>
        </w:rPr>
        <w:t>Performance Metrics</w:t>
      </w:r>
    </w:p>
    <w:p w14:paraId="70E5430A" w14:textId="77777777" w:rsidR="00357665" w:rsidRPr="00040AB6" w:rsidRDefault="00357665" w:rsidP="00AC364B">
      <w:pPr>
        <w:spacing w:line="240" w:lineRule="auto"/>
        <w:ind w:left="720"/>
        <w:rPr>
          <w:rFonts w:asciiTheme="minorHAnsi" w:hAnsiTheme="minorHAnsi" w:cs="Calibri"/>
          <w:sz w:val="24"/>
          <w:szCs w:val="24"/>
        </w:rPr>
      </w:pPr>
      <w:r w:rsidRPr="00040AB6">
        <w:rPr>
          <w:rFonts w:asciiTheme="minorHAnsi" w:hAnsiTheme="minorHAnsi" w:cs="Calibri"/>
          <w:sz w:val="24"/>
          <w:szCs w:val="24"/>
        </w:rPr>
        <w:t xml:space="preserve">Below are the </w:t>
      </w:r>
      <w:r w:rsidR="00035E11" w:rsidRPr="00040AB6">
        <w:rPr>
          <w:rFonts w:asciiTheme="minorHAnsi" w:hAnsiTheme="minorHAnsi" w:cs="Calibri"/>
          <w:sz w:val="24"/>
          <w:szCs w:val="24"/>
        </w:rPr>
        <w:t>201</w:t>
      </w:r>
      <w:r w:rsidR="003830E0">
        <w:rPr>
          <w:rFonts w:asciiTheme="minorHAnsi" w:hAnsiTheme="minorHAnsi" w:cs="Calibri"/>
          <w:sz w:val="24"/>
          <w:szCs w:val="24"/>
        </w:rPr>
        <w:t>7</w:t>
      </w:r>
      <w:r w:rsidR="00035E11" w:rsidRPr="00040AB6">
        <w:rPr>
          <w:rFonts w:asciiTheme="minorHAnsi" w:hAnsiTheme="minorHAnsi" w:cs="Calibri"/>
          <w:sz w:val="24"/>
          <w:szCs w:val="24"/>
        </w:rPr>
        <w:t xml:space="preserve"> </w:t>
      </w:r>
      <w:r w:rsidRPr="00040AB6">
        <w:rPr>
          <w:rFonts w:asciiTheme="minorHAnsi" w:hAnsiTheme="minorHAnsi" w:cs="Calibri"/>
          <w:sz w:val="24"/>
          <w:szCs w:val="24"/>
        </w:rPr>
        <w:t>program metrics.  Each metric is followed by a statement explaining how it was determined.</w:t>
      </w:r>
    </w:p>
    <w:p w14:paraId="70E5430B" w14:textId="77777777" w:rsidR="00BA697B" w:rsidRDefault="00357665" w:rsidP="00E16413">
      <w:pPr>
        <w:numPr>
          <w:ilvl w:val="0"/>
          <w:numId w:val="2"/>
        </w:numPr>
        <w:spacing w:after="0" w:line="240" w:lineRule="auto"/>
        <w:ind w:left="1080"/>
        <w:rPr>
          <w:rFonts w:asciiTheme="minorHAnsi" w:hAnsiTheme="minorHAnsi" w:cs="Calibri"/>
          <w:sz w:val="24"/>
          <w:szCs w:val="24"/>
        </w:rPr>
      </w:pPr>
      <w:bookmarkStart w:id="0" w:name="OLE_LINK37"/>
      <w:bookmarkStart w:id="1" w:name="OLE_LINK38"/>
      <w:r w:rsidRPr="00040AB6">
        <w:rPr>
          <w:rFonts w:asciiTheme="minorHAnsi" w:hAnsiTheme="minorHAnsi" w:cs="Calibri"/>
          <w:sz w:val="24"/>
          <w:szCs w:val="24"/>
        </w:rPr>
        <w:t>Total</w:t>
      </w:r>
      <w:r w:rsidR="002668F1" w:rsidRPr="00040AB6">
        <w:rPr>
          <w:rFonts w:asciiTheme="minorHAnsi" w:hAnsiTheme="minorHAnsi" w:cs="Calibri"/>
          <w:sz w:val="24"/>
          <w:szCs w:val="24"/>
        </w:rPr>
        <w:t xml:space="preserve"> residential and commercial </w:t>
      </w:r>
      <w:r w:rsidRPr="00040AB6">
        <w:rPr>
          <w:rFonts w:asciiTheme="minorHAnsi" w:hAnsiTheme="minorHAnsi" w:cs="Calibri"/>
          <w:sz w:val="24"/>
          <w:szCs w:val="24"/>
        </w:rPr>
        <w:t>program costs</w:t>
      </w:r>
      <w:r w:rsidR="00B01965" w:rsidRPr="00040AB6">
        <w:rPr>
          <w:rFonts w:asciiTheme="minorHAnsi" w:hAnsiTheme="minorHAnsi" w:cs="Calibri"/>
          <w:sz w:val="24"/>
          <w:szCs w:val="24"/>
        </w:rPr>
        <w:t>, including NEEA gas efficiency market transformation,</w:t>
      </w:r>
      <w:r w:rsidRPr="00040AB6">
        <w:rPr>
          <w:rFonts w:asciiTheme="minorHAnsi" w:hAnsiTheme="minorHAnsi" w:cs="Calibri"/>
          <w:sz w:val="24"/>
          <w:szCs w:val="24"/>
        </w:rPr>
        <w:t xml:space="preserve"> will be </w:t>
      </w:r>
      <w:r w:rsidRPr="005F6B35">
        <w:rPr>
          <w:rFonts w:asciiTheme="minorHAnsi" w:hAnsiTheme="minorHAnsi" w:cs="Calibri"/>
          <w:sz w:val="24"/>
          <w:szCs w:val="24"/>
        </w:rPr>
        <w:t>between</w:t>
      </w:r>
      <w:r w:rsidR="00EF6A4C" w:rsidRPr="005F6B35">
        <w:rPr>
          <w:rFonts w:asciiTheme="minorHAnsi" w:hAnsiTheme="minorHAnsi" w:cs="Calibri"/>
          <w:sz w:val="24"/>
          <w:szCs w:val="24"/>
        </w:rPr>
        <w:t xml:space="preserve"> </w:t>
      </w:r>
      <w:r w:rsidR="00870A4C" w:rsidRPr="00AC364B">
        <w:rPr>
          <w:rFonts w:asciiTheme="minorHAnsi" w:hAnsiTheme="minorHAnsi" w:cs="Calibri"/>
          <w:sz w:val="24"/>
          <w:szCs w:val="24"/>
        </w:rPr>
        <w:t>$</w:t>
      </w:r>
      <w:r w:rsidR="003303E6" w:rsidRPr="00AC364B">
        <w:rPr>
          <w:rFonts w:asciiTheme="minorHAnsi" w:hAnsiTheme="minorHAnsi" w:cs="Calibri"/>
          <w:sz w:val="24"/>
          <w:szCs w:val="24"/>
        </w:rPr>
        <w:t>1,</w:t>
      </w:r>
      <w:r w:rsidR="00BA697B" w:rsidRPr="00AC364B">
        <w:rPr>
          <w:rFonts w:asciiTheme="minorHAnsi" w:hAnsiTheme="minorHAnsi" w:cs="Calibri"/>
          <w:sz w:val="24"/>
          <w:szCs w:val="24"/>
        </w:rPr>
        <w:t>920,491</w:t>
      </w:r>
      <w:r w:rsidR="00870A4C" w:rsidRPr="00AC364B">
        <w:rPr>
          <w:rFonts w:asciiTheme="minorHAnsi" w:hAnsiTheme="minorHAnsi" w:cs="Calibri"/>
          <w:sz w:val="24"/>
          <w:szCs w:val="24"/>
        </w:rPr>
        <w:t xml:space="preserve"> and $</w:t>
      </w:r>
      <w:r w:rsidR="003303E6" w:rsidRPr="00AC364B">
        <w:rPr>
          <w:rFonts w:asciiTheme="minorHAnsi" w:hAnsiTheme="minorHAnsi" w:cs="Calibri"/>
          <w:sz w:val="24"/>
          <w:szCs w:val="24"/>
        </w:rPr>
        <w:t>2,</w:t>
      </w:r>
      <w:r w:rsidR="00BA697B" w:rsidRPr="00AC364B">
        <w:rPr>
          <w:rFonts w:asciiTheme="minorHAnsi" w:hAnsiTheme="minorHAnsi" w:cs="Calibri"/>
          <w:sz w:val="24"/>
          <w:szCs w:val="24"/>
        </w:rPr>
        <w:t>270,413</w:t>
      </w:r>
      <w:r w:rsidR="008921E9" w:rsidRPr="00AC364B">
        <w:rPr>
          <w:rFonts w:asciiTheme="minorHAnsi" w:hAnsiTheme="minorHAnsi" w:cs="Calibri"/>
          <w:sz w:val="24"/>
          <w:szCs w:val="24"/>
        </w:rPr>
        <w:t>.</w:t>
      </w:r>
      <w:r w:rsidR="00B01965" w:rsidRPr="00AC364B">
        <w:rPr>
          <w:rFonts w:asciiTheme="minorHAnsi" w:hAnsiTheme="minorHAnsi" w:cs="Calibri"/>
          <w:sz w:val="24"/>
          <w:szCs w:val="24"/>
        </w:rPr>
        <w:t xml:space="preserve"> </w:t>
      </w:r>
      <w:r w:rsidR="00614BC3" w:rsidRPr="00AC364B">
        <w:rPr>
          <w:rFonts w:asciiTheme="minorHAnsi" w:hAnsiTheme="minorHAnsi" w:cs="Calibri"/>
          <w:sz w:val="24"/>
          <w:szCs w:val="24"/>
        </w:rPr>
        <w:t xml:space="preserve"> </w:t>
      </w:r>
    </w:p>
    <w:p w14:paraId="70E5430C" w14:textId="77777777" w:rsidR="00357665" w:rsidRPr="005F6B35" w:rsidRDefault="00357665" w:rsidP="001E283F">
      <w:pPr>
        <w:spacing w:after="0" w:line="240" w:lineRule="auto"/>
        <w:ind w:left="1080"/>
        <w:rPr>
          <w:rFonts w:asciiTheme="minorHAnsi" w:hAnsiTheme="minorHAnsi" w:cs="Calibri"/>
          <w:sz w:val="24"/>
          <w:szCs w:val="24"/>
        </w:rPr>
      </w:pPr>
    </w:p>
    <w:p w14:paraId="70E5430D" w14:textId="77777777" w:rsidR="00357665" w:rsidRPr="00040AB6" w:rsidRDefault="00357665" w:rsidP="0047136B">
      <w:pPr>
        <w:spacing w:after="0" w:line="240" w:lineRule="auto"/>
        <w:ind w:left="720"/>
        <w:rPr>
          <w:rFonts w:asciiTheme="minorHAnsi" w:hAnsiTheme="minorHAnsi" w:cs="Calibri"/>
          <w:i/>
          <w:sz w:val="24"/>
          <w:szCs w:val="24"/>
        </w:rPr>
      </w:pPr>
      <w:r w:rsidRPr="00040AB6">
        <w:rPr>
          <w:rFonts w:asciiTheme="minorHAnsi" w:hAnsiTheme="minorHAnsi" w:cs="Calibri"/>
          <w:i/>
          <w:sz w:val="24"/>
          <w:szCs w:val="24"/>
        </w:rPr>
        <w:t xml:space="preserve">The total costs for this metric correlate to the range of costs estimated to achieve all cost effective therms for the programs being offered as determined in the Company’s </w:t>
      </w:r>
      <w:r w:rsidR="004E59E6">
        <w:rPr>
          <w:rFonts w:asciiTheme="minorHAnsi" w:hAnsiTheme="minorHAnsi" w:cs="Calibri"/>
          <w:i/>
          <w:sz w:val="24"/>
          <w:szCs w:val="24"/>
        </w:rPr>
        <w:t>2016</w:t>
      </w:r>
      <w:r w:rsidRPr="00040AB6">
        <w:rPr>
          <w:rFonts w:asciiTheme="minorHAnsi" w:hAnsiTheme="minorHAnsi" w:cs="Calibri"/>
          <w:i/>
          <w:sz w:val="24"/>
          <w:szCs w:val="24"/>
        </w:rPr>
        <w:t xml:space="preserve"> Integrated Resource Plan (“IRP”)</w:t>
      </w:r>
      <w:r w:rsidR="006E130D" w:rsidRPr="00040AB6">
        <w:rPr>
          <w:rFonts w:asciiTheme="minorHAnsi" w:hAnsiTheme="minorHAnsi" w:cs="Calibri"/>
          <w:i/>
          <w:sz w:val="24"/>
          <w:szCs w:val="24"/>
        </w:rPr>
        <w:t>.</w:t>
      </w:r>
    </w:p>
    <w:p w14:paraId="70E5430E" w14:textId="77777777" w:rsidR="00357665" w:rsidRPr="00040AB6" w:rsidRDefault="00357665" w:rsidP="001A5A0B">
      <w:pPr>
        <w:spacing w:after="0" w:line="240" w:lineRule="auto"/>
        <w:rPr>
          <w:rFonts w:asciiTheme="minorHAnsi" w:hAnsiTheme="minorHAnsi" w:cs="Calibri"/>
          <w:sz w:val="24"/>
          <w:szCs w:val="24"/>
        </w:rPr>
      </w:pPr>
    </w:p>
    <w:p w14:paraId="70E5430F" w14:textId="77777777" w:rsidR="00357665" w:rsidRDefault="00357665" w:rsidP="00E16413">
      <w:pPr>
        <w:numPr>
          <w:ilvl w:val="0"/>
          <w:numId w:val="2"/>
        </w:numPr>
        <w:spacing w:after="0" w:line="240" w:lineRule="auto"/>
        <w:ind w:left="1080"/>
        <w:rPr>
          <w:rFonts w:asciiTheme="minorHAnsi" w:hAnsiTheme="minorHAnsi" w:cs="Calibri"/>
          <w:sz w:val="24"/>
          <w:szCs w:val="24"/>
        </w:rPr>
      </w:pPr>
      <w:r w:rsidRPr="00040AB6">
        <w:rPr>
          <w:rFonts w:asciiTheme="minorHAnsi" w:hAnsiTheme="minorHAnsi" w:cs="Calibri"/>
          <w:sz w:val="24"/>
          <w:szCs w:val="24"/>
        </w:rPr>
        <w:t xml:space="preserve">Therms saved </w:t>
      </w:r>
      <w:r w:rsidR="00585F3E" w:rsidRPr="00040AB6">
        <w:rPr>
          <w:rFonts w:asciiTheme="minorHAnsi" w:hAnsiTheme="minorHAnsi" w:cs="Calibri"/>
          <w:sz w:val="24"/>
          <w:szCs w:val="24"/>
        </w:rPr>
        <w:t xml:space="preserve">for the residential and commercial program </w:t>
      </w:r>
      <w:r w:rsidRPr="00040AB6">
        <w:rPr>
          <w:rFonts w:asciiTheme="minorHAnsi" w:hAnsiTheme="minorHAnsi" w:cs="Calibri"/>
          <w:sz w:val="24"/>
          <w:szCs w:val="24"/>
        </w:rPr>
        <w:t xml:space="preserve">will be between </w:t>
      </w:r>
      <w:r w:rsidR="00F51D9C">
        <w:rPr>
          <w:rFonts w:asciiTheme="minorHAnsi" w:hAnsiTheme="minorHAnsi" w:cs="Calibri"/>
          <w:sz w:val="24"/>
          <w:szCs w:val="24"/>
        </w:rPr>
        <w:t>240,158</w:t>
      </w:r>
      <w:r w:rsidR="00A770B5" w:rsidRPr="005F49DF">
        <w:rPr>
          <w:rFonts w:asciiTheme="minorHAnsi" w:hAnsiTheme="minorHAnsi" w:cs="Calibri"/>
          <w:sz w:val="24"/>
          <w:szCs w:val="24"/>
        </w:rPr>
        <w:t xml:space="preserve"> </w:t>
      </w:r>
      <w:r w:rsidR="00870A4C" w:rsidRPr="005F49DF">
        <w:rPr>
          <w:rFonts w:asciiTheme="minorHAnsi" w:hAnsiTheme="minorHAnsi" w:cs="Calibri"/>
          <w:sz w:val="24"/>
          <w:szCs w:val="24"/>
        </w:rPr>
        <w:t>and</w:t>
      </w:r>
      <w:r w:rsidR="00517355">
        <w:rPr>
          <w:rFonts w:asciiTheme="minorHAnsi" w:hAnsiTheme="minorHAnsi" w:cs="Calibri"/>
          <w:sz w:val="24"/>
          <w:szCs w:val="24"/>
        </w:rPr>
        <w:t xml:space="preserve"> </w:t>
      </w:r>
      <w:r w:rsidR="00F51D9C">
        <w:rPr>
          <w:rFonts w:asciiTheme="minorHAnsi" w:hAnsiTheme="minorHAnsi" w:cs="Calibri"/>
          <w:sz w:val="24"/>
          <w:szCs w:val="24"/>
        </w:rPr>
        <w:t>282,539</w:t>
      </w:r>
      <w:r w:rsidR="00870A4C" w:rsidRPr="005F49DF">
        <w:rPr>
          <w:rFonts w:asciiTheme="minorHAnsi" w:hAnsiTheme="minorHAnsi" w:cs="Calibri"/>
          <w:sz w:val="24"/>
          <w:szCs w:val="24"/>
        </w:rPr>
        <w:t>.</w:t>
      </w:r>
      <w:r w:rsidR="002B31D3" w:rsidRPr="00040AB6">
        <w:rPr>
          <w:rFonts w:asciiTheme="minorHAnsi" w:hAnsiTheme="minorHAnsi" w:cs="Calibri"/>
          <w:sz w:val="24"/>
          <w:szCs w:val="24"/>
        </w:rPr>
        <w:t xml:space="preserve"> Including</w:t>
      </w:r>
      <w:r w:rsidR="003324F5" w:rsidRPr="00040AB6">
        <w:rPr>
          <w:rFonts w:asciiTheme="minorHAnsi" w:hAnsiTheme="minorHAnsi" w:cs="Calibri"/>
          <w:sz w:val="24"/>
          <w:szCs w:val="24"/>
        </w:rPr>
        <w:t xml:space="preserve"> WA</w:t>
      </w:r>
      <w:r w:rsidR="0097483E">
        <w:rPr>
          <w:rFonts w:asciiTheme="minorHAnsi" w:hAnsiTheme="minorHAnsi" w:cs="Calibri"/>
          <w:sz w:val="24"/>
          <w:szCs w:val="24"/>
        </w:rPr>
        <w:t>-</w:t>
      </w:r>
      <w:r w:rsidR="003324F5" w:rsidRPr="00040AB6">
        <w:rPr>
          <w:rFonts w:asciiTheme="minorHAnsi" w:hAnsiTheme="minorHAnsi" w:cs="Calibri"/>
          <w:sz w:val="24"/>
          <w:szCs w:val="24"/>
        </w:rPr>
        <w:t xml:space="preserve">LIEE, therm savings </w:t>
      </w:r>
      <w:r w:rsidR="00D90EBA" w:rsidRPr="00040AB6">
        <w:rPr>
          <w:rFonts w:asciiTheme="minorHAnsi" w:hAnsiTheme="minorHAnsi" w:cs="Calibri"/>
          <w:sz w:val="24"/>
          <w:szCs w:val="24"/>
        </w:rPr>
        <w:t xml:space="preserve">targets for the total portfolio </w:t>
      </w:r>
      <w:r w:rsidR="003324F5" w:rsidRPr="00040AB6">
        <w:rPr>
          <w:rFonts w:asciiTheme="minorHAnsi" w:hAnsiTheme="minorHAnsi" w:cs="Calibri"/>
          <w:sz w:val="24"/>
          <w:szCs w:val="24"/>
        </w:rPr>
        <w:t xml:space="preserve">will be </w:t>
      </w:r>
      <w:r w:rsidR="00D90EBA" w:rsidRPr="00040AB6">
        <w:rPr>
          <w:rFonts w:asciiTheme="minorHAnsi" w:hAnsiTheme="minorHAnsi" w:cs="Calibri"/>
          <w:sz w:val="24"/>
          <w:szCs w:val="24"/>
        </w:rPr>
        <w:t xml:space="preserve">between </w:t>
      </w:r>
      <w:r w:rsidR="00800AFA">
        <w:rPr>
          <w:rFonts w:asciiTheme="minorHAnsi" w:hAnsiTheme="minorHAnsi" w:cs="Calibri"/>
          <w:sz w:val="24"/>
          <w:szCs w:val="24"/>
        </w:rPr>
        <w:t>247,478</w:t>
      </w:r>
      <w:r w:rsidR="00870A4C" w:rsidRPr="008536DA">
        <w:rPr>
          <w:rFonts w:asciiTheme="minorHAnsi" w:hAnsiTheme="minorHAnsi" w:cs="Calibri"/>
          <w:sz w:val="24"/>
          <w:szCs w:val="24"/>
        </w:rPr>
        <w:t xml:space="preserve"> and</w:t>
      </w:r>
      <w:r w:rsidR="008921E9">
        <w:rPr>
          <w:rFonts w:asciiTheme="minorHAnsi" w:hAnsiTheme="minorHAnsi" w:cs="Calibri"/>
          <w:sz w:val="24"/>
          <w:szCs w:val="24"/>
        </w:rPr>
        <w:t xml:space="preserve"> </w:t>
      </w:r>
      <w:r w:rsidR="00800AFA">
        <w:rPr>
          <w:rFonts w:asciiTheme="minorHAnsi" w:hAnsiTheme="minorHAnsi" w:cs="Calibri"/>
          <w:sz w:val="24"/>
          <w:szCs w:val="24"/>
        </w:rPr>
        <w:t>291,689</w:t>
      </w:r>
      <w:r w:rsidR="00870A4C" w:rsidRPr="008536DA">
        <w:rPr>
          <w:rFonts w:asciiTheme="minorHAnsi" w:hAnsiTheme="minorHAnsi" w:cs="Calibri"/>
          <w:sz w:val="24"/>
          <w:szCs w:val="24"/>
        </w:rPr>
        <w:t>.</w:t>
      </w:r>
    </w:p>
    <w:p w14:paraId="70E54310" w14:textId="77777777" w:rsidR="00517355" w:rsidRPr="00AC364B" w:rsidRDefault="00517355" w:rsidP="00517355">
      <w:pPr>
        <w:spacing w:after="0" w:line="240" w:lineRule="auto"/>
        <w:ind w:left="720"/>
        <w:rPr>
          <w:rFonts w:asciiTheme="minorHAnsi" w:hAnsiTheme="minorHAnsi" w:cs="Calibri"/>
          <w:sz w:val="20"/>
          <w:szCs w:val="20"/>
        </w:rPr>
      </w:pPr>
    </w:p>
    <w:p w14:paraId="70E54311" w14:textId="77777777" w:rsidR="00737F45" w:rsidRDefault="00737F45" w:rsidP="00737F45">
      <w:pPr>
        <w:pStyle w:val="Caption"/>
        <w:keepNext/>
      </w:pPr>
      <w:r>
        <w:t xml:space="preserve">Table </w:t>
      </w:r>
      <w:fldSimple w:instr=" SEQ Table \* ARABIC ">
        <w:r w:rsidR="00136AA4">
          <w:rPr>
            <w:noProof/>
          </w:rPr>
          <w:t>1</w:t>
        </w:r>
      </w:fldSimple>
      <w:r>
        <w:t>: Therm savings by program</w:t>
      </w:r>
    </w:p>
    <w:tbl>
      <w:tblPr>
        <w:tblStyle w:val="TableGrid"/>
        <w:tblW w:w="0" w:type="auto"/>
        <w:jc w:val="center"/>
        <w:tblLook w:val="04A0" w:firstRow="1" w:lastRow="0" w:firstColumn="1" w:lastColumn="0" w:noHBand="0" w:noVBand="1"/>
      </w:tblPr>
      <w:tblGrid>
        <w:gridCol w:w="2178"/>
        <w:gridCol w:w="1800"/>
        <w:gridCol w:w="1877"/>
      </w:tblGrid>
      <w:tr w:rsidR="00637D58" w14:paraId="70E54315" w14:textId="77777777" w:rsidTr="002D585F">
        <w:trPr>
          <w:jc w:val="center"/>
        </w:trPr>
        <w:tc>
          <w:tcPr>
            <w:tcW w:w="2178" w:type="dxa"/>
          </w:tcPr>
          <w:p w14:paraId="70E54312" w14:textId="77777777" w:rsidR="00637D58" w:rsidRPr="00517355" w:rsidRDefault="00637D58" w:rsidP="001A5A0B">
            <w:pPr>
              <w:spacing w:after="0" w:line="240" w:lineRule="auto"/>
              <w:rPr>
                <w:rFonts w:asciiTheme="minorHAnsi" w:hAnsiTheme="minorHAnsi" w:cs="Calibri"/>
                <w:b/>
                <w:sz w:val="24"/>
                <w:szCs w:val="24"/>
              </w:rPr>
            </w:pPr>
            <w:r w:rsidRPr="00517355">
              <w:rPr>
                <w:rFonts w:asciiTheme="minorHAnsi" w:hAnsiTheme="minorHAnsi" w:cs="Calibri"/>
                <w:b/>
                <w:sz w:val="24"/>
                <w:szCs w:val="24"/>
              </w:rPr>
              <w:t>Range</w:t>
            </w:r>
          </w:p>
        </w:tc>
        <w:tc>
          <w:tcPr>
            <w:tcW w:w="1800" w:type="dxa"/>
          </w:tcPr>
          <w:p w14:paraId="70E54313" w14:textId="77777777" w:rsidR="00637D58" w:rsidRPr="002D585F" w:rsidRDefault="00637D58" w:rsidP="002D585F">
            <w:pPr>
              <w:spacing w:after="0" w:line="240" w:lineRule="auto"/>
              <w:jc w:val="center"/>
              <w:rPr>
                <w:rFonts w:asciiTheme="minorHAnsi" w:hAnsiTheme="minorHAnsi" w:cs="Calibri"/>
                <w:b/>
                <w:sz w:val="24"/>
                <w:szCs w:val="24"/>
              </w:rPr>
            </w:pPr>
            <w:r w:rsidRPr="002D585F">
              <w:rPr>
                <w:rFonts w:asciiTheme="minorHAnsi" w:hAnsiTheme="minorHAnsi" w:cs="Calibri"/>
                <w:b/>
                <w:sz w:val="24"/>
                <w:szCs w:val="24"/>
              </w:rPr>
              <w:t>Low</w:t>
            </w:r>
          </w:p>
        </w:tc>
        <w:tc>
          <w:tcPr>
            <w:tcW w:w="1877" w:type="dxa"/>
          </w:tcPr>
          <w:p w14:paraId="70E54314" w14:textId="77777777" w:rsidR="00637D58" w:rsidRPr="002D585F" w:rsidRDefault="00637D58" w:rsidP="002D585F">
            <w:pPr>
              <w:spacing w:after="0" w:line="240" w:lineRule="auto"/>
              <w:jc w:val="center"/>
              <w:rPr>
                <w:rFonts w:asciiTheme="minorHAnsi" w:hAnsiTheme="minorHAnsi" w:cs="Calibri"/>
                <w:b/>
                <w:sz w:val="24"/>
                <w:szCs w:val="24"/>
              </w:rPr>
            </w:pPr>
            <w:r w:rsidRPr="002D585F">
              <w:rPr>
                <w:rFonts w:asciiTheme="minorHAnsi" w:hAnsiTheme="minorHAnsi" w:cs="Calibri"/>
                <w:b/>
                <w:sz w:val="24"/>
                <w:szCs w:val="24"/>
              </w:rPr>
              <w:t>High</w:t>
            </w:r>
          </w:p>
        </w:tc>
      </w:tr>
      <w:tr w:rsidR="00637D58" w14:paraId="70E54319" w14:textId="77777777" w:rsidTr="002D585F">
        <w:trPr>
          <w:jc w:val="center"/>
        </w:trPr>
        <w:tc>
          <w:tcPr>
            <w:tcW w:w="2178" w:type="dxa"/>
          </w:tcPr>
          <w:p w14:paraId="70E54316" w14:textId="77777777" w:rsidR="00637D58" w:rsidRPr="00517355" w:rsidRDefault="00517355" w:rsidP="001A5A0B">
            <w:pPr>
              <w:spacing w:after="0" w:line="240" w:lineRule="auto"/>
              <w:rPr>
                <w:rFonts w:asciiTheme="minorHAnsi" w:hAnsiTheme="minorHAnsi" w:cs="Calibri"/>
                <w:b/>
                <w:sz w:val="24"/>
                <w:szCs w:val="24"/>
              </w:rPr>
            </w:pPr>
            <w:r w:rsidRPr="00517355">
              <w:rPr>
                <w:rFonts w:asciiTheme="minorHAnsi" w:hAnsiTheme="minorHAnsi" w:cs="Calibri"/>
                <w:b/>
                <w:sz w:val="24"/>
                <w:szCs w:val="24"/>
              </w:rPr>
              <w:t>Commercial</w:t>
            </w:r>
          </w:p>
        </w:tc>
        <w:tc>
          <w:tcPr>
            <w:tcW w:w="1800" w:type="dxa"/>
          </w:tcPr>
          <w:p w14:paraId="70E54317" w14:textId="77777777" w:rsidR="00637D58" w:rsidRPr="003B72DD" w:rsidRDefault="00637D58" w:rsidP="001A5A0B">
            <w:pPr>
              <w:spacing w:after="0" w:line="240" w:lineRule="auto"/>
              <w:rPr>
                <w:rFonts w:asciiTheme="minorHAnsi" w:hAnsiTheme="minorHAnsi" w:cs="Calibri"/>
                <w:b/>
                <w:sz w:val="24"/>
                <w:szCs w:val="24"/>
              </w:rPr>
            </w:pPr>
          </w:p>
        </w:tc>
        <w:tc>
          <w:tcPr>
            <w:tcW w:w="1877" w:type="dxa"/>
          </w:tcPr>
          <w:p w14:paraId="70E54318" w14:textId="77777777" w:rsidR="00637D58" w:rsidRDefault="00637D58" w:rsidP="001A5A0B">
            <w:pPr>
              <w:spacing w:after="0" w:line="240" w:lineRule="auto"/>
              <w:rPr>
                <w:rFonts w:asciiTheme="minorHAnsi" w:hAnsiTheme="minorHAnsi" w:cs="Calibri"/>
                <w:sz w:val="24"/>
                <w:szCs w:val="24"/>
              </w:rPr>
            </w:pPr>
          </w:p>
        </w:tc>
      </w:tr>
      <w:tr w:rsidR="00637D58" w14:paraId="70E5431D" w14:textId="77777777" w:rsidTr="002D585F">
        <w:trPr>
          <w:jc w:val="center"/>
        </w:trPr>
        <w:tc>
          <w:tcPr>
            <w:tcW w:w="2178" w:type="dxa"/>
          </w:tcPr>
          <w:p w14:paraId="70E5431A" w14:textId="77777777" w:rsidR="00637D58" w:rsidRPr="00517355" w:rsidRDefault="00517355" w:rsidP="001A5A0B">
            <w:pPr>
              <w:spacing w:after="0" w:line="240" w:lineRule="auto"/>
              <w:rPr>
                <w:rFonts w:asciiTheme="minorHAnsi" w:hAnsiTheme="minorHAnsi" w:cs="Calibri"/>
                <w:sz w:val="24"/>
                <w:szCs w:val="24"/>
              </w:rPr>
            </w:pPr>
            <w:r w:rsidRPr="00517355">
              <w:rPr>
                <w:rFonts w:asciiTheme="minorHAnsi" w:hAnsiTheme="minorHAnsi" w:cs="Calibri"/>
                <w:sz w:val="24"/>
                <w:szCs w:val="24"/>
              </w:rPr>
              <w:t>Retrofit</w:t>
            </w:r>
          </w:p>
        </w:tc>
        <w:tc>
          <w:tcPr>
            <w:tcW w:w="1800" w:type="dxa"/>
          </w:tcPr>
          <w:p w14:paraId="70E5431B" w14:textId="77777777" w:rsidR="00637D58" w:rsidRPr="002D585F" w:rsidRDefault="002D585F" w:rsidP="002D585F">
            <w:pPr>
              <w:spacing w:after="0" w:line="240" w:lineRule="auto"/>
              <w:jc w:val="right"/>
              <w:rPr>
                <w:rFonts w:asciiTheme="minorHAnsi" w:hAnsiTheme="minorHAnsi" w:cs="Calibri"/>
                <w:sz w:val="24"/>
                <w:szCs w:val="24"/>
              </w:rPr>
            </w:pPr>
            <w:r w:rsidRPr="002D585F">
              <w:rPr>
                <w:rFonts w:asciiTheme="minorHAnsi" w:hAnsiTheme="minorHAnsi" w:cs="Calibri"/>
                <w:sz w:val="24"/>
                <w:szCs w:val="24"/>
              </w:rPr>
              <w:t>1</w:t>
            </w:r>
            <w:r w:rsidR="00840A35">
              <w:rPr>
                <w:rFonts w:asciiTheme="minorHAnsi" w:hAnsiTheme="minorHAnsi" w:cs="Calibri"/>
                <w:sz w:val="24"/>
                <w:szCs w:val="24"/>
              </w:rPr>
              <w:t>33,046</w:t>
            </w:r>
          </w:p>
        </w:tc>
        <w:tc>
          <w:tcPr>
            <w:tcW w:w="1877" w:type="dxa"/>
          </w:tcPr>
          <w:p w14:paraId="70E5431C" w14:textId="77777777" w:rsidR="00637D58" w:rsidRPr="002D585F" w:rsidRDefault="00F81527" w:rsidP="002D585F">
            <w:pPr>
              <w:spacing w:after="0" w:line="240" w:lineRule="auto"/>
              <w:jc w:val="right"/>
              <w:rPr>
                <w:rFonts w:asciiTheme="minorHAnsi" w:hAnsiTheme="minorHAnsi" w:cs="Calibri"/>
                <w:sz w:val="24"/>
                <w:szCs w:val="24"/>
              </w:rPr>
            </w:pPr>
            <w:r w:rsidRPr="002D585F">
              <w:rPr>
                <w:rFonts w:asciiTheme="minorHAnsi" w:hAnsiTheme="minorHAnsi" w:cs="Calibri"/>
                <w:sz w:val="24"/>
                <w:szCs w:val="24"/>
              </w:rPr>
              <w:t>15</w:t>
            </w:r>
            <w:r w:rsidR="00840A35">
              <w:rPr>
                <w:rFonts w:asciiTheme="minorHAnsi" w:hAnsiTheme="minorHAnsi" w:cs="Calibri"/>
                <w:sz w:val="24"/>
                <w:szCs w:val="24"/>
              </w:rPr>
              <w:t>6,525</w:t>
            </w:r>
          </w:p>
        </w:tc>
      </w:tr>
      <w:tr w:rsidR="00637D58" w14:paraId="70E54321" w14:textId="77777777" w:rsidTr="002D585F">
        <w:trPr>
          <w:jc w:val="center"/>
        </w:trPr>
        <w:tc>
          <w:tcPr>
            <w:tcW w:w="2178" w:type="dxa"/>
          </w:tcPr>
          <w:p w14:paraId="70E5431E" w14:textId="77777777" w:rsidR="00637D58" w:rsidRPr="00517355" w:rsidRDefault="00517355" w:rsidP="001A5A0B">
            <w:pPr>
              <w:spacing w:after="0" w:line="240" w:lineRule="auto"/>
              <w:rPr>
                <w:rFonts w:asciiTheme="minorHAnsi" w:hAnsiTheme="minorHAnsi" w:cs="Calibri"/>
                <w:b/>
                <w:sz w:val="24"/>
                <w:szCs w:val="24"/>
              </w:rPr>
            </w:pPr>
            <w:r w:rsidRPr="00517355">
              <w:rPr>
                <w:rFonts w:asciiTheme="minorHAnsi" w:hAnsiTheme="minorHAnsi" w:cs="Calibri"/>
                <w:b/>
                <w:sz w:val="24"/>
                <w:szCs w:val="24"/>
              </w:rPr>
              <w:t>Residential</w:t>
            </w:r>
          </w:p>
        </w:tc>
        <w:tc>
          <w:tcPr>
            <w:tcW w:w="1800" w:type="dxa"/>
          </w:tcPr>
          <w:p w14:paraId="70E5431F" w14:textId="77777777" w:rsidR="00637D58" w:rsidRPr="002D585F" w:rsidRDefault="00637D58" w:rsidP="002D585F">
            <w:pPr>
              <w:spacing w:after="0" w:line="240" w:lineRule="auto"/>
              <w:jc w:val="right"/>
              <w:rPr>
                <w:rFonts w:asciiTheme="minorHAnsi" w:hAnsiTheme="minorHAnsi" w:cs="Calibri"/>
                <w:sz w:val="24"/>
                <w:szCs w:val="24"/>
              </w:rPr>
            </w:pPr>
          </w:p>
        </w:tc>
        <w:tc>
          <w:tcPr>
            <w:tcW w:w="1877" w:type="dxa"/>
          </w:tcPr>
          <w:p w14:paraId="70E54320" w14:textId="77777777" w:rsidR="00637D58" w:rsidRPr="002D585F" w:rsidRDefault="00637D58" w:rsidP="002D585F">
            <w:pPr>
              <w:spacing w:after="0" w:line="240" w:lineRule="auto"/>
              <w:jc w:val="right"/>
              <w:rPr>
                <w:rFonts w:asciiTheme="minorHAnsi" w:hAnsiTheme="minorHAnsi" w:cs="Calibri"/>
                <w:sz w:val="24"/>
                <w:szCs w:val="24"/>
              </w:rPr>
            </w:pPr>
          </w:p>
        </w:tc>
      </w:tr>
      <w:tr w:rsidR="00637D58" w14:paraId="70E54325" w14:textId="77777777" w:rsidTr="002D585F">
        <w:trPr>
          <w:jc w:val="center"/>
        </w:trPr>
        <w:tc>
          <w:tcPr>
            <w:tcW w:w="2178" w:type="dxa"/>
          </w:tcPr>
          <w:p w14:paraId="70E54322" w14:textId="77777777" w:rsidR="00637D58" w:rsidRPr="00517355" w:rsidRDefault="00517355" w:rsidP="001A5A0B">
            <w:pPr>
              <w:spacing w:after="0" w:line="240" w:lineRule="auto"/>
              <w:rPr>
                <w:rFonts w:asciiTheme="minorHAnsi" w:hAnsiTheme="minorHAnsi" w:cs="Calibri"/>
                <w:sz w:val="24"/>
                <w:szCs w:val="24"/>
              </w:rPr>
            </w:pPr>
            <w:r w:rsidRPr="00517355">
              <w:rPr>
                <w:rFonts w:asciiTheme="minorHAnsi" w:hAnsiTheme="minorHAnsi" w:cs="Calibri"/>
                <w:sz w:val="24"/>
                <w:szCs w:val="24"/>
              </w:rPr>
              <w:t>Retrofit</w:t>
            </w:r>
          </w:p>
        </w:tc>
        <w:tc>
          <w:tcPr>
            <w:tcW w:w="1800" w:type="dxa"/>
          </w:tcPr>
          <w:p w14:paraId="70E54323" w14:textId="77777777" w:rsidR="00637D58" w:rsidRPr="002D585F" w:rsidRDefault="00A6196C" w:rsidP="002D585F">
            <w:pPr>
              <w:spacing w:after="0" w:line="240" w:lineRule="auto"/>
              <w:jc w:val="right"/>
              <w:rPr>
                <w:rFonts w:asciiTheme="minorHAnsi" w:hAnsiTheme="minorHAnsi" w:cs="Calibri"/>
                <w:sz w:val="24"/>
                <w:szCs w:val="24"/>
              </w:rPr>
            </w:pPr>
            <w:r>
              <w:rPr>
                <w:rFonts w:asciiTheme="minorHAnsi" w:hAnsiTheme="minorHAnsi" w:cs="Calibri"/>
                <w:sz w:val="24"/>
                <w:szCs w:val="24"/>
              </w:rPr>
              <w:t>58,015</w:t>
            </w:r>
          </w:p>
        </w:tc>
        <w:tc>
          <w:tcPr>
            <w:tcW w:w="1877" w:type="dxa"/>
          </w:tcPr>
          <w:p w14:paraId="70E54324" w14:textId="77777777" w:rsidR="00637D58" w:rsidRPr="002D585F" w:rsidRDefault="00F24178" w:rsidP="002D585F">
            <w:pPr>
              <w:spacing w:after="0" w:line="240" w:lineRule="auto"/>
              <w:jc w:val="right"/>
              <w:rPr>
                <w:rFonts w:asciiTheme="minorHAnsi" w:hAnsiTheme="minorHAnsi" w:cs="Calibri"/>
                <w:sz w:val="24"/>
                <w:szCs w:val="24"/>
              </w:rPr>
            </w:pPr>
            <w:r>
              <w:rPr>
                <w:rFonts w:asciiTheme="minorHAnsi" w:hAnsiTheme="minorHAnsi" w:cs="Calibri"/>
                <w:sz w:val="24"/>
                <w:szCs w:val="24"/>
              </w:rPr>
              <w:t>68,253</w:t>
            </w:r>
          </w:p>
        </w:tc>
      </w:tr>
      <w:tr w:rsidR="00637D58" w14:paraId="70E54329" w14:textId="77777777" w:rsidTr="002D585F">
        <w:trPr>
          <w:jc w:val="center"/>
        </w:trPr>
        <w:tc>
          <w:tcPr>
            <w:tcW w:w="2178" w:type="dxa"/>
          </w:tcPr>
          <w:p w14:paraId="70E54326" w14:textId="77777777" w:rsidR="00637D58" w:rsidRPr="00517355" w:rsidRDefault="00517355" w:rsidP="001A5A0B">
            <w:pPr>
              <w:spacing w:after="0" w:line="240" w:lineRule="auto"/>
              <w:rPr>
                <w:rFonts w:asciiTheme="minorHAnsi" w:hAnsiTheme="minorHAnsi" w:cs="Calibri"/>
                <w:sz w:val="24"/>
                <w:szCs w:val="24"/>
              </w:rPr>
            </w:pPr>
            <w:r w:rsidRPr="00517355">
              <w:rPr>
                <w:rFonts w:asciiTheme="minorHAnsi" w:hAnsiTheme="minorHAnsi" w:cs="Calibri"/>
                <w:sz w:val="24"/>
                <w:szCs w:val="24"/>
              </w:rPr>
              <w:t>New Homes</w:t>
            </w:r>
          </w:p>
        </w:tc>
        <w:tc>
          <w:tcPr>
            <w:tcW w:w="1800" w:type="dxa"/>
          </w:tcPr>
          <w:p w14:paraId="70E54327" w14:textId="77777777" w:rsidR="00637D58" w:rsidRPr="002D585F" w:rsidRDefault="00840A35" w:rsidP="002D585F">
            <w:pPr>
              <w:spacing w:after="0" w:line="240" w:lineRule="auto"/>
              <w:jc w:val="right"/>
              <w:rPr>
                <w:rFonts w:asciiTheme="minorHAnsi" w:hAnsiTheme="minorHAnsi" w:cs="Calibri"/>
                <w:sz w:val="24"/>
                <w:szCs w:val="24"/>
              </w:rPr>
            </w:pPr>
            <w:r>
              <w:rPr>
                <w:rFonts w:asciiTheme="minorHAnsi" w:hAnsiTheme="minorHAnsi" w:cs="Calibri"/>
                <w:sz w:val="24"/>
                <w:szCs w:val="24"/>
              </w:rPr>
              <w:t>49,097</w:t>
            </w:r>
          </w:p>
        </w:tc>
        <w:tc>
          <w:tcPr>
            <w:tcW w:w="1877" w:type="dxa"/>
          </w:tcPr>
          <w:p w14:paraId="70E54328" w14:textId="77777777" w:rsidR="00637D58" w:rsidRPr="002D585F" w:rsidRDefault="00840A35" w:rsidP="002D585F">
            <w:pPr>
              <w:spacing w:after="0" w:line="240" w:lineRule="auto"/>
              <w:jc w:val="right"/>
              <w:rPr>
                <w:rFonts w:asciiTheme="minorHAnsi" w:hAnsiTheme="minorHAnsi" w:cs="Calibri"/>
                <w:sz w:val="24"/>
                <w:szCs w:val="24"/>
              </w:rPr>
            </w:pPr>
            <w:r>
              <w:rPr>
                <w:rFonts w:asciiTheme="minorHAnsi" w:hAnsiTheme="minorHAnsi" w:cs="Calibri"/>
                <w:sz w:val="24"/>
                <w:szCs w:val="24"/>
              </w:rPr>
              <w:t>57,761</w:t>
            </w:r>
          </w:p>
        </w:tc>
      </w:tr>
      <w:tr w:rsidR="00517355" w14:paraId="70E5432D" w14:textId="77777777" w:rsidTr="002D585F">
        <w:trPr>
          <w:jc w:val="center"/>
        </w:trPr>
        <w:tc>
          <w:tcPr>
            <w:tcW w:w="2178" w:type="dxa"/>
          </w:tcPr>
          <w:p w14:paraId="70E5432A" w14:textId="77777777" w:rsidR="00517355" w:rsidRPr="00517355" w:rsidRDefault="00517355" w:rsidP="001A5A0B">
            <w:pPr>
              <w:spacing w:after="0" w:line="240" w:lineRule="auto"/>
              <w:rPr>
                <w:rFonts w:asciiTheme="minorHAnsi" w:hAnsiTheme="minorHAnsi" w:cs="Calibri"/>
                <w:b/>
                <w:sz w:val="24"/>
                <w:szCs w:val="24"/>
              </w:rPr>
            </w:pPr>
            <w:r w:rsidRPr="00517355">
              <w:rPr>
                <w:rFonts w:asciiTheme="minorHAnsi" w:hAnsiTheme="minorHAnsi" w:cs="Calibri"/>
                <w:b/>
                <w:sz w:val="24"/>
                <w:szCs w:val="24"/>
              </w:rPr>
              <w:t>WA</w:t>
            </w:r>
            <w:r w:rsidR="0097483E">
              <w:rPr>
                <w:rFonts w:asciiTheme="minorHAnsi" w:hAnsiTheme="minorHAnsi" w:cs="Calibri"/>
                <w:b/>
                <w:sz w:val="24"/>
                <w:szCs w:val="24"/>
              </w:rPr>
              <w:t>-</w:t>
            </w:r>
            <w:r w:rsidRPr="00517355">
              <w:rPr>
                <w:rFonts w:asciiTheme="minorHAnsi" w:hAnsiTheme="minorHAnsi" w:cs="Calibri"/>
                <w:b/>
                <w:sz w:val="24"/>
                <w:szCs w:val="24"/>
              </w:rPr>
              <w:t>LIEE</w:t>
            </w:r>
          </w:p>
        </w:tc>
        <w:tc>
          <w:tcPr>
            <w:tcW w:w="1800" w:type="dxa"/>
          </w:tcPr>
          <w:p w14:paraId="70E5432B" w14:textId="77777777" w:rsidR="00517355" w:rsidRPr="002D585F" w:rsidRDefault="00800AFA" w:rsidP="002D585F">
            <w:pPr>
              <w:spacing w:after="0" w:line="240" w:lineRule="auto"/>
              <w:jc w:val="right"/>
              <w:rPr>
                <w:rFonts w:asciiTheme="minorHAnsi" w:hAnsiTheme="minorHAnsi" w:cs="Calibri"/>
                <w:sz w:val="24"/>
                <w:szCs w:val="24"/>
              </w:rPr>
            </w:pPr>
            <w:r>
              <w:rPr>
                <w:rFonts w:asciiTheme="minorHAnsi" w:hAnsiTheme="minorHAnsi" w:cs="Calibri"/>
                <w:sz w:val="24"/>
                <w:szCs w:val="24"/>
              </w:rPr>
              <w:t>7,320</w:t>
            </w:r>
          </w:p>
        </w:tc>
        <w:tc>
          <w:tcPr>
            <w:tcW w:w="1877" w:type="dxa"/>
          </w:tcPr>
          <w:p w14:paraId="70E5432C" w14:textId="77777777" w:rsidR="00517355" w:rsidRPr="002D585F" w:rsidRDefault="00800AFA" w:rsidP="002D585F">
            <w:pPr>
              <w:spacing w:after="0" w:line="240" w:lineRule="auto"/>
              <w:jc w:val="right"/>
              <w:rPr>
                <w:rFonts w:asciiTheme="minorHAnsi" w:hAnsiTheme="minorHAnsi" w:cs="Calibri"/>
                <w:sz w:val="24"/>
                <w:szCs w:val="24"/>
              </w:rPr>
            </w:pPr>
            <w:r>
              <w:rPr>
                <w:rFonts w:asciiTheme="minorHAnsi" w:hAnsiTheme="minorHAnsi" w:cs="Calibri"/>
                <w:sz w:val="24"/>
                <w:szCs w:val="24"/>
              </w:rPr>
              <w:t>9,150</w:t>
            </w:r>
          </w:p>
        </w:tc>
      </w:tr>
      <w:tr w:rsidR="00517355" w14:paraId="70E54331" w14:textId="77777777" w:rsidTr="002D585F">
        <w:trPr>
          <w:jc w:val="center"/>
        </w:trPr>
        <w:tc>
          <w:tcPr>
            <w:tcW w:w="2178" w:type="dxa"/>
          </w:tcPr>
          <w:p w14:paraId="70E5432E" w14:textId="77777777" w:rsidR="00517355" w:rsidRPr="00517355" w:rsidRDefault="00517355" w:rsidP="001A5A0B">
            <w:pPr>
              <w:spacing w:after="0" w:line="240" w:lineRule="auto"/>
              <w:rPr>
                <w:rFonts w:asciiTheme="minorHAnsi" w:hAnsiTheme="minorHAnsi" w:cs="Calibri"/>
                <w:b/>
                <w:sz w:val="24"/>
                <w:szCs w:val="24"/>
              </w:rPr>
            </w:pPr>
            <w:r w:rsidRPr="00517355">
              <w:rPr>
                <w:rFonts w:asciiTheme="minorHAnsi" w:hAnsiTheme="minorHAnsi" w:cs="Calibri"/>
                <w:b/>
                <w:sz w:val="24"/>
                <w:szCs w:val="24"/>
              </w:rPr>
              <w:t>Total</w:t>
            </w:r>
          </w:p>
        </w:tc>
        <w:tc>
          <w:tcPr>
            <w:tcW w:w="1800" w:type="dxa"/>
          </w:tcPr>
          <w:p w14:paraId="70E5432F" w14:textId="77777777" w:rsidR="00517355" w:rsidRPr="002D585F" w:rsidRDefault="00800AFA" w:rsidP="002D585F">
            <w:pPr>
              <w:spacing w:after="0" w:line="240" w:lineRule="auto"/>
              <w:jc w:val="right"/>
              <w:rPr>
                <w:rFonts w:asciiTheme="minorHAnsi" w:hAnsiTheme="minorHAnsi" w:cs="Calibri"/>
                <w:b/>
                <w:sz w:val="24"/>
                <w:szCs w:val="24"/>
              </w:rPr>
            </w:pPr>
            <w:r>
              <w:rPr>
                <w:rFonts w:asciiTheme="minorHAnsi" w:hAnsiTheme="minorHAnsi" w:cs="Calibri"/>
                <w:b/>
                <w:sz w:val="24"/>
                <w:szCs w:val="24"/>
              </w:rPr>
              <w:t>247,478</w:t>
            </w:r>
          </w:p>
        </w:tc>
        <w:tc>
          <w:tcPr>
            <w:tcW w:w="1877" w:type="dxa"/>
          </w:tcPr>
          <w:p w14:paraId="70E54330" w14:textId="77777777" w:rsidR="00517355" w:rsidRPr="002D585F" w:rsidRDefault="00800AFA" w:rsidP="002D585F">
            <w:pPr>
              <w:spacing w:after="0" w:line="240" w:lineRule="auto"/>
              <w:jc w:val="right"/>
              <w:rPr>
                <w:rFonts w:asciiTheme="minorHAnsi" w:hAnsiTheme="minorHAnsi" w:cs="Calibri"/>
                <w:b/>
                <w:sz w:val="24"/>
                <w:szCs w:val="24"/>
              </w:rPr>
            </w:pPr>
            <w:r>
              <w:rPr>
                <w:rFonts w:asciiTheme="minorHAnsi" w:hAnsiTheme="minorHAnsi" w:cs="Calibri"/>
                <w:b/>
                <w:sz w:val="24"/>
                <w:szCs w:val="24"/>
              </w:rPr>
              <w:t>291,689</w:t>
            </w:r>
          </w:p>
        </w:tc>
      </w:tr>
    </w:tbl>
    <w:p w14:paraId="70E54332" w14:textId="77777777" w:rsidR="00357665" w:rsidRPr="00040AB6" w:rsidRDefault="00357665" w:rsidP="001A5A0B">
      <w:pPr>
        <w:spacing w:after="0" w:line="240" w:lineRule="auto"/>
        <w:ind w:left="1440"/>
        <w:rPr>
          <w:rFonts w:asciiTheme="minorHAnsi" w:hAnsiTheme="minorHAnsi" w:cs="Calibri"/>
          <w:sz w:val="24"/>
          <w:szCs w:val="24"/>
        </w:rPr>
      </w:pPr>
    </w:p>
    <w:p w14:paraId="70E54333" w14:textId="77777777" w:rsidR="00357665" w:rsidRPr="00040AB6" w:rsidRDefault="00357665" w:rsidP="0047136B">
      <w:pPr>
        <w:spacing w:after="0" w:line="240" w:lineRule="auto"/>
        <w:ind w:left="720"/>
        <w:rPr>
          <w:rFonts w:asciiTheme="minorHAnsi" w:hAnsiTheme="minorHAnsi" w:cs="Calibri"/>
          <w:i/>
          <w:sz w:val="24"/>
          <w:szCs w:val="24"/>
        </w:rPr>
      </w:pPr>
      <w:r w:rsidRPr="00040AB6">
        <w:rPr>
          <w:rFonts w:asciiTheme="minorHAnsi" w:hAnsiTheme="minorHAnsi" w:cs="Calibri"/>
          <w:i/>
          <w:sz w:val="24"/>
          <w:szCs w:val="24"/>
        </w:rPr>
        <w:t xml:space="preserve">The program’s primary goal is to meet system demand with the least cost conservation as required per WAC 480-90-238(1).  The therm savings target is aligned with the demand-side management targets for the programs offered as identified in the Company’s </w:t>
      </w:r>
      <w:r w:rsidR="00D558E9" w:rsidRPr="00677E81">
        <w:rPr>
          <w:rFonts w:asciiTheme="minorHAnsi" w:hAnsiTheme="minorHAnsi" w:cs="Calibri"/>
          <w:i/>
          <w:sz w:val="24"/>
          <w:szCs w:val="24"/>
        </w:rPr>
        <w:t>201</w:t>
      </w:r>
      <w:r w:rsidR="004E59E6">
        <w:rPr>
          <w:rFonts w:asciiTheme="minorHAnsi" w:hAnsiTheme="minorHAnsi" w:cs="Calibri"/>
          <w:i/>
          <w:sz w:val="24"/>
          <w:szCs w:val="24"/>
        </w:rPr>
        <w:t xml:space="preserve">6 </w:t>
      </w:r>
      <w:r w:rsidRPr="00040AB6">
        <w:rPr>
          <w:rFonts w:asciiTheme="minorHAnsi" w:hAnsiTheme="minorHAnsi" w:cs="Calibri"/>
          <w:i/>
          <w:sz w:val="24"/>
          <w:szCs w:val="24"/>
        </w:rPr>
        <w:t xml:space="preserve">IRP.  </w:t>
      </w:r>
      <w:r w:rsidR="00262EC7">
        <w:rPr>
          <w:rFonts w:asciiTheme="minorHAnsi" w:hAnsiTheme="minorHAnsi" w:cs="Calibri"/>
          <w:i/>
          <w:sz w:val="24"/>
          <w:szCs w:val="24"/>
        </w:rPr>
        <w:t>From a quarterly perspective, s</w:t>
      </w:r>
      <w:r w:rsidR="001E283F">
        <w:rPr>
          <w:rFonts w:asciiTheme="minorHAnsi" w:hAnsiTheme="minorHAnsi" w:cs="Calibri"/>
          <w:i/>
          <w:sz w:val="24"/>
          <w:szCs w:val="24"/>
        </w:rPr>
        <w:t xml:space="preserve">avings are anticipated </w:t>
      </w:r>
      <w:r w:rsidR="00262EC7">
        <w:rPr>
          <w:rFonts w:asciiTheme="minorHAnsi" w:hAnsiTheme="minorHAnsi" w:cs="Calibri"/>
          <w:i/>
          <w:sz w:val="24"/>
          <w:szCs w:val="24"/>
        </w:rPr>
        <w:t>as follows: Q1: 10%; Q2: 10%</w:t>
      </w:r>
      <w:r w:rsidR="002301EC">
        <w:rPr>
          <w:rFonts w:asciiTheme="minorHAnsi" w:hAnsiTheme="minorHAnsi" w:cs="Calibri"/>
          <w:i/>
          <w:sz w:val="24"/>
          <w:szCs w:val="24"/>
        </w:rPr>
        <w:t>;</w:t>
      </w:r>
      <w:r w:rsidR="00262EC7">
        <w:rPr>
          <w:rFonts w:asciiTheme="minorHAnsi" w:hAnsiTheme="minorHAnsi" w:cs="Calibri"/>
          <w:i/>
          <w:sz w:val="24"/>
          <w:szCs w:val="24"/>
        </w:rPr>
        <w:t xml:space="preserve"> Q3: 25%</w:t>
      </w:r>
      <w:r w:rsidR="002301EC">
        <w:rPr>
          <w:rFonts w:asciiTheme="minorHAnsi" w:hAnsiTheme="minorHAnsi" w:cs="Calibri"/>
          <w:i/>
          <w:sz w:val="24"/>
          <w:szCs w:val="24"/>
        </w:rPr>
        <w:t>;</w:t>
      </w:r>
      <w:r w:rsidR="00262EC7">
        <w:rPr>
          <w:rFonts w:asciiTheme="minorHAnsi" w:hAnsiTheme="minorHAnsi" w:cs="Calibri"/>
          <w:i/>
          <w:sz w:val="24"/>
          <w:szCs w:val="24"/>
        </w:rPr>
        <w:t xml:space="preserve"> and Q4: 55% of the annual total.</w:t>
      </w:r>
    </w:p>
    <w:p w14:paraId="70E54334" w14:textId="77777777" w:rsidR="00357665" w:rsidRPr="00040AB6" w:rsidRDefault="00357665" w:rsidP="003B1874">
      <w:pPr>
        <w:numPr>
          <w:ilvl w:val="0"/>
          <w:numId w:val="2"/>
        </w:numPr>
        <w:spacing w:after="0" w:line="240" w:lineRule="auto"/>
        <w:ind w:left="1440"/>
        <w:rPr>
          <w:rFonts w:asciiTheme="minorHAnsi" w:hAnsiTheme="minorHAnsi" w:cs="Calibri"/>
          <w:sz w:val="24"/>
          <w:szCs w:val="24"/>
        </w:rPr>
      </w:pPr>
      <w:r w:rsidRPr="00040AB6">
        <w:rPr>
          <w:rFonts w:asciiTheme="minorHAnsi" w:hAnsiTheme="minorHAnsi" w:cs="Calibri"/>
          <w:sz w:val="24"/>
          <w:szCs w:val="24"/>
        </w:rPr>
        <w:t>Average levelized cost for</w:t>
      </w:r>
      <w:r w:rsidR="00C50E0F" w:rsidRPr="00040AB6">
        <w:rPr>
          <w:rFonts w:asciiTheme="minorHAnsi" w:hAnsiTheme="minorHAnsi" w:cs="Calibri"/>
          <w:sz w:val="24"/>
          <w:szCs w:val="24"/>
        </w:rPr>
        <w:t xml:space="preserve"> </w:t>
      </w:r>
      <w:r w:rsidR="00381BD8" w:rsidRPr="00040AB6">
        <w:rPr>
          <w:rFonts w:asciiTheme="minorHAnsi" w:hAnsiTheme="minorHAnsi" w:cs="Calibri"/>
          <w:sz w:val="24"/>
          <w:szCs w:val="24"/>
        </w:rPr>
        <w:t xml:space="preserve">the </w:t>
      </w:r>
      <w:r w:rsidR="00C50E0F" w:rsidRPr="00040AB6">
        <w:rPr>
          <w:rFonts w:asciiTheme="minorHAnsi" w:hAnsiTheme="minorHAnsi" w:cs="Calibri"/>
          <w:sz w:val="24"/>
          <w:szCs w:val="24"/>
        </w:rPr>
        <w:t>portfolio of</w:t>
      </w:r>
      <w:r w:rsidRPr="00040AB6">
        <w:rPr>
          <w:rFonts w:asciiTheme="minorHAnsi" w:hAnsiTheme="minorHAnsi" w:cs="Calibri"/>
          <w:sz w:val="24"/>
          <w:szCs w:val="24"/>
        </w:rPr>
        <w:t xml:space="preserve"> measures</w:t>
      </w:r>
      <w:r w:rsidR="00381BD8" w:rsidRPr="00040AB6">
        <w:rPr>
          <w:rFonts w:asciiTheme="minorHAnsi" w:hAnsiTheme="minorHAnsi" w:cs="Calibri"/>
          <w:sz w:val="24"/>
          <w:szCs w:val="24"/>
        </w:rPr>
        <w:t xml:space="preserve"> will</w:t>
      </w:r>
      <w:r w:rsidRPr="00040AB6">
        <w:rPr>
          <w:rFonts w:asciiTheme="minorHAnsi" w:hAnsiTheme="minorHAnsi" w:cs="Calibri"/>
          <w:sz w:val="24"/>
          <w:szCs w:val="24"/>
        </w:rPr>
        <w:t xml:space="preserve"> not exceed $0.65 per therm</w:t>
      </w:r>
    </w:p>
    <w:p w14:paraId="70E54335" w14:textId="77777777" w:rsidR="00357665" w:rsidRPr="00040AB6" w:rsidRDefault="00357665" w:rsidP="003B1874">
      <w:pPr>
        <w:spacing w:after="0" w:line="240" w:lineRule="auto"/>
        <w:ind w:left="1440"/>
        <w:rPr>
          <w:rFonts w:asciiTheme="minorHAnsi" w:hAnsiTheme="minorHAnsi" w:cs="Calibri"/>
          <w:sz w:val="24"/>
          <w:szCs w:val="24"/>
        </w:rPr>
      </w:pPr>
    </w:p>
    <w:p w14:paraId="70E54336" w14:textId="77777777" w:rsidR="00357665" w:rsidRPr="00040AB6" w:rsidRDefault="00D558E9" w:rsidP="0047136B">
      <w:pPr>
        <w:spacing w:after="0" w:line="240" w:lineRule="auto"/>
        <w:ind w:left="720"/>
        <w:rPr>
          <w:rFonts w:asciiTheme="minorHAnsi" w:hAnsiTheme="minorHAnsi" w:cs="Calibri"/>
          <w:i/>
          <w:sz w:val="24"/>
          <w:szCs w:val="24"/>
        </w:rPr>
      </w:pPr>
      <w:r w:rsidRPr="00677E81">
        <w:rPr>
          <w:rFonts w:asciiTheme="minorHAnsi" w:hAnsiTheme="minorHAnsi" w:cs="Calibri"/>
          <w:i/>
          <w:sz w:val="24"/>
          <w:szCs w:val="24"/>
        </w:rPr>
        <w:t>This metric is unchanged from last year.</w:t>
      </w:r>
      <w:r w:rsidR="002668F1" w:rsidRPr="00040AB6">
        <w:rPr>
          <w:rFonts w:asciiTheme="minorHAnsi" w:hAnsiTheme="minorHAnsi" w:cs="Calibri"/>
          <w:i/>
          <w:sz w:val="24"/>
          <w:szCs w:val="24"/>
        </w:rPr>
        <w:t xml:space="preserve">  </w:t>
      </w:r>
      <w:r w:rsidR="00814D49" w:rsidRPr="00040AB6">
        <w:rPr>
          <w:rFonts w:asciiTheme="minorHAnsi" w:hAnsiTheme="minorHAnsi" w:cs="Calibri"/>
          <w:i/>
          <w:sz w:val="24"/>
          <w:szCs w:val="24"/>
        </w:rPr>
        <w:t>The profile of NW Natural Washington service territory makes it harder to reduce the averaged levelized cost per therm than it would be in an area with more industrial customers since therm savings are acquired more cost effectively for bigger customers than for residential customers.</w:t>
      </w:r>
      <w:r w:rsidR="00203657" w:rsidRPr="00040AB6">
        <w:rPr>
          <w:rFonts w:asciiTheme="minorHAnsi" w:hAnsiTheme="minorHAnsi" w:cs="Calibri"/>
          <w:i/>
          <w:sz w:val="24"/>
          <w:szCs w:val="24"/>
        </w:rPr>
        <w:t xml:space="preserve">  </w:t>
      </w:r>
    </w:p>
    <w:p w14:paraId="70E54337" w14:textId="77777777" w:rsidR="00357665" w:rsidRPr="00040AB6" w:rsidRDefault="00357665" w:rsidP="00544A5B">
      <w:pPr>
        <w:spacing w:after="0" w:line="240" w:lineRule="auto"/>
        <w:rPr>
          <w:rFonts w:asciiTheme="minorHAnsi" w:hAnsiTheme="minorHAnsi" w:cs="Calibri"/>
          <w:sz w:val="24"/>
          <w:szCs w:val="24"/>
        </w:rPr>
      </w:pPr>
    </w:p>
    <w:p w14:paraId="70E54338" w14:textId="77777777" w:rsidR="00357665" w:rsidRPr="00364AD1" w:rsidRDefault="00106C2C" w:rsidP="001A5A0B">
      <w:pPr>
        <w:numPr>
          <w:ilvl w:val="0"/>
          <w:numId w:val="2"/>
        </w:numPr>
        <w:spacing w:after="0" w:line="240" w:lineRule="auto"/>
        <w:ind w:left="1440"/>
        <w:rPr>
          <w:rFonts w:asciiTheme="minorHAnsi" w:hAnsiTheme="minorHAnsi" w:cs="Calibri"/>
          <w:sz w:val="24"/>
          <w:szCs w:val="24"/>
        </w:rPr>
      </w:pPr>
      <w:r w:rsidRPr="00364AD1">
        <w:rPr>
          <w:rFonts w:asciiTheme="minorHAnsi" w:hAnsiTheme="minorHAnsi" w:cs="Calibri"/>
          <w:sz w:val="24"/>
          <w:szCs w:val="24"/>
        </w:rPr>
        <w:t>First-</w:t>
      </w:r>
      <w:r w:rsidR="00357665" w:rsidRPr="00364AD1">
        <w:rPr>
          <w:rFonts w:asciiTheme="minorHAnsi" w:hAnsiTheme="minorHAnsi" w:cs="Calibri"/>
          <w:sz w:val="24"/>
          <w:szCs w:val="24"/>
        </w:rPr>
        <w:t>y</w:t>
      </w:r>
      <w:r w:rsidR="002668F1" w:rsidRPr="00364AD1">
        <w:rPr>
          <w:rFonts w:asciiTheme="minorHAnsi" w:hAnsiTheme="minorHAnsi" w:cs="Calibri"/>
          <w:sz w:val="24"/>
          <w:szCs w:val="24"/>
        </w:rPr>
        <w:t xml:space="preserve">ear therms will cost less than </w:t>
      </w:r>
      <w:r w:rsidR="00D528F5" w:rsidRPr="00364AD1">
        <w:rPr>
          <w:rFonts w:asciiTheme="minorHAnsi" w:hAnsiTheme="minorHAnsi" w:cs="Calibri"/>
          <w:sz w:val="24"/>
          <w:szCs w:val="24"/>
        </w:rPr>
        <w:t>$</w:t>
      </w:r>
      <w:r w:rsidR="00D558E9" w:rsidRPr="00364AD1">
        <w:rPr>
          <w:rFonts w:asciiTheme="minorHAnsi" w:hAnsiTheme="minorHAnsi" w:cs="Calibri"/>
          <w:sz w:val="24"/>
          <w:szCs w:val="24"/>
        </w:rPr>
        <w:t>6.50</w:t>
      </w:r>
      <w:r w:rsidR="00D528F5" w:rsidRPr="00364AD1">
        <w:rPr>
          <w:rFonts w:asciiTheme="minorHAnsi" w:hAnsiTheme="minorHAnsi" w:cs="Calibri"/>
          <w:sz w:val="24"/>
          <w:szCs w:val="24"/>
        </w:rPr>
        <w:t xml:space="preserve"> </w:t>
      </w:r>
      <w:r w:rsidR="00357665" w:rsidRPr="00364AD1">
        <w:rPr>
          <w:rFonts w:asciiTheme="minorHAnsi" w:hAnsiTheme="minorHAnsi" w:cs="Calibri"/>
          <w:sz w:val="24"/>
          <w:szCs w:val="24"/>
        </w:rPr>
        <w:t xml:space="preserve">per therm </w:t>
      </w:r>
    </w:p>
    <w:p w14:paraId="70E54339" w14:textId="77777777" w:rsidR="00357665" w:rsidRPr="00364AD1" w:rsidRDefault="00357665" w:rsidP="001A5A0B">
      <w:pPr>
        <w:spacing w:after="0" w:line="240" w:lineRule="auto"/>
        <w:ind w:left="1440"/>
        <w:rPr>
          <w:rFonts w:asciiTheme="minorHAnsi" w:hAnsiTheme="minorHAnsi" w:cs="Calibri"/>
          <w:sz w:val="24"/>
          <w:szCs w:val="24"/>
        </w:rPr>
      </w:pPr>
    </w:p>
    <w:p w14:paraId="70E5433A" w14:textId="77777777" w:rsidR="00357665" w:rsidRPr="00040AB6" w:rsidRDefault="00357665" w:rsidP="0047136B">
      <w:pPr>
        <w:tabs>
          <w:tab w:val="left" w:pos="720"/>
        </w:tabs>
        <w:spacing w:after="0" w:line="240" w:lineRule="auto"/>
        <w:ind w:left="720"/>
        <w:rPr>
          <w:rFonts w:asciiTheme="minorHAnsi" w:hAnsiTheme="minorHAnsi" w:cs="Calibri"/>
          <w:sz w:val="24"/>
          <w:szCs w:val="24"/>
        </w:rPr>
      </w:pPr>
      <w:r w:rsidRPr="00364AD1">
        <w:rPr>
          <w:rFonts w:asciiTheme="minorHAnsi" w:hAnsiTheme="minorHAnsi" w:cs="Calibri"/>
          <w:i/>
          <w:sz w:val="24"/>
          <w:szCs w:val="24"/>
        </w:rPr>
        <w:t xml:space="preserve">This metric </w:t>
      </w:r>
      <w:r w:rsidR="00203657" w:rsidRPr="00364AD1">
        <w:rPr>
          <w:rFonts w:asciiTheme="minorHAnsi" w:hAnsiTheme="minorHAnsi" w:cs="Calibri"/>
          <w:i/>
          <w:sz w:val="24"/>
          <w:szCs w:val="24"/>
        </w:rPr>
        <w:t xml:space="preserve">remains unchanged from </w:t>
      </w:r>
      <w:r w:rsidR="001E4B1A" w:rsidRPr="00364AD1">
        <w:rPr>
          <w:rFonts w:asciiTheme="minorHAnsi" w:hAnsiTheme="minorHAnsi" w:cs="Calibri"/>
          <w:i/>
          <w:sz w:val="24"/>
          <w:szCs w:val="24"/>
        </w:rPr>
        <w:t>prior years.</w:t>
      </w:r>
      <w:r w:rsidR="00EA2A1F" w:rsidRPr="00040AB6">
        <w:rPr>
          <w:rFonts w:asciiTheme="minorHAnsi" w:hAnsiTheme="minorHAnsi" w:cs="Calibri"/>
          <w:sz w:val="24"/>
          <w:szCs w:val="24"/>
        </w:rPr>
        <w:t xml:space="preserve">  </w:t>
      </w:r>
    </w:p>
    <w:p w14:paraId="70E5433B" w14:textId="77777777" w:rsidR="00357665" w:rsidRPr="00040AB6" w:rsidRDefault="00357665" w:rsidP="001A5A0B">
      <w:pPr>
        <w:spacing w:after="0" w:line="240" w:lineRule="auto"/>
        <w:rPr>
          <w:rFonts w:asciiTheme="minorHAnsi" w:hAnsiTheme="minorHAnsi" w:cs="Calibri"/>
          <w:sz w:val="24"/>
          <w:szCs w:val="24"/>
        </w:rPr>
      </w:pPr>
    </w:p>
    <w:p w14:paraId="70E5433C" w14:textId="77777777" w:rsidR="00357665" w:rsidRPr="00040AB6" w:rsidRDefault="00854330" w:rsidP="00913254">
      <w:pPr>
        <w:numPr>
          <w:ilvl w:val="0"/>
          <w:numId w:val="2"/>
        </w:numPr>
        <w:spacing w:after="0" w:line="240" w:lineRule="auto"/>
        <w:ind w:left="1440"/>
        <w:rPr>
          <w:rFonts w:asciiTheme="minorHAnsi" w:hAnsiTheme="minorHAnsi" w:cs="Calibri"/>
          <w:sz w:val="24"/>
          <w:szCs w:val="24"/>
        </w:rPr>
      </w:pPr>
      <w:r w:rsidRPr="00040AB6">
        <w:rPr>
          <w:rFonts w:asciiTheme="minorHAnsi" w:hAnsiTheme="minorHAnsi" w:cs="Calibri"/>
          <w:sz w:val="24"/>
          <w:szCs w:val="24"/>
        </w:rPr>
        <w:t>The UCT</w:t>
      </w:r>
      <w:r w:rsidR="00357665" w:rsidRPr="00040AB6">
        <w:rPr>
          <w:rFonts w:asciiTheme="minorHAnsi" w:hAnsiTheme="minorHAnsi" w:cs="Calibri"/>
          <w:sz w:val="24"/>
          <w:szCs w:val="24"/>
        </w:rPr>
        <w:t xml:space="preserve"> at the portfolio level </w:t>
      </w:r>
      <w:r w:rsidRPr="00040AB6">
        <w:rPr>
          <w:rFonts w:asciiTheme="minorHAnsi" w:hAnsiTheme="minorHAnsi" w:cs="Calibri"/>
          <w:sz w:val="24"/>
          <w:szCs w:val="24"/>
        </w:rPr>
        <w:t xml:space="preserve">is </w:t>
      </w:r>
      <w:r w:rsidR="00357665" w:rsidRPr="00040AB6">
        <w:rPr>
          <w:rFonts w:asciiTheme="minorHAnsi" w:hAnsiTheme="minorHAnsi" w:cs="Calibri"/>
          <w:sz w:val="24"/>
          <w:szCs w:val="24"/>
        </w:rPr>
        <w:t>greater than 1.0</w:t>
      </w:r>
    </w:p>
    <w:p w14:paraId="70E5433D" w14:textId="77777777" w:rsidR="00544A5B" w:rsidRPr="00040AB6" w:rsidRDefault="00544A5B" w:rsidP="00544A5B">
      <w:pPr>
        <w:spacing w:after="0" w:line="240" w:lineRule="auto"/>
        <w:ind w:left="1440"/>
        <w:rPr>
          <w:rFonts w:asciiTheme="minorHAnsi" w:hAnsiTheme="minorHAnsi" w:cs="Calibri"/>
          <w:sz w:val="24"/>
          <w:szCs w:val="24"/>
        </w:rPr>
      </w:pPr>
    </w:p>
    <w:bookmarkEnd w:id="0"/>
    <w:bookmarkEnd w:id="1"/>
    <w:p w14:paraId="70E5433E" w14:textId="77777777" w:rsidR="00357665" w:rsidRPr="00040AB6" w:rsidRDefault="00357665" w:rsidP="0047136B">
      <w:pPr>
        <w:ind w:left="720"/>
        <w:rPr>
          <w:rFonts w:asciiTheme="minorHAnsi" w:hAnsiTheme="minorHAnsi" w:cs="Calibri"/>
          <w:i/>
          <w:sz w:val="24"/>
          <w:szCs w:val="24"/>
        </w:rPr>
      </w:pPr>
      <w:r w:rsidRPr="00040AB6">
        <w:rPr>
          <w:rFonts w:asciiTheme="minorHAnsi" w:hAnsiTheme="minorHAnsi" w:cs="Calibri"/>
          <w:i/>
          <w:sz w:val="24"/>
          <w:szCs w:val="24"/>
        </w:rPr>
        <w:t>The UC</w:t>
      </w:r>
      <w:r w:rsidR="00E2534C" w:rsidRPr="00040AB6">
        <w:rPr>
          <w:rFonts w:asciiTheme="minorHAnsi" w:hAnsiTheme="minorHAnsi" w:cs="Calibri"/>
          <w:i/>
          <w:sz w:val="24"/>
          <w:szCs w:val="24"/>
        </w:rPr>
        <w:t>T</w:t>
      </w:r>
      <w:r w:rsidRPr="00040AB6">
        <w:rPr>
          <w:rFonts w:asciiTheme="minorHAnsi" w:hAnsiTheme="minorHAnsi" w:cs="Calibri"/>
          <w:i/>
          <w:sz w:val="24"/>
          <w:szCs w:val="24"/>
        </w:rPr>
        <w:t xml:space="preserve"> shall be calculated as prescribed in Schedule G.  A value greater than 1.0 demonstrates that the benefits received are greater than the costs.  This test is applied at </w:t>
      </w:r>
      <w:r w:rsidR="00E2534C" w:rsidRPr="00040AB6">
        <w:rPr>
          <w:rFonts w:asciiTheme="minorHAnsi" w:hAnsiTheme="minorHAnsi" w:cs="Calibri"/>
          <w:i/>
          <w:sz w:val="24"/>
          <w:szCs w:val="24"/>
        </w:rPr>
        <w:t xml:space="preserve">the portfolio level.  </w:t>
      </w:r>
    </w:p>
    <w:p w14:paraId="70E5433F" w14:textId="77777777" w:rsidR="00357665" w:rsidRPr="00040AB6" w:rsidRDefault="00357665" w:rsidP="00F74A9E">
      <w:pPr>
        <w:ind w:left="720"/>
        <w:rPr>
          <w:rFonts w:asciiTheme="minorHAnsi" w:hAnsiTheme="minorHAnsi" w:cs="Calibri"/>
          <w:sz w:val="24"/>
          <w:szCs w:val="24"/>
          <w:u w:val="single"/>
        </w:rPr>
      </w:pPr>
      <w:bookmarkStart w:id="2" w:name="OLE_LINK19"/>
      <w:bookmarkStart w:id="3" w:name="OLE_LINK20"/>
      <w:r w:rsidRPr="00040AB6">
        <w:rPr>
          <w:rFonts w:asciiTheme="minorHAnsi" w:hAnsiTheme="minorHAnsi" w:cs="Calibri"/>
          <w:sz w:val="24"/>
          <w:szCs w:val="24"/>
          <w:u w:val="single"/>
        </w:rPr>
        <w:t xml:space="preserve">Schedule I, Washington Low Income Energy Efficiency (WA-LIEE) </w:t>
      </w:r>
      <w:r w:rsidR="00EA2A1F" w:rsidRPr="00040AB6">
        <w:rPr>
          <w:rFonts w:asciiTheme="minorHAnsi" w:hAnsiTheme="minorHAnsi" w:cs="Calibri"/>
          <w:sz w:val="24"/>
          <w:szCs w:val="24"/>
          <w:u w:val="single"/>
        </w:rPr>
        <w:t>201</w:t>
      </w:r>
      <w:r w:rsidR="003830E0">
        <w:rPr>
          <w:rFonts w:asciiTheme="minorHAnsi" w:hAnsiTheme="minorHAnsi" w:cs="Calibri"/>
          <w:sz w:val="24"/>
          <w:szCs w:val="24"/>
          <w:u w:val="single"/>
        </w:rPr>
        <w:t>7</w:t>
      </w:r>
      <w:r w:rsidR="00EA2A1F" w:rsidRPr="00040AB6">
        <w:rPr>
          <w:rFonts w:asciiTheme="minorHAnsi" w:hAnsiTheme="minorHAnsi" w:cs="Calibri"/>
          <w:sz w:val="24"/>
          <w:szCs w:val="24"/>
          <w:u w:val="single"/>
        </w:rPr>
        <w:t xml:space="preserve"> </w:t>
      </w:r>
      <w:r w:rsidRPr="00040AB6">
        <w:rPr>
          <w:rFonts w:asciiTheme="minorHAnsi" w:hAnsiTheme="minorHAnsi" w:cs="Calibri"/>
          <w:sz w:val="24"/>
          <w:szCs w:val="24"/>
          <w:u w:val="single"/>
        </w:rPr>
        <w:t>Performance Targets</w:t>
      </w:r>
    </w:p>
    <w:p w14:paraId="70E54340" w14:textId="77777777" w:rsidR="00357665" w:rsidRPr="00914A46" w:rsidRDefault="00357665" w:rsidP="00914A46">
      <w:pPr>
        <w:ind w:left="720"/>
        <w:rPr>
          <w:rFonts w:asciiTheme="minorHAnsi" w:hAnsiTheme="minorHAnsi" w:cs="Calibri"/>
          <w:i/>
          <w:sz w:val="24"/>
          <w:szCs w:val="24"/>
        </w:rPr>
      </w:pPr>
      <w:r w:rsidRPr="00040AB6">
        <w:rPr>
          <w:rFonts w:asciiTheme="minorHAnsi" w:hAnsiTheme="minorHAnsi" w:cs="Calibri"/>
          <w:i/>
          <w:sz w:val="24"/>
          <w:szCs w:val="24"/>
        </w:rPr>
        <w:t xml:space="preserve">In </w:t>
      </w:r>
      <w:r w:rsidR="00035E11" w:rsidRPr="00040AB6">
        <w:rPr>
          <w:rFonts w:asciiTheme="minorHAnsi" w:hAnsiTheme="minorHAnsi" w:cs="Calibri"/>
          <w:i/>
          <w:sz w:val="24"/>
          <w:szCs w:val="24"/>
        </w:rPr>
        <w:t>201</w:t>
      </w:r>
      <w:r w:rsidR="003830E0">
        <w:rPr>
          <w:rFonts w:asciiTheme="minorHAnsi" w:hAnsiTheme="minorHAnsi" w:cs="Calibri"/>
          <w:i/>
          <w:sz w:val="24"/>
          <w:szCs w:val="24"/>
        </w:rPr>
        <w:t>7</w:t>
      </w:r>
      <w:r w:rsidRPr="00040AB6">
        <w:rPr>
          <w:rFonts w:asciiTheme="minorHAnsi" w:hAnsiTheme="minorHAnsi" w:cs="Calibri"/>
          <w:i/>
          <w:sz w:val="24"/>
          <w:szCs w:val="24"/>
        </w:rPr>
        <w:t>, the WA-LIEE pro</w:t>
      </w:r>
      <w:r w:rsidR="00F25BC2" w:rsidRPr="00040AB6">
        <w:rPr>
          <w:rFonts w:asciiTheme="minorHAnsi" w:hAnsiTheme="minorHAnsi" w:cs="Calibri"/>
          <w:i/>
          <w:sz w:val="24"/>
          <w:szCs w:val="24"/>
        </w:rPr>
        <w:t xml:space="preserve">gram will strive to weatherize </w:t>
      </w:r>
      <w:r w:rsidR="0069202D">
        <w:rPr>
          <w:rFonts w:asciiTheme="minorHAnsi" w:hAnsiTheme="minorHAnsi" w:cs="Calibri"/>
          <w:i/>
          <w:sz w:val="24"/>
          <w:szCs w:val="24"/>
        </w:rPr>
        <w:t>20</w:t>
      </w:r>
      <w:r w:rsidR="00AB792F">
        <w:rPr>
          <w:rFonts w:asciiTheme="minorHAnsi" w:hAnsiTheme="minorHAnsi" w:cs="Calibri"/>
          <w:i/>
          <w:sz w:val="24"/>
          <w:szCs w:val="24"/>
        </w:rPr>
        <w:t xml:space="preserve"> to </w:t>
      </w:r>
      <w:r w:rsidR="006315B0">
        <w:rPr>
          <w:rFonts w:asciiTheme="minorHAnsi" w:hAnsiTheme="minorHAnsi" w:cs="Calibri"/>
          <w:i/>
          <w:sz w:val="24"/>
          <w:szCs w:val="24"/>
        </w:rPr>
        <w:t>2</w:t>
      </w:r>
      <w:r w:rsidR="00A770B5">
        <w:rPr>
          <w:rFonts w:asciiTheme="minorHAnsi" w:hAnsiTheme="minorHAnsi" w:cs="Calibri"/>
          <w:i/>
          <w:sz w:val="24"/>
          <w:szCs w:val="24"/>
        </w:rPr>
        <w:t>5</w:t>
      </w:r>
      <w:r w:rsidR="00CB32EA" w:rsidRPr="00040AB6">
        <w:rPr>
          <w:rFonts w:asciiTheme="minorHAnsi" w:hAnsiTheme="minorHAnsi" w:cs="Calibri"/>
          <w:i/>
          <w:sz w:val="24"/>
          <w:szCs w:val="24"/>
        </w:rPr>
        <w:t xml:space="preserve"> </w:t>
      </w:r>
      <w:r w:rsidRPr="00040AB6">
        <w:rPr>
          <w:rFonts w:asciiTheme="minorHAnsi" w:hAnsiTheme="minorHAnsi" w:cs="Calibri"/>
          <w:i/>
          <w:sz w:val="24"/>
          <w:szCs w:val="24"/>
        </w:rPr>
        <w:t>homes</w:t>
      </w:r>
      <w:r w:rsidR="0069202D">
        <w:rPr>
          <w:rFonts w:asciiTheme="minorHAnsi" w:hAnsiTheme="minorHAnsi" w:cs="Calibri"/>
          <w:i/>
          <w:sz w:val="24"/>
          <w:szCs w:val="24"/>
        </w:rPr>
        <w:t xml:space="preserve">. A breakout of costs and therm savigns estimates is reflected in table 2 below: </w:t>
      </w:r>
      <w:r w:rsidR="00AC364B" w:rsidRPr="00AC364B">
        <w:rPr>
          <w:rFonts w:asciiTheme="minorHAnsi" w:hAnsiTheme="minorHAnsi" w:cs="Calibri"/>
          <w:b/>
          <w:sz w:val="16"/>
          <w:szCs w:val="16"/>
        </w:rPr>
        <w:t xml:space="preserve"> </w:t>
      </w:r>
    </w:p>
    <w:p w14:paraId="70E54341" w14:textId="77777777" w:rsidR="00737F45" w:rsidRDefault="00737F45" w:rsidP="00737F45">
      <w:pPr>
        <w:pStyle w:val="Caption"/>
        <w:keepNext/>
      </w:pPr>
      <w:r>
        <w:t xml:space="preserve">Table </w:t>
      </w:r>
      <w:fldSimple w:instr=" SEQ Table \* ARABIC ">
        <w:r w:rsidR="00136AA4">
          <w:rPr>
            <w:noProof/>
          </w:rPr>
          <w:t>2</w:t>
        </w:r>
      </w:fldSimple>
      <w:r>
        <w:t xml:space="preserve">: </w:t>
      </w:r>
      <w:r w:rsidRPr="001C1F45">
        <w:t>WA-LIEE 2017 Performance Targets</w:t>
      </w:r>
    </w:p>
    <w:tbl>
      <w:tblPr>
        <w:tblW w:w="0" w:type="auto"/>
        <w:tblInd w:w="1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0"/>
        <w:gridCol w:w="2082"/>
      </w:tblGrid>
      <w:tr w:rsidR="00CB32EA" w:rsidRPr="00A87A83" w14:paraId="70E54344" w14:textId="77777777" w:rsidTr="00693FBC">
        <w:trPr>
          <w:trHeight w:val="400"/>
        </w:trPr>
        <w:tc>
          <w:tcPr>
            <w:tcW w:w="4530" w:type="dxa"/>
            <w:vAlign w:val="center"/>
          </w:tcPr>
          <w:p w14:paraId="70E54342" w14:textId="77777777" w:rsidR="00CB32EA" w:rsidRPr="007E4263" w:rsidRDefault="00870A4C" w:rsidP="00570966">
            <w:pPr>
              <w:spacing w:after="0" w:line="240" w:lineRule="auto"/>
              <w:rPr>
                <w:rFonts w:asciiTheme="minorHAnsi" w:hAnsiTheme="minorHAnsi" w:cs="Calibri"/>
              </w:rPr>
            </w:pPr>
            <w:r w:rsidRPr="007E4263">
              <w:rPr>
                <w:rFonts w:asciiTheme="minorHAnsi" w:hAnsiTheme="minorHAnsi" w:cs="Calibri"/>
              </w:rPr>
              <w:t>Estimated homes served</w:t>
            </w:r>
          </w:p>
        </w:tc>
        <w:tc>
          <w:tcPr>
            <w:tcW w:w="2082" w:type="dxa"/>
            <w:vAlign w:val="center"/>
          </w:tcPr>
          <w:p w14:paraId="70E54343" w14:textId="77777777" w:rsidR="00CB32EA" w:rsidRPr="007E4263" w:rsidRDefault="008F76CA" w:rsidP="00A770B5">
            <w:pPr>
              <w:spacing w:after="0" w:line="240" w:lineRule="auto"/>
              <w:jc w:val="center"/>
              <w:rPr>
                <w:rFonts w:asciiTheme="minorHAnsi" w:hAnsiTheme="minorHAnsi" w:cs="Calibri"/>
              </w:rPr>
            </w:pPr>
            <w:r>
              <w:rPr>
                <w:rFonts w:asciiTheme="minorHAnsi" w:hAnsiTheme="minorHAnsi" w:cs="Calibri"/>
              </w:rPr>
              <w:t>20</w:t>
            </w:r>
            <w:r w:rsidR="00A770B5" w:rsidRPr="007E4263">
              <w:rPr>
                <w:rFonts w:asciiTheme="minorHAnsi" w:hAnsiTheme="minorHAnsi" w:cs="Calibri"/>
              </w:rPr>
              <w:t>-</w:t>
            </w:r>
            <w:r w:rsidR="00BC45BB" w:rsidRPr="007E4263">
              <w:rPr>
                <w:rFonts w:asciiTheme="minorHAnsi" w:hAnsiTheme="minorHAnsi" w:cs="Calibri"/>
              </w:rPr>
              <w:t>2</w:t>
            </w:r>
            <w:r w:rsidR="00A770B5" w:rsidRPr="007E4263">
              <w:rPr>
                <w:rFonts w:asciiTheme="minorHAnsi" w:hAnsiTheme="minorHAnsi" w:cs="Calibri"/>
              </w:rPr>
              <w:t>5</w:t>
            </w:r>
          </w:p>
        </w:tc>
      </w:tr>
      <w:tr w:rsidR="00CB32EA" w:rsidRPr="00A87A83" w14:paraId="70E54347" w14:textId="77777777" w:rsidTr="00693FBC">
        <w:trPr>
          <w:trHeight w:val="400"/>
        </w:trPr>
        <w:tc>
          <w:tcPr>
            <w:tcW w:w="4530" w:type="dxa"/>
            <w:vAlign w:val="center"/>
          </w:tcPr>
          <w:p w14:paraId="70E54345" w14:textId="77777777" w:rsidR="00CB32EA" w:rsidRPr="007E4263" w:rsidRDefault="00870A4C" w:rsidP="004E59E6">
            <w:pPr>
              <w:spacing w:after="0" w:line="240" w:lineRule="auto"/>
              <w:rPr>
                <w:rFonts w:asciiTheme="minorHAnsi" w:hAnsiTheme="minorHAnsi" w:cs="Calibri"/>
              </w:rPr>
            </w:pPr>
            <w:r w:rsidRPr="007E4263">
              <w:rPr>
                <w:rFonts w:asciiTheme="minorHAnsi" w:hAnsiTheme="minorHAnsi" w:cs="Calibri"/>
              </w:rPr>
              <w:t>Estimated Average Cost of Incentives per home</w:t>
            </w:r>
          </w:p>
        </w:tc>
        <w:tc>
          <w:tcPr>
            <w:tcW w:w="2082" w:type="dxa"/>
            <w:vAlign w:val="center"/>
          </w:tcPr>
          <w:p w14:paraId="70E54346" w14:textId="77777777" w:rsidR="00CB32EA" w:rsidRPr="007E4263" w:rsidRDefault="00870A4C" w:rsidP="002F795F">
            <w:pPr>
              <w:spacing w:after="0" w:line="240" w:lineRule="auto"/>
              <w:jc w:val="center"/>
              <w:rPr>
                <w:rFonts w:asciiTheme="minorHAnsi" w:hAnsiTheme="minorHAnsi" w:cs="Calibri"/>
              </w:rPr>
            </w:pPr>
            <w:r w:rsidRPr="007E4263">
              <w:rPr>
                <w:rFonts w:asciiTheme="minorHAnsi" w:hAnsiTheme="minorHAnsi" w:cs="Calibri"/>
              </w:rPr>
              <w:t>$</w:t>
            </w:r>
            <w:r w:rsidR="006315B0" w:rsidRPr="007E4263">
              <w:rPr>
                <w:rFonts w:asciiTheme="minorHAnsi" w:hAnsiTheme="minorHAnsi" w:cs="Calibri"/>
              </w:rPr>
              <w:t>5,</w:t>
            </w:r>
            <w:r w:rsidR="00EE0BA3">
              <w:rPr>
                <w:rFonts w:asciiTheme="minorHAnsi" w:hAnsiTheme="minorHAnsi" w:cs="Calibri"/>
              </w:rPr>
              <w:t>8</w:t>
            </w:r>
            <w:r w:rsidR="002F795F" w:rsidRPr="007E4263">
              <w:rPr>
                <w:rFonts w:asciiTheme="minorHAnsi" w:hAnsiTheme="minorHAnsi" w:cs="Calibri"/>
              </w:rPr>
              <w:t>00</w:t>
            </w:r>
            <w:r w:rsidR="004E59E6">
              <w:rPr>
                <w:rStyle w:val="FootnoteReference"/>
                <w:rFonts w:asciiTheme="minorHAnsi" w:hAnsiTheme="minorHAnsi"/>
              </w:rPr>
              <w:footnoteReference w:id="4"/>
            </w:r>
          </w:p>
        </w:tc>
      </w:tr>
      <w:tr w:rsidR="00CB32EA" w:rsidRPr="00A87A83" w14:paraId="70E5434A" w14:textId="77777777" w:rsidTr="00693FBC">
        <w:trPr>
          <w:trHeight w:val="400"/>
        </w:trPr>
        <w:tc>
          <w:tcPr>
            <w:tcW w:w="4530" w:type="dxa"/>
            <w:vAlign w:val="center"/>
          </w:tcPr>
          <w:p w14:paraId="70E54348" w14:textId="77777777" w:rsidR="00CB32EA" w:rsidRPr="007E4263" w:rsidRDefault="00870A4C" w:rsidP="00AD656B">
            <w:pPr>
              <w:spacing w:after="0" w:line="240" w:lineRule="auto"/>
              <w:rPr>
                <w:rFonts w:asciiTheme="minorHAnsi" w:hAnsiTheme="minorHAnsi" w:cs="Calibri"/>
              </w:rPr>
            </w:pPr>
            <w:r w:rsidRPr="007E4263">
              <w:rPr>
                <w:rFonts w:asciiTheme="minorHAnsi" w:hAnsiTheme="minorHAnsi" w:cs="Calibri"/>
              </w:rPr>
              <w:t xml:space="preserve">Maximum </w:t>
            </w:r>
            <w:r w:rsidR="0069202D">
              <w:rPr>
                <w:rFonts w:asciiTheme="minorHAnsi" w:hAnsiTheme="minorHAnsi" w:cs="Calibri"/>
              </w:rPr>
              <w:t>c</w:t>
            </w:r>
            <w:r w:rsidRPr="007E4263">
              <w:rPr>
                <w:rFonts w:asciiTheme="minorHAnsi" w:hAnsiTheme="minorHAnsi" w:cs="Calibri"/>
              </w:rPr>
              <w:t>ost per home ($</w:t>
            </w:r>
            <w:r w:rsidR="006315B0" w:rsidRPr="007E4263">
              <w:rPr>
                <w:rFonts w:asciiTheme="minorHAnsi" w:hAnsiTheme="minorHAnsi" w:cs="Calibri"/>
              </w:rPr>
              <w:t>5,</w:t>
            </w:r>
            <w:r w:rsidR="00EE0BA3">
              <w:rPr>
                <w:rFonts w:asciiTheme="minorHAnsi" w:hAnsiTheme="minorHAnsi" w:cs="Calibri"/>
              </w:rPr>
              <w:t>8</w:t>
            </w:r>
            <w:r w:rsidR="006315B0" w:rsidRPr="007E4263">
              <w:rPr>
                <w:rFonts w:asciiTheme="minorHAnsi" w:hAnsiTheme="minorHAnsi" w:cs="Calibri"/>
              </w:rPr>
              <w:t>00</w:t>
            </w:r>
            <w:r w:rsidRPr="007E4263">
              <w:rPr>
                <w:rFonts w:asciiTheme="minorHAnsi" w:hAnsiTheme="minorHAnsi" w:cs="Calibri"/>
              </w:rPr>
              <w:t xml:space="preserve"> incentives + $440 health, safety and repairs and $</w:t>
            </w:r>
            <w:r w:rsidR="001E4B1A">
              <w:rPr>
                <w:rFonts w:asciiTheme="minorHAnsi" w:hAnsiTheme="minorHAnsi" w:cs="Calibri"/>
              </w:rPr>
              <w:t>8</w:t>
            </w:r>
            <w:r w:rsidR="00AD656B">
              <w:rPr>
                <w:rFonts w:asciiTheme="minorHAnsi" w:hAnsiTheme="minorHAnsi" w:cs="Calibri"/>
              </w:rPr>
              <w:t>70</w:t>
            </w:r>
            <w:r w:rsidR="001E4B1A">
              <w:rPr>
                <w:rFonts w:asciiTheme="minorHAnsi" w:hAnsiTheme="minorHAnsi" w:cs="Calibri"/>
              </w:rPr>
              <w:t xml:space="preserve"> </w:t>
            </w:r>
            <w:r w:rsidRPr="007E4263">
              <w:rPr>
                <w:rFonts w:asciiTheme="minorHAnsi" w:hAnsiTheme="minorHAnsi" w:cs="Calibri"/>
              </w:rPr>
              <w:t>administration costs)</w:t>
            </w:r>
          </w:p>
        </w:tc>
        <w:tc>
          <w:tcPr>
            <w:tcW w:w="2082" w:type="dxa"/>
            <w:vAlign w:val="center"/>
          </w:tcPr>
          <w:p w14:paraId="70E54349" w14:textId="77777777" w:rsidR="00CB32EA" w:rsidRPr="007E4263" w:rsidRDefault="00870A4C" w:rsidP="00EE621B">
            <w:pPr>
              <w:tabs>
                <w:tab w:val="center" w:pos="4680"/>
                <w:tab w:val="right" w:pos="9360"/>
              </w:tabs>
              <w:spacing w:after="0" w:line="240" w:lineRule="auto"/>
              <w:jc w:val="center"/>
              <w:rPr>
                <w:rFonts w:asciiTheme="minorHAnsi" w:hAnsiTheme="minorHAnsi" w:cs="Calibri"/>
              </w:rPr>
            </w:pPr>
            <w:r w:rsidRPr="007E4263">
              <w:rPr>
                <w:rFonts w:asciiTheme="minorHAnsi" w:hAnsiTheme="minorHAnsi" w:cs="Calibri"/>
              </w:rPr>
              <w:t>$</w:t>
            </w:r>
            <w:r w:rsidR="00EE0BA3">
              <w:rPr>
                <w:rFonts w:asciiTheme="minorHAnsi" w:hAnsiTheme="minorHAnsi" w:cs="Calibri"/>
              </w:rPr>
              <w:t>7,110</w:t>
            </w:r>
          </w:p>
        </w:tc>
      </w:tr>
      <w:tr w:rsidR="00CB32EA" w:rsidRPr="00A87A83" w14:paraId="70E5434D" w14:textId="77777777" w:rsidTr="00914A46">
        <w:trPr>
          <w:trHeight w:val="647"/>
        </w:trPr>
        <w:tc>
          <w:tcPr>
            <w:tcW w:w="4530" w:type="dxa"/>
            <w:vAlign w:val="center"/>
          </w:tcPr>
          <w:p w14:paraId="70E5434B" w14:textId="77777777" w:rsidR="00CB32EA" w:rsidRPr="007E4263" w:rsidRDefault="00870A4C" w:rsidP="0069202D">
            <w:pPr>
              <w:tabs>
                <w:tab w:val="center" w:pos="4680"/>
                <w:tab w:val="right" w:pos="9360"/>
              </w:tabs>
              <w:spacing w:after="0" w:line="240" w:lineRule="auto"/>
              <w:rPr>
                <w:rFonts w:asciiTheme="minorHAnsi" w:hAnsiTheme="minorHAnsi" w:cs="Calibri"/>
              </w:rPr>
            </w:pPr>
            <w:r w:rsidRPr="007E4263">
              <w:rPr>
                <w:rFonts w:asciiTheme="minorHAnsi" w:hAnsiTheme="minorHAnsi" w:cs="Calibri"/>
              </w:rPr>
              <w:t xml:space="preserve">Maximum </w:t>
            </w:r>
            <w:r w:rsidR="0069202D">
              <w:rPr>
                <w:rFonts w:asciiTheme="minorHAnsi" w:hAnsiTheme="minorHAnsi" w:cs="Calibri"/>
              </w:rPr>
              <w:t>agency reimbursement</w:t>
            </w:r>
            <w:r w:rsidRPr="007E4263">
              <w:rPr>
                <w:rFonts w:asciiTheme="minorHAnsi" w:hAnsiTheme="minorHAnsi" w:cs="Calibri"/>
              </w:rPr>
              <w:t xml:space="preserve"> based on homes served</w:t>
            </w:r>
          </w:p>
        </w:tc>
        <w:tc>
          <w:tcPr>
            <w:tcW w:w="2082" w:type="dxa"/>
            <w:vAlign w:val="center"/>
          </w:tcPr>
          <w:p w14:paraId="70E5434C" w14:textId="77777777" w:rsidR="00CB32EA" w:rsidRPr="007E4263" w:rsidRDefault="00870A4C" w:rsidP="00914A46">
            <w:pPr>
              <w:tabs>
                <w:tab w:val="center" w:pos="4680"/>
                <w:tab w:val="right" w:pos="9360"/>
              </w:tabs>
              <w:spacing w:after="0" w:line="240" w:lineRule="auto"/>
              <w:jc w:val="center"/>
              <w:rPr>
                <w:rFonts w:asciiTheme="minorHAnsi" w:hAnsiTheme="minorHAnsi" w:cs="Calibri"/>
              </w:rPr>
            </w:pPr>
            <w:r w:rsidRPr="007E4263">
              <w:rPr>
                <w:rFonts w:asciiTheme="minorHAnsi" w:hAnsiTheme="minorHAnsi" w:cs="Calibri"/>
              </w:rPr>
              <w:t>$</w:t>
            </w:r>
            <w:r w:rsidR="00EE0BA3">
              <w:rPr>
                <w:rFonts w:asciiTheme="minorHAnsi" w:hAnsiTheme="minorHAnsi" w:cs="Calibri"/>
              </w:rPr>
              <w:t>142,200</w:t>
            </w:r>
            <w:r w:rsidR="0069202D">
              <w:rPr>
                <w:rFonts w:asciiTheme="minorHAnsi" w:hAnsiTheme="minorHAnsi" w:cs="Calibri"/>
              </w:rPr>
              <w:t xml:space="preserve"> </w:t>
            </w:r>
            <w:r w:rsidR="00A770B5" w:rsidRPr="007E4263">
              <w:rPr>
                <w:rFonts w:asciiTheme="minorHAnsi" w:hAnsiTheme="minorHAnsi" w:cs="Calibri"/>
              </w:rPr>
              <w:t xml:space="preserve">to </w:t>
            </w:r>
            <w:r w:rsidR="00CC7E1E" w:rsidRPr="007E4263">
              <w:rPr>
                <w:rFonts w:asciiTheme="minorHAnsi" w:hAnsiTheme="minorHAnsi" w:cs="Calibri"/>
              </w:rPr>
              <w:t>$</w:t>
            </w:r>
            <w:r w:rsidR="00EE0BA3">
              <w:rPr>
                <w:rFonts w:asciiTheme="minorHAnsi" w:hAnsiTheme="minorHAnsi" w:cs="Calibri"/>
              </w:rPr>
              <w:t>177,750</w:t>
            </w:r>
          </w:p>
        </w:tc>
      </w:tr>
      <w:tr w:rsidR="00CB32EA" w:rsidRPr="00A87A83" w14:paraId="70E54350" w14:textId="77777777" w:rsidTr="00693FBC">
        <w:trPr>
          <w:trHeight w:val="400"/>
        </w:trPr>
        <w:tc>
          <w:tcPr>
            <w:tcW w:w="4530" w:type="dxa"/>
            <w:vAlign w:val="center"/>
          </w:tcPr>
          <w:p w14:paraId="70E5434E" w14:textId="77777777" w:rsidR="00CB32EA" w:rsidRPr="005F49DF" w:rsidRDefault="00870A4C" w:rsidP="00500691">
            <w:pPr>
              <w:spacing w:after="0" w:line="240" w:lineRule="auto"/>
              <w:rPr>
                <w:rFonts w:asciiTheme="minorHAnsi" w:hAnsiTheme="minorHAnsi" w:cs="Calibri"/>
              </w:rPr>
            </w:pPr>
            <w:r w:rsidRPr="005F49DF">
              <w:rPr>
                <w:rFonts w:asciiTheme="minorHAnsi" w:hAnsiTheme="minorHAnsi" w:cs="Calibri"/>
              </w:rPr>
              <w:t>Estimated therms saved per home</w:t>
            </w:r>
          </w:p>
        </w:tc>
        <w:tc>
          <w:tcPr>
            <w:tcW w:w="2082" w:type="dxa"/>
            <w:vAlign w:val="center"/>
          </w:tcPr>
          <w:p w14:paraId="70E5434F" w14:textId="77777777" w:rsidR="00CB32EA" w:rsidRPr="005F49DF" w:rsidRDefault="00EE0BA3" w:rsidP="00500691">
            <w:pPr>
              <w:spacing w:after="0" w:line="240" w:lineRule="auto"/>
              <w:jc w:val="center"/>
              <w:rPr>
                <w:rFonts w:asciiTheme="minorHAnsi" w:hAnsiTheme="minorHAnsi" w:cs="Calibri"/>
              </w:rPr>
            </w:pPr>
            <w:r>
              <w:rPr>
                <w:rFonts w:asciiTheme="minorHAnsi" w:hAnsiTheme="minorHAnsi" w:cs="Calibri"/>
              </w:rPr>
              <w:t>366</w:t>
            </w:r>
          </w:p>
        </w:tc>
      </w:tr>
      <w:tr w:rsidR="00CB32EA" w:rsidRPr="00040AB6" w14:paraId="70E54353" w14:textId="77777777" w:rsidTr="00693FBC">
        <w:trPr>
          <w:trHeight w:val="400"/>
        </w:trPr>
        <w:tc>
          <w:tcPr>
            <w:tcW w:w="4530" w:type="dxa"/>
            <w:vAlign w:val="center"/>
          </w:tcPr>
          <w:p w14:paraId="70E54351" w14:textId="77777777" w:rsidR="00CB32EA" w:rsidRPr="005F49DF" w:rsidRDefault="00870A4C" w:rsidP="00570966">
            <w:pPr>
              <w:spacing w:after="0" w:line="240" w:lineRule="auto"/>
              <w:rPr>
                <w:rFonts w:asciiTheme="minorHAnsi" w:hAnsiTheme="minorHAnsi" w:cs="Calibri"/>
              </w:rPr>
            </w:pPr>
            <w:r w:rsidRPr="005F49DF">
              <w:rPr>
                <w:rFonts w:asciiTheme="minorHAnsi" w:hAnsiTheme="minorHAnsi" w:cs="Calibri"/>
              </w:rPr>
              <w:t>Total estimated therms saved</w:t>
            </w:r>
          </w:p>
        </w:tc>
        <w:tc>
          <w:tcPr>
            <w:tcW w:w="2082" w:type="dxa"/>
            <w:vAlign w:val="center"/>
          </w:tcPr>
          <w:p w14:paraId="70E54352" w14:textId="77777777" w:rsidR="00CB32EA" w:rsidRPr="00E02920" w:rsidRDefault="00EE0BA3" w:rsidP="0069202D">
            <w:pPr>
              <w:spacing w:after="0" w:line="240" w:lineRule="auto"/>
              <w:jc w:val="center"/>
              <w:rPr>
                <w:rFonts w:asciiTheme="minorHAnsi" w:hAnsiTheme="minorHAnsi" w:cs="Calibri"/>
              </w:rPr>
            </w:pPr>
            <w:r>
              <w:rPr>
                <w:rFonts w:asciiTheme="minorHAnsi" w:hAnsiTheme="minorHAnsi" w:cs="Calibri"/>
              </w:rPr>
              <w:t>7</w:t>
            </w:r>
            <w:r w:rsidR="0069202D">
              <w:rPr>
                <w:rFonts w:asciiTheme="minorHAnsi" w:hAnsiTheme="minorHAnsi" w:cs="Calibri"/>
              </w:rPr>
              <w:t>,</w:t>
            </w:r>
            <w:r>
              <w:rPr>
                <w:rFonts w:asciiTheme="minorHAnsi" w:hAnsiTheme="minorHAnsi" w:cs="Calibri"/>
              </w:rPr>
              <w:t>320</w:t>
            </w:r>
            <w:r w:rsidR="004E59E6">
              <w:rPr>
                <w:rFonts w:asciiTheme="minorHAnsi" w:hAnsiTheme="minorHAnsi" w:cs="Calibri"/>
              </w:rPr>
              <w:t xml:space="preserve"> to </w:t>
            </w:r>
            <w:r w:rsidR="0069202D">
              <w:rPr>
                <w:rFonts w:asciiTheme="minorHAnsi" w:hAnsiTheme="minorHAnsi" w:cs="Calibri"/>
              </w:rPr>
              <w:t>9,150</w:t>
            </w:r>
          </w:p>
        </w:tc>
      </w:tr>
      <w:tr w:rsidR="0069202D" w:rsidRPr="00040AB6" w14:paraId="70E54356" w14:textId="77777777" w:rsidTr="00800AFA">
        <w:trPr>
          <w:trHeight w:val="400"/>
        </w:trPr>
        <w:tc>
          <w:tcPr>
            <w:tcW w:w="4530" w:type="dxa"/>
          </w:tcPr>
          <w:p w14:paraId="70E54354" w14:textId="77777777" w:rsidR="0069202D" w:rsidRDefault="0069202D" w:rsidP="00570966">
            <w:pPr>
              <w:spacing w:after="0" w:line="240" w:lineRule="auto"/>
              <w:rPr>
                <w:rFonts w:asciiTheme="minorHAnsi" w:hAnsiTheme="minorHAnsi" w:cs="Calibri"/>
              </w:rPr>
            </w:pPr>
            <w:r w:rsidRPr="005A319D">
              <w:t xml:space="preserve">NWN program administrative costs (5% </w:t>
            </w:r>
            <w:r>
              <w:t xml:space="preserve">of reimbursed </w:t>
            </w:r>
            <w:r w:rsidRPr="005A319D">
              <w:t>agency expenditure</w:t>
            </w:r>
            <w:r>
              <w:t>s</w:t>
            </w:r>
            <w:r w:rsidRPr="005A319D">
              <w:t>)</w:t>
            </w:r>
          </w:p>
        </w:tc>
        <w:tc>
          <w:tcPr>
            <w:tcW w:w="2082" w:type="dxa"/>
          </w:tcPr>
          <w:p w14:paraId="70E54355" w14:textId="77777777" w:rsidR="0069202D" w:rsidRDefault="0069202D" w:rsidP="00EE621B">
            <w:pPr>
              <w:spacing w:after="0" w:line="240" w:lineRule="auto"/>
              <w:jc w:val="center"/>
              <w:rPr>
                <w:rFonts w:asciiTheme="minorHAnsi" w:hAnsiTheme="minorHAnsi" w:cs="Calibri"/>
              </w:rPr>
            </w:pPr>
            <w:r w:rsidRPr="005A319D">
              <w:t>$7,110 to $8,888</w:t>
            </w:r>
          </w:p>
        </w:tc>
      </w:tr>
      <w:tr w:rsidR="0069202D" w:rsidRPr="00040AB6" w14:paraId="70E54359" w14:textId="77777777" w:rsidTr="00914A46">
        <w:trPr>
          <w:trHeight w:val="260"/>
        </w:trPr>
        <w:tc>
          <w:tcPr>
            <w:tcW w:w="4530" w:type="dxa"/>
            <w:vAlign w:val="center"/>
          </w:tcPr>
          <w:p w14:paraId="70E54357" w14:textId="77777777" w:rsidR="0069202D" w:rsidRPr="005F49DF" w:rsidRDefault="0069202D" w:rsidP="00570966">
            <w:pPr>
              <w:spacing w:after="0" w:line="240" w:lineRule="auto"/>
              <w:rPr>
                <w:rFonts w:asciiTheme="minorHAnsi" w:hAnsiTheme="minorHAnsi" w:cs="Calibri"/>
              </w:rPr>
            </w:pPr>
            <w:r>
              <w:rPr>
                <w:rFonts w:asciiTheme="minorHAnsi" w:hAnsiTheme="minorHAnsi" w:cs="Calibri"/>
              </w:rPr>
              <w:t>Total WA-LIEE cost</w:t>
            </w:r>
          </w:p>
        </w:tc>
        <w:tc>
          <w:tcPr>
            <w:tcW w:w="2082" w:type="dxa"/>
            <w:vAlign w:val="center"/>
          </w:tcPr>
          <w:p w14:paraId="70E54358" w14:textId="77777777" w:rsidR="0069202D" w:rsidRDefault="0069202D" w:rsidP="00EE621B">
            <w:pPr>
              <w:spacing w:after="0" w:line="240" w:lineRule="auto"/>
              <w:jc w:val="center"/>
              <w:rPr>
                <w:rFonts w:asciiTheme="minorHAnsi" w:hAnsiTheme="minorHAnsi" w:cs="Calibri"/>
              </w:rPr>
            </w:pPr>
            <w:r>
              <w:rPr>
                <w:rFonts w:asciiTheme="minorHAnsi" w:hAnsiTheme="minorHAnsi" w:cs="Calibri"/>
              </w:rPr>
              <w:t>$149,310 to $186,638</w:t>
            </w:r>
          </w:p>
        </w:tc>
      </w:tr>
    </w:tbl>
    <w:bookmarkEnd w:id="2"/>
    <w:bookmarkEnd w:id="3"/>
    <w:p w14:paraId="70E5435A" w14:textId="77777777" w:rsidR="00357665" w:rsidRPr="008C4F4E" w:rsidRDefault="00870A4C" w:rsidP="00512699">
      <w:pPr>
        <w:pStyle w:val="ListParagraph"/>
        <w:numPr>
          <w:ilvl w:val="0"/>
          <w:numId w:val="9"/>
        </w:numPr>
        <w:spacing w:after="0" w:line="240" w:lineRule="auto"/>
        <w:ind w:left="720"/>
        <w:rPr>
          <w:rFonts w:asciiTheme="minorHAnsi" w:hAnsiTheme="minorHAnsi"/>
          <w:sz w:val="32"/>
          <w:szCs w:val="32"/>
        </w:rPr>
      </w:pPr>
      <w:r w:rsidRPr="008C4F4E">
        <w:rPr>
          <w:rFonts w:asciiTheme="minorHAnsi" w:hAnsiTheme="minorHAnsi"/>
          <w:sz w:val="32"/>
          <w:szCs w:val="32"/>
        </w:rPr>
        <w:t>201</w:t>
      </w:r>
      <w:r w:rsidR="003830E0" w:rsidRPr="008C4F4E">
        <w:rPr>
          <w:rFonts w:asciiTheme="minorHAnsi" w:hAnsiTheme="minorHAnsi"/>
          <w:sz w:val="32"/>
          <w:szCs w:val="32"/>
        </w:rPr>
        <w:t>7</w:t>
      </w:r>
      <w:r w:rsidRPr="008C4F4E">
        <w:rPr>
          <w:rFonts w:asciiTheme="minorHAnsi" w:hAnsiTheme="minorHAnsi"/>
          <w:sz w:val="32"/>
          <w:szCs w:val="32"/>
        </w:rPr>
        <w:t xml:space="preserve"> Budget and Funding Schedule</w:t>
      </w:r>
    </w:p>
    <w:p w14:paraId="70E5435B" w14:textId="77777777" w:rsidR="00476E02" w:rsidRPr="0038164D" w:rsidRDefault="00336934" w:rsidP="0038164D">
      <w:pPr>
        <w:pStyle w:val="ListParagraph"/>
        <w:spacing w:after="0" w:line="240" w:lineRule="auto"/>
        <w:rPr>
          <w:rFonts w:asciiTheme="minorHAnsi" w:hAnsiTheme="minorHAnsi"/>
          <w:sz w:val="24"/>
          <w:szCs w:val="24"/>
        </w:rPr>
      </w:pPr>
      <w:r w:rsidRPr="00040AB6">
        <w:rPr>
          <w:rFonts w:asciiTheme="minorHAnsi" w:hAnsiTheme="minorHAnsi"/>
          <w:sz w:val="24"/>
          <w:szCs w:val="24"/>
        </w:rPr>
        <w:t xml:space="preserve">Below is the </w:t>
      </w:r>
      <w:r w:rsidR="00EA2A1F" w:rsidRPr="00040AB6">
        <w:rPr>
          <w:rFonts w:asciiTheme="minorHAnsi" w:hAnsiTheme="minorHAnsi"/>
          <w:sz w:val="24"/>
          <w:szCs w:val="24"/>
        </w:rPr>
        <w:t>201</w:t>
      </w:r>
      <w:r w:rsidR="003830E0">
        <w:rPr>
          <w:rFonts w:asciiTheme="minorHAnsi" w:hAnsiTheme="minorHAnsi"/>
          <w:sz w:val="24"/>
          <w:szCs w:val="24"/>
        </w:rPr>
        <w:t>7</w:t>
      </w:r>
      <w:r w:rsidR="00EA2A1F" w:rsidRPr="00040AB6">
        <w:rPr>
          <w:rFonts w:asciiTheme="minorHAnsi" w:hAnsiTheme="minorHAnsi"/>
          <w:sz w:val="24"/>
          <w:szCs w:val="24"/>
        </w:rPr>
        <w:t xml:space="preserve"> </w:t>
      </w:r>
      <w:r w:rsidR="00476E02" w:rsidRPr="00040AB6">
        <w:rPr>
          <w:rFonts w:asciiTheme="minorHAnsi" w:hAnsiTheme="minorHAnsi"/>
          <w:sz w:val="24"/>
          <w:szCs w:val="24"/>
        </w:rPr>
        <w:t>budget for the residential and commercial energy efficiency programs</w:t>
      </w:r>
      <w:r w:rsidR="003E3683" w:rsidRPr="00040AB6">
        <w:rPr>
          <w:rFonts w:asciiTheme="minorHAnsi" w:hAnsiTheme="minorHAnsi"/>
          <w:sz w:val="24"/>
          <w:szCs w:val="24"/>
        </w:rPr>
        <w:t>, NEEA gas market transformation</w:t>
      </w:r>
      <w:r w:rsidR="002A7E24" w:rsidRPr="00040AB6">
        <w:rPr>
          <w:rFonts w:asciiTheme="minorHAnsi" w:hAnsiTheme="minorHAnsi"/>
          <w:sz w:val="24"/>
          <w:szCs w:val="24"/>
        </w:rPr>
        <w:t>,</w:t>
      </w:r>
      <w:r w:rsidR="003E3683" w:rsidRPr="00040AB6">
        <w:rPr>
          <w:rFonts w:asciiTheme="minorHAnsi" w:hAnsiTheme="minorHAnsi"/>
          <w:sz w:val="24"/>
          <w:szCs w:val="24"/>
        </w:rPr>
        <w:t xml:space="preserve"> </w:t>
      </w:r>
      <w:r w:rsidR="00476E02" w:rsidRPr="00040AB6">
        <w:rPr>
          <w:rFonts w:asciiTheme="minorHAnsi" w:hAnsiTheme="minorHAnsi"/>
          <w:sz w:val="24"/>
          <w:szCs w:val="24"/>
        </w:rPr>
        <w:t>and the WA-LIEE program.</w:t>
      </w:r>
      <w:r w:rsidR="00F2499C">
        <w:rPr>
          <w:rFonts w:asciiTheme="minorHAnsi" w:hAnsiTheme="minorHAnsi"/>
          <w:sz w:val="24"/>
          <w:szCs w:val="24"/>
        </w:rPr>
        <w:t xml:space="preserve"> </w:t>
      </w:r>
      <w:r w:rsidR="004E59E6">
        <w:rPr>
          <w:rFonts w:asciiTheme="minorHAnsi" w:hAnsiTheme="minorHAnsi"/>
          <w:sz w:val="24"/>
          <w:szCs w:val="24"/>
        </w:rPr>
        <w:t xml:space="preserve"> </w:t>
      </w:r>
      <w:r w:rsidR="008320C8" w:rsidRPr="00A87361">
        <w:rPr>
          <w:rFonts w:asciiTheme="minorHAnsi" w:hAnsiTheme="minorHAnsi"/>
          <w:sz w:val="24"/>
          <w:szCs w:val="24"/>
        </w:rPr>
        <w:t xml:space="preserve">The </w:t>
      </w:r>
      <w:r w:rsidR="008320C8" w:rsidRPr="008320C8">
        <w:rPr>
          <w:rFonts w:asciiTheme="minorHAnsi" w:hAnsiTheme="minorHAnsi"/>
          <w:sz w:val="24"/>
          <w:szCs w:val="24"/>
        </w:rPr>
        <w:t xml:space="preserve">budget includes </w:t>
      </w:r>
      <w:r w:rsidR="00F2499C" w:rsidRPr="008320C8">
        <w:rPr>
          <w:rFonts w:asciiTheme="minorHAnsi" w:hAnsiTheme="minorHAnsi"/>
          <w:sz w:val="24"/>
          <w:szCs w:val="24"/>
        </w:rPr>
        <w:t>Energy Trust</w:t>
      </w:r>
      <w:r w:rsidR="00A02644">
        <w:rPr>
          <w:rFonts w:asciiTheme="minorHAnsi" w:hAnsiTheme="minorHAnsi"/>
          <w:sz w:val="24"/>
          <w:szCs w:val="24"/>
        </w:rPr>
        <w:t xml:space="preserve"> and WA-LIEE</w:t>
      </w:r>
      <w:r w:rsidR="00F2499C" w:rsidRPr="008320C8">
        <w:rPr>
          <w:rFonts w:asciiTheme="minorHAnsi" w:hAnsiTheme="minorHAnsi"/>
          <w:sz w:val="24"/>
          <w:szCs w:val="24"/>
        </w:rPr>
        <w:t xml:space="preserve"> administrative costs</w:t>
      </w:r>
      <w:r w:rsidR="008320C8" w:rsidRPr="008320C8">
        <w:rPr>
          <w:rFonts w:asciiTheme="minorHAnsi" w:hAnsiTheme="minorHAnsi"/>
          <w:sz w:val="24"/>
          <w:szCs w:val="24"/>
        </w:rPr>
        <w:t>,</w:t>
      </w:r>
      <w:r w:rsidR="00F2499C" w:rsidRPr="008320C8">
        <w:rPr>
          <w:rFonts w:asciiTheme="minorHAnsi" w:hAnsiTheme="minorHAnsi"/>
          <w:sz w:val="24"/>
          <w:szCs w:val="24"/>
        </w:rPr>
        <w:t xml:space="preserve"> but </w:t>
      </w:r>
      <w:r w:rsidR="00A87361">
        <w:rPr>
          <w:rFonts w:asciiTheme="minorHAnsi" w:hAnsiTheme="minorHAnsi"/>
          <w:sz w:val="24"/>
          <w:szCs w:val="24"/>
        </w:rPr>
        <w:t>does not include</w:t>
      </w:r>
      <w:r w:rsidR="00A02644">
        <w:rPr>
          <w:rFonts w:asciiTheme="minorHAnsi" w:hAnsiTheme="minorHAnsi"/>
          <w:sz w:val="24"/>
          <w:szCs w:val="24"/>
        </w:rPr>
        <w:t xml:space="preserve"> any other</w:t>
      </w:r>
      <w:r w:rsidR="00F2499C" w:rsidRPr="008320C8">
        <w:rPr>
          <w:rFonts w:asciiTheme="minorHAnsi" w:hAnsiTheme="minorHAnsi"/>
          <w:sz w:val="24"/>
          <w:szCs w:val="24"/>
        </w:rPr>
        <w:t xml:space="preserve"> NW Natural administrative costs. </w:t>
      </w:r>
    </w:p>
    <w:p w14:paraId="70E5435C" w14:textId="77777777" w:rsidR="00614BC3" w:rsidRPr="00040AB6" w:rsidRDefault="00614BC3" w:rsidP="003A1FAE">
      <w:pPr>
        <w:pStyle w:val="ListParagraph"/>
        <w:spacing w:after="0" w:line="240" w:lineRule="auto"/>
        <w:rPr>
          <w:rFonts w:asciiTheme="minorHAnsi" w:hAnsiTheme="minorHAnsi"/>
          <w:sz w:val="24"/>
          <w:szCs w:val="24"/>
        </w:rPr>
      </w:pPr>
    </w:p>
    <w:p w14:paraId="70E5435D" w14:textId="77777777" w:rsidR="00737F45" w:rsidRDefault="00737F45" w:rsidP="00737F45">
      <w:pPr>
        <w:pStyle w:val="Caption"/>
        <w:keepNext/>
      </w:pPr>
      <w:r>
        <w:t xml:space="preserve">Table </w:t>
      </w:r>
      <w:fldSimple w:instr=" SEQ Table \* ARABIC ">
        <w:r w:rsidR="00136AA4">
          <w:rPr>
            <w:noProof/>
          </w:rPr>
          <w:t>3</w:t>
        </w:r>
      </w:fldSimple>
      <w:r>
        <w:t xml:space="preserve">: </w:t>
      </w:r>
      <w:r w:rsidRPr="00F73A3B">
        <w:t>Expenses by program</w:t>
      </w:r>
    </w:p>
    <w:tbl>
      <w:tblPr>
        <w:tblW w:w="6728" w:type="dxa"/>
        <w:tblInd w:w="828" w:type="dxa"/>
        <w:tblLook w:val="04A0" w:firstRow="1" w:lastRow="0" w:firstColumn="1" w:lastColumn="0" w:noHBand="0" w:noVBand="1"/>
      </w:tblPr>
      <w:tblGrid>
        <w:gridCol w:w="1960"/>
        <w:gridCol w:w="2388"/>
        <w:gridCol w:w="2380"/>
      </w:tblGrid>
      <w:tr w:rsidR="002B22E3" w:rsidRPr="00040AB6" w14:paraId="70E54361" w14:textId="77777777" w:rsidTr="00AC364B">
        <w:trPr>
          <w:trHeight w:val="300"/>
        </w:trPr>
        <w:tc>
          <w:tcPr>
            <w:tcW w:w="1960" w:type="dxa"/>
            <w:tcBorders>
              <w:top w:val="single" w:sz="4" w:space="0" w:color="auto"/>
              <w:left w:val="single" w:sz="4" w:space="0" w:color="auto"/>
              <w:bottom w:val="nil"/>
              <w:right w:val="single" w:sz="4" w:space="0" w:color="auto"/>
            </w:tcBorders>
            <w:shd w:val="clear" w:color="auto" w:fill="auto"/>
            <w:vAlign w:val="bottom"/>
            <w:hideMark/>
          </w:tcPr>
          <w:p w14:paraId="70E5435E" w14:textId="77777777" w:rsidR="002B22E3" w:rsidRPr="00040AB6" w:rsidRDefault="002B22E3" w:rsidP="002B22E3">
            <w:pPr>
              <w:spacing w:after="0" w:line="240" w:lineRule="auto"/>
              <w:rPr>
                <w:rFonts w:asciiTheme="minorHAnsi" w:hAnsiTheme="minorHAnsi"/>
                <w:b/>
                <w:bCs/>
                <w:color w:val="000000"/>
              </w:rPr>
            </w:pPr>
            <w:r w:rsidRPr="00040AB6">
              <w:rPr>
                <w:rFonts w:asciiTheme="minorHAnsi" w:hAnsiTheme="minorHAnsi"/>
                <w:b/>
                <w:bCs/>
                <w:color w:val="000000"/>
              </w:rPr>
              <w:t>Range</w:t>
            </w:r>
          </w:p>
        </w:tc>
        <w:tc>
          <w:tcPr>
            <w:tcW w:w="2388" w:type="dxa"/>
            <w:tcBorders>
              <w:top w:val="single" w:sz="4" w:space="0" w:color="auto"/>
              <w:left w:val="nil"/>
              <w:bottom w:val="nil"/>
              <w:right w:val="single" w:sz="4" w:space="0" w:color="auto"/>
            </w:tcBorders>
            <w:shd w:val="clear" w:color="auto" w:fill="auto"/>
            <w:vAlign w:val="bottom"/>
            <w:hideMark/>
          </w:tcPr>
          <w:p w14:paraId="70E5435F" w14:textId="77777777" w:rsidR="002B22E3" w:rsidRPr="00040AB6" w:rsidRDefault="002B22E3" w:rsidP="002B22E3">
            <w:pPr>
              <w:spacing w:after="0" w:line="240" w:lineRule="auto"/>
              <w:rPr>
                <w:rFonts w:asciiTheme="minorHAnsi" w:hAnsiTheme="minorHAnsi"/>
                <w:b/>
                <w:bCs/>
                <w:color w:val="000000"/>
              </w:rPr>
            </w:pPr>
            <w:r w:rsidRPr="00040AB6">
              <w:rPr>
                <w:rFonts w:asciiTheme="minorHAnsi" w:hAnsiTheme="minorHAnsi"/>
                <w:b/>
                <w:bCs/>
                <w:color w:val="000000"/>
              </w:rPr>
              <w:t>Low</w:t>
            </w:r>
          </w:p>
        </w:tc>
        <w:tc>
          <w:tcPr>
            <w:tcW w:w="2380" w:type="dxa"/>
            <w:tcBorders>
              <w:top w:val="single" w:sz="4" w:space="0" w:color="auto"/>
              <w:left w:val="nil"/>
              <w:bottom w:val="nil"/>
              <w:right w:val="single" w:sz="4" w:space="0" w:color="auto"/>
            </w:tcBorders>
            <w:shd w:val="clear" w:color="auto" w:fill="auto"/>
            <w:vAlign w:val="bottom"/>
            <w:hideMark/>
          </w:tcPr>
          <w:p w14:paraId="70E54360" w14:textId="77777777" w:rsidR="002B22E3" w:rsidRPr="00040AB6" w:rsidRDefault="002B22E3" w:rsidP="002B22E3">
            <w:pPr>
              <w:spacing w:after="0" w:line="240" w:lineRule="auto"/>
              <w:rPr>
                <w:rFonts w:asciiTheme="minorHAnsi" w:hAnsiTheme="minorHAnsi"/>
                <w:b/>
                <w:bCs/>
                <w:color w:val="000000"/>
              </w:rPr>
            </w:pPr>
            <w:r w:rsidRPr="00040AB6">
              <w:rPr>
                <w:rFonts w:asciiTheme="minorHAnsi" w:hAnsiTheme="minorHAnsi"/>
                <w:b/>
                <w:bCs/>
                <w:color w:val="000000"/>
              </w:rPr>
              <w:t>High</w:t>
            </w:r>
          </w:p>
        </w:tc>
      </w:tr>
      <w:tr w:rsidR="002B22E3" w:rsidRPr="00040AB6" w14:paraId="70E54365" w14:textId="77777777" w:rsidTr="00AC364B">
        <w:trPr>
          <w:trHeight w:val="300"/>
        </w:trPr>
        <w:tc>
          <w:tcPr>
            <w:tcW w:w="1960" w:type="dxa"/>
            <w:tcBorders>
              <w:top w:val="single" w:sz="4" w:space="0" w:color="auto"/>
              <w:left w:val="single" w:sz="4" w:space="0" w:color="auto"/>
              <w:bottom w:val="single" w:sz="4" w:space="0" w:color="auto"/>
              <w:right w:val="nil"/>
            </w:tcBorders>
            <w:shd w:val="clear" w:color="auto" w:fill="auto"/>
            <w:vAlign w:val="bottom"/>
            <w:hideMark/>
          </w:tcPr>
          <w:p w14:paraId="70E54362" w14:textId="77777777" w:rsidR="002B22E3" w:rsidRPr="00040AB6" w:rsidRDefault="002B22E3" w:rsidP="002B22E3">
            <w:pPr>
              <w:spacing w:after="0" w:line="240" w:lineRule="auto"/>
              <w:rPr>
                <w:rFonts w:asciiTheme="minorHAnsi" w:hAnsiTheme="minorHAnsi"/>
                <w:b/>
                <w:bCs/>
                <w:color w:val="000000"/>
              </w:rPr>
            </w:pPr>
            <w:r w:rsidRPr="00040AB6">
              <w:rPr>
                <w:rFonts w:asciiTheme="minorHAnsi" w:hAnsiTheme="minorHAnsi"/>
                <w:b/>
                <w:bCs/>
                <w:color w:val="000000"/>
              </w:rPr>
              <w:t>Commercial</w:t>
            </w:r>
          </w:p>
        </w:tc>
        <w:tc>
          <w:tcPr>
            <w:tcW w:w="2388" w:type="dxa"/>
            <w:tcBorders>
              <w:top w:val="single" w:sz="4" w:space="0" w:color="auto"/>
              <w:left w:val="nil"/>
              <w:bottom w:val="single" w:sz="4" w:space="0" w:color="auto"/>
              <w:right w:val="nil"/>
            </w:tcBorders>
            <w:shd w:val="clear" w:color="auto" w:fill="auto"/>
            <w:vAlign w:val="bottom"/>
            <w:hideMark/>
          </w:tcPr>
          <w:p w14:paraId="70E54363" w14:textId="77777777" w:rsidR="002B22E3" w:rsidRPr="00040AB6" w:rsidRDefault="002B22E3" w:rsidP="002B22E3">
            <w:pPr>
              <w:spacing w:after="0" w:line="240" w:lineRule="auto"/>
              <w:rPr>
                <w:rFonts w:asciiTheme="minorHAnsi" w:hAnsiTheme="minorHAnsi"/>
                <w:color w:val="000000"/>
              </w:rPr>
            </w:pPr>
            <w:r w:rsidRPr="00040AB6">
              <w:rPr>
                <w:rFonts w:asciiTheme="minorHAnsi" w:hAnsiTheme="minorHAnsi"/>
                <w:color w:val="000000"/>
              </w:rPr>
              <w:t> </w:t>
            </w:r>
          </w:p>
        </w:tc>
        <w:tc>
          <w:tcPr>
            <w:tcW w:w="2380" w:type="dxa"/>
            <w:tcBorders>
              <w:top w:val="single" w:sz="4" w:space="0" w:color="auto"/>
              <w:left w:val="nil"/>
              <w:bottom w:val="single" w:sz="4" w:space="0" w:color="auto"/>
              <w:right w:val="single" w:sz="4" w:space="0" w:color="auto"/>
            </w:tcBorders>
            <w:shd w:val="clear" w:color="auto" w:fill="auto"/>
            <w:vAlign w:val="bottom"/>
            <w:hideMark/>
          </w:tcPr>
          <w:p w14:paraId="70E54364" w14:textId="77777777" w:rsidR="002B22E3" w:rsidRPr="00040AB6" w:rsidRDefault="002B22E3" w:rsidP="002B22E3">
            <w:pPr>
              <w:spacing w:after="0" w:line="240" w:lineRule="auto"/>
              <w:rPr>
                <w:rFonts w:asciiTheme="minorHAnsi" w:hAnsiTheme="minorHAnsi"/>
                <w:color w:val="000000"/>
              </w:rPr>
            </w:pPr>
            <w:r w:rsidRPr="00040AB6">
              <w:rPr>
                <w:rFonts w:asciiTheme="minorHAnsi" w:hAnsiTheme="minorHAnsi"/>
                <w:color w:val="000000"/>
              </w:rPr>
              <w:t> </w:t>
            </w:r>
          </w:p>
        </w:tc>
      </w:tr>
      <w:tr w:rsidR="002B22E3" w:rsidRPr="00040AB6" w14:paraId="70E54369" w14:textId="77777777" w:rsidTr="00AC364B">
        <w:trPr>
          <w:trHeight w:val="300"/>
        </w:trPr>
        <w:tc>
          <w:tcPr>
            <w:tcW w:w="1960" w:type="dxa"/>
            <w:tcBorders>
              <w:top w:val="nil"/>
              <w:left w:val="single" w:sz="4" w:space="0" w:color="auto"/>
              <w:bottom w:val="nil"/>
              <w:right w:val="single" w:sz="4" w:space="0" w:color="auto"/>
            </w:tcBorders>
            <w:shd w:val="clear" w:color="auto" w:fill="auto"/>
            <w:vAlign w:val="bottom"/>
            <w:hideMark/>
          </w:tcPr>
          <w:p w14:paraId="70E54366" w14:textId="77777777" w:rsidR="002B22E3" w:rsidRPr="00040AB6" w:rsidRDefault="002B22E3" w:rsidP="002B22E3">
            <w:pPr>
              <w:spacing w:after="0" w:line="240" w:lineRule="auto"/>
              <w:rPr>
                <w:rFonts w:asciiTheme="minorHAnsi" w:hAnsiTheme="minorHAnsi"/>
                <w:color w:val="000000"/>
              </w:rPr>
            </w:pPr>
            <w:r w:rsidRPr="00040AB6">
              <w:rPr>
                <w:rFonts w:asciiTheme="minorHAnsi" w:hAnsiTheme="minorHAnsi"/>
                <w:color w:val="000000"/>
              </w:rPr>
              <w:t>Retrofit</w:t>
            </w:r>
          </w:p>
        </w:tc>
        <w:tc>
          <w:tcPr>
            <w:tcW w:w="2388" w:type="dxa"/>
            <w:tcBorders>
              <w:top w:val="nil"/>
              <w:left w:val="nil"/>
              <w:bottom w:val="nil"/>
              <w:right w:val="single" w:sz="4" w:space="0" w:color="auto"/>
            </w:tcBorders>
            <w:shd w:val="clear" w:color="auto" w:fill="auto"/>
            <w:vAlign w:val="bottom"/>
            <w:hideMark/>
          </w:tcPr>
          <w:p w14:paraId="70E54367" w14:textId="77777777" w:rsidR="002B22E3" w:rsidRPr="00A12F86" w:rsidRDefault="002B22E3" w:rsidP="005F6B35">
            <w:pPr>
              <w:spacing w:after="0" w:line="240" w:lineRule="auto"/>
              <w:jc w:val="right"/>
              <w:rPr>
                <w:rFonts w:asciiTheme="minorHAnsi" w:hAnsiTheme="minorHAnsi"/>
              </w:rPr>
            </w:pPr>
            <w:r w:rsidRPr="00A12F86">
              <w:rPr>
                <w:rFonts w:asciiTheme="minorHAnsi" w:hAnsiTheme="minorHAnsi"/>
              </w:rPr>
              <w:t>$</w:t>
            </w:r>
            <w:r w:rsidR="00A6196C">
              <w:rPr>
                <w:rFonts w:asciiTheme="minorHAnsi" w:hAnsiTheme="minorHAnsi"/>
              </w:rPr>
              <w:t>720,347</w:t>
            </w:r>
          </w:p>
        </w:tc>
        <w:tc>
          <w:tcPr>
            <w:tcW w:w="2380" w:type="dxa"/>
            <w:tcBorders>
              <w:top w:val="nil"/>
              <w:left w:val="nil"/>
              <w:bottom w:val="nil"/>
              <w:right w:val="single" w:sz="4" w:space="0" w:color="auto"/>
            </w:tcBorders>
            <w:shd w:val="clear" w:color="auto" w:fill="auto"/>
            <w:vAlign w:val="bottom"/>
            <w:hideMark/>
          </w:tcPr>
          <w:p w14:paraId="70E54368" w14:textId="77777777" w:rsidR="002B22E3" w:rsidRPr="00A12F86" w:rsidRDefault="002B22E3" w:rsidP="00A12F86">
            <w:pPr>
              <w:spacing w:after="0" w:line="240" w:lineRule="auto"/>
              <w:jc w:val="right"/>
              <w:rPr>
                <w:rFonts w:asciiTheme="minorHAnsi" w:hAnsiTheme="minorHAnsi"/>
              </w:rPr>
            </w:pPr>
            <w:r w:rsidRPr="00A12F86">
              <w:rPr>
                <w:rFonts w:asciiTheme="minorHAnsi" w:hAnsiTheme="minorHAnsi"/>
              </w:rPr>
              <w:t>$</w:t>
            </w:r>
            <w:r w:rsidR="00A6196C">
              <w:rPr>
                <w:rFonts w:asciiTheme="minorHAnsi" w:hAnsiTheme="minorHAnsi"/>
              </w:rPr>
              <w:t>847,499</w:t>
            </w:r>
          </w:p>
        </w:tc>
      </w:tr>
      <w:tr w:rsidR="002B22E3" w:rsidRPr="00040AB6" w14:paraId="70E5436D" w14:textId="77777777" w:rsidTr="00AC364B">
        <w:trPr>
          <w:trHeight w:val="300"/>
        </w:trPr>
        <w:tc>
          <w:tcPr>
            <w:tcW w:w="1960" w:type="dxa"/>
            <w:tcBorders>
              <w:top w:val="single" w:sz="4" w:space="0" w:color="auto"/>
              <w:left w:val="single" w:sz="4" w:space="0" w:color="auto"/>
              <w:bottom w:val="single" w:sz="4" w:space="0" w:color="auto"/>
              <w:right w:val="nil"/>
            </w:tcBorders>
            <w:shd w:val="clear" w:color="auto" w:fill="auto"/>
            <w:vAlign w:val="bottom"/>
            <w:hideMark/>
          </w:tcPr>
          <w:p w14:paraId="70E5436A" w14:textId="77777777" w:rsidR="002B22E3" w:rsidRPr="00040AB6" w:rsidRDefault="002B22E3" w:rsidP="002B22E3">
            <w:pPr>
              <w:spacing w:after="0" w:line="240" w:lineRule="auto"/>
              <w:rPr>
                <w:rFonts w:asciiTheme="minorHAnsi" w:hAnsiTheme="minorHAnsi"/>
                <w:b/>
                <w:bCs/>
                <w:color w:val="000000"/>
              </w:rPr>
            </w:pPr>
            <w:r w:rsidRPr="00040AB6">
              <w:rPr>
                <w:rFonts w:asciiTheme="minorHAnsi" w:hAnsiTheme="minorHAnsi"/>
                <w:b/>
                <w:bCs/>
                <w:color w:val="000000"/>
              </w:rPr>
              <w:t>Residential</w:t>
            </w:r>
          </w:p>
        </w:tc>
        <w:tc>
          <w:tcPr>
            <w:tcW w:w="2388" w:type="dxa"/>
            <w:tcBorders>
              <w:top w:val="single" w:sz="4" w:space="0" w:color="auto"/>
              <w:left w:val="nil"/>
              <w:bottom w:val="single" w:sz="4" w:space="0" w:color="auto"/>
              <w:right w:val="nil"/>
            </w:tcBorders>
            <w:shd w:val="clear" w:color="auto" w:fill="auto"/>
            <w:vAlign w:val="bottom"/>
            <w:hideMark/>
          </w:tcPr>
          <w:p w14:paraId="70E5436B" w14:textId="77777777" w:rsidR="002B22E3" w:rsidRPr="00A12F86" w:rsidRDefault="002B22E3" w:rsidP="002B22E3">
            <w:pPr>
              <w:spacing w:after="0" w:line="240" w:lineRule="auto"/>
              <w:rPr>
                <w:rFonts w:asciiTheme="minorHAnsi" w:hAnsiTheme="minorHAnsi"/>
              </w:rPr>
            </w:pPr>
            <w:r w:rsidRPr="00A12F86">
              <w:rPr>
                <w:rFonts w:asciiTheme="minorHAnsi" w:hAnsiTheme="minorHAnsi"/>
              </w:rPr>
              <w:t> </w:t>
            </w:r>
          </w:p>
        </w:tc>
        <w:tc>
          <w:tcPr>
            <w:tcW w:w="2380" w:type="dxa"/>
            <w:tcBorders>
              <w:top w:val="single" w:sz="4" w:space="0" w:color="auto"/>
              <w:left w:val="nil"/>
              <w:bottom w:val="single" w:sz="4" w:space="0" w:color="auto"/>
              <w:right w:val="single" w:sz="4" w:space="0" w:color="auto"/>
            </w:tcBorders>
            <w:shd w:val="clear" w:color="auto" w:fill="auto"/>
            <w:vAlign w:val="bottom"/>
            <w:hideMark/>
          </w:tcPr>
          <w:p w14:paraId="70E5436C" w14:textId="77777777" w:rsidR="002B22E3" w:rsidRPr="00A12F86" w:rsidRDefault="002B22E3" w:rsidP="002B22E3">
            <w:pPr>
              <w:spacing w:after="0" w:line="240" w:lineRule="auto"/>
              <w:rPr>
                <w:rFonts w:asciiTheme="minorHAnsi" w:hAnsiTheme="minorHAnsi"/>
              </w:rPr>
            </w:pPr>
            <w:r w:rsidRPr="00A12F86">
              <w:rPr>
                <w:rFonts w:asciiTheme="minorHAnsi" w:hAnsiTheme="minorHAnsi"/>
              </w:rPr>
              <w:t> </w:t>
            </w:r>
          </w:p>
        </w:tc>
      </w:tr>
      <w:tr w:rsidR="002B22E3" w:rsidRPr="00040AB6" w14:paraId="70E54371" w14:textId="77777777" w:rsidTr="00AC364B">
        <w:trPr>
          <w:trHeight w:val="300"/>
        </w:trPr>
        <w:tc>
          <w:tcPr>
            <w:tcW w:w="1960" w:type="dxa"/>
            <w:tcBorders>
              <w:top w:val="nil"/>
              <w:left w:val="single" w:sz="4" w:space="0" w:color="auto"/>
              <w:bottom w:val="single" w:sz="4" w:space="0" w:color="auto"/>
              <w:right w:val="single" w:sz="4" w:space="0" w:color="auto"/>
            </w:tcBorders>
            <w:shd w:val="clear" w:color="auto" w:fill="auto"/>
            <w:vAlign w:val="bottom"/>
            <w:hideMark/>
          </w:tcPr>
          <w:p w14:paraId="70E5436E" w14:textId="77777777" w:rsidR="002B22E3" w:rsidRPr="00040AB6" w:rsidRDefault="002B22E3" w:rsidP="002B22E3">
            <w:pPr>
              <w:spacing w:after="0" w:line="240" w:lineRule="auto"/>
              <w:rPr>
                <w:rFonts w:asciiTheme="minorHAnsi" w:hAnsiTheme="minorHAnsi"/>
                <w:color w:val="000000"/>
              </w:rPr>
            </w:pPr>
            <w:r w:rsidRPr="00040AB6">
              <w:rPr>
                <w:rFonts w:asciiTheme="minorHAnsi" w:hAnsiTheme="minorHAnsi"/>
                <w:color w:val="000000"/>
              </w:rPr>
              <w:t>Retrofit</w:t>
            </w:r>
          </w:p>
        </w:tc>
        <w:tc>
          <w:tcPr>
            <w:tcW w:w="2388" w:type="dxa"/>
            <w:tcBorders>
              <w:top w:val="nil"/>
              <w:left w:val="nil"/>
              <w:bottom w:val="single" w:sz="4" w:space="0" w:color="auto"/>
              <w:right w:val="single" w:sz="4" w:space="0" w:color="auto"/>
            </w:tcBorders>
            <w:shd w:val="clear" w:color="auto" w:fill="auto"/>
            <w:vAlign w:val="bottom"/>
            <w:hideMark/>
          </w:tcPr>
          <w:p w14:paraId="70E5436F" w14:textId="77777777" w:rsidR="002B22E3" w:rsidRPr="00A12F86" w:rsidRDefault="002B22E3" w:rsidP="005F6B35">
            <w:pPr>
              <w:spacing w:after="0" w:line="240" w:lineRule="auto"/>
              <w:jc w:val="right"/>
              <w:rPr>
                <w:rFonts w:asciiTheme="minorHAnsi" w:hAnsiTheme="minorHAnsi"/>
              </w:rPr>
            </w:pPr>
            <w:r w:rsidRPr="00A12F86">
              <w:rPr>
                <w:rFonts w:asciiTheme="minorHAnsi" w:hAnsiTheme="minorHAnsi"/>
              </w:rPr>
              <w:t>$</w:t>
            </w:r>
            <w:r w:rsidR="00A6196C">
              <w:rPr>
                <w:rFonts w:asciiTheme="minorHAnsi" w:hAnsiTheme="minorHAnsi"/>
              </w:rPr>
              <w:t>454,685</w:t>
            </w:r>
          </w:p>
        </w:tc>
        <w:tc>
          <w:tcPr>
            <w:tcW w:w="2380" w:type="dxa"/>
            <w:tcBorders>
              <w:top w:val="nil"/>
              <w:left w:val="nil"/>
              <w:bottom w:val="single" w:sz="4" w:space="0" w:color="auto"/>
              <w:right w:val="single" w:sz="4" w:space="0" w:color="auto"/>
            </w:tcBorders>
            <w:shd w:val="clear" w:color="auto" w:fill="auto"/>
            <w:vAlign w:val="bottom"/>
            <w:hideMark/>
          </w:tcPr>
          <w:p w14:paraId="70E54370" w14:textId="77777777" w:rsidR="002B22E3" w:rsidRPr="00A12F86" w:rsidRDefault="002B22E3" w:rsidP="00A12F86">
            <w:pPr>
              <w:spacing w:after="0" w:line="240" w:lineRule="auto"/>
              <w:jc w:val="right"/>
              <w:rPr>
                <w:rFonts w:asciiTheme="minorHAnsi" w:hAnsiTheme="minorHAnsi"/>
              </w:rPr>
            </w:pPr>
            <w:r w:rsidRPr="00A12F86">
              <w:rPr>
                <w:rFonts w:asciiTheme="minorHAnsi" w:hAnsiTheme="minorHAnsi"/>
              </w:rPr>
              <w:t>$</w:t>
            </w:r>
            <w:r w:rsidR="00A6196C">
              <w:rPr>
                <w:rFonts w:asciiTheme="minorHAnsi" w:hAnsiTheme="minorHAnsi"/>
              </w:rPr>
              <w:t>534,924</w:t>
            </w:r>
          </w:p>
        </w:tc>
      </w:tr>
      <w:tr w:rsidR="002B22E3" w:rsidRPr="00040AB6" w14:paraId="70E54375" w14:textId="77777777" w:rsidTr="00AC364B">
        <w:trPr>
          <w:trHeight w:val="300"/>
        </w:trPr>
        <w:tc>
          <w:tcPr>
            <w:tcW w:w="1960" w:type="dxa"/>
            <w:tcBorders>
              <w:top w:val="nil"/>
              <w:left w:val="single" w:sz="4" w:space="0" w:color="auto"/>
              <w:bottom w:val="nil"/>
              <w:right w:val="single" w:sz="4" w:space="0" w:color="auto"/>
            </w:tcBorders>
            <w:shd w:val="clear" w:color="auto" w:fill="auto"/>
            <w:vAlign w:val="bottom"/>
            <w:hideMark/>
          </w:tcPr>
          <w:p w14:paraId="70E54372" w14:textId="77777777" w:rsidR="002B22E3" w:rsidRPr="00040AB6" w:rsidRDefault="002B22E3" w:rsidP="002B22E3">
            <w:pPr>
              <w:spacing w:after="0" w:line="240" w:lineRule="auto"/>
              <w:rPr>
                <w:rFonts w:asciiTheme="minorHAnsi" w:hAnsiTheme="minorHAnsi"/>
                <w:color w:val="000000"/>
              </w:rPr>
            </w:pPr>
            <w:r w:rsidRPr="00040AB6">
              <w:rPr>
                <w:rFonts w:asciiTheme="minorHAnsi" w:hAnsiTheme="minorHAnsi"/>
                <w:color w:val="000000"/>
              </w:rPr>
              <w:t>New Homes</w:t>
            </w:r>
          </w:p>
        </w:tc>
        <w:tc>
          <w:tcPr>
            <w:tcW w:w="2388" w:type="dxa"/>
            <w:tcBorders>
              <w:top w:val="nil"/>
              <w:left w:val="nil"/>
              <w:bottom w:val="nil"/>
              <w:right w:val="single" w:sz="4" w:space="0" w:color="auto"/>
            </w:tcBorders>
            <w:shd w:val="clear" w:color="auto" w:fill="auto"/>
            <w:vAlign w:val="bottom"/>
            <w:hideMark/>
          </w:tcPr>
          <w:p w14:paraId="70E54373" w14:textId="77777777" w:rsidR="002B22E3" w:rsidRPr="00A12F86" w:rsidRDefault="002B22E3" w:rsidP="005F6B35">
            <w:pPr>
              <w:spacing w:after="0" w:line="240" w:lineRule="auto"/>
              <w:jc w:val="right"/>
              <w:rPr>
                <w:rFonts w:asciiTheme="minorHAnsi" w:hAnsiTheme="minorHAnsi"/>
              </w:rPr>
            </w:pPr>
            <w:r w:rsidRPr="00A12F86">
              <w:rPr>
                <w:rFonts w:asciiTheme="minorHAnsi" w:hAnsiTheme="minorHAnsi"/>
              </w:rPr>
              <w:t>$</w:t>
            </w:r>
            <w:r w:rsidR="00A6196C">
              <w:rPr>
                <w:rFonts w:asciiTheme="minorHAnsi" w:hAnsiTheme="minorHAnsi"/>
              </w:rPr>
              <w:t>503,870</w:t>
            </w:r>
          </w:p>
        </w:tc>
        <w:tc>
          <w:tcPr>
            <w:tcW w:w="2380" w:type="dxa"/>
            <w:tcBorders>
              <w:top w:val="nil"/>
              <w:left w:val="nil"/>
              <w:bottom w:val="nil"/>
              <w:right w:val="single" w:sz="4" w:space="0" w:color="auto"/>
            </w:tcBorders>
            <w:shd w:val="clear" w:color="auto" w:fill="auto"/>
            <w:vAlign w:val="bottom"/>
            <w:hideMark/>
          </w:tcPr>
          <w:p w14:paraId="70E54374" w14:textId="77777777" w:rsidR="002B22E3" w:rsidRPr="00A12F86" w:rsidRDefault="002B22E3" w:rsidP="00A12F86">
            <w:pPr>
              <w:spacing w:after="0" w:line="240" w:lineRule="auto"/>
              <w:jc w:val="right"/>
              <w:rPr>
                <w:rFonts w:asciiTheme="minorHAnsi" w:hAnsiTheme="minorHAnsi"/>
              </w:rPr>
            </w:pPr>
            <w:r w:rsidRPr="00A12F86">
              <w:rPr>
                <w:rFonts w:asciiTheme="minorHAnsi" w:hAnsiTheme="minorHAnsi"/>
              </w:rPr>
              <w:t>$</w:t>
            </w:r>
            <w:r w:rsidR="00A6196C">
              <w:rPr>
                <w:rFonts w:asciiTheme="minorHAnsi" w:hAnsiTheme="minorHAnsi"/>
              </w:rPr>
              <w:t>592,788</w:t>
            </w:r>
          </w:p>
        </w:tc>
      </w:tr>
      <w:tr w:rsidR="002B22E3" w:rsidRPr="00040AB6" w14:paraId="70E54379" w14:textId="77777777" w:rsidTr="00AC364B">
        <w:trPr>
          <w:trHeight w:val="300"/>
        </w:trPr>
        <w:tc>
          <w:tcPr>
            <w:tcW w:w="1960" w:type="dxa"/>
            <w:tcBorders>
              <w:top w:val="single" w:sz="4" w:space="0" w:color="auto"/>
              <w:left w:val="single" w:sz="4" w:space="0" w:color="auto"/>
              <w:bottom w:val="nil"/>
              <w:right w:val="nil"/>
            </w:tcBorders>
            <w:shd w:val="clear" w:color="auto" w:fill="auto"/>
            <w:vAlign w:val="bottom"/>
            <w:hideMark/>
          </w:tcPr>
          <w:p w14:paraId="70E54376" w14:textId="77777777" w:rsidR="002B22E3" w:rsidRPr="00680DB2" w:rsidRDefault="002B22E3" w:rsidP="002B22E3">
            <w:pPr>
              <w:spacing w:after="0" w:line="240" w:lineRule="auto"/>
              <w:rPr>
                <w:rFonts w:asciiTheme="minorHAnsi" w:hAnsiTheme="minorHAnsi"/>
                <w:b/>
                <w:bCs/>
                <w:color w:val="000000"/>
              </w:rPr>
            </w:pPr>
            <w:r w:rsidRPr="00680DB2">
              <w:rPr>
                <w:rFonts w:asciiTheme="minorHAnsi" w:hAnsiTheme="minorHAnsi"/>
                <w:b/>
                <w:bCs/>
                <w:color w:val="000000"/>
              </w:rPr>
              <w:t>NEEA</w:t>
            </w:r>
          </w:p>
        </w:tc>
        <w:tc>
          <w:tcPr>
            <w:tcW w:w="2388" w:type="dxa"/>
            <w:tcBorders>
              <w:top w:val="single" w:sz="4" w:space="0" w:color="auto"/>
              <w:left w:val="nil"/>
              <w:bottom w:val="nil"/>
              <w:right w:val="nil"/>
            </w:tcBorders>
            <w:shd w:val="clear" w:color="auto" w:fill="auto"/>
            <w:vAlign w:val="bottom"/>
            <w:hideMark/>
          </w:tcPr>
          <w:p w14:paraId="70E54377" w14:textId="77777777" w:rsidR="002B22E3" w:rsidRPr="00680DB2" w:rsidRDefault="002B22E3" w:rsidP="002B22E3">
            <w:pPr>
              <w:spacing w:after="0" w:line="240" w:lineRule="auto"/>
              <w:rPr>
                <w:rFonts w:asciiTheme="minorHAnsi" w:hAnsiTheme="minorHAnsi"/>
              </w:rPr>
            </w:pPr>
            <w:r w:rsidRPr="00680DB2">
              <w:rPr>
                <w:rFonts w:asciiTheme="minorHAnsi" w:hAnsiTheme="minorHAnsi"/>
              </w:rPr>
              <w:t> </w:t>
            </w:r>
          </w:p>
        </w:tc>
        <w:tc>
          <w:tcPr>
            <w:tcW w:w="2380" w:type="dxa"/>
            <w:tcBorders>
              <w:top w:val="single" w:sz="4" w:space="0" w:color="auto"/>
              <w:left w:val="nil"/>
              <w:bottom w:val="nil"/>
              <w:right w:val="single" w:sz="4" w:space="0" w:color="auto"/>
            </w:tcBorders>
            <w:shd w:val="clear" w:color="auto" w:fill="auto"/>
            <w:vAlign w:val="bottom"/>
            <w:hideMark/>
          </w:tcPr>
          <w:p w14:paraId="70E54378" w14:textId="77777777" w:rsidR="002B22E3" w:rsidRPr="00513F5D" w:rsidRDefault="002B22E3" w:rsidP="002B22E3">
            <w:pPr>
              <w:spacing w:after="0" w:line="240" w:lineRule="auto"/>
              <w:rPr>
                <w:rFonts w:asciiTheme="minorHAnsi" w:hAnsiTheme="minorHAnsi"/>
              </w:rPr>
            </w:pPr>
            <w:r w:rsidRPr="00513F5D">
              <w:rPr>
                <w:rFonts w:asciiTheme="minorHAnsi" w:hAnsiTheme="minorHAnsi"/>
              </w:rPr>
              <w:t> </w:t>
            </w:r>
          </w:p>
        </w:tc>
      </w:tr>
      <w:tr w:rsidR="002B22E3" w:rsidRPr="00040AB6" w14:paraId="70E5437D" w14:textId="77777777" w:rsidTr="00AC364B">
        <w:trPr>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E5437A" w14:textId="77777777" w:rsidR="002B22E3" w:rsidRPr="00680DB2" w:rsidRDefault="002B22E3" w:rsidP="002B22E3">
            <w:pPr>
              <w:spacing w:after="0" w:line="240" w:lineRule="auto"/>
              <w:rPr>
                <w:rFonts w:asciiTheme="minorHAnsi" w:hAnsiTheme="minorHAnsi"/>
                <w:color w:val="000000"/>
              </w:rPr>
            </w:pPr>
            <w:r w:rsidRPr="00680DB2">
              <w:rPr>
                <w:rFonts w:asciiTheme="minorHAnsi" w:hAnsiTheme="minorHAnsi"/>
                <w:color w:val="000000"/>
              </w:rPr>
              <w:t>NEEA</w:t>
            </w:r>
            <w:r w:rsidR="005E1B95" w:rsidRPr="00680DB2">
              <w:rPr>
                <w:rFonts w:asciiTheme="minorHAnsi" w:hAnsiTheme="minorHAnsi"/>
                <w:color w:val="000000"/>
              </w:rPr>
              <w:t xml:space="preserve"> Pilot Program</w:t>
            </w:r>
          </w:p>
        </w:tc>
        <w:tc>
          <w:tcPr>
            <w:tcW w:w="2388" w:type="dxa"/>
            <w:tcBorders>
              <w:top w:val="single" w:sz="4" w:space="0" w:color="auto"/>
              <w:left w:val="nil"/>
              <w:bottom w:val="single" w:sz="4" w:space="0" w:color="auto"/>
              <w:right w:val="single" w:sz="4" w:space="0" w:color="auto"/>
            </w:tcBorders>
            <w:shd w:val="clear" w:color="auto" w:fill="auto"/>
            <w:vAlign w:val="bottom"/>
            <w:hideMark/>
          </w:tcPr>
          <w:p w14:paraId="70E5437B" w14:textId="77777777" w:rsidR="002B22E3" w:rsidRPr="00680DB2" w:rsidRDefault="002B22E3" w:rsidP="00F81527">
            <w:pPr>
              <w:spacing w:after="0" w:line="240" w:lineRule="auto"/>
              <w:jc w:val="right"/>
              <w:rPr>
                <w:rFonts w:asciiTheme="minorHAnsi" w:hAnsiTheme="minorHAnsi"/>
              </w:rPr>
            </w:pPr>
            <w:r w:rsidRPr="00680DB2">
              <w:rPr>
                <w:rFonts w:asciiTheme="minorHAnsi" w:hAnsiTheme="minorHAnsi"/>
              </w:rPr>
              <w:t>$</w:t>
            </w:r>
            <w:r w:rsidR="00D47351" w:rsidRPr="00DA2F21">
              <w:rPr>
                <w:rFonts w:asciiTheme="minorHAnsi" w:hAnsiTheme="minorHAnsi"/>
              </w:rPr>
              <w:t>92,279</w:t>
            </w:r>
          </w:p>
        </w:tc>
        <w:tc>
          <w:tcPr>
            <w:tcW w:w="2380" w:type="dxa"/>
            <w:tcBorders>
              <w:top w:val="single" w:sz="4" w:space="0" w:color="auto"/>
              <w:left w:val="nil"/>
              <w:bottom w:val="single" w:sz="4" w:space="0" w:color="auto"/>
              <w:right w:val="single" w:sz="4" w:space="0" w:color="auto"/>
            </w:tcBorders>
            <w:shd w:val="clear" w:color="auto" w:fill="auto"/>
            <w:vAlign w:val="bottom"/>
            <w:hideMark/>
          </w:tcPr>
          <w:p w14:paraId="70E5437C" w14:textId="77777777" w:rsidR="002B22E3" w:rsidRPr="00680DB2" w:rsidRDefault="002B22E3" w:rsidP="008921E9">
            <w:pPr>
              <w:spacing w:after="0" w:line="240" w:lineRule="auto"/>
              <w:jc w:val="right"/>
              <w:rPr>
                <w:rFonts w:asciiTheme="minorHAnsi" w:hAnsiTheme="minorHAnsi"/>
              </w:rPr>
            </w:pPr>
            <w:r w:rsidRPr="00680DB2">
              <w:rPr>
                <w:rFonts w:asciiTheme="minorHAnsi" w:hAnsiTheme="minorHAnsi"/>
              </w:rPr>
              <w:t>$</w:t>
            </w:r>
            <w:r w:rsidR="00D47351" w:rsidRPr="00DA2F21">
              <w:rPr>
                <w:rFonts w:asciiTheme="minorHAnsi" w:hAnsiTheme="minorHAnsi"/>
              </w:rPr>
              <w:t>108,564</w:t>
            </w:r>
          </w:p>
        </w:tc>
      </w:tr>
      <w:tr w:rsidR="004D4857" w:rsidRPr="00040AB6" w14:paraId="70E54381" w14:textId="77777777" w:rsidTr="00AC364B">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70E5437E" w14:textId="77777777" w:rsidR="004D4857" w:rsidRPr="005D4315" w:rsidRDefault="004D4857" w:rsidP="002B22E3">
            <w:pPr>
              <w:spacing w:after="0" w:line="240" w:lineRule="auto"/>
              <w:rPr>
                <w:rFonts w:asciiTheme="minorHAnsi" w:hAnsiTheme="minorHAnsi"/>
                <w:b/>
                <w:color w:val="000000"/>
              </w:rPr>
            </w:pPr>
            <w:r w:rsidRPr="005D4315">
              <w:rPr>
                <w:rFonts w:asciiTheme="minorHAnsi" w:hAnsiTheme="minorHAnsi"/>
                <w:b/>
                <w:color w:val="000000"/>
              </w:rPr>
              <w:t>WA</w:t>
            </w:r>
            <w:r w:rsidR="0097483E">
              <w:rPr>
                <w:rFonts w:asciiTheme="minorHAnsi" w:hAnsiTheme="minorHAnsi"/>
                <w:b/>
                <w:color w:val="000000"/>
              </w:rPr>
              <w:t>-</w:t>
            </w:r>
            <w:r w:rsidRPr="005D4315">
              <w:rPr>
                <w:rFonts w:asciiTheme="minorHAnsi" w:hAnsiTheme="minorHAnsi"/>
                <w:b/>
                <w:color w:val="000000"/>
              </w:rPr>
              <w:t>LIEE</w:t>
            </w:r>
          </w:p>
        </w:tc>
        <w:tc>
          <w:tcPr>
            <w:tcW w:w="2388" w:type="dxa"/>
            <w:tcBorders>
              <w:top w:val="nil"/>
              <w:left w:val="nil"/>
              <w:bottom w:val="single" w:sz="4" w:space="0" w:color="auto"/>
              <w:right w:val="single" w:sz="4" w:space="0" w:color="auto"/>
            </w:tcBorders>
            <w:shd w:val="clear" w:color="auto" w:fill="auto"/>
            <w:noWrap/>
            <w:vAlign w:val="bottom"/>
            <w:hideMark/>
          </w:tcPr>
          <w:p w14:paraId="70E5437F" w14:textId="77777777" w:rsidR="004D4857" w:rsidRPr="00DC284A" w:rsidRDefault="004D4857" w:rsidP="00A0092F">
            <w:pPr>
              <w:spacing w:after="0" w:line="240" w:lineRule="auto"/>
              <w:jc w:val="right"/>
              <w:rPr>
                <w:rFonts w:asciiTheme="minorHAnsi" w:hAnsiTheme="minorHAnsi"/>
              </w:rPr>
            </w:pPr>
            <w:r w:rsidRPr="00DC284A">
              <w:rPr>
                <w:rFonts w:asciiTheme="minorHAnsi" w:hAnsiTheme="minorHAnsi"/>
              </w:rPr>
              <w:t>$</w:t>
            </w:r>
            <w:r w:rsidR="0069202D">
              <w:rPr>
                <w:rFonts w:asciiTheme="minorHAnsi" w:hAnsiTheme="minorHAnsi"/>
              </w:rPr>
              <w:t>149,310</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14:paraId="70E54380" w14:textId="77777777" w:rsidR="00A0092F" w:rsidRPr="00DC284A" w:rsidRDefault="004D4857" w:rsidP="00A0092F">
            <w:pPr>
              <w:spacing w:after="0" w:line="240" w:lineRule="auto"/>
              <w:jc w:val="right"/>
              <w:rPr>
                <w:rFonts w:asciiTheme="minorHAnsi" w:hAnsiTheme="minorHAnsi"/>
              </w:rPr>
            </w:pPr>
            <w:r w:rsidRPr="00DC284A">
              <w:rPr>
                <w:rFonts w:asciiTheme="minorHAnsi" w:hAnsiTheme="minorHAnsi"/>
              </w:rPr>
              <w:t>$</w:t>
            </w:r>
            <w:r w:rsidR="0069202D">
              <w:rPr>
                <w:rFonts w:asciiTheme="minorHAnsi" w:hAnsiTheme="minorHAnsi"/>
              </w:rPr>
              <w:t>186,638</w:t>
            </w:r>
          </w:p>
        </w:tc>
      </w:tr>
      <w:tr w:rsidR="004D4857" w:rsidRPr="00040AB6" w14:paraId="70E54385" w14:textId="77777777" w:rsidTr="00AC364B">
        <w:trPr>
          <w:trHeight w:val="315"/>
        </w:trPr>
        <w:tc>
          <w:tcPr>
            <w:tcW w:w="1960" w:type="dxa"/>
            <w:tcBorders>
              <w:top w:val="nil"/>
              <w:left w:val="single" w:sz="8" w:space="0" w:color="auto"/>
              <w:bottom w:val="single" w:sz="8" w:space="0" w:color="auto"/>
              <w:right w:val="single" w:sz="4" w:space="0" w:color="auto"/>
            </w:tcBorders>
            <w:shd w:val="clear" w:color="auto" w:fill="auto"/>
            <w:vAlign w:val="bottom"/>
            <w:hideMark/>
          </w:tcPr>
          <w:p w14:paraId="70E54382" w14:textId="77777777" w:rsidR="004D4857" w:rsidRPr="00040AB6" w:rsidRDefault="004D4857" w:rsidP="002B22E3">
            <w:pPr>
              <w:spacing w:after="0" w:line="240" w:lineRule="auto"/>
              <w:rPr>
                <w:rFonts w:asciiTheme="minorHAnsi" w:hAnsiTheme="minorHAnsi"/>
                <w:color w:val="000000"/>
              </w:rPr>
            </w:pPr>
            <w:r w:rsidRPr="00040AB6">
              <w:rPr>
                <w:rFonts w:asciiTheme="minorHAnsi" w:hAnsiTheme="minorHAnsi"/>
                <w:color w:val="000000"/>
              </w:rPr>
              <w:t>Total</w:t>
            </w:r>
          </w:p>
        </w:tc>
        <w:tc>
          <w:tcPr>
            <w:tcW w:w="2388" w:type="dxa"/>
            <w:tcBorders>
              <w:top w:val="nil"/>
              <w:left w:val="nil"/>
              <w:bottom w:val="single" w:sz="8" w:space="0" w:color="auto"/>
              <w:right w:val="single" w:sz="4" w:space="0" w:color="auto"/>
            </w:tcBorders>
            <w:shd w:val="clear" w:color="auto" w:fill="auto"/>
            <w:noWrap/>
            <w:vAlign w:val="bottom"/>
            <w:hideMark/>
          </w:tcPr>
          <w:p w14:paraId="70E54383" w14:textId="77777777" w:rsidR="004D4857" w:rsidRPr="00DC284A" w:rsidRDefault="004D4857" w:rsidP="00B76E77">
            <w:pPr>
              <w:spacing w:after="0" w:line="240" w:lineRule="auto"/>
              <w:jc w:val="right"/>
              <w:rPr>
                <w:rFonts w:asciiTheme="minorHAnsi" w:hAnsiTheme="minorHAnsi"/>
              </w:rPr>
            </w:pPr>
            <w:r w:rsidRPr="00DC284A">
              <w:rPr>
                <w:rFonts w:asciiTheme="minorHAnsi" w:hAnsiTheme="minorHAnsi"/>
              </w:rPr>
              <w:t>$</w:t>
            </w:r>
            <w:r w:rsidR="00904745">
              <w:rPr>
                <w:rFonts w:asciiTheme="minorHAnsi" w:hAnsiTheme="minorHAnsi"/>
              </w:rPr>
              <w:t>1,</w:t>
            </w:r>
            <w:r w:rsidR="00800AFA">
              <w:rPr>
                <w:rFonts w:asciiTheme="minorHAnsi" w:hAnsiTheme="minorHAnsi"/>
              </w:rPr>
              <w:t>920,491</w:t>
            </w:r>
            <w:r w:rsidRPr="00DC284A">
              <w:rPr>
                <w:rFonts w:asciiTheme="minorHAnsi" w:hAnsiTheme="minorHAnsi"/>
              </w:rPr>
              <w:t xml:space="preserve"> </w:t>
            </w:r>
          </w:p>
        </w:tc>
        <w:tc>
          <w:tcPr>
            <w:tcW w:w="2380" w:type="dxa"/>
            <w:tcBorders>
              <w:top w:val="nil"/>
              <w:left w:val="nil"/>
              <w:bottom w:val="single" w:sz="8" w:space="0" w:color="auto"/>
              <w:right w:val="single" w:sz="8" w:space="0" w:color="auto"/>
            </w:tcBorders>
            <w:shd w:val="clear" w:color="auto" w:fill="auto"/>
            <w:noWrap/>
            <w:vAlign w:val="bottom"/>
            <w:hideMark/>
          </w:tcPr>
          <w:p w14:paraId="70E54384" w14:textId="77777777" w:rsidR="004D4857" w:rsidRPr="00DC284A" w:rsidRDefault="004D4857" w:rsidP="00A0092F">
            <w:pPr>
              <w:spacing w:after="0" w:line="240" w:lineRule="auto"/>
              <w:jc w:val="right"/>
              <w:rPr>
                <w:rFonts w:asciiTheme="minorHAnsi" w:hAnsiTheme="minorHAnsi"/>
              </w:rPr>
            </w:pPr>
            <w:r w:rsidRPr="00DC284A">
              <w:rPr>
                <w:rFonts w:asciiTheme="minorHAnsi" w:hAnsiTheme="minorHAnsi"/>
              </w:rPr>
              <w:t>$</w:t>
            </w:r>
            <w:r w:rsidR="00904745">
              <w:rPr>
                <w:rFonts w:asciiTheme="minorHAnsi" w:hAnsiTheme="minorHAnsi"/>
              </w:rPr>
              <w:t>2,</w:t>
            </w:r>
            <w:r w:rsidR="00EE621B">
              <w:rPr>
                <w:rFonts w:asciiTheme="minorHAnsi" w:hAnsiTheme="minorHAnsi"/>
              </w:rPr>
              <w:t>270</w:t>
            </w:r>
            <w:r w:rsidR="00800AFA">
              <w:rPr>
                <w:rFonts w:asciiTheme="minorHAnsi" w:hAnsiTheme="minorHAnsi"/>
              </w:rPr>
              <w:t>,413</w:t>
            </w:r>
            <w:r w:rsidRPr="00DC284A">
              <w:rPr>
                <w:rFonts w:asciiTheme="minorHAnsi" w:hAnsiTheme="minorHAnsi"/>
              </w:rPr>
              <w:t xml:space="preserve"> </w:t>
            </w:r>
          </w:p>
        </w:tc>
      </w:tr>
    </w:tbl>
    <w:p w14:paraId="70E54386" w14:textId="77777777" w:rsidR="00614BC3" w:rsidRPr="00040AB6" w:rsidRDefault="00614BC3" w:rsidP="003A1FAE">
      <w:pPr>
        <w:pStyle w:val="ListParagraph"/>
        <w:spacing w:after="0" w:line="240" w:lineRule="auto"/>
        <w:rPr>
          <w:rFonts w:asciiTheme="minorHAnsi" w:hAnsiTheme="minorHAnsi"/>
          <w:sz w:val="24"/>
          <w:szCs w:val="24"/>
        </w:rPr>
      </w:pPr>
    </w:p>
    <w:p w14:paraId="70E54387" w14:textId="77777777" w:rsidR="00136FF5" w:rsidRPr="00040AB6" w:rsidRDefault="00136FF5" w:rsidP="00136FF5">
      <w:pPr>
        <w:pStyle w:val="ListParagraph"/>
        <w:spacing w:after="0" w:line="240" w:lineRule="auto"/>
        <w:rPr>
          <w:rFonts w:asciiTheme="minorHAnsi" w:hAnsiTheme="minorHAnsi"/>
          <w:sz w:val="24"/>
          <w:szCs w:val="24"/>
        </w:rPr>
      </w:pPr>
      <w:r w:rsidRPr="00040AB6">
        <w:rPr>
          <w:rFonts w:asciiTheme="minorHAnsi" w:hAnsiTheme="minorHAnsi"/>
          <w:sz w:val="24"/>
          <w:szCs w:val="24"/>
        </w:rPr>
        <w:t xml:space="preserve">Funding Schedule:  As of </w:t>
      </w:r>
      <w:r w:rsidR="00B0652F">
        <w:rPr>
          <w:rFonts w:asciiTheme="minorHAnsi" w:hAnsiTheme="minorHAnsi"/>
          <w:sz w:val="24"/>
          <w:szCs w:val="24"/>
        </w:rPr>
        <w:t>December 1</w:t>
      </w:r>
      <w:r w:rsidR="004E59E6">
        <w:rPr>
          <w:rFonts w:asciiTheme="minorHAnsi" w:hAnsiTheme="minorHAnsi"/>
          <w:sz w:val="24"/>
          <w:szCs w:val="24"/>
        </w:rPr>
        <w:t>,</w:t>
      </w:r>
      <w:r w:rsidR="008921E9" w:rsidRPr="00040AB6">
        <w:rPr>
          <w:rFonts w:asciiTheme="minorHAnsi" w:hAnsiTheme="minorHAnsi"/>
          <w:sz w:val="24"/>
          <w:szCs w:val="24"/>
        </w:rPr>
        <w:t xml:space="preserve"> </w:t>
      </w:r>
      <w:r w:rsidR="009C3EDF" w:rsidRPr="00040AB6">
        <w:rPr>
          <w:rFonts w:asciiTheme="minorHAnsi" w:hAnsiTheme="minorHAnsi"/>
          <w:sz w:val="24"/>
          <w:szCs w:val="24"/>
        </w:rPr>
        <w:t>201</w:t>
      </w:r>
      <w:r w:rsidR="000E5B0F">
        <w:rPr>
          <w:rFonts w:asciiTheme="minorHAnsi" w:hAnsiTheme="minorHAnsi"/>
          <w:sz w:val="24"/>
          <w:szCs w:val="24"/>
        </w:rPr>
        <w:t>6</w:t>
      </w:r>
      <w:r w:rsidRPr="00040AB6">
        <w:rPr>
          <w:rFonts w:asciiTheme="minorHAnsi" w:hAnsiTheme="minorHAnsi"/>
          <w:sz w:val="24"/>
          <w:szCs w:val="24"/>
        </w:rPr>
        <w:t xml:space="preserve">, the Company and Energy Trust have not executed a contract to define the </w:t>
      </w:r>
      <w:r w:rsidR="00E2534C" w:rsidRPr="00040AB6">
        <w:rPr>
          <w:rFonts w:asciiTheme="minorHAnsi" w:hAnsiTheme="minorHAnsi"/>
          <w:sz w:val="24"/>
          <w:szCs w:val="24"/>
        </w:rPr>
        <w:t>201</w:t>
      </w:r>
      <w:r w:rsidR="000E5B0F">
        <w:rPr>
          <w:rFonts w:asciiTheme="minorHAnsi" w:hAnsiTheme="minorHAnsi"/>
          <w:sz w:val="24"/>
          <w:szCs w:val="24"/>
        </w:rPr>
        <w:t>7</w:t>
      </w:r>
      <w:r w:rsidR="00E2534C" w:rsidRPr="00040AB6">
        <w:rPr>
          <w:rFonts w:asciiTheme="minorHAnsi" w:hAnsiTheme="minorHAnsi"/>
          <w:sz w:val="24"/>
          <w:szCs w:val="24"/>
        </w:rPr>
        <w:t xml:space="preserve"> </w:t>
      </w:r>
      <w:r w:rsidRPr="00040AB6">
        <w:rPr>
          <w:rFonts w:asciiTheme="minorHAnsi" w:hAnsiTheme="minorHAnsi"/>
          <w:sz w:val="24"/>
          <w:szCs w:val="24"/>
        </w:rPr>
        <w:t xml:space="preserve">funding schedule but parties expect the funding schedule will mirror what was done in </w:t>
      </w:r>
      <w:r w:rsidR="00E2534C" w:rsidRPr="00040AB6">
        <w:rPr>
          <w:rFonts w:asciiTheme="minorHAnsi" w:hAnsiTheme="minorHAnsi"/>
          <w:sz w:val="24"/>
          <w:szCs w:val="24"/>
        </w:rPr>
        <w:t>prior years</w:t>
      </w:r>
      <w:r w:rsidR="00D72844" w:rsidRPr="00040AB6">
        <w:rPr>
          <w:rFonts w:asciiTheme="minorHAnsi" w:hAnsiTheme="minorHAnsi"/>
          <w:sz w:val="24"/>
          <w:szCs w:val="24"/>
        </w:rPr>
        <w:t xml:space="preserve">, </w:t>
      </w:r>
      <w:r w:rsidRPr="00040AB6">
        <w:rPr>
          <w:rFonts w:asciiTheme="minorHAnsi" w:hAnsiTheme="minorHAnsi"/>
          <w:sz w:val="24"/>
          <w:szCs w:val="24"/>
        </w:rPr>
        <w:t xml:space="preserve">which was that 50% of budgeted need was provided to Energy Trust on March 1 and the remaining 50% was provided on October 1.  </w:t>
      </w:r>
    </w:p>
    <w:p w14:paraId="70E54388" w14:textId="77777777" w:rsidR="00097823" w:rsidRPr="00040AB6" w:rsidRDefault="00097823">
      <w:pPr>
        <w:spacing w:after="0" w:line="240" w:lineRule="auto"/>
        <w:rPr>
          <w:rFonts w:asciiTheme="minorHAnsi" w:hAnsiTheme="minorHAnsi"/>
          <w:sz w:val="24"/>
          <w:szCs w:val="24"/>
        </w:rPr>
      </w:pPr>
    </w:p>
    <w:p w14:paraId="70E54389" w14:textId="77777777" w:rsidR="00D57E7F" w:rsidRPr="008C4F4E" w:rsidRDefault="00D57E7F" w:rsidP="00512699">
      <w:pPr>
        <w:pStyle w:val="ListParagraph"/>
        <w:numPr>
          <w:ilvl w:val="0"/>
          <w:numId w:val="9"/>
        </w:numPr>
        <w:spacing w:after="0" w:line="240" w:lineRule="auto"/>
        <w:ind w:left="720"/>
        <w:rPr>
          <w:rFonts w:asciiTheme="minorHAnsi" w:hAnsiTheme="minorHAnsi"/>
          <w:sz w:val="32"/>
          <w:szCs w:val="32"/>
        </w:rPr>
      </w:pPr>
      <w:r w:rsidRPr="008C4F4E">
        <w:rPr>
          <w:rFonts w:asciiTheme="minorHAnsi" w:hAnsiTheme="minorHAnsi"/>
          <w:sz w:val="32"/>
          <w:szCs w:val="32"/>
        </w:rPr>
        <w:t>Gas Market Transformation</w:t>
      </w:r>
      <w:r w:rsidR="00A42FA1" w:rsidRPr="008C4F4E">
        <w:rPr>
          <w:rFonts w:asciiTheme="minorHAnsi" w:hAnsiTheme="minorHAnsi"/>
          <w:sz w:val="32"/>
          <w:szCs w:val="32"/>
        </w:rPr>
        <w:t xml:space="preserve">, </w:t>
      </w:r>
      <w:r w:rsidR="00C7463B" w:rsidRPr="008C4F4E">
        <w:rPr>
          <w:rFonts w:asciiTheme="minorHAnsi" w:hAnsiTheme="minorHAnsi"/>
          <w:sz w:val="32"/>
          <w:szCs w:val="32"/>
        </w:rPr>
        <w:t>Third</w:t>
      </w:r>
      <w:r w:rsidR="00145ABB" w:rsidRPr="008C4F4E">
        <w:rPr>
          <w:rFonts w:asciiTheme="minorHAnsi" w:hAnsiTheme="minorHAnsi"/>
          <w:sz w:val="32"/>
          <w:szCs w:val="32"/>
        </w:rPr>
        <w:t xml:space="preserve"> </w:t>
      </w:r>
      <w:r w:rsidR="00A42FA1" w:rsidRPr="008C4F4E">
        <w:rPr>
          <w:rFonts w:asciiTheme="minorHAnsi" w:hAnsiTheme="minorHAnsi"/>
          <w:sz w:val="32"/>
          <w:szCs w:val="32"/>
        </w:rPr>
        <w:t>Year</w:t>
      </w:r>
      <w:r w:rsidRPr="008C4F4E">
        <w:rPr>
          <w:rFonts w:asciiTheme="minorHAnsi" w:hAnsiTheme="minorHAnsi"/>
          <w:sz w:val="32"/>
          <w:szCs w:val="32"/>
        </w:rPr>
        <w:t xml:space="preserve"> Pilot</w:t>
      </w:r>
    </w:p>
    <w:p w14:paraId="70E5438A" w14:textId="77777777" w:rsidR="00062D10" w:rsidRDefault="00062D10" w:rsidP="00693FBC">
      <w:pPr>
        <w:pStyle w:val="ListParagraph"/>
        <w:spacing w:after="0" w:line="240" w:lineRule="auto"/>
        <w:rPr>
          <w:rFonts w:asciiTheme="minorHAnsi" w:hAnsiTheme="minorHAnsi"/>
          <w:sz w:val="32"/>
          <w:szCs w:val="32"/>
        </w:rPr>
      </w:pPr>
    </w:p>
    <w:p w14:paraId="70E5438B" w14:textId="77777777" w:rsidR="00A42FA1" w:rsidRPr="00867618" w:rsidRDefault="00A42FA1" w:rsidP="00693FBC">
      <w:pPr>
        <w:spacing w:after="0" w:line="240" w:lineRule="auto"/>
        <w:rPr>
          <w:rFonts w:asciiTheme="minorHAnsi" w:hAnsiTheme="minorHAnsi"/>
          <w:sz w:val="24"/>
          <w:szCs w:val="24"/>
        </w:rPr>
      </w:pPr>
      <w:r w:rsidRPr="00867618">
        <w:rPr>
          <w:rFonts w:asciiTheme="minorHAnsi" w:hAnsiTheme="minorHAnsi"/>
          <w:sz w:val="24"/>
          <w:szCs w:val="24"/>
        </w:rPr>
        <w:t xml:space="preserve">NW Natural will </w:t>
      </w:r>
      <w:r w:rsidR="00677E81" w:rsidRPr="00867618">
        <w:rPr>
          <w:rFonts w:asciiTheme="minorHAnsi" w:hAnsiTheme="minorHAnsi"/>
          <w:sz w:val="24"/>
          <w:szCs w:val="24"/>
        </w:rPr>
        <w:t xml:space="preserve">continue its </w:t>
      </w:r>
      <w:r w:rsidRPr="00867618">
        <w:rPr>
          <w:rFonts w:asciiTheme="minorHAnsi" w:hAnsiTheme="minorHAnsi"/>
          <w:sz w:val="24"/>
          <w:szCs w:val="24"/>
        </w:rPr>
        <w:t>participat</w:t>
      </w:r>
      <w:r w:rsidR="00677E81" w:rsidRPr="00867618">
        <w:rPr>
          <w:rFonts w:asciiTheme="minorHAnsi" w:hAnsiTheme="minorHAnsi"/>
          <w:sz w:val="24"/>
          <w:szCs w:val="24"/>
        </w:rPr>
        <w:t>ion</w:t>
      </w:r>
      <w:r w:rsidRPr="00867618">
        <w:rPr>
          <w:rFonts w:asciiTheme="minorHAnsi" w:hAnsiTheme="minorHAnsi"/>
          <w:sz w:val="24"/>
          <w:szCs w:val="24"/>
        </w:rPr>
        <w:t xml:space="preserve"> in </w:t>
      </w:r>
      <w:r w:rsidR="00677E81" w:rsidRPr="00867618">
        <w:rPr>
          <w:rFonts w:asciiTheme="minorHAnsi" w:hAnsiTheme="minorHAnsi"/>
          <w:sz w:val="24"/>
          <w:szCs w:val="24"/>
        </w:rPr>
        <w:t>the</w:t>
      </w:r>
      <w:r w:rsidR="008B1D58">
        <w:rPr>
          <w:rFonts w:asciiTheme="minorHAnsi" w:hAnsiTheme="minorHAnsi"/>
          <w:sz w:val="24"/>
          <w:szCs w:val="24"/>
        </w:rPr>
        <w:t xml:space="preserve"> </w:t>
      </w:r>
      <w:r w:rsidRPr="00867618">
        <w:rPr>
          <w:rFonts w:asciiTheme="minorHAnsi" w:hAnsiTheme="minorHAnsi"/>
          <w:sz w:val="24"/>
          <w:szCs w:val="24"/>
        </w:rPr>
        <w:t>regional gas market transformation initiative lead by the Northwest Energy Efficiency Alliance</w:t>
      </w:r>
      <w:r w:rsidR="002A7E24" w:rsidRPr="00867618">
        <w:rPr>
          <w:rFonts w:asciiTheme="minorHAnsi" w:hAnsiTheme="minorHAnsi"/>
          <w:sz w:val="24"/>
          <w:szCs w:val="24"/>
        </w:rPr>
        <w:t xml:space="preserve"> (NEEA)</w:t>
      </w:r>
      <w:r w:rsidR="00677E81" w:rsidRPr="00867618">
        <w:rPr>
          <w:rFonts w:asciiTheme="minorHAnsi" w:hAnsiTheme="minorHAnsi"/>
          <w:sz w:val="24"/>
          <w:szCs w:val="24"/>
        </w:rPr>
        <w:t xml:space="preserve"> for the </w:t>
      </w:r>
      <w:r w:rsidR="000E5B0F">
        <w:rPr>
          <w:rFonts w:asciiTheme="minorHAnsi" w:hAnsiTheme="minorHAnsi"/>
          <w:sz w:val="24"/>
          <w:szCs w:val="24"/>
        </w:rPr>
        <w:t>third</w:t>
      </w:r>
      <w:r w:rsidR="00677E81" w:rsidRPr="00867618">
        <w:rPr>
          <w:rFonts w:asciiTheme="minorHAnsi" w:hAnsiTheme="minorHAnsi"/>
          <w:sz w:val="24"/>
          <w:szCs w:val="24"/>
        </w:rPr>
        <w:t xml:space="preserve"> year in 201</w:t>
      </w:r>
      <w:r w:rsidR="000E5B0F">
        <w:rPr>
          <w:rFonts w:asciiTheme="minorHAnsi" w:hAnsiTheme="minorHAnsi"/>
          <w:sz w:val="24"/>
          <w:szCs w:val="24"/>
        </w:rPr>
        <w:t>7</w:t>
      </w:r>
      <w:r w:rsidRPr="00867618">
        <w:rPr>
          <w:rFonts w:asciiTheme="minorHAnsi" w:hAnsiTheme="minorHAnsi"/>
          <w:sz w:val="24"/>
          <w:szCs w:val="24"/>
        </w:rPr>
        <w:t>. The Company view</w:t>
      </w:r>
      <w:r w:rsidR="002A7E24" w:rsidRPr="00867618">
        <w:rPr>
          <w:rFonts w:asciiTheme="minorHAnsi" w:hAnsiTheme="minorHAnsi"/>
          <w:sz w:val="24"/>
          <w:szCs w:val="24"/>
        </w:rPr>
        <w:t>s</w:t>
      </w:r>
      <w:r w:rsidRPr="00867618">
        <w:rPr>
          <w:rFonts w:asciiTheme="minorHAnsi" w:hAnsiTheme="minorHAnsi"/>
          <w:sz w:val="24"/>
          <w:szCs w:val="24"/>
        </w:rPr>
        <w:t xml:space="preserve"> such activities as a necessary investment in the future of gas d</w:t>
      </w:r>
      <w:r w:rsidR="002A7E24" w:rsidRPr="00867618">
        <w:rPr>
          <w:rFonts w:asciiTheme="minorHAnsi" w:hAnsiTheme="minorHAnsi"/>
          <w:sz w:val="24"/>
          <w:szCs w:val="24"/>
        </w:rPr>
        <w:t>emand side management (DSM)</w:t>
      </w:r>
      <w:r w:rsidRPr="00867618">
        <w:rPr>
          <w:rFonts w:asciiTheme="minorHAnsi" w:hAnsiTheme="minorHAnsi"/>
          <w:sz w:val="24"/>
          <w:szCs w:val="24"/>
        </w:rPr>
        <w:t xml:space="preserve"> as an enduring component of regional power planning.  NEEA’s primary work on behalf of the Pacific Northwest is focused on two strategic goals 1) bring energy efficient emerging </w:t>
      </w:r>
      <w:r w:rsidR="002A7E24" w:rsidRPr="00867618">
        <w:rPr>
          <w:rFonts w:asciiTheme="minorHAnsi" w:hAnsiTheme="minorHAnsi"/>
          <w:sz w:val="24"/>
          <w:szCs w:val="24"/>
        </w:rPr>
        <w:t xml:space="preserve">gas </w:t>
      </w:r>
      <w:r w:rsidRPr="00867618">
        <w:rPr>
          <w:rFonts w:asciiTheme="minorHAnsi" w:hAnsiTheme="minorHAnsi"/>
          <w:sz w:val="24"/>
          <w:szCs w:val="24"/>
        </w:rPr>
        <w:t xml:space="preserve">technologies to market, and 2) create the market conditions that will accelerate and sustain the market adoption of energy efficient emerging </w:t>
      </w:r>
      <w:r w:rsidR="00A87A83" w:rsidRPr="00867618">
        <w:rPr>
          <w:rFonts w:asciiTheme="minorHAnsi" w:hAnsiTheme="minorHAnsi"/>
          <w:sz w:val="24"/>
          <w:szCs w:val="24"/>
        </w:rPr>
        <w:t xml:space="preserve">gas </w:t>
      </w:r>
      <w:r w:rsidRPr="00867618">
        <w:rPr>
          <w:rFonts w:asciiTheme="minorHAnsi" w:hAnsiTheme="minorHAnsi"/>
          <w:sz w:val="24"/>
          <w:szCs w:val="24"/>
        </w:rPr>
        <w:t>technologies. NEEA uses a stage-gate approach to manag</w:t>
      </w:r>
      <w:r w:rsidR="00A87A83" w:rsidRPr="00867618">
        <w:rPr>
          <w:rFonts w:asciiTheme="minorHAnsi" w:hAnsiTheme="minorHAnsi"/>
          <w:sz w:val="24"/>
          <w:szCs w:val="24"/>
        </w:rPr>
        <w:t>e</w:t>
      </w:r>
      <w:r w:rsidRPr="00867618">
        <w:rPr>
          <w:rFonts w:asciiTheme="minorHAnsi" w:hAnsiTheme="minorHAnsi"/>
          <w:sz w:val="24"/>
          <w:szCs w:val="24"/>
        </w:rPr>
        <w:t xml:space="preserve"> its work.</w:t>
      </w:r>
      <w:r w:rsidR="002A7E24" w:rsidRPr="00867618">
        <w:rPr>
          <w:rFonts w:asciiTheme="minorHAnsi" w:hAnsiTheme="minorHAnsi"/>
          <w:sz w:val="24"/>
          <w:szCs w:val="24"/>
        </w:rPr>
        <w:t xml:space="preserve"> Below</w:t>
      </w:r>
      <w:r w:rsidRPr="00867618">
        <w:rPr>
          <w:rFonts w:asciiTheme="minorHAnsi" w:hAnsiTheme="minorHAnsi"/>
          <w:sz w:val="24"/>
          <w:szCs w:val="24"/>
        </w:rPr>
        <w:t xml:space="preserve"> are the six phases that a technology would go through to fully achieve the two goals and result in a sustained market change that</w:t>
      </w:r>
      <w:r w:rsidR="002A7E24" w:rsidRPr="00867618">
        <w:rPr>
          <w:rFonts w:asciiTheme="minorHAnsi" w:hAnsiTheme="minorHAnsi"/>
          <w:sz w:val="24"/>
          <w:szCs w:val="24"/>
        </w:rPr>
        <w:t xml:space="preserve"> provides gas </w:t>
      </w:r>
      <w:r w:rsidRPr="00867618">
        <w:rPr>
          <w:rFonts w:asciiTheme="minorHAnsi" w:hAnsiTheme="minorHAnsi"/>
          <w:sz w:val="24"/>
          <w:szCs w:val="24"/>
        </w:rPr>
        <w:t>savings.</w:t>
      </w:r>
    </w:p>
    <w:p w14:paraId="70E5438C" w14:textId="77777777" w:rsidR="00A42FA1" w:rsidRPr="00040AB6" w:rsidRDefault="00A42FA1" w:rsidP="00A42FA1">
      <w:pPr>
        <w:spacing w:after="0" w:line="240" w:lineRule="auto"/>
        <w:rPr>
          <w:rFonts w:asciiTheme="minorHAnsi" w:hAnsiTheme="minorHAnsi"/>
          <w:sz w:val="24"/>
          <w:szCs w:val="24"/>
        </w:rPr>
      </w:pPr>
    </w:p>
    <w:p w14:paraId="70E5438D" w14:textId="77777777" w:rsidR="00BD7243" w:rsidRPr="00040AB6" w:rsidRDefault="00D57E7F">
      <w:pPr>
        <w:spacing w:after="0" w:line="240" w:lineRule="auto"/>
        <w:rPr>
          <w:rFonts w:asciiTheme="minorHAnsi" w:hAnsiTheme="minorHAnsi"/>
          <w:sz w:val="32"/>
          <w:szCs w:val="32"/>
        </w:rPr>
      </w:pPr>
      <w:r w:rsidRPr="00040AB6">
        <w:rPr>
          <w:rFonts w:asciiTheme="minorHAnsi" w:hAnsiTheme="minorHAnsi"/>
          <w:noProof/>
        </w:rPr>
        <w:drawing>
          <wp:inline distT="0" distB="0" distL="0" distR="0" wp14:anchorId="70E543E5" wp14:editId="70E543E6">
            <wp:extent cx="5943600" cy="1086234"/>
            <wp:effectExtent l="19050" t="19050" r="1905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1086234"/>
                    </a:xfrm>
                    <a:prstGeom prst="rect">
                      <a:avLst/>
                    </a:prstGeom>
                    <a:noFill/>
                    <a:ln w="6350">
                      <a:solidFill>
                        <a:schemeClr val="tx1"/>
                      </a:solidFill>
                    </a:ln>
                  </pic:spPr>
                </pic:pic>
              </a:graphicData>
            </a:graphic>
          </wp:inline>
        </w:drawing>
      </w:r>
    </w:p>
    <w:p w14:paraId="70E5438E" w14:textId="77777777" w:rsidR="00A42FA1" w:rsidRPr="00040AB6" w:rsidRDefault="00A42FA1" w:rsidP="00A42FA1">
      <w:pPr>
        <w:rPr>
          <w:rFonts w:asciiTheme="minorHAnsi" w:hAnsiTheme="minorHAnsi"/>
        </w:rPr>
      </w:pPr>
    </w:p>
    <w:p w14:paraId="70E5438F" w14:textId="77777777" w:rsidR="00A42FA1" w:rsidRPr="00410276" w:rsidRDefault="00A42FA1" w:rsidP="00693FBC">
      <w:pPr>
        <w:spacing w:line="240" w:lineRule="auto"/>
        <w:rPr>
          <w:rFonts w:asciiTheme="minorHAnsi" w:hAnsiTheme="minorHAnsi"/>
          <w:sz w:val="24"/>
          <w:szCs w:val="24"/>
        </w:rPr>
      </w:pPr>
      <w:r w:rsidRPr="00410276">
        <w:rPr>
          <w:rFonts w:asciiTheme="minorHAnsi" w:hAnsiTheme="minorHAnsi"/>
          <w:sz w:val="24"/>
          <w:szCs w:val="24"/>
        </w:rPr>
        <w:t>Prior to the market development phase, NEEA works on</w:t>
      </w:r>
      <w:r w:rsidR="00677E81" w:rsidRPr="00410276">
        <w:rPr>
          <w:rFonts w:asciiTheme="minorHAnsi" w:hAnsiTheme="minorHAnsi"/>
          <w:sz w:val="24"/>
          <w:szCs w:val="24"/>
        </w:rPr>
        <w:t>:</w:t>
      </w:r>
      <w:r w:rsidRPr="00410276">
        <w:rPr>
          <w:rFonts w:asciiTheme="minorHAnsi" w:hAnsiTheme="minorHAnsi"/>
          <w:sz w:val="24"/>
          <w:szCs w:val="24"/>
        </w:rPr>
        <w:t xml:space="preserve"> </w:t>
      </w:r>
    </w:p>
    <w:p w14:paraId="70E54390" w14:textId="77777777" w:rsidR="00A42FA1" w:rsidRPr="00410276" w:rsidRDefault="00A42FA1" w:rsidP="00693FBC">
      <w:pPr>
        <w:pStyle w:val="ListParagraph"/>
        <w:numPr>
          <w:ilvl w:val="0"/>
          <w:numId w:val="23"/>
        </w:numPr>
        <w:spacing w:line="240" w:lineRule="auto"/>
        <w:rPr>
          <w:rFonts w:asciiTheme="minorHAnsi" w:hAnsiTheme="minorHAnsi"/>
          <w:b/>
          <w:i/>
          <w:sz w:val="24"/>
          <w:szCs w:val="24"/>
        </w:rPr>
      </w:pPr>
      <w:r w:rsidRPr="00410276">
        <w:rPr>
          <w:rFonts w:asciiTheme="minorHAnsi" w:hAnsiTheme="minorHAnsi"/>
          <w:sz w:val="24"/>
          <w:szCs w:val="24"/>
        </w:rPr>
        <w:t xml:space="preserve">Scanning for new technologies (shown in the graphic above as “scanning and concept identifications”), </w:t>
      </w:r>
    </w:p>
    <w:p w14:paraId="70E54391" w14:textId="77777777" w:rsidR="00A42FA1" w:rsidRPr="00410276" w:rsidRDefault="00A42FA1" w:rsidP="00693FBC">
      <w:pPr>
        <w:pStyle w:val="ListParagraph"/>
        <w:numPr>
          <w:ilvl w:val="0"/>
          <w:numId w:val="23"/>
        </w:numPr>
        <w:spacing w:line="240" w:lineRule="auto"/>
        <w:rPr>
          <w:rFonts w:asciiTheme="minorHAnsi" w:hAnsiTheme="minorHAnsi"/>
          <w:b/>
          <w:i/>
          <w:sz w:val="24"/>
          <w:szCs w:val="24"/>
        </w:rPr>
      </w:pPr>
      <w:r w:rsidRPr="00410276">
        <w:rPr>
          <w:rFonts w:asciiTheme="minorHAnsi" w:hAnsiTheme="minorHAnsi"/>
          <w:sz w:val="24"/>
          <w:szCs w:val="24"/>
        </w:rPr>
        <w:t xml:space="preserve">Researching and assessing both the market and technology conditions and </w:t>
      </w:r>
      <w:r w:rsidR="00A87A83" w:rsidRPr="00410276">
        <w:rPr>
          <w:rFonts w:asciiTheme="minorHAnsi" w:hAnsiTheme="minorHAnsi"/>
          <w:sz w:val="24"/>
          <w:szCs w:val="24"/>
        </w:rPr>
        <w:t xml:space="preserve">savings </w:t>
      </w:r>
      <w:r w:rsidRPr="00410276">
        <w:rPr>
          <w:rFonts w:asciiTheme="minorHAnsi" w:hAnsiTheme="minorHAnsi"/>
          <w:sz w:val="24"/>
          <w:szCs w:val="24"/>
        </w:rPr>
        <w:t xml:space="preserve">potential (through the concept opportunity assessment and market and product assessment stages), </w:t>
      </w:r>
    </w:p>
    <w:p w14:paraId="70E54392" w14:textId="77777777" w:rsidR="00A42FA1" w:rsidRPr="00410276" w:rsidRDefault="00A42FA1" w:rsidP="00693FBC">
      <w:pPr>
        <w:pStyle w:val="ListParagraph"/>
        <w:numPr>
          <w:ilvl w:val="0"/>
          <w:numId w:val="23"/>
        </w:numPr>
        <w:spacing w:line="240" w:lineRule="auto"/>
        <w:rPr>
          <w:rFonts w:asciiTheme="minorHAnsi" w:hAnsiTheme="minorHAnsi"/>
          <w:b/>
          <w:i/>
          <w:sz w:val="24"/>
          <w:szCs w:val="24"/>
        </w:rPr>
      </w:pPr>
      <w:r w:rsidRPr="00410276">
        <w:rPr>
          <w:rFonts w:asciiTheme="minorHAnsi" w:hAnsiTheme="minorHAnsi"/>
          <w:sz w:val="24"/>
          <w:szCs w:val="24"/>
        </w:rPr>
        <w:t xml:space="preserve">Developing and testing the market intervention strategy for the technology and developing cost effectiveness models which produce long term cost effectiveness metrics and energy savings forecasts (both part of strategy testing and finalization). </w:t>
      </w:r>
    </w:p>
    <w:p w14:paraId="70E54393" w14:textId="77777777" w:rsidR="00AC3991" w:rsidRPr="00410276" w:rsidRDefault="00A42FA1" w:rsidP="00693FBC">
      <w:pPr>
        <w:spacing w:line="240" w:lineRule="auto"/>
        <w:rPr>
          <w:rFonts w:asciiTheme="minorHAnsi" w:hAnsiTheme="minorHAnsi"/>
          <w:sz w:val="24"/>
          <w:szCs w:val="24"/>
        </w:rPr>
      </w:pPr>
      <w:r w:rsidRPr="00410276">
        <w:rPr>
          <w:rFonts w:asciiTheme="minorHAnsi" w:hAnsiTheme="minorHAnsi"/>
          <w:sz w:val="24"/>
          <w:szCs w:val="24"/>
        </w:rPr>
        <w:t xml:space="preserve">The purpose of these phases is </w:t>
      </w:r>
      <w:r w:rsidR="00DB408A" w:rsidRPr="00410276">
        <w:rPr>
          <w:rFonts w:asciiTheme="minorHAnsi" w:hAnsiTheme="minorHAnsi"/>
          <w:sz w:val="24"/>
          <w:szCs w:val="24"/>
        </w:rPr>
        <w:t>to develop</w:t>
      </w:r>
      <w:r w:rsidRPr="00410276">
        <w:rPr>
          <w:rFonts w:asciiTheme="minorHAnsi" w:hAnsiTheme="minorHAnsi"/>
          <w:sz w:val="24"/>
          <w:szCs w:val="24"/>
        </w:rPr>
        <w:t xml:space="preserve"> additional efficiency measures</w:t>
      </w:r>
      <w:r w:rsidR="002B14B9" w:rsidRPr="00410276">
        <w:rPr>
          <w:rFonts w:asciiTheme="minorHAnsi" w:hAnsiTheme="minorHAnsi"/>
          <w:sz w:val="24"/>
          <w:szCs w:val="24"/>
        </w:rPr>
        <w:t xml:space="preserve"> </w:t>
      </w:r>
      <w:r w:rsidRPr="00410276">
        <w:rPr>
          <w:rFonts w:asciiTheme="minorHAnsi" w:hAnsiTheme="minorHAnsi"/>
          <w:sz w:val="24"/>
          <w:szCs w:val="24"/>
        </w:rPr>
        <w:t xml:space="preserve">and strategies </w:t>
      </w:r>
      <w:r w:rsidR="002B14B9" w:rsidRPr="00410276">
        <w:rPr>
          <w:rFonts w:asciiTheme="minorHAnsi" w:hAnsiTheme="minorHAnsi"/>
          <w:sz w:val="24"/>
          <w:szCs w:val="24"/>
        </w:rPr>
        <w:t xml:space="preserve">over the long-term that will further the </w:t>
      </w:r>
      <w:r w:rsidRPr="00410276">
        <w:rPr>
          <w:rFonts w:asciiTheme="minorHAnsi" w:hAnsiTheme="minorHAnsi"/>
          <w:sz w:val="24"/>
          <w:szCs w:val="24"/>
        </w:rPr>
        <w:t>cost-effective</w:t>
      </w:r>
      <w:r w:rsidR="002B14B9" w:rsidRPr="00410276">
        <w:rPr>
          <w:rFonts w:asciiTheme="minorHAnsi" w:hAnsiTheme="minorHAnsi"/>
          <w:sz w:val="24"/>
          <w:szCs w:val="24"/>
        </w:rPr>
        <w:t>ness and</w:t>
      </w:r>
      <w:r w:rsidRPr="00410276">
        <w:rPr>
          <w:rFonts w:asciiTheme="minorHAnsi" w:hAnsiTheme="minorHAnsi"/>
          <w:sz w:val="24"/>
          <w:szCs w:val="24"/>
        </w:rPr>
        <w:t xml:space="preserve"> reliab</w:t>
      </w:r>
      <w:r w:rsidR="002B14B9" w:rsidRPr="00410276">
        <w:rPr>
          <w:rFonts w:asciiTheme="minorHAnsi" w:hAnsiTheme="minorHAnsi"/>
          <w:sz w:val="24"/>
          <w:szCs w:val="24"/>
        </w:rPr>
        <w:t xml:space="preserve">ility of savings and programs by </w:t>
      </w:r>
      <w:r w:rsidR="005159E2" w:rsidRPr="00410276">
        <w:rPr>
          <w:rFonts w:asciiTheme="minorHAnsi" w:hAnsiTheme="minorHAnsi"/>
          <w:sz w:val="24"/>
          <w:szCs w:val="24"/>
        </w:rPr>
        <w:t>acquir</w:t>
      </w:r>
      <w:r w:rsidR="002B14B9" w:rsidRPr="00410276">
        <w:rPr>
          <w:rFonts w:asciiTheme="minorHAnsi" w:hAnsiTheme="minorHAnsi"/>
          <w:sz w:val="24"/>
          <w:szCs w:val="24"/>
        </w:rPr>
        <w:t>ing</w:t>
      </w:r>
      <w:r w:rsidR="005159E2" w:rsidRPr="00410276">
        <w:rPr>
          <w:rFonts w:asciiTheme="minorHAnsi" w:hAnsiTheme="minorHAnsi"/>
          <w:sz w:val="24"/>
          <w:szCs w:val="24"/>
        </w:rPr>
        <w:t xml:space="preserve"> savings at</w:t>
      </w:r>
      <w:r w:rsidR="002B14B9" w:rsidRPr="00410276">
        <w:rPr>
          <w:rFonts w:asciiTheme="minorHAnsi" w:hAnsiTheme="minorHAnsi"/>
          <w:sz w:val="24"/>
          <w:szCs w:val="24"/>
        </w:rPr>
        <w:t xml:space="preserve"> market</w:t>
      </w:r>
      <w:r w:rsidR="005159E2" w:rsidRPr="00410276">
        <w:rPr>
          <w:rFonts w:asciiTheme="minorHAnsi" w:hAnsiTheme="minorHAnsi"/>
          <w:sz w:val="24"/>
          <w:szCs w:val="24"/>
        </w:rPr>
        <w:t xml:space="preserve"> scale</w:t>
      </w:r>
      <w:r w:rsidR="008B1D58">
        <w:rPr>
          <w:rFonts w:asciiTheme="minorHAnsi" w:hAnsiTheme="minorHAnsi"/>
          <w:sz w:val="24"/>
          <w:szCs w:val="24"/>
        </w:rPr>
        <w:t>.</w:t>
      </w:r>
      <w:r w:rsidR="002B14B9" w:rsidRPr="00410276">
        <w:rPr>
          <w:rFonts w:asciiTheme="minorHAnsi" w:hAnsiTheme="minorHAnsi"/>
          <w:sz w:val="24"/>
          <w:szCs w:val="24"/>
        </w:rPr>
        <w:t xml:space="preserve"> </w:t>
      </w:r>
      <w:r w:rsidRPr="00410276">
        <w:rPr>
          <w:rFonts w:asciiTheme="minorHAnsi" w:hAnsiTheme="minorHAnsi"/>
          <w:sz w:val="24"/>
          <w:szCs w:val="24"/>
        </w:rPr>
        <w:t>At each stage, the assessment of the potential for lon</w:t>
      </w:r>
      <w:r w:rsidR="005159E2" w:rsidRPr="00410276">
        <w:rPr>
          <w:rFonts w:asciiTheme="minorHAnsi" w:hAnsiTheme="minorHAnsi"/>
          <w:sz w:val="24"/>
          <w:szCs w:val="24"/>
        </w:rPr>
        <w:t>g-term cost-effective savings is</w:t>
      </w:r>
      <w:r w:rsidRPr="00410276">
        <w:rPr>
          <w:rFonts w:asciiTheme="minorHAnsi" w:hAnsiTheme="minorHAnsi"/>
          <w:sz w:val="24"/>
          <w:szCs w:val="24"/>
        </w:rPr>
        <w:t xml:space="preserve"> refined</w:t>
      </w:r>
      <w:r w:rsidRPr="00410276">
        <w:rPr>
          <w:rFonts w:asciiTheme="minorHAnsi" w:hAnsiTheme="minorHAnsi"/>
          <w:b/>
          <w:sz w:val="24"/>
          <w:szCs w:val="24"/>
        </w:rPr>
        <w:t>.</w:t>
      </w:r>
      <w:r w:rsidR="005159E2" w:rsidRPr="00410276">
        <w:rPr>
          <w:rFonts w:asciiTheme="minorHAnsi" w:hAnsiTheme="minorHAnsi"/>
          <w:b/>
          <w:sz w:val="24"/>
          <w:szCs w:val="24"/>
        </w:rPr>
        <w:t xml:space="preserve"> </w:t>
      </w:r>
      <w:r w:rsidR="005159E2" w:rsidRPr="00410276">
        <w:rPr>
          <w:rFonts w:asciiTheme="minorHAnsi" w:hAnsiTheme="minorHAnsi"/>
          <w:sz w:val="24"/>
          <w:szCs w:val="24"/>
        </w:rPr>
        <w:t xml:space="preserve">NEEA does not typically forecast savings associated with these earlier phases. These first four phases are where most of the activity will be in the early years of the NEEA gas collaborative.  Significant savings begin </w:t>
      </w:r>
      <w:r w:rsidR="00A87A83" w:rsidRPr="00410276">
        <w:rPr>
          <w:rFonts w:asciiTheme="minorHAnsi" w:hAnsiTheme="minorHAnsi"/>
          <w:sz w:val="24"/>
          <w:szCs w:val="24"/>
        </w:rPr>
        <w:t>in the fifth</w:t>
      </w:r>
      <w:r w:rsidR="00AC3991" w:rsidRPr="00410276">
        <w:rPr>
          <w:rFonts w:asciiTheme="minorHAnsi" w:hAnsiTheme="minorHAnsi"/>
          <w:sz w:val="24"/>
          <w:szCs w:val="24"/>
        </w:rPr>
        <w:t xml:space="preserve"> stage.  </w:t>
      </w:r>
    </w:p>
    <w:p w14:paraId="70E54394" w14:textId="77777777" w:rsidR="00023D3D" w:rsidRDefault="00023D3D" w:rsidP="00693FBC">
      <w:pPr>
        <w:spacing w:line="240" w:lineRule="auto"/>
        <w:rPr>
          <w:rFonts w:asciiTheme="minorHAnsi" w:hAnsiTheme="minorHAnsi"/>
          <w:sz w:val="24"/>
          <w:szCs w:val="24"/>
        </w:rPr>
      </w:pPr>
      <w:r w:rsidRPr="00410276">
        <w:rPr>
          <w:rFonts w:asciiTheme="minorHAnsi" w:hAnsiTheme="minorHAnsi"/>
          <w:sz w:val="24"/>
          <w:szCs w:val="24"/>
        </w:rPr>
        <w:t xml:space="preserve">The Company is not including the costs invested in gas market transformation </w:t>
      </w:r>
      <w:r w:rsidR="004E59E6">
        <w:rPr>
          <w:rFonts w:asciiTheme="minorHAnsi" w:hAnsiTheme="minorHAnsi"/>
          <w:sz w:val="24"/>
          <w:szCs w:val="24"/>
        </w:rPr>
        <w:t>in its</w:t>
      </w:r>
      <w:r w:rsidR="00D63C79" w:rsidRPr="00410276">
        <w:rPr>
          <w:rFonts w:asciiTheme="minorHAnsi" w:hAnsiTheme="minorHAnsi"/>
          <w:sz w:val="24"/>
          <w:szCs w:val="24"/>
        </w:rPr>
        <w:t xml:space="preserve"> </w:t>
      </w:r>
      <w:r w:rsidR="004E59E6">
        <w:rPr>
          <w:rFonts w:asciiTheme="minorHAnsi" w:hAnsiTheme="minorHAnsi"/>
          <w:sz w:val="24"/>
          <w:szCs w:val="24"/>
        </w:rPr>
        <w:t xml:space="preserve">cost effectiveness analysis until the program is expected to produce savings – likely in 2018 or 2019. </w:t>
      </w:r>
      <w:r w:rsidR="003B221B" w:rsidRPr="00410276">
        <w:rPr>
          <w:rFonts w:asciiTheme="minorHAnsi" w:hAnsiTheme="minorHAnsi"/>
          <w:sz w:val="24"/>
          <w:szCs w:val="24"/>
        </w:rPr>
        <w:t>The Company acknowledges that this practice of excluding market transformation costs from its cost effectiveness analysis i</w:t>
      </w:r>
      <w:r w:rsidR="00BD7A19" w:rsidRPr="00410276">
        <w:rPr>
          <w:rFonts w:asciiTheme="minorHAnsi" w:hAnsiTheme="minorHAnsi"/>
          <w:sz w:val="24"/>
          <w:szCs w:val="24"/>
        </w:rPr>
        <w:t xml:space="preserve">s in no way precedent setting, and </w:t>
      </w:r>
      <w:r w:rsidR="003B221B" w:rsidRPr="00410276">
        <w:rPr>
          <w:rFonts w:asciiTheme="minorHAnsi" w:hAnsiTheme="minorHAnsi"/>
          <w:sz w:val="24"/>
          <w:szCs w:val="24"/>
        </w:rPr>
        <w:t xml:space="preserve">should the Company make any future requests for the unique treatment of costs, such requests will be evaluated by the EEAG on a case-by-case basis.  </w:t>
      </w:r>
      <w:r w:rsidRPr="00410276">
        <w:rPr>
          <w:rFonts w:asciiTheme="minorHAnsi" w:hAnsiTheme="minorHAnsi"/>
          <w:sz w:val="24"/>
          <w:szCs w:val="24"/>
        </w:rPr>
        <w:t xml:space="preserve"> </w:t>
      </w:r>
    </w:p>
    <w:p w14:paraId="70E54395" w14:textId="77777777" w:rsidR="00175DBA" w:rsidRDefault="00175DBA" w:rsidP="00BB651B">
      <w:pPr>
        <w:spacing w:after="0" w:line="240" w:lineRule="auto"/>
        <w:rPr>
          <w:rFonts w:asciiTheme="minorHAnsi" w:hAnsiTheme="minorHAnsi"/>
          <w:color w:val="FF0000"/>
          <w:sz w:val="24"/>
          <w:szCs w:val="24"/>
        </w:rPr>
      </w:pPr>
      <w:r>
        <w:rPr>
          <w:rFonts w:asciiTheme="minorHAnsi" w:hAnsiTheme="minorHAnsi"/>
          <w:sz w:val="24"/>
          <w:szCs w:val="24"/>
        </w:rPr>
        <w:t>The increase in</w:t>
      </w:r>
      <w:r w:rsidRPr="00175DBA">
        <w:rPr>
          <w:rFonts w:asciiTheme="minorHAnsi" w:hAnsiTheme="minorHAnsi"/>
          <w:sz w:val="24"/>
          <w:szCs w:val="24"/>
        </w:rPr>
        <w:t xml:space="preserve"> the NEEA budget from</w:t>
      </w:r>
      <w:r w:rsidRPr="00E259B4">
        <w:rPr>
          <w:rFonts w:asciiTheme="minorHAnsi" w:hAnsiTheme="minorHAnsi"/>
          <w:sz w:val="24"/>
          <w:szCs w:val="24"/>
        </w:rPr>
        <w:t xml:space="preserve"> </w:t>
      </w:r>
      <w:r w:rsidR="00D47351" w:rsidRPr="00C7463B">
        <w:rPr>
          <w:rFonts w:asciiTheme="minorHAnsi" w:hAnsiTheme="minorHAnsi"/>
          <w:sz w:val="24"/>
          <w:szCs w:val="24"/>
        </w:rPr>
        <w:t xml:space="preserve">$94,134 </w:t>
      </w:r>
      <w:r w:rsidRPr="00680DB2">
        <w:rPr>
          <w:rFonts w:asciiTheme="minorHAnsi" w:hAnsiTheme="minorHAnsi"/>
          <w:sz w:val="24"/>
          <w:szCs w:val="24"/>
        </w:rPr>
        <w:t xml:space="preserve"> in 201</w:t>
      </w:r>
      <w:r w:rsidR="00D47351" w:rsidRPr="00C7463B">
        <w:rPr>
          <w:rFonts w:asciiTheme="minorHAnsi" w:hAnsiTheme="minorHAnsi"/>
          <w:sz w:val="24"/>
          <w:szCs w:val="24"/>
        </w:rPr>
        <w:t>6</w:t>
      </w:r>
      <w:r w:rsidRPr="00680DB2">
        <w:rPr>
          <w:rFonts w:asciiTheme="minorHAnsi" w:hAnsiTheme="minorHAnsi"/>
          <w:sz w:val="24"/>
          <w:szCs w:val="24"/>
        </w:rPr>
        <w:t xml:space="preserve"> to </w:t>
      </w:r>
      <w:r w:rsidR="00D47351" w:rsidRPr="00C7463B">
        <w:rPr>
          <w:rFonts w:asciiTheme="minorHAnsi" w:hAnsiTheme="minorHAnsi"/>
          <w:sz w:val="24"/>
          <w:szCs w:val="24"/>
        </w:rPr>
        <w:t xml:space="preserve">$108,564 </w:t>
      </w:r>
      <w:r w:rsidRPr="00680DB2">
        <w:rPr>
          <w:rFonts w:asciiTheme="minorHAnsi" w:hAnsiTheme="minorHAnsi"/>
          <w:sz w:val="24"/>
          <w:szCs w:val="24"/>
        </w:rPr>
        <w:t>in 201</w:t>
      </w:r>
      <w:r w:rsidR="00F50F60" w:rsidRPr="00C7463B">
        <w:rPr>
          <w:rFonts w:asciiTheme="minorHAnsi" w:hAnsiTheme="minorHAnsi"/>
          <w:sz w:val="24"/>
          <w:szCs w:val="24"/>
        </w:rPr>
        <w:t>7</w:t>
      </w:r>
      <w:r w:rsidRPr="00175DBA">
        <w:rPr>
          <w:rFonts w:asciiTheme="minorHAnsi" w:hAnsiTheme="minorHAnsi"/>
          <w:sz w:val="24"/>
          <w:szCs w:val="24"/>
        </w:rPr>
        <w:t xml:space="preserve"> is due to increasing market research for hearth products,</w:t>
      </w:r>
      <w:r w:rsidR="00CB6727">
        <w:rPr>
          <w:rFonts w:asciiTheme="minorHAnsi" w:hAnsiTheme="minorHAnsi"/>
          <w:sz w:val="24"/>
          <w:szCs w:val="24"/>
        </w:rPr>
        <w:t xml:space="preserve"> a shift in timing of c</w:t>
      </w:r>
      <w:r w:rsidRPr="00175DBA">
        <w:rPr>
          <w:rFonts w:asciiTheme="minorHAnsi" w:hAnsiTheme="minorHAnsi"/>
          <w:sz w:val="24"/>
          <w:szCs w:val="24"/>
        </w:rPr>
        <w:t>ombi</w:t>
      </w:r>
      <w:r w:rsidR="00CB6727">
        <w:rPr>
          <w:rFonts w:asciiTheme="minorHAnsi" w:hAnsiTheme="minorHAnsi"/>
          <w:sz w:val="24"/>
          <w:szCs w:val="24"/>
        </w:rPr>
        <w:t xml:space="preserve">nation space and water heating </w:t>
      </w:r>
      <w:r w:rsidRPr="00175DBA">
        <w:rPr>
          <w:rFonts w:asciiTheme="minorHAnsi" w:hAnsiTheme="minorHAnsi"/>
          <w:sz w:val="24"/>
          <w:szCs w:val="24"/>
        </w:rPr>
        <w:t xml:space="preserve">system work, and acceleration of rooftop HVAC </w:t>
      </w:r>
      <w:r w:rsidR="00E259B4">
        <w:rPr>
          <w:rFonts w:asciiTheme="minorHAnsi" w:hAnsiTheme="minorHAnsi"/>
          <w:sz w:val="24"/>
          <w:szCs w:val="24"/>
        </w:rPr>
        <w:t>work</w:t>
      </w:r>
      <w:r w:rsidRPr="00175DBA">
        <w:rPr>
          <w:rFonts w:asciiTheme="minorHAnsi" w:hAnsiTheme="minorHAnsi"/>
          <w:sz w:val="24"/>
          <w:szCs w:val="24"/>
        </w:rPr>
        <w:t xml:space="preserve">. </w:t>
      </w:r>
      <w:r>
        <w:rPr>
          <w:rFonts w:asciiTheme="minorHAnsi" w:hAnsiTheme="minorHAnsi"/>
          <w:color w:val="FF0000"/>
          <w:sz w:val="24"/>
          <w:szCs w:val="24"/>
        </w:rPr>
        <w:t xml:space="preserve"> </w:t>
      </w:r>
    </w:p>
    <w:p w14:paraId="70E54396" w14:textId="77777777" w:rsidR="00BB651B" w:rsidRDefault="00BB651B" w:rsidP="00BB651B">
      <w:pPr>
        <w:spacing w:after="0" w:line="240" w:lineRule="auto"/>
        <w:rPr>
          <w:sz w:val="24"/>
          <w:szCs w:val="24"/>
        </w:rPr>
      </w:pPr>
    </w:p>
    <w:p w14:paraId="70E54397" w14:textId="77777777" w:rsidR="00C7463B" w:rsidRPr="00C7463B" w:rsidRDefault="00C7463B" w:rsidP="00BB651B">
      <w:pPr>
        <w:spacing w:after="0" w:line="240" w:lineRule="auto"/>
        <w:rPr>
          <w:sz w:val="24"/>
          <w:szCs w:val="24"/>
        </w:rPr>
      </w:pPr>
      <w:r w:rsidRPr="00C7463B">
        <w:rPr>
          <w:sz w:val="24"/>
          <w:szCs w:val="24"/>
        </w:rPr>
        <w:t>2017 Budget:</w:t>
      </w:r>
    </w:p>
    <w:p w14:paraId="70E54398" w14:textId="77777777" w:rsidR="00C7463B" w:rsidRPr="00C7463B" w:rsidRDefault="00C7463B" w:rsidP="00BB651B">
      <w:pPr>
        <w:pStyle w:val="ListParagraph"/>
        <w:numPr>
          <w:ilvl w:val="0"/>
          <w:numId w:val="39"/>
        </w:numPr>
        <w:spacing w:after="0" w:line="240" w:lineRule="auto"/>
        <w:contextualSpacing w:val="0"/>
        <w:rPr>
          <w:sz w:val="24"/>
          <w:szCs w:val="24"/>
        </w:rPr>
      </w:pPr>
      <w:r w:rsidRPr="00C7463B">
        <w:rPr>
          <w:sz w:val="24"/>
          <w:szCs w:val="24"/>
        </w:rPr>
        <w:t xml:space="preserve">In The Natural Gas Business Plan (2015-2019) the overall budget increases each year, both for FTE and Project expenses. </w:t>
      </w:r>
    </w:p>
    <w:p w14:paraId="70E54399" w14:textId="77777777" w:rsidR="00C7463B" w:rsidRPr="00C7463B" w:rsidRDefault="00C7463B" w:rsidP="00C7463B">
      <w:pPr>
        <w:pStyle w:val="ListParagraph"/>
        <w:numPr>
          <w:ilvl w:val="0"/>
          <w:numId w:val="39"/>
        </w:numPr>
        <w:spacing w:after="0" w:line="240" w:lineRule="auto"/>
        <w:contextualSpacing w:val="0"/>
        <w:rPr>
          <w:sz w:val="24"/>
          <w:szCs w:val="24"/>
        </w:rPr>
      </w:pPr>
      <w:r w:rsidRPr="00C7463B">
        <w:rPr>
          <w:sz w:val="24"/>
          <w:szCs w:val="24"/>
        </w:rPr>
        <w:t>The 2017 budget increase is due primarily to:</w:t>
      </w:r>
    </w:p>
    <w:p w14:paraId="70E5439A" w14:textId="77777777" w:rsidR="00C7463B" w:rsidRPr="00C7463B" w:rsidRDefault="00C7463B" w:rsidP="00C7463B">
      <w:pPr>
        <w:pStyle w:val="ListParagraph"/>
        <w:numPr>
          <w:ilvl w:val="1"/>
          <w:numId w:val="39"/>
        </w:numPr>
        <w:spacing w:after="0" w:line="240" w:lineRule="auto"/>
        <w:contextualSpacing w:val="0"/>
        <w:rPr>
          <w:sz w:val="24"/>
          <w:szCs w:val="24"/>
        </w:rPr>
      </w:pPr>
      <w:r w:rsidRPr="00C7463B">
        <w:rPr>
          <w:sz w:val="24"/>
          <w:szCs w:val="24"/>
        </w:rPr>
        <w:t xml:space="preserve">Successful results for product advancement work for water heaters, the 2017 budget reflects deeper manufacturer engagement </w:t>
      </w:r>
    </w:p>
    <w:p w14:paraId="70E5439B" w14:textId="77777777" w:rsidR="00C7463B" w:rsidRPr="00C7463B" w:rsidRDefault="00C7463B" w:rsidP="00C7463B">
      <w:pPr>
        <w:pStyle w:val="ListParagraph"/>
        <w:numPr>
          <w:ilvl w:val="1"/>
          <w:numId w:val="39"/>
        </w:numPr>
        <w:spacing w:after="0" w:line="240" w:lineRule="auto"/>
        <w:contextualSpacing w:val="0"/>
        <w:rPr>
          <w:sz w:val="24"/>
          <w:szCs w:val="24"/>
        </w:rPr>
      </w:pPr>
      <w:r w:rsidRPr="00C7463B">
        <w:rPr>
          <w:sz w:val="24"/>
          <w:szCs w:val="24"/>
        </w:rPr>
        <w:t xml:space="preserve">Positive results in the Rooftop HVAC study, budget reflects increase efforts associated with testing, manufacturer engagement, market outreach and readying the supply channel in the NW to ensure product availability. </w:t>
      </w:r>
    </w:p>
    <w:p w14:paraId="70E5439C" w14:textId="77777777" w:rsidR="00C7463B" w:rsidRPr="00C7463B" w:rsidRDefault="00C7463B" w:rsidP="00C7463B">
      <w:pPr>
        <w:pStyle w:val="ListParagraph"/>
        <w:numPr>
          <w:ilvl w:val="1"/>
          <w:numId w:val="39"/>
        </w:numPr>
        <w:spacing w:after="0" w:line="240" w:lineRule="auto"/>
        <w:contextualSpacing w:val="0"/>
        <w:rPr>
          <w:sz w:val="24"/>
          <w:szCs w:val="24"/>
        </w:rPr>
      </w:pPr>
      <w:r w:rsidRPr="00C7463B">
        <w:rPr>
          <w:sz w:val="24"/>
          <w:szCs w:val="24"/>
        </w:rPr>
        <w:t>Identified new combi-system technologies and field testing</w:t>
      </w:r>
    </w:p>
    <w:p w14:paraId="70E5439D" w14:textId="77777777" w:rsidR="00C7463B" w:rsidRPr="00C7463B" w:rsidRDefault="00C7463B" w:rsidP="00BB651B">
      <w:pPr>
        <w:pStyle w:val="ListParagraph"/>
        <w:numPr>
          <w:ilvl w:val="1"/>
          <w:numId w:val="39"/>
        </w:numPr>
        <w:spacing w:after="0" w:line="240" w:lineRule="auto"/>
        <w:contextualSpacing w:val="0"/>
        <w:rPr>
          <w:sz w:val="24"/>
          <w:szCs w:val="24"/>
        </w:rPr>
      </w:pPr>
      <w:r w:rsidRPr="00C7463B">
        <w:rPr>
          <w:sz w:val="24"/>
          <w:szCs w:val="24"/>
        </w:rPr>
        <w:t>Additional FTE to support the growing portfolio</w:t>
      </w:r>
    </w:p>
    <w:p w14:paraId="70E5439E" w14:textId="77777777" w:rsidR="00C7463B" w:rsidRPr="00C7463B" w:rsidRDefault="00C7463B" w:rsidP="00BB651B">
      <w:pPr>
        <w:pStyle w:val="ListParagraph"/>
        <w:numPr>
          <w:ilvl w:val="1"/>
          <w:numId w:val="39"/>
        </w:numPr>
        <w:spacing w:after="0" w:line="240" w:lineRule="auto"/>
        <w:contextualSpacing w:val="0"/>
        <w:rPr>
          <w:sz w:val="24"/>
          <w:szCs w:val="24"/>
        </w:rPr>
      </w:pPr>
      <w:r w:rsidRPr="00C7463B">
        <w:rPr>
          <w:sz w:val="24"/>
          <w:szCs w:val="24"/>
        </w:rPr>
        <w:t xml:space="preserve">Mid-Cycle assessment is being completed in 2017 (This is an evaluation that will look at NEEA’s progress to the Business Plan) </w:t>
      </w:r>
    </w:p>
    <w:p w14:paraId="70E5439F" w14:textId="77777777" w:rsidR="00BB651B" w:rsidRDefault="00BB651B" w:rsidP="00BB651B">
      <w:pPr>
        <w:spacing w:after="0" w:line="240" w:lineRule="auto"/>
        <w:rPr>
          <w:sz w:val="24"/>
          <w:szCs w:val="24"/>
        </w:rPr>
      </w:pPr>
    </w:p>
    <w:p w14:paraId="70E543A0" w14:textId="77777777" w:rsidR="00C7463B" w:rsidRPr="00C7463B" w:rsidRDefault="00C7463B" w:rsidP="00BB651B">
      <w:pPr>
        <w:spacing w:after="0" w:line="240" w:lineRule="auto"/>
        <w:rPr>
          <w:sz w:val="24"/>
          <w:szCs w:val="24"/>
        </w:rPr>
      </w:pPr>
      <w:r w:rsidRPr="00C7463B">
        <w:rPr>
          <w:sz w:val="24"/>
          <w:szCs w:val="24"/>
        </w:rPr>
        <w:t>Energy Savings:</w:t>
      </w:r>
    </w:p>
    <w:p w14:paraId="70E543A1" w14:textId="77777777" w:rsidR="00C7463B" w:rsidRPr="00C7463B" w:rsidRDefault="00C7463B" w:rsidP="00C7463B">
      <w:pPr>
        <w:pStyle w:val="ListParagraph"/>
        <w:numPr>
          <w:ilvl w:val="0"/>
          <w:numId w:val="40"/>
        </w:numPr>
        <w:spacing w:after="0" w:line="240" w:lineRule="auto"/>
        <w:contextualSpacing w:val="0"/>
        <w:rPr>
          <w:sz w:val="24"/>
          <w:szCs w:val="24"/>
        </w:rPr>
      </w:pPr>
      <w:r w:rsidRPr="00C7463B">
        <w:rPr>
          <w:sz w:val="24"/>
          <w:szCs w:val="24"/>
        </w:rPr>
        <w:t>There are no energy savings forecasted for 2017</w:t>
      </w:r>
    </w:p>
    <w:p w14:paraId="70E543A2" w14:textId="77777777" w:rsidR="00C7463B" w:rsidRPr="00C7463B" w:rsidRDefault="00C7463B" w:rsidP="00C7463B">
      <w:pPr>
        <w:pStyle w:val="ListParagraph"/>
        <w:numPr>
          <w:ilvl w:val="0"/>
          <w:numId w:val="40"/>
        </w:numPr>
        <w:spacing w:after="0" w:line="240" w:lineRule="auto"/>
        <w:contextualSpacing w:val="0"/>
        <w:rPr>
          <w:sz w:val="24"/>
          <w:szCs w:val="24"/>
        </w:rPr>
      </w:pPr>
      <w:r w:rsidRPr="00C7463B">
        <w:rPr>
          <w:sz w:val="24"/>
          <w:szCs w:val="24"/>
        </w:rPr>
        <w:t xml:space="preserve">Given the nature of Market Transformation work, there is high investment in the beginning and the bulk of the savings are delivered in the long-term, this is true for NEEA’s electric portfolio as well. </w:t>
      </w:r>
    </w:p>
    <w:p w14:paraId="70E543A3" w14:textId="77777777" w:rsidR="00C7463B" w:rsidRPr="00C7463B" w:rsidRDefault="00C7463B" w:rsidP="00C7463B">
      <w:pPr>
        <w:pStyle w:val="ListParagraph"/>
        <w:numPr>
          <w:ilvl w:val="0"/>
          <w:numId w:val="40"/>
        </w:numPr>
        <w:spacing w:after="0" w:line="240" w:lineRule="auto"/>
        <w:contextualSpacing w:val="0"/>
        <w:rPr>
          <w:sz w:val="24"/>
          <w:szCs w:val="24"/>
        </w:rPr>
      </w:pPr>
      <w:r w:rsidRPr="00C7463B">
        <w:rPr>
          <w:sz w:val="24"/>
          <w:szCs w:val="24"/>
        </w:rPr>
        <w:t>The bulk of the natural gas technologies NEEA is exploring that have high savings opportunities are pre-commercialized and therefore will not be market ready for quite some time. Much of NEEA’s work is focused on bringing them to market faster, but this is yet another reason why the energy savings are a few years away.</w:t>
      </w:r>
    </w:p>
    <w:p w14:paraId="70E543A4" w14:textId="77777777" w:rsidR="00C7463B" w:rsidRPr="00C7463B" w:rsidRDefault="00C7463B" w:rsidP="00C7463B">
      <w:pPr>
        <w:pStyle w:val="ListParagraph"/>
        <w:numPr>
          <w:ilvl w:val="0"/>
          <w:numId w:val="40"/>
        </w:numPr>
        <w:spacing w:after="0" w:line="240" w:lineRule="auto"/>
        <w:contextualSpacing w:val="0"/>
        <w:rPr>
          <w:sz w:val="24"/>
          <w:szCs w:val="24"/>
        </w:rPr>
      </w:pPr>
      <w:r w:rsidRPr="00C7463B">
        <w:rPr>
          <w:sz w:val="24"/>
          <w:szCs w:val="24"/>
        </w:rPr>
        <w:t>There are no savings forecasted for the Natural Gas Business Plan (2015-2019).  </w:t>
      </w:r>
    </w:p>
    <w:p w14:paraId="70E543A5" w14:textId="77777777" w:rsidR="00C7463B" w:rsidRPr="00C7463B" w:rsidRDefault="00C7463B" w:rsidP="005159E2">
      <w:pPr>
        <w:rPr>
          <w:rFonts w:asciiTheme="minorHAnsi" w:hAnsiTheme="minorHAnsi"/>
          <w:sz w:val="24"/>
          <w:szCs w:val="24"/>
        </w:rPr>
      </w:pPr>
    </w:p>
    <w:p w14:paraId="70E543A6" w14:textId="77777777" w:rsidR="00E90D90" w:rsidRPr="008C4F4E" w:rsidRDefault="00D558E9" w:rsidP="00512699">
      <w:pPr>
        <w:pStyle w:val="ListParagraph"/>
        <w:numPr>
          <w:ilvl w:val="0"/>
          <w:numId w:val="9"/>
        </w:numPr>
        <w:spacing w:after="0" w:line="240" w:lineRule="auto"/>
        <w:ind w:left="720"/>
        <w:rPr>
          <w:rFonts w:asciiTheme="minorHAnsi" w:hAnsiTheme="minorHAnsi" w:cs="Arial"/>
          <w:bCs/>
          <w:sz w:val="32"/>
          <w:szCs w:val="32"/>
        </w:rPr>
      </w:pPr>
      <w:r w:rsidRPr="008C4F4E">
        <w:rPr>
          <w:rFonts w:asciiTheme="minorHAnsi" w:hAnsiTheme="minorHAnsi" w:cs="Arial"/>
          <w:bCs/>
          <w:sz w:val="32"/>
          <w:szCs w:val="32"/>
        </w:rPr>
        <w:t>R</w:t>
      </w:r>
      <w:r w:rsidR="00035E11" w:rsidRPr="008C4F4E">
        <w:rPr>
          <w:rFonts w:asciiTheme="minorHAnsi" w:hAnsiTheme="minorHAnsi" w:cs="Arial"/>
          <w:bCs/>
          <w:sz w:val="32"/>
          <w:szCs w:val="32"/>
        </w:rPr>
        <w:t>esidential Loan</w:t>
      </w:r>
      <w:r w:rsidR="00677E81" w:rsidRPr="008C4F4E">
        <w:rPr>
          <w:rFonts w:asciiTheme="minorHAnsi" w:hAnsiTheme="minorHAnsi" w:cs="Arial"/>
          <w:bCs/>
          <w:sz w:val="32"/>
          <w:szCs w:val="32"/>
        </w:rPr>
        <w:t>s and</w:t>
      </w:r>
      <w:r w:rsidR="00035E11" w:rsidRPr="008C4F4E">
        <w:rPr>
          <w:rFonts w:asciiTheme="minorHAnsi" w:hAnsiTheme="minorHAnsi" w:cs="Arial"/>
          <w:bCs/>
          <w:sz w:val="32"/>
          <w:szCs w:val="32"/>
        </w:rPr>
        <w:t xml:space="preserve"> On-The-Bill Repayment Services</w:t>
      </w:r>
    </w:p>
    <w:p w14:paraId="70E543A7" w14:textId="77777777" w:rsidR="008B1D58" w:rsidRPr="00632779" w:rsidRDefault="008B1D58">
      <w:pPr>
        <w:spacing w:after="0" w:line="240" w:lineRule="auto"/>
        <w:rPr>
          <w:rFonts w:asciiTheme="minorHAnsi" w:hAnsiTheme="minorHAnsi" w:cs="Arial"/>
          <w:b/>
          <w:bCs/>
          <w:sz w:val="24"/>
          <w:szCs w:val="24"/>
          <w:u w:val="single"/>
        </w:rPr>
      </w:pPr>
    </w:p>
    <w:p w14:paraId="70E543A8" w14:textId="77777777" w:rsidR="00E90D90" w:rsidRPr="00410276" w:rsidRDefault="00C42309" w:rsidP="00BB651B">
      <w:pPr>
        <w:spacing w:after="0" w:line="240" w:lineRule="auto"/>
        <w:rPr>
          <w:rFonts w:asciiTheme="minorHAnsi" w:hAnsiTheme="minorHAnsi" w:cs="Arial"/>
          <w:b/>
          <w:bCs/>
          <w:sz w:val="24"/>
          <w:szCs w:val="24"/>
          <w:u w:val="single"/>
        </w:rPr>
      </w:pPr>
      <w:r w:rsidRPr="00410276">
        <w:rPr>
          <w:rFonts w:asciiTheme="minorHAnsi" w:hAnsiTheme="minorHAnsi" w:cs="Arial"/>
          <w:b/>
          <w:bCs/>
          <w:sz w:val="24"/>
          <w:szCs w:val="24"/>
          <w:u w:val="single"/>
        </w:rPr>
        <w:t>Description</w:t>
      </w:r>
      <w:r w:rsidR="004E6EDA" w:rsidRPr="00410276">
        <w:rPr>
          <w:rFonts w:asciiTheme="minorHAnsi" w:hAnsiTheme="minorHAnsi" w:cs="Arial"/>
          <w:b/>
          <w:bCs/>
          <w:sz w:val="24"/>
          <w:szCs w:val="24"/>
          <w:u w:val="single"/>
        </w:rPr>
        <w:t xml:space="preserve"> of On</w:t>
      </w:r>
      <w:r w:rsidR="00035E11" w:rsidRPr="00410276">
        <w:rPr>
          <w:rFonts w:asciiTheme="minorHAnsi" w:hAnsiTheme="minorHAnsi" w:cs="Arial"/>
          <w:b/>
          <w:bCs/>
          <w:sz w:val="24"/>
          <w:szCs w:val="24"/>
          <w:u w:val="single"/>
        </w:rPr>
        <w:t>-</w:t>
      </w:r>
      <w:r w:rsidR="004E6EDA" w:rsidRPr="00410276">
        <w:rPr>
          <w:rFonts w:asciiTheme="minorHAnsi" w:hAnsiTheme="minorHAnsi" w:cs="Arial"/>
          <w:b/>
          <w:bCs/>
          <w:sz w:val="24"/>
          <w:szCs w:val="24"/>
          <w:u w:val="single"/>
        </w:rPr>
        <w:t>the</w:t>
      </w:r>
      <w:r w:rsidR="00035E11" w:rsidRPr="00410276">
        <w:rPr>
          <w:rFonts w:asciiTheme="minorHAnsi" w:hAnsiTheme="minorHAnsi" w:cs="Arial"/>
          <w:b/>
          <w:bCs/>
          <w:sz w:val="24"/>
          <w:szCs w:val="24"/>
          <w:u w:val="single"/>
        </w:rPr>
        <w:t>-</w:t>
      </w:r>
      <w:r w:rsidR="004E6EDA" w:rsidRPr="00410276">
        <w:rPr>
          <w:rFonts w:asciiTheme="minorHAnsi" w:hAnsiTheme="minorHAnsi" w:cs="Arial"/>
          <w:b/>
          <w:bCs/>
          <w:sz w:val="24"/>
          <w:szCs w:val="24"/>
          <w:u w:val="single"/>
        </w:rPr>
        <w:t>Bill Repayment Services</w:t>
      </w:r>
    </w:p>
    <w:p w14:paraId="70E543A9" w14:textId="77777777" w:rsidR="00943698" w:rsidRPr="00410276" w:rsidRDefault="001C693F" w:rsidP="00BB651B">
      <w:pPr>
        <w:spacing w:after="0" w:line="240" w:lineRule="auto"/>
        <w:rPr>
          <w:rFonts w:asciiTheme="minorHAnsi" w:hAnsiTheme="minorHAnsi"/>
          <w:sz w:val="24"/>
          <w:szCs w:val="24"/>
        </w:rPr>
      </w:pPr>
      <w:r w:rsidRPr="00410276">
        <w:rPr>
          <w:rFonts w:asciiTheme="minorHAnsi" w:hAnsiTheme="minorHAnsi"/>
          <w:sz w:val="24"/>
          <w:szCs w:val="24"/>
        </w:rPr>
        <w:t xml:space="preserve">NW Natural will assist in marketing a </w:t>
      </w:r>
      <w:r w:rsidR="00B01965" w:rsidRPr="00410276">
        <w:rPr>
          <w:rFonts w:asciiTheme="minorHAnsi" w:hAnsiTheme="minorHAnsi"/>
          <w:sz w:val="24"/>
          <w:szCs w:val="24"/>
        </w:rPr>
        <w:t>low-interest, unsecured financing offer</w:t>
      </w:r>
      <w:r w:rsidRPr="00410276">
        <w:rPr>
          <w:rFonts w:asciiTheme="minorHAnsi" w:hAnsiTheme="minorHAnsi"/>
          <w:sz w:val="24"/>
          <w:szCs w:val="24"/>
        </w:rPr>
        <w:t xml:space="preserve"> to residential homeowners who heat their homes with gas heat.  </w:t>
      </w:r>
      <w:r w:rsidR="00B01965" w:rsidRPr="00410276">
        <w:rPr>
          <w:rFonts w:asciiTheme="minorHAnsi" w:hAnsiTheme="minorHAnsi"/>
          <w:sz w:val="24"/>
          <w:szCs w:val="24"/>
        </w:rPr>
        <w:t xml:space="preserve">The program lender </w:t>
      </w:r>
      <w:r w:rsidR="003F7CDA" w:rsidRPr="00410276">
        <w:rPr>
          <w:rFonts w:asciiTheme="minorHAnsi" w:hAnsiTheme="minorHAnsi"/>
          <w:sz w:val="24"/>
          <w:szCs w:val="24"/>
        </w:rPr>
        <w:t xml:space="preserve">will </w:t>
      </w:r>
      <w:r w:rsidR="00B01965" w:rsidRPr="00410276">
        <w:rPr>
          <w:rFonts w:asciiTheme="minorHAnsi" w:hAnsiTheme="minorHAnsi"/>
          <w:sz w:val="24"/>
          <w:szCs w:val="24"/>
        </w:rPr>
        <w:t>originate</w:t>
      </w:r>
      <w:r w:rsidR="003F7CDA" w:rsidRPr="00410276">
        <w:rPr>
          <w:rFonts w:asciiTheme="minorHAnsi" w:hAnsiTheme="minorHAnsi"/>
          <w:sz w:val="24"/>
          <w:szCs w:val="24"/>
        </w:rPr>
        <w:t xml:space="preserve"> loans granted </w:t>
      </w:r>
      <w:r w:rsidRPr="00410276">
        <w:rPr>
          <w:rFonts w:asciiTheme="minorHAnsi" w:hAnsiTheme="minorHAnsi"/>
          <w:sz w:val="24"/>
          <w:szCs w:val="24"/>
        </w:rPr>
        <w:t xml:space="preserve">for the purposes of installing </w:t>
      </w:r>
      <w:r w:rsidR="006F60EB" w:rsidRPr="00410276">
        <w:rPr>
          <w:rFonts w:asciiTheme="minorHAnsi" w:hAnsiTheme="minorHAnsi"/>
          <w:sz w:val="24"/>
          <w:szCs w:val="24"/>
        </w:rPr>
        <w:t xml:space="preserve">conservation and </w:t>
      </w:r>
      <w:r w:rsidRPr="00410276">
        <w:rPr>
          <w:rFonts w:asciiTheme="minorHAnsi" w:hAnsiTheme="minorHAnsi"/>
          <w:sz w:val="24"/>
          <w:szCs w:val="24"/>
        </w:rPr>
        <w:t>energy efficiency measures incented by the existing homes program, and the Company</w:t>
      </w:r>
      <w:r w:rsidR="003F7CDA" w:rsidRPr="00410276">
        <w:rPr>
          <w:rFonts w:asciiTheme="minorHAnsi" w:hAnsiTheme="minorHAnsi"/>
          <w:sz w:val="24"/>
          <w:szCs w:val="24"/>
        </w:rPr>
        <w:t xml:space="preserve"> will </w:t>
      </w:r>
      <w:r w:rsidRPr="00410276">
        <w:rPr>
          <w:rFonts w:asciiTheme="minorHAnsi" w:hAnsiTheme="minorHAnsi"/>
          <w:sz w:val="24"/>
          <w:szCs w:val="24"/>
        </w:rPr>
        <w:t>provide billing and remittance services to</w:t>
      </w:r>
      <w:r w:rsidR="00B01965" w:rsidRPr="00410276">
        <w:rPr>
          <w:rFonts w:asciiTheme="minorHAnsi" w:hAnsiTheme="minorHAnsi"/>
          <w:sz w:val="24"/>
          <w:szCs w:val="24"/>
        </w:rPr>
        <w:t xml:space="preserve"> the program lender </w:t>
      </w:r>
      <w:r w:rsidRPr="00410276">
        <w:rPr>
          <w:rFonts w:asciiTheme="minorHAnsi" w:hAnsiTheme="minorHAnsi"/>
          <w:sz w:val="24"/>
          <w:szCs w:val="24"/>
        </w:rPr>
        <w:t xml:space="preserve">by placing the loan repayment fee on the customers’ monthly gas bill.  </w:t>
      </w:r>
      <w:r w:rsidR="00737F45" w:rsidRPr="00410276">
        <w:rPr>
          <w:rFonts w:asciiTheme="minorHAnsi" w:hAnsiTheme="minorHAnsi"/>
          <w:sz w:val="24"/>
          <w:szCs w:val="24"/>
        </w:rPr>
        <w:t>Customers who obtain a loan with On-the-Bill Repayment Services will receive a loan repayment charge separately itemized as “Energy Upgrade Loan” on their monthly bill for natural gas service</w:t>
      </w:r>
      <w:r w:rsidR="00737F45">
        <w:rPr>
          <w:rFonts w:asciiTheme="minorHAnsi" w:hAnsiTheme="minorHAnsi"/>
          <w:sz w:val="24"/>
          <w:szCs w:val="24"/>
        </w:rPr>
        <w:t>. This will be reflected</w:t>
      </w:r>
      <w:r w:rsidR="00737F45" w:rsidRPr="00410276">
        <w:rPr>
          <w:rFonts w:asciiTheme="minorHAnsi" w:hAnsiTheme="minorHAnsi"/>
          <w:sz w:val="24"/>
          <w:szCs w:val="24"/>
        </w:rPr>
        <w:t xml:space="preserve"> for the term of the loan or until the loan has been paid off, transferred, or otherwise discharged or removed from the bill in accordance with the terms and conditions of the Company’s service agreement with Energy Trust</w:t>
      </w:r>
      <w:r w:rsidR="00737F45">
        <w:rPr>
          <w:rFonts w:asciiTheme="minorHAnsi" w:hAnsiTheme="minorHAnsi"/>
          <w:sz w:val="24"/>
          <w:szCs w:val="24"/>
        </w:rPr>
        <w:t>. Energy Trust</w:t>
      </w:r>
      <w:r w:rsidR="00737F45" w:rsidRPr="00410276">
        <w:rPr>
          <w:rFonts w:asciiTheme="minorHAnsi" w:hAnsiTheme="minorHAnsi"/>
          <w:sz w:val="24"/>
          <w:szCs w:val="24"/>
        </w:rPr>
        <w:t xml:space="preserve"> will manage the coordination of activities between the program lender, the program management contractor, and the Company.   </w:t>
      </w:r>
    </w:p>
    <w:p w14:paraId="70E543AA" w14:textId="77777777" w:rsidR="00EB58D9" w:rsidRPr="00410276" w:rsidRDefault="00EB58D9" w:rsidP="00BB651B">
      <w:pPr>
        <w:spacing w:after="0" w:line="240" w:lineRule="auto"/>
        <w:ind w:firstLine="720"/>
        <w:rPr>
          <w:rFonts w:asciiTheme="minorHAnsi" w:hAnsiTheme="minorHAnsi"/>
          <w:sz w:val="24"/>
          <w:szCs w:val="24"/>
        </w:rPr>
      </w:pPr>
    </w:p>
    <w:p w14:paraId="70E543AB" w14:textId="77777777" w:rsidR="001C693F" w:rsidRPr="00410276" w:rsidRDefault="00DE520A" w:rsidP="00BB651B">
      <w:pPr>
        <w:spacing w:after="0" w:line="240" w:lineRule="auto"/>
        <w:rPr>
          <w:rFonts w:asciiTheme="minorHAnsi" w:hAnsiTheme="minorHAnsi"/>
          <w:b/>
          <w:sz w:val="24"/>
          <w:szCs w:val="24"/>
          <w:u w:val="single"/>
        </w:rPr>
      </w:pPr>
      <w:r w:rsidRPr="00410276">
        <w:rPr>
          <w:rFonts w:asciiTheme="minorHAnsi" w:hAnsiTheme="minorHAnsi"/>
          <w:b/>
          <w:sz w:val="24"/>
          <w:szCs w:val="24"/>
          <w:u w:val="single"/>
        </w:rPr>
        <w:t xml:space="preserve">Program </w:t>
      </w:r>
      <w:r w:rsidR="004E6EDA" w:rsidRPr="00410276">
        <w:rPr>
          <w:rFonts w:asciiTheme="minorHAnsi" w:hAnsiTheme="minorHAnsi"/>
          <w:b/>
          <w:sz w:val="24"/>
          <w:szCs w:val="24"/>
          <w:u w:val="single"/>
        </w:rPr>
        <w:t>Lender</w:t>
      </w:r>
    </w:p>
    <w:p w14:paraId="70E543AC" w14:textId="77777777" w:rsidR="00943698" w:rsidRPr="00410276" w:rsidRDefault="001C693F" w:rsidP="00BB651B">
      <w:pPr>
        <w:spacing w:after="0" w:line="240" w:lineRule="auto"/>
        <w:rPr>
          <w:rFonts w:asciiTheme="minorHAnsi" w:hAnsiTheme="minorHAnsi"/>
          <w:sz w:val="24"/>
          <w:szCs w:val="24"/>
        </w:rPr>
      </w:pPr>
      <w:r w:rsidRPr="00410276">
        <w:rPr>
          <w:rFonts w:asciiTheme="minorHAnsi" w:hAnsiTheme="minorHAnsi"/>
          <w:sz w:val="24"/>
          <w:szCs w:val="24"/>
        </w:rPr>
        <w:t xml:space="preserve">Craft3, a non-profit community development financial institution (CDFI) lender, </w:t>
      </w:r>
      <w:r w:rsidR="00DE520A" w:rsidRPr="00410276">
        <w:rPr>
          <w:rFonts w:asciiTheme="minorHAnsi" w:hAnsiTheme="minorHAnsi"/>
          <w:sz w:val="24"/>
          <w:szCs w:val="24"/>
        </w:rPr>
        <w:t xml:space="preserve">will act as the program lender, under the terms and conditions of a service agreement with Energy Trust. Craft3 </w:t>
      </w:r>
      <w:r w:rsidRPr="00410276">
        <w:rPr>
          <w:rFonts w:asciiTheme="minorHAnsi" w:hAnsiTheme="minorHAnsi"/>
          <w:sz w:val="24"/>
          <w:szCs w:val="24"/>
        </w:rPr>
        <w:t>received a grant from the State Of Washington’s Clean Energy Revolving Loan Fund</w:t>
      </w:r>
      <w:r w:rsidR="00DC379A" w:rsidRPr="00410276">
        <w:rPr>
          <w:rStyle w:val="FootnoteReference"/>
          <w:rFonts w:asciiTheme="minorHAnsi" w:hAnsiTheme="minorHAnsi"/>
          <w:sz w:val="24"/>
          <w:szCs w:val="24"/>
        </w:rPr>
        <w:footnoteReference w:id="5"/>
      </w:r>
      <w:r w:rsidRPr="00410276">
        <w:rPr>
          <w:rFonts w:asciiTheme="minorHAnsi" w:hAnsiTheme="minorHAnsi"/>
          <w:sz w:val="24"/>
          <w:szCs w:val="24"/>
        </w:rPr>
        <w:t xml:space="preserve"> for the purpose of providing financing to </w:t>
      </w:r>
      <w:r w:rsidR="00A415B4" w:rsidRPr="00410276">
        <w:rPr>
          <w:rFonts w:asciiTheme="minorHAnsi" w:hAnsiTheme="minorHAnsi"/>
          <w:sz w:val="24"/>
          <w:szCs w:val="24"/>
        </w:rPr>
        <w:t xml:space="preserve">Washington residents for the purpose of installing energy efficiency measures. </w:t>
      </w:r>
      <w:r w:rsidR="00DE520A" w:rsidRPr="00410276">
        <w:rPr>
          <w:rFonts w:asciiTheme="minorHAnsi" w:hAnsiTheme="minorHAnsi"/>
          <w:sz w:val="24"/>
          <w:szCs w:val="24"/>
        </w:rPr>
        <w:t>The intent of this offering is to facilitate the acquisition of cost</w:t>
      </w:r>
      <w:r w:rsidR="00BA3C0F" w:rsidRPr="00410276">
        <w:rPr>
          <w:rFonts w:asciiTheme="minorHAnsi" w:hAnsiTheme="minorHAnsi"/>
          <w:sz w:val="24"/>
          <w:szCs w:val="24"/>
        </w:rPr>
        <w:t>-</w:t>
      </w:r>
      <w:r w:rsidR="00DE520A" w:rsidRPr="00410276">
        <w:rPr>
          <w:rFonts w:asciiTheme="minorHAnsi" w:hAnsiTheme="minorHAnsi"/>
          <w:sz w:val="24"/>
          <w:szCs w:val="24"/>
        </w:rPr>
        <w:t xml:space="preserve">effective natural gas savings while extending the benefit of the State Of Washington’s Clean Energy Revolving Loan Fund to natural gas ratepayers in Southwest Washington. </w:t>
      </w:r>
    </w:p>
    <w:p w14:paraId="70E543AD" w14:textId="77777777" w:rsidR="001C693F" w:rsidRPr="00410276" w:rsidRDefault="001C693F" w:rsidP="00BB651B">
      <w:pPr>
        <w:spacing w:after="0" w:line="240" w:lineRule="auto"/>
        <w:rPr>
          <w:rFonts w:asciiTheme="minorHAnsi" w:hAnsiTheme="minorHAnsi"/>
          <w:sz w:val="24"/>
          <w:szCs w:val="24"/>
        </w:rPr>
      </w:pPr>
    </w:p>
    <w:p w14:paraId="70E543AE" w14:textId="77777777" w:rsidR="008C5FE3" w:rsidRPr="00410276" w:rsidRDefault="003F7CDA" w:rsidP="00BB651B">
      <w:pPr>
        <w:spacing w:after="0" w:line="240" w:lineRule="auto"/>
        <w:rPr>
          <w:rFonts w:asciiTheme="minorHAnsi" w:hAnsiTheme="minorHAnsi" w:cs="Arial"/>
          <w:b/>
          <w:bCs/>
          <w:sz w:val="24"/>
          <w:szCs w:val="24"/>
          <w:u w:val="single"/>
        </w:rPr>
      </w:pPr>
      <w:r w:rsidRPr="00410276">
        <w:rPr>
          <w:rFonts w:asciiTheme="minorHAnsi" w:hAnsiTheme="minorHAnsi" w:cs="Arial"/>
          <w:b/>
          <w:bCs/>
          <w:sz w:val="24"/>
          <w:szCs w:val="24"/>
          <w:u w:val="single"/>
        </w:rPr>
        <w:t>L</w:t>
      </w:r>
      <w:r w:rsidR="004E6EDA" w:rsidRPr="00410276">
        <w:rPr>
          <w:rFonts w:asciiTheme="minorHAnsi" w:hAnsiTheme="minorHAnsi" w:cs="Arial"/>
          <w:b/>
          <w:bCs/>
          <w:sz w:val="24"/>
          <w:szCs w:val="24"/>
          <w:u w:val="single"/>
        </w:rPr>
        <w:t>oan</w:t>
      </w:r>
    </w:p>
    <w:p w14:paraId="70E543AF" w14:textId="77777777" w:rsidR="00BD7243" w:rsidRPr="00410276" w:rsidRDefault="004E6EDA" w:rsidP="00BB651B">
      <w:pPr>
        <w:spacing w:after="0" w:line="240" w:lineRule="auto"/>
        <w:rPr>
          <w:rFonts w:asciiTheme="minorHAnsi" w:hAnsiTheme="minorHAnsi"/>
          <w:sz w:val="24"/>
          <w:szCs w:val="24"/>
        </w:rPr>
      </w:pPr>
      <w:r w:rsidRPr="00410276">
        <w:rPr>
          <w:rFonts w:asciiTheme="minorHAnsi" w:hAnsiTheme="minorHAnsi"/>
          <w:sz w:val="24"/>
          <w:szCs w:val="24"/>
        </w:rPr>
        <w:t>The l</w:t>
      </w:r>
      <w:r w:rsidR="001C693F" w:rsidRPr="00410276">
        <w:rPr>
          <w:rFonts w:asciiTheme="minorHAnsi" w:hAnsiTheme="minorHAnsi"/>
          <w:sz w:val="24"/>
          <w:szCs w:val="24"/>
        </w:rPr>
        <w:t xml:space="preserve">oan offerings through Craft3 </w:t>
      </w:r>
      <w:r w:rsidRPr="00410276">
        <w:rPr>
          <w:rFonts w:asciiTheme="minorHAnsi" w:hAnsiTheme="minorHAnsi"/>
          <w:sz w:val="24"/>
          <w:szCs w:val="24"/>
        </w:rPr>
        <w:t xml:space="preserve">that will qualify for </w:t>
      </w:r>
      <w:r w:rsidR="00BA20BF" w:rsidRPr="00410276">
        <w:rPr>
          <w:rFonts w:asciiTheme="minorHAnsi" w:hAnsiTheme="minorHAnsi"/>
          <w:sz w:val="24"/>
          <w:szCs w:val="24"/>
        </w:rPr>
        <w:t>On</w:t>
      </w:r>
      <w:r w:rsidRPr="00410276">
        <w:rPr>
          <w:rFonts w:asciiTheme="minorHAnsi" w:hAnsiTheme="minorHAnsi"/>
          <w:sz w:val="24"/>
          <w:szCs w:val="24"/>
        </w:rPr>
        <w:t>-the-</w:t>
      </w:r>
      <w:r w:rsidR="00BA20BF" w:rsidRPr="00410276">
        <w:rPr>
          <w:rFonts w:asciiTheme="minorHAnsi" w:hAnsiTheme="minorHAnsi"/>
          <w:sz w:val="24"/>
          <w:szCs w:val="24"/>
        </w:rPr>
        <w:t>B</w:t>
      </w:r>
      <w:r w:rsidRPr="00410276">
        <w:rPr>
          <w:rFonts w:asciiTheme="minorHAnsi" w:hAnsiTheme="minorHAnsi"/>
          <w:sz w:val="24"/>
          <w:szCs w:val="24"/>
        </w:rPr>
        <w:t xml:space="preserve">ill </w:t>
      </w:r>
      <w:r w:rsidR="00BA20BF" w:rsidRPr="00410276">
        <w:rPr>
          <w:rFonts w:asciiTheme="minorHAnsi" w:hAnsiTheme="minorHAnsi"/>
          <w:sz w:val="24"/>
          <w:szCs w:val="24"/>
        </w:rPr>
        <w:t xml:space="preserve">Repayment Services </w:t>
      </w:r>
      <w:r w:rsidRPr="00410276">
        <w:rPr>
          <w:rFonts w:asciiTheme="minorHAnsi" w:hAnsiTheme="minorHAnsi"/>
          <w:sz w:val="24"/>
          <w:szCs w:val="24"/>
        </w:rPr>
        <w:t xml:space="preserve">must </w:t>
      </w:r>
      <w:r w:rsidR="003F7CDA" w:rsidRPr="00410276">
        <w:rPr>
          <w:rFonts w:asciiTheme="minorHAnsi" w:hAnsiTheme="minorHAnsi"/>
          <w:sz w:val="24"/>
          <w:szCs w:val="24"/>
        </w:rPr>
        <w:t xml:space="preserve">fit the following parameters: </w:t>
      </w:r>
    </w:p>
    <w:p w14:paraId="70E543B0" w14:textId="77777777" w:rsidR="004E6EDA" w:rsidRPr="00410276" w:rsidRDefault="004E6EDA" w:rsidP="00BB651B">
      <w:pPr>
        <w:pStyle w:val="ListParagraph"/>
        <w:numPr>
          <w:ilvl w:val="0"/>
          <w:numId w:val="18"/>
        </w:numPr>
        <w:spacing w:after="0" w:line="240" w:lineRule="auto"/>
        <w:rPr>
          <w:rFonts w:asciiTheme="minorHAnsi" w:hAnsiTheme="minorHAnsi"/>
          <w:sz w:val="24"/>
          <w:szCs w:val="24"/>
        </w:rPr>
      </w:pPr>
      <w:r w:rsidRPr="00410276">
        <w:rPr>
          <w:rFonts w:asciiTheme="minorHAnsi" w:hAnsiTheme="minorHAnsi"/>
          <w:sz w:val="24"/>
          <w:szCs w:val="24"/>
        </w:rPr>
        <w:t xml:space="preserve">Loans must be granted to residential homeowners who use natural gas as their primary heating fuel. </w:t>
      </w:r>
    </w:p>
    <w:p w14:paraId="70E543B1" w14:textId="77777777" w:rsidR="004E6EDA" w:rsidRPr="00410276" w:rsidRDefault="004E6EDA" w:rsidP="00BB651B">
      <w:pPr>
        <w:pStyle w:val="ListParagraph"/>
        <w:numPr>
          <w:ilvl w:val="0"/>
          <w:numId w:val="18"/>
        </w:numPr>
        <w:spacing w:after="0" w:line="240" w:lineRule="auto"/>
        <w:rPr>
          <w:rFonts w:asciiTheme="minorHAnsi" w:hAnsiTheme="minorHAnsi"/>
          <w:sz w:val="24"/>
          <w:szCs w:val="24"/>
        </w:rPr>
      </w:pPr>
      <w:r w:rsidRPr="00410276">
        <w:rPr>
          <w:rFonts w:asciiTheme="minorHAnsi" w:hAnsiTheme="minorHAnsi"/>
          <w:sz w:val="24"/>
          <w:szCs w:val="24"/>
        </w:rPr>
        <w:t xml:space="preserve">Loan amounts must be used to install </w:t>
      </w:r>
      <w:r w:rsidR="006F60EB" w:rsidRPr="00410276">
        <w:rPr>
          <w:rFonts w:asciiTheme="minorHAnsi" w:hAnsiTheme="minorHAnsi"/>
          <w:sz w:val="24"/>
          <w:szCs w:val="24"/>
        </w:rPr>
        <w:t xml:space="preserve">conservation and </w:t>
      </w:r>
      <w:r w:rsidRPr="00410276">
        <w:rPr>
          <w:rFonts w:asciiTheme="minorHAnsi" w:hAnsiTheme="minorHAnsi"/>
          <w:sz w:val="24"/>
          <w:szCs w:val="24"/>
        </w:rPr>
        <w:t>energy efficient measures incented under NW Natural’s existing homes program.</w:t>
      </w:r>
    </w:p>
    <w:p w14:paraId="70E543B2" w14:textId="77777777" w:rsidR="000C2008" w:rsidRPr="00410276" w:rsidRDefault="000C2008" w:rsidP="00BB651B">
      <w:pPr>
        <w:pStyle w:val="ListParagraph"/>
        <w:numPr>
          <w:ilvl w:val="0"/>
          <w:numId w:val="18"/>
        </w:numPr>
        <w:spacing w:after="0" w:line="240" w:lineRule="auto"/>
        <w:rPr>
          <w:rFonts w:asciiTheme="minorHAnsi" w:hAnsiTheme="minorHAnsi"/>
          <w:sz w:val="24"/>
          <w:szCs w:val="24"/>
        </w:rPr>
      </w:pPr>
      <w:r w:rsidRPr="00410276">
        <w:rPr>
          <w:rFonts w:asciiTheme="minorHAnsi" w:hAnsiTheme="minorHAnsi"/>
          <w:sz w:val="24"/>
          <w:szCs w:val="24"/>
        </w:rPr>
        <w:t>Loan Amount:</w:t>
      </w:r>
    </w:p>
    <w:p w14:paraId="70E543B3" w14:textId="77777777" w:rsidR="000C2008" w:rsidRPr="00410276" w:rsidRDefault="000C2008" w:rsidP="00BB651B">
      <w:pPr>
        <w:pStyle w:val="ListParagraph"/>
        <w:numPr>
          <w:ilvl w:val="1"/>
          <w:numId w:val="18"/>
        </w:numPr>
        <w:spacing w:after="0" w:line="240" w:lineRule="auto"/>
        <w:rPr>
          <w:rFonts w:asciiTheme="minorHAnsi" w:hAnsiTheme="minorHAnsi"/>
          <w:sz w:val="24"/>
          <w:szCs w:val="24"/>
        </w:rPr>
      </w:pPr>
      <w:r w:rsidRPr="00410276">
        <w:rPr>
          <w:rFonts w:asciiTheme="minorHAnsi" w:hAnsiTheme="minorHAnsi"/>
          <w:sz w:val="24"/>
          <w:szCs w:val="24"/>
        </w:rPr>
        <w:t>Loan amounts must be no less than $2</w:t>
      </w:r>
      <w:r w:rsidR="00BA20BF" w:rsidRPr="00410276">
        <w:rPr>
          <w:rFonts w:asciiTheme="minorHAnsi" w:hAnsiTheme="minorHAnsi"/>
          <w:sz w:val="24"/>
          <w:szCs w:val="24"/>
        </w:rPr>
        <w:t>,</w:t>
      </w:r>
      <w:r w:rsidRPr="00410276">
        <w:rPr>
          <w:rFonts w:asciiTheme="minorHAnsi" w:hAnsiTheme="minorHAnsi"/>
          <w:sz w:val="24"/>
          <w:szCs w:val="24"/>
        </w:rPr>
        <w:t>500 and no more than $15,000.</w:t>
      </w:r>
    </w:p>
    <w:p w14:paraId="70E543B4" w14:textId="77777777" w:rsidR="001C693F" w:rsidRPr="00410276" w:rsidRDefault="004E6EDA" w:rsidP="00BB651B">
      <w:pPr>
        <w:pStyle w:val="ListParagraph"/>
        <w:numPr>
          <w:ilvl w:val="0"/>
          <w:numId w:val="18"/>
        </w:numPr>
        <w:spacing w:after="0" w:line="240" w:lineRule="auto"/>
        <w:rPr>
          <w:rFonts w:asciiTheme="minorHAnsi" w:hAnsiTheme="minorHAnsi"/>
          <w:sz w:val="24"/>
          <w:szCs w:val="24"/>
        </w:rPr>
      </w:pPr>
      <w:r w:rsidRPr="00410276">
        <w:rPr>
          <w:rFonts w:asciiTheme="minorHAnsi" w:hAnsiTheme="minorHAnsi"/>
          <w:sz w:val="24"/>
          <w:szCs w:val="24"/>
        </w:rPr>
        <w:t>Term of loan:</w:t>
      </w:r>
    </w:p>
    <w:p w14:paraId="70E543B5" w14:textId="77777777" w:rsidR="001C693F" w:rsidRPr="00410276" w:rsidRDefault="001C693F" w:rsidP="00BB651B">
      <w:pPr>
        <w:pStyle w:val="ListParagraph"/>
        <w:numPr>
          <w:ilvl w:val="1"/>
          <w:numId w:val="18"/>
        </w:numPr>
        <w:spacing w:after="0" w:line="240" w:lineRule="auto"/>
        <w:rPr>
          <w:rFonts w:asciiTheme="minorHAnsi" w:hAnsiTheme="minorHAnsi"/>
          <w:sz w:val="24"/>
          <w:szCs w:val="24"/>
        </w:rPr>
      </w:pPr>
      <w:r w:rsidRPr="00410276">
        <w:rPr>
          <w:rFonts w:asciiTheme="minorHAnsi" w:hAnsiTheme="minorHAnsi"/>
          <w:sz w:val="24"/>
          <w:szCs w:val="24"/>
        </w:rPr>
        <w:t>Loans up to $7</w:t>
      </w:r>
      <w:r w:rsidR="00BA20BF" w:rsidRPr="00410276">
        <w:rPr>
          <w:rFonts w:asciiTheme="minorHAnsi" w:hAnsiTheme="minorHAnsi"/>
          <w:sz w:val="24"/>
          <w:szCs w:val="24"/>
        </w:rPr>
        <w:t>,</w:t>
      </w:r>
      <w:r w:rsidRPr="00410276">
        <w:rPr>
          <w:rFonts w:asciiTheme="minorHAnsi" w:hAnsiTheme="minorHAnsi"/>
          <w:sz w:val="24"/>
          <w:szCs w:val="24"/>
        </w:rPr>
        <w:t xml:space="preserve">500 to have a max term of 7 years, </w:t>
      </w:r>
    </w:p>
    <w:p w14:paraId="70E543B6" w14:textId="77777777" w:rsidR="001C693F" w:rsidRPr="00410276" w:rsidRDefault="001C693F" w:rsidP="00BB651B">
      <w:pPr>
        <w:pStyle w:val="ListParagraph"/>
        <w:numPr>
          <w:ilvl w:val="1"/>
          <w:numId w:val="18"/>
        </w:numPr>
        <w:spacing w:after="0" w:line="240" w:lineRule="auto"/>
        <w:rPr>
          <w:rFonts w:asciiTheme="minorHAnsi" w:hAnsiTheme="minorHAnsi"/>
          <w:sz w:val="24"/>
          <w:szCs w:val="24"/>
        </w:rPr>
      </w:pPr>
      <w:r w:rsidRPr="00410276">
        <w:rPr>
          <w:rFonts w:asciiTheme="minorHAnsi" w:hAnsiTheme="minorHAnsi"/>
          <w:sz w:val="24"/>
          <w:szCs w:val="24"/>
        </w:rPr>
        <w:t>Loans between $7</w:t>
      </w:r>
      <w:r w:rsidR="00BA20BF" w:rsidRPr="00410276">
        <w:rPr>
          <w:rFonts w:asciiTheme="minorHAnsi" w:hAnsiTheme="minorHAnsi"/>
          <w:sz w:val="24"/>
          <w:szCs w:val="24"/>
        </w:rPr>
        <w:t>,</w:t>
      </w:r>
      <w:r w:rsidRPr="00410276">
        <w:rPr>
          <w:rFonts w:asciiTheme="minorHAnsi" w:hAnsiTheme="minorHAnsi"/>
          <w:sz w:val="24"/>
          <w:szCs w:val="24"/>
        </w:rPr>
        <w:t xml:space="preserve">500-$15,000 up to 15 years. </w:t>
      </w:r>
    </w:p>
    <w:p w14:paraId="70E543B7" w14:textId="77777777" w:rsidR="001C693F" w:rsidRPr="00410276" w:rsidRDefault="001817A0" w:rsidP="00BB651B">
      <w:pPr>
        <w:pStyle w:val="ListParagraph"/>
        <w:numPr>
          <w:ilvl w:val="0"/>
          <w:numId w:val="18"/>
        </w:numPr>
        <w:spacing w:after="0" w:line="240" w:lineRule="auto"/>
        <w:rPr>
          <w:rFonts w:asciiTheme="minorHAnsi" w:hAnsiTheme="minorHAnsi"/>
          <w:sz w:val="24"/>
          <w:szCs w:val="24"/>
        </w:rPr>
      </w:pPr>
      <w:r w:rsidRPr="00410276">
        <w:rPr>
          <w:rFonts w:asciiTheme="minorHAnsi" w:hAnsiTheme="minorHAnsi"/>
          <w:sz w:val="24"/>
          <w:szCs w:val="24"/>
        </w:rPr>
        <w:t xml:space="preserve">The program will launch with a fixed interest rate at 4.49%. Contingent on market conditions, Craft3 may at a later date revise the </w:t>
      </w:r>
      <w:r w:rsidR="006F60EB" w:rsidRPr="00410276">
        <w:rPr>
          <w:rFonts w:asciiTheme="minorHAnsi" w:hAnsiTheme="minorHAnsi"/>
          <w:sz w:val="24"/>
          <w:szCs w:val="24"/>
        </w:rPr>
        <w:t xml:space="preserve">interest rate </w:t>
      </w:r>
      <w:r w:rsidRPr="00410276">
        <w:rPr>
          <w:rFonts w:asciiTheme="minorHAnsi" w:hAnsiTheme="minorHAnsi"/>
          <w:sz w:val="24"/>
          <w:szCs w:val="24"/>
        </w:rPr>
        <w:t>offer for future customers, not to exceed 5.49%. Under all circumstances rates will be fixed, and consistent for any qualifying customer.</w:t>
      </w:r>
    </w:p>
    <w:p w14:paraId="70E543B8" w14:textId="77777777" w:rsidR="008C5FE3" w:rsidRPr="00410276" w:rsidRDefault="008C5FE3" w:rsidP="00BB651B">
      <w:pPr>
        <w:pStyle w:val="ListParagraph"/>
        <w:numPr>
          <w:ilvl w:val="0"/>
          <w:numId w:val="18"/>
        </w:numPr>
        <w:spacing w:after="0" w:line="240" w:lineRule="auto"/>
        <w:rPr>
          <w:rFonts w:asciiTheme="minorHAnsi" w:hAnsiTheme="minorHAnsi"/>
          <w:sz w:val="24"/>
          <w:szCs w:val="24"/>
        </w:rPr>
      </w:pPr>
      <w:r w:rsidRPr="00410276">
        <w:rPr>
          <w:rFonts w:asciiTheme="minorHAnsi" w:hAnsiTheme="minorHAnsi"/>
          <w:sz w:val="24"/>
          <w:szCs w:val="24"/>
        </w:rPr>
        <w:t xml:space="preserve">Loans will be unsecured. </w:t>
      </w:r>
    </w:p>
    <w:p w14:paraId="70E543B9" w14:textId="77777777" w:rsidR="003E169E" w:rsidRPr="00410276" w:rsidRDefault="008C5FE3" w:rsidP="00BB651B">
      <w:pPr>
        <w:pStyle w:val="ListParagraph"/>
        <w:numPr>
          <w:ilvl w:val="0"/>
          <w:numId w:val="18"/>
        </w:numPr>
        <w:spacing w:after="0" w:line="240" w:lineRule="auto"/>
        <w:rPr>
          <w:rFonts w:asciiTheme="minorHAnsi" w:hAnsiTheme="minorHAnsi"/>
          <w:sz w:val="24"/>
          <w:szCs w:val="24"/>
        </w:rPr>
      </w:pPr>
      <w:r w:rsidRPr="00410276">
        <w:rPr>
          <w:rFonts w:asciiTheme="minorHAnsi" w:hAnsiTheme="minorHAnsi"/>
          <w:sz w:val="24"/>
          <w:szCs w:val="24"/>
        </w:rPr>
        <w:t xml:space="preserve">No penalty for early repayment. </w:t>
      </w:r>
    </w:p>
    <w:p w14:paraId="70E543BA" w14:textId="77777777" w:rsidR="003E169E" w:rsidRPr="00410276" w:rsidRDefault="003E169E" w:rsidP="00BB651B">
      <w:pPr>
        <w:pStyle w:val="ListParagraph"/>
        <w:numPr>
          <w:ilvl w:val="0"/>
          <w:numId w:val="18"/>
        </w:numPr>
        <w:spacing w:after="0" w:line="240" w:lineRule="auto"/>
        <w:rPr>
          <w:rFonts w:asciiTheme="minorHAnsi" w:hAnsiTheme="minorHAnsi"/>
          <w:sz w:val="24"/>
          <w:szCs w:val="24"/>
        </w:rPr>
      </w:pPr>
      <w:r w:rsidRPr="00410276">
        <w:rPr>
          <w:rFonts w:asciiTheme="minorHAnsi" w:hAnsiTheme="minorHAnsi"/>
          <w:sz w:val="24"/>
          <w:szCs w:val="24"/>
        </w:rPr>
        <w:t>Craft3 may assess a financing fee of $100 for loans between $2</w:t>
      </w:r>
      <w:r w:rsidR="00BA20BF" w:rsidRPr="00410276">
        <w:rPr>
          <w:rFonts w:asciiTheme="minorHAnsi" w:hAnsiTheme="minorHAnsi"/>
          <w:sz w:val="24"/>
          <w:szCs w:val="24"/>
        </w:rPr>
        <w:t>,</w:t>
      </w:r>
      <w:r w:rsidRPr="00410276">
        <w:rPr>
          <w:rFonts w:asciiTheme="minorHAnsi" w:hAnsiTheme="minorHAnsi"/>
          <w:sz w:val="24"/>
          <w:szCs w:val="24"/>
        </w:rPr>
        <w:t>500-$7</w:t>
      </w:r>
      <w:r w:rsidR="00BA20BF" w:rsidRPr="00410276">
        <w:rPr>
          <w:rFonts w:asciiTheme="minorHAnsi" w:hAnsiTheme="minorHAnsi"/>
          <w:sz w:val="24"/>
          <w:szCs w:val="24"/>
        </w:rPr>
        <w:t>,</w:t>
      </w:r>
      <w:r w:rsidRPr="00410276">
        <w:rPr>
          <w:rFonts w:asciiTheme="minorHAnsi" w:hAnsiTheme="minorHAnsi"/>
          <w:sz w:val="24"/>
          <w:szCs w:val="24"/>
        </w:rPr>
        <w:t xml:space="preserve">500, $200 </w:t>
      </w:r>
      <w:r w:rsidR="001817A0" w:rsidRPr="00410276">
        <w:rPr>
          <w:rFonts w:asciiTheme="minorHAnsi" w:hAnsiTheme="minorHAnsi"/>
          <w:sz w:val="24"/>
          <w:szCs w:val="24"/>
        </w:rPr>
        <w:t xml:space="preserve">for loans </w:t>
      </w:r>
      <w:r w:rsidRPr="00410276">
        <w:rPr>
          <w:rFonts w:asciiTheme="minorHAnsi" w:hAnsiTheme="minorHAnsi"/>
          <w:sz w:val="24"/>
          <w:szCs w:val="24"/>
        </w:rPr>
        <w:t>between $7</w:t>
      </w:r>
      <w:r w:rsidR="00BA20BF" w:rsidRPr="00410276">
        <w:rPr>
          <w:rFonts w:asciiTheme="minorHAnsi" w:hAnsiTheme="minorHAnsi"/>
          <w:sz w:val="24"/>
          <w:szCs w:val="24"/>
        </w:rPr>
        <w:t>,</w:t>
      </w:r>
      <w:r w:rsidRPr="00410276">
        <w:rPr>
          <w:rFonts w:asciiTheme="minorHAnsi" w:hAnsiTheme="minorHAnsi"/>
          <w:sz w:val="24"/>
          <w:szCs w:val="24"/>
        </w:rPr>
        <w:t>500-$15,000</w:t>
      </w:r>
    </w:p>
    <w:p w14:paraId="70E543BB" w14:textId="77777777" w:rsidR="004923AD" w:rsidRPr="00410276" w:rsidRDefault="003E169E" w:rsidP="00BB651B">
      <w:pPr>
        <w:pStyle w:val="ListParagraph"/>
        <w:numPr>
          <w:ilvl w:val="1"/>
          <w:numId w:val="18"/>
        </w:numPr>
        <w:spacing w:after="0" w:line="240" w:lineRule="auto"/>
        <w:ind w:left="1440"/>
        <w:rPr>
          <w:rFonts w:asciiTheme="minorHAnsi" w:hAnsiTheme="minorHAnsi"/>
          <w:sz w:val="24"/>
          <w:szCs w:val="24"/>
        </w:rPr>
      </w:pPr>
      <w:r w:rsidRPr="00410276">
        <w:rPr>
          <w:rFonts w:asciiTheme="minorHAnsi" w:hAnsiTheme="minorHAnsi"/>
          <w:sz w:val="24"/>
          <w:szCs w:val="24"/>
        </w:rPr>
        <w:t>Fees may be financed as an addition to the loan balance</w:t>
      </w:r>
    </w:p>
    <w:p w14:paraId="70E543BC" w14:textId="77777777" w:rsidR="00D0788B" w:rsidRPr="00867618" w:rsidRDefault="00D0788B" w:rsidP="00BB651B">
      <w:pPr>
        <w:pStyle w:val="ListParagraph"/>
        <w:numPr>
          <w:ilvl w:val="0"/>
          <w:numId w:val="18"/>
        </w:numPr>
        <w:spacing w:after="0" w:line="240" w:lineRule="auto"/>
        <w:rPr>
          <w:rFonts w:asciiTheme="minorHAnsi" w:hAnsiTheme="minorHAnsi"/>
          <w:sz w:val="24"/>
          <w:szCs w:val="24"/>
        </w:rPr>
      </w:pPr>
      <w:r w:rsidRPr="00867618">
        <w:rPr>
          <w:rFonts w:asciiTheme="minorHAnsi" w:hAnsiTheme="minorHAnsi"/>
          <w:sz w:val="24"/>
          <w:szCs w:val="24"/>
        </w:rPr>
        <w:t>At least 51% of the loan must be for costs that are directly attributable to the commissioning and installation of the qualifying measure(s), costs incurred to comply with applicable building code, mechanical code, or other pertinent regulations, or costs incurred to meet any technical specifications established by the Energy Trust.  Whereas 49% of the loan may be allocated toward non-qualifying</w:t>
      </w:r>
      <w:r w:rsidR="005D52D2">
        <w:rPr>
          <w:rFonts w:asciiTheme="minorHAnsi" w:hAnsiTheme="minorHAnsi"/>
          <w:sz w:val="24"/>
          <w:szCs w:val="24"/>
        </w:rPr>
        <w:t xml:space="preserve"> </w:t>
      </w:r>
      <w:r w:rsidR="00457507">
        <w:rPr>
          <w:rFonts w:asciiTheme="minorHAnsi" w:hAnsiTheme="minorHAnsi"/>
          <w:sz w:val="24"/>
          <w:szCs w:val="24"/>
        </w:rPr>
        <w:t>energy</w:t>
      </w:r>
      <w:r w:rsidRPr="00867618">
        <w:rPr>
          <w:rFonts w:asciiTheme="minorHAnsi" w:hAnsiTheme="minorHAnsi"/>
          <w:sz w:val="24"/>
          <w:szCs w:val="24"/>
        </w:rPr>
        <w:t xml:space="preserve"> measures such as cooling.</w:t>
      </w:r>
    </w:p>
    <w:p w14:paraId="70E543BD" w14:textId="77777777" w:rsidR="00980CDA" w:rsidRPr="00867618" w:rsidRDefault="00980CDA" w:rsidP="00BB651B">
      <w:pPr>
        <w:tabs>
          <w:tab w:val="left" w:pos="360"/>
        </w:tabs>
        <w:spacing w:after="0" w:line="240" w:lineRule="auto"/>
        <w:rPr>
          <w:rFonts w:asciiTheme="minorHAnsi" w:hAnsiTheme="minorHAnsi"/>
          <w:sz w:val="24"/>
          <w:szCs w:val="24"/>
        </w:rPr>
      </w:pPr>
    </w:p>
    <w:p w14:paraId="70E543BE" w14:textId="77777777" w:rsidR="001C693F" w:rsidRPr="00867618" w:rsidRDefault="004420DD" w:rsidP="00BB651B">
      <w:pPr>
        <w:tabs>
          <w:tab w:val="left" w:pos="360"/>
        </w:tabs>
        <w:spacing w:after="0" w:line="240" w:lineRule="auto"/>
        <w:ind w:left="360" w:hanging="360"/>
        <w:rPr>
          <w:rFonts w:asciiTheme="minorHAnsi" w:hAnsiTheme="minorHAnsi" w:cs="Arial"/>
          <w:b/>
          <w:bCs/>
          <w:sz w:val="24"/>
          <w:szCs w:val="24"/>
          <w:u w:val="single"/>
        </w:rPr>
      </w:pPr>
      <w:r w:rsidRPr="00867618">
        <w:rPr>
          <w:rFonts w:asciiTheme="minorHAnsi" w:hAnsiTheme="minorHAnsi" w:cs="Arial"/>
          <w:b/>
          <w:bCs/>
          <w:sz w:val="24"/>
          <w:szCs w:val="24"/>
          <w:u w:val="single"/>
        </w:rPr>
        <w:t>Terms and Conditions</w:t>
      </w:r>
    </w:p>
    <w:p w14:paraId="70E543BF" w14:textId="77777777" w:rsidR="00903FCA" w:rsidRPr="00867618" w:rsidRDefault="00903FCA" w:rsidP="00BB651B">
      <w:pPr>
        <w:tabs>
          <w:tab w:val="left" w:pos="360"/>
        </w:tabs>
        <w:spacing w:after="0" w:line="240" w:lineRule="auto"/>
        <w:ind w:left="360" w:hanging="360"/>
        <w:rPr>
          <w:rFonts w:asciiTheme="minorHAnsi" w:hAnsiTheme="minorHAnsi"/>
          <w:sz w:val="24"/>
          <w:szCs w:val="24"/>
        </w:rPr>
      </w:pPr>
      <w:r w:rsidRPr="00867618">
        <w:rPr>
          <w:rFonts w:asciiTheme="minorHAnsi" w:hAnsiTheme="minorHAnsi"/>
          <w:sz w:val="24"/>
          <w:szCs w:val="24"/>
        </w:rPr>
        <w:t xml:space="preserve">1.  </w:t>
      </w:r>
      <w:r w:rsidR="002C6CE4" w:rsidRPr="00867618">
        <w:rPr>
          <w:rFonts w:asciiTheme="minorHAnsi" w:hAnsiTheme="minorHAnsi"/>
          <w:sz w:val="24"/>
          <w:szCs w:val="24"/>
        </w:rPr>
        <w:tab/>
      </w:r>
      <w:r w:rsidRPr="00867618">
        <w:rPr>
          <w:rFonts w:asciiTheme="minorHAnsi" w:hAnsiTheme="minorHAnsi"/>
          <w:sz w:val="24"/>
          <w:szCs w:val="24"/>
        </w:rPr>
        <w:t xml:space="preserve">The Company will directly bill Energy Trust </w:t>
      </w:r>
      <w:r w:rsidR="00D03C02" w:rsidRPr="00867618">
        <w:rPr>
          <w:rFonts w:asciiTheme="minorHAnsi" w:hAnsiTheme="minorHAnsi"/>
          <w:sz w:val="24"/>
          <w:szCs w:val="24"/>
        </w:rPr>
        <w:t xml:space="preserve">or Craft3 </w:t>
      </w:r>
      <w:r w:rsidRPr="00867618">
        <w:rPr>
          <w:rFonts w:asciiTheme="minorHAnsi" w:hAnsiTheme="minorHAnsi"/>
          <w:sz w:val="24"/>
          <w:szCs w:val="24"/>
        </w:rPr>
        <w:t xml:space="preserve">for ongoing administrative costs, including costs associated with loan setup, loan termination and other incremental activities related to accounting and processing of bill payments.  </w:t>
      </w:r>
    </w:p>
    <w:p w14:paraId="70E543C0" w14:textId="77777777" w:rsidR="00106C2C" w:rsidRPr="00867618" w:rsidRDefault="00106C2C" w:rsidP="00BB651B">
      <w:pPr>
        <w:tabs>
          <w:tab w:val="left" w:pos="360"/>
        </w:tabs>
        <w:spacing w:after="0" w:line="240" w:lineRule="auto"/>
        <w:ind w:left="360" w:hanging="360"/>
        <w:rPr>
          <w:rFonts w:asciiTheme="minorHAnsi" w:hAnsiTheme="minorHAnsi"/>
          <w:sz w:val="24"/>
          <w:szCs w:val="24"/>
        </w:rPr>
      </w:pPr>
    </w:p>
    <w:p w14:paraId="70E543C1" w14:textId="77777777" w:rsidR="00903FCA" w:rsidRPr="00867618" w:rsidRDefault="00903FCA" w:rsidP="00BB651B">
      <w:pPr>
        <w:pStyle w:val="ListParagraph"/>
        <w:numPr>
          <w:ilvl w:val="0"/>
          <w:numId w:val="22"/>
        </w:numPr>
        <w:tabs>
          <w:tab w:val="left" w:pos="360"/>
        </w:tabs>
        <w:spacing w:after="0" w:line="240" w:lineRule="auto"/>
        <w:ind w:left="360"/>
        <w:rPr>
          <w:rFonts w:asciiTheme="minorHAnsi" w:hAnsiTheme="minorHAnsi"/>
          <w:sz w:val="24"/>
          <w:szCs w:val="24"/>
        </w:rPr>
      </w:pPr>
      <w:r w:rsidRPr="00867618">
        <w:rPr>
          <w:rFonts w:asciiTheme="minorHAnsi" w:hAnsiTheme="minorHAnsi"/>
          <w:sz w:val="24"/>
          <w:szCs w:val="24"/>
        </w:rPr>
        <w:t xml:space="preserve">The business relationship and the services exchanged between Energy Trust and the Company shall be in accordance with an executed Service Agreement.  </w:t>
      </w:r>
      <w:r w:rsidR="00EB58D9" w:rsidRPr="00867618">
        <w:rPr>
          <w:rFonts w:asciiTheme="minorHAnsi" w:hAnsiTheme="minorHAnsi"/>
          <w:sz w:val="24"/>
          <w:szCs w:val="24"/>
        </w:rPr>
        <w:t xml:space="preserve">The Energy Trust will act as the program manager of this offering. </w:t>
      </w:r>
    </w:p>
    <w:p w14:paraId="70E543C2" w14:textId="77777777" w:rsidR="00106C2C" w:rsidRPr="00867618" w:rsidRDefault="00106C2C" w:rsidP="00BB651B">
      <w:pPr>
        <w:pStyle w:val="ListParagraph"/>
        <w:tabs>
          <w:tab w:val="left" w:pos="360"/>
        </w:tabs>
        <w:spacing w:after="0" w:line="240" w:lineRule="auto"/>
        <w:ind w:left="1080"/>
        <w:rPr>
          <w:rFonts w:asciiTheme="minorHAnsi" w:hAnsiTheme="minorHAnsi"/>
          <w:sz w:val="24"/>
          <w:szCs w:val="24"/>
        </w:rPr>
      </w:pPr>
    </w:p>
    <w:p w14:paraId="70E543C3" w14:textId="77777777" w:rsidR="00903FCA" w:rsidRPr="00867618" w:rsidRDefault="00903FCA" w:rsidP="00BB651B">
      <w:pPr>
        <w:pStyle w:val="ListParagraph"/>
        <w:numPr>
          <w:ilvl w:val="0"/>
          <w:numId w:val="22"/>
        </w:numPr>
        <w:tabs>
          <w:tab w:val="left" w:pos="360"/>
        </w:tabs>
        <w:spacing w:after="0" w:line="240" w:lineRule="auto"/>
        <w:ind w:left="360"/>
        <w:rPr>
          <w:rFonts w:asciiTheme="minorHAnsi" w:hAnsiTheme="minorHAnsi"/>
          <w:sz w:val="24"/>
          <w:szCs w:val="24"/>
        </w:rPr>
      </w:pPr>
      <w:r w:rsidRPr="00867618">
        <w:rPr>
          <w:rFonts w:asciiTheme="minorHAnsi" w:hAnsiTheme="minorHAnsi"/>
          <w:sz w:val="24"/>
          <w:szCs w:val="24"/>
        </w:rPr>
        <w:t xml:space="preserve">The provision of On-the-Bill Repayment Services will </w:t>
      </w:r>
      <w:r w:rsidR="002C6CE4" w:rsidRPr="00867618">
        <w:rPr>
          <w:rFonts w:asciiTheme="minorHAnsi" w:hAnsiTheme="minorHAnsi"/>
          <w:sz w:val="24"/>
          <w:szCs w:val="24"/>
        </w:rPr>
        <w:t xml:space="preserve">in no way </w:t>
      </w:r>
      <w:r w:rsidR="00AB3C01" w:rsidRPr="00867618">
        <w:rPr>
          <w:rFonts w:asciiTheme="minorHAnsi" w:hAnsiTheme="minorHAnsi"/>
          <w:sz w:val="24"/>
          <w:szCs w:val="24"/>
        </w:rPr>
        <w:t>conflict with</w:t>
      </w:r>
      <w:r w:rsidR="002C6CE4" w:rsidRPr="00867618">
        <w:rPr>
          <w:rFonts w:asciiTheme="minorHAnsi" w:hAnsiTheme="minorHAnsi"/>
          <w:sz w:val="24"/>
          <w:szCs w:val="24"/>
        </w:rPr>
        <w:t xml:space="preserve"> </w:t>
      </w:r>
      <w:r w:rsidRPr="00867618">
        <w:rPr>
          <w:rFonts w:asciiTheme="minorHAnsi" w:hAnsiTheme="minorHAnsi"/>
          <w:sz w:val="24"/>
          <w:szCs w:val="24"/>
        </w:rPr>
        <w:t>the Company’s compliance</w:t>
      </w:r>
      <w:r w:rsidR="00EB58D9" w:rsidRPr="00867618">
        <w:rPr>
          <w:rFonts w:asciiTheme="minorHAnsi" w:hAnsiTheme="minorHAnsi"/>
          <w:sz w:val="24"/>
          <w:szCs w:val="24"/>
        </w:rPr>
        <w:t xml:space="preserve"> to</w:t>
      </w:r>
      <w:r w:rsidRPr="00867618">
        <w:rPr>
          <w:rFonts w:asciiTheme="minorHAnsi" w:hAnsiTheme="minorHAnsi"/>
          <w:sz w:val="24"/>
          <w:szCs w:val="24"/>
        </w:rPr>
        <w:t xml:space="preserve"> </w:t>
      </w:r>
      <w:r w:rsidR="002C6CE4" w:rsidRPr="00867618">
        <w:rPr>
          <w:rFonts w:asciiTheme="minorHAnsi" w:hAnsiTheme="minorHAnsi"/>
          <w:sz w:val="24"/>
          <w:szCs w:val="24"/>
        </w:rPr>
        <w:t>WAC 480-90</w:t>
      </w:r>
      <w:r w:rsidRPr="00867618">
        <w:rPr>
          <w:rFonts w:asciiTheme="minorHAnsi" w:hAnsiTheme="minorHAnsi"/>
          <w:sz w:val="24"/>
          <w:szCs w:val="24"/>
        </w:rPr>
        <w:t xml:space="preserve">, </w:t>
      </w:r>
      <w:r w:rsidR="002C6CE4" w:rsidRPr="00867618">
        <w:rPr>
          <w:rFonts w:asciiTheme="minorHAnsi" w:hAnsiTheme="minorHAnsi"/>
          <w:sz w:val="24"/>
          <w:szCs w:val="24"/>
        </w:rPr>
        <w:t>Washington Administrative Code (WAC).</w:t>
      </w:r>
    </w:p>
    <w:p w14:paraId="70E543C4" w14:textId="77777777" w:rsidR="00106C2C" w:rsidRPr="00867618" w:rsidRDefault="00106C2C" w:rsidP="00BB651B">
      <w:pPr>
        <w:tabs>
          <w:tab w:val="left" w:pos="360"/>
        </w:tabs>
        <w:spacing w:after="0" w:line="240" w:lineRule="auto"/>
        <w:rPr>
          <w:rFonts w:asciiTheme="minorHAnsi" w:hAnsiTheme="minorHAnsi"/>
          <w:sz w:val="24"/>
          <w:szCs w:val="24"/>
        </w:rPr>
      </w:pPr>
    </w:p>
    <w:p w14:paraId="70E543C5" w14:textId="77777777" w:rsidR="00903FCA" w:rsidRPr="00867618" w:rsidRDefault="00903FCA" w:rsidP="00BB651B">
      <w:pPr>
        <w:pStyle w:val="ListParagraph"/>
        <w:numPr>
          <w:ilvl w:val="0"/>
          <w:numId w:val="19"/>
        </w:numPr>
        <w:tabs>
          <w:tab w:val="left" w:pos="360"/>
        </w:tabs>
        <w:spacing w:after="0" w:line="240" w:lineRule="auto"/>
        <w:rPr>
          <w:rFonts w:asciiTheme="minorHAnsi" w:hAnsiTheme="minorHAnsi"/>
          <w:sz w:val="24"/>
          <w:szCs w:val="24"/>
        </w:rPr>
      </w:pPr>
      <w:r w:rsidRPr="00867618">
        <w:rPr>
          <w:rFonts w:asciiTheme="minorHAnsi" w:hAnsiTheme="minorHAnsi"/>
          <w:sz w:val="24"/>
          <w:szCs w:val="24"/>
        </w:rPr>
        <w:t xml:space="preserve">A Customer’s decision to enter into a loan agreement with </w:t>
      </w:r>
      <w:r w:rsidR="00EB58D9" w:rsidRPr="00867618">
        <w:rPr>
          <w:rFonts w:asciiTheme="minorHAnsi" w:hAnsiTheme="minorHAnsi"/>
          <w:sz w:val="24"/>
          <w:szCs w:val="24"/>
        </w:rPr>
        <w:t>Craft3</w:t>
      </w:r>
      <w:r w:rsidRPr="00867618">
        <w:rPr>
          <w:rFonts w:asciiTheme="minorHAnsi" w:hAnsiTheme="minorHAnsi"/>
          <w:sz w:val="24"/>
          <w:szCs w:val="24"/>
        </w:rPr>
        <w:t xml:space="preserve"> will not affect his/her ability to establish credit with the Company; it will have no impact on the amount that a Customer may be required to pay on deposit for Natural Gas utility service; and it will have no effect on a Customer’s ability to receive reliable natural gas service.  The Company will communicate this in writing to </w:t>
      </w:r>
      <w:r w:rsidR="00AB3C01" w:rsidRPr="00867618">
        <w:rPr>
          <w:rFonts w:asciiTheme="minorHAnsi" w:hAnsiTheme="minorHAnsi"/>
          <w:sz w:val="24"/>
          <w:szCs w:val="24"/>
        </w:rPr>
        <w:t>c</w:t>
      </w:r>
      <w:r w:rsidRPr="00867618">
        <w:rPr>
          <w:rFonts w:asciiTheme="minorHAnsi" w:hAnsiTheme="minorHAnsi"/>
          <w:sz w:val="24"/>
          <w:szCs w:val="24"/>
        </w:rPr>
        <w:t>ustomers who participate in th</w:t>
      </w:r>
      <w:r w:rsidR="00EB58D9" w:rsidRPr="00867618">
        <w:rPr>
          <w:rFonts w:asciiTheme="minorHAnsi" w:hAnsiTheme="minorHAnsi"/>
          <w:sz w:val="24"/>
          <w:szCs w:val="24"/>
        </w:rPr>
        <w:t>is</w:t>
      </w:r>
      <w:r w:rsidRPr="00867618">
        <w:rPr>
          <w:rFonts w:asciiTheme="minorHAnsi" w:hAnsiTheme="minorHAnsi"/>
          <w:sz w:val="24"/>
          <w:szCs w:val="24"/>
        </w:rPr>
        <w:t xml:space="preserve"> loan program. </w:t>
      </w:r>
    </w:p>
    <w:p w14:paraId="70E543C6" w14:textId="77777777" w:rsidR="00106C2C" w:rsidRPr="00867618" w:rsidRDefault="00106C2C" w:rsidP="00BB651B">
      <w:pPr>
        <w:pStyle w:val="ListParagraph"/>
        <w:tabs>
          <w:tab w:val="left" w:pos="360"/>
        </w:tabs>
        <w:spacing w:after="0" w:line="240" w:lineRule="auto"/>
        <w:ind w:left="360"/>
        <w:rPr>
          <w:rFonts w:asciiTheme="minorHAnsi" w:hAnsiTheme="minorHAnsi"/>
          <w:sz w:val="24"/>
          <w:szCs w:val="24"/>
        </w:rPr>
      </w:pPr>
    </w:p>
    <w:p w14:paraId="70E543C7" w14:textId="77777777" w:rsidR="00903FCA" w:rsidRPr="00867618" w:rsidRDefault="00903FCA" w:rsidP="00BB651B">
      <w:pPr>
        <w:numPr>
          <w:ilvl w:val="0"/>
          <w:numId w:val="19"/>
        </w:numPr>
        <w:tabs>
          <w:tab w:val="left" w:pos="360"/>
        </w:tabs>
        <w:spacing w:after="0" w:line="240" w:lineRule="auto"/>
        <w:rPr>
          <w:rFonts w:asciiTheme="minorHAnsi" w:hAnsiTheme="minorHAnsi" w:cs="Arial"/>
          <w:sz w:val="24"/>
          <w:szCs w:val="24"/>
        </w:rPr>
      </w:pPr>
      <w:r w:rsidRPr="00867618">
        <w:rPr>
          <w:rFonts w:asciiTheme="minorHAnsi" w:hAnsiTheme="minorHAnsi" w:cs="Arial"/>
          <w:sz w:val="24"/>
          <w:szCs w:val="24"/>
        </w:rPr>
        <w:t xml:space="preserve">By entering into a loan agreement with </w:t>
      </w:r>
      <w:r w:rsidR="00AB3C01" w:rsidRPr="00867618">
        <w:rPr>
          <w:rFonts w:asciiTheme="minorHAnsi" w:hAnsiTheme="minorHAnsi" w:cs="Arial"/>
          <w:sz w:val="24"/>
          <w:szCs w:val="24"/>
        </w:rPr>
        <w:t>Craft3</w:t>
      </w:r>
      <w:r w:rsidRPr="00867618">
        <w:rPr>
          <w:rFonts w:asciiTheme="minorHAnsi" w:hAnsiTheme="minorHAnsi" w:cs="Arial"/>
          <w:sz w:val="24"/>
          <w:szCs w:val="24"/>
        </w:rPr>
        <w:t xml:space="preserve">, the </w:t>
      </w:r>
      <w:r w:rsidR="00AB3C01" w:rsidRPr="00867618">
        <w:rPr>
          <w:rFonts w:asciiTheme="minorHAnsi" w:hAnsiTheme="minorHAnsi" w:cs="Arial"/>
          <w:sz w:val="24"/>
          <w:szCs w:val="24"/>
        </w:rPr>
        <w:t>c</w:t>
      </w:r>
      <w:r w:rsidRPr="00867618">
        <w:rPr>
          <w:rFonts w:asciiTheme="minorHAnsi" w:hAnsiTheme="minorHAnsi" w:cs="Arial"/>
          <w:sz w:val="24"/>
          <w:szCs w:val="24"/>
        </w:rPr>
        <w:t xml:space="preserve">ustomer will be responsible to remit the monthly loan repayment amount to NW Natural with his/her monthly bill payment for natural gas services.  </w:t>
      </w:r>
    </w:p>
    <w:p w14:paraId="70E543C8" w14:textId="77777777" w:rsidR="00106C2C" w:rsidRPr="00867618" w:rsidRDefault="00106C2C" w:rsidP="00BB651B">
      <w:pPr>
        <w:spacing w:after="0" w:line="240" w:lineRule="auto"/>
        <w:ind w:left="360"/>
        <w:rPr>
          <w:rFonts w:asciiTheme="minorHAnsi" w:hAnsiTheme="minorHAnsi" w:cs="Arial"/>
          <w:sz w:val="24"/>
          <w:szCs w:val="24"/>
        </w:rPr>
      </w:pPr>
    </w:p>
    <w:p w14:paraId="70E543C9" w14:textId="77777777" w:rsidR="00106C2C" w:rsidRPr="00867618" w:rsidRDefault="00903FCA" w:rsidP="00BB651B">
      <w:pPr>
        <w:numPr>
          <w:ilvl w:val="0"/>
          <w:numId w:val="19"/>
        </w:numPr>
        <w:tabs>
          <w:tab w:val="left" w:pos="360"/>
        </w:tabs>
        <w:spacing w:after="0" w:line="240" w:lineRule="auto"/>
        <w:rPr>
          <w:rFonts w:asciiTheme="minorHAnsi" w:hAnsiTheme="minorHAnsi" w:cs="Arial"/>
          <w:sz w:val="24"/>
          <w:szCs w:val="24"/>
        </w:rPr>
      </w:pPr>
      <w:r w:rsidRPr="00867618">
        <w:rPr>
          <w:rFonts w:asciiTheme="minorHAnsi" w:hAnsiTheme="minorHAnsi" w:cs="Arial"/>
          <w:sz w:val="24"/>
          <w:szCs w:val="24"/>
        </w:rPr>
        <w:t xml:space="preserve">NW Natural is not a party to the </w:t>
      </w:r>
      <w:r w:rsidR="00AB3C01" w:rsidRPr="00867618">
        <w:rPr>
          <w:rFonts w:asciiTheme="minorHAnsi" w:hAnsiTheme="minorHAnsi" w:cs="Arial"/>
          <w:sz w:val="24"/>
          <w:szCs w:val="24"/>
        </w:rPr>
        <w:t>l</w:t>
      </w:r>
      <w:r w:rsidRPr="00867618">
        <w:rPr>
          <w:rFonts w:asciiTheme="minorHAnsi" w:hAnsiTheme="minorHAnsi" w:cs="Arial"/>
          <w:sz w:val="24"/>
          <w:szCs w:val="24"/>
        </w:rPr>
        <w:t xml:space="preserve">oan agreements and has no financial interest in </w:t>
      </w:r>
      <w:r w:rsidR="00EB58D9" w:rsidRPr="00867618">
        <w:rPr>
          <w:rFonts w:asciiTheme="minorHAnsi" w:hAnsiTheme="minorHAnsi" w:cs="Arial"/>
          <w:sz w:val="24"/>
          <w:szCs w:val="24"/>
        </w:rPr>
        <w:t>these</w:t>
      </w:r>
      <w:r w:rsidRPr="00867618">
        <w:rPr>
          <w:rFonts w:asciiTheme="minorHAnsi" w:hAnsiTheme="minorHAnsi" w:cs="Arial"/>
          <w:sz w:val="24"/>
          <w:szCs w:val="24"/>
        </w:rPr>
        <w:t xml:space="preserve"> </w:t>
      </w:r>
      <w:r w:rsidR="00AB3C01" w:rsidRPr="00867618">
        <w:rPr>
          <w:rFonts w:asciiTheme="minorHAnsi" w:hAnsiTheme="minorHAnsi" w:cs="Arial"/>
          <w:sz w:val="24"/>
          <w:szCs w:val="24"/>
        </w:rPr>
        <w:t>l</w:t>
      </w:r>
      <w:r w:rsidRPr="00867618">
        <w:rPr>
          <w:rFonts w:asciiTheme="minorHAnsi" w:hAnsiTheme="minorHAnsi" w:cs="Arial"/>
          <w:sz w:val="24"/>
          <w:szCs w:val="24"/>
        </w:rPr>
        <w:t>oans.</w:t>
      </w:r>
    </w:p>
    <w:p w14:paraId="70E543CA" w14:textId="77777777" w:rsidR="00DB408A" w:rsidRPr="00867618" w:rsidRDefault="00DB408A" w:rsidP="00BB651B">
      <w:pPr>
        <w:tabs>
          <w:tab w:val="left" w:pos="360"/>
        </w:tabs>
        <w:spacing w:after="0" w:line="240" w:lineRule="auto"/>
        <w:ind w:left="360"/>
        <w:rPr>
          <w:rFonts w:asciiTheme="minorHAnsi" w:hAnsiTheme="minorHAnsi" w:cs="Arial"/>
          <w:sz w:val="24"/>
          <w:szCs w:val="24"/>
        </w:rPr>
      </w:pPr>
    </w:p>
    <w:p w14:paraId="70E543CB" w14:textId="77777777" w:rsidR="00903FCA" w:rsidRPr="00867618" w:rsidRDefault="00903FCA" w:rsidP="00BB651B">
      <w:pPr>
        <w:numPr>
          <w:ilvl w:val="0"/>
          <w:numId w:val="19"/>
        </w:numPr>
        <w:tabs>
          <w:tab w:val="left" w:pos="360"/>
        </w:tabs>
        <w:spacing w:after="0" w:line="240" w:lineRule="auto"/>
        <w:rPr>
          <w:rFonts w:asciiTheme="minorHAnsi" w:hAnsiTheme="minorHAnsi" w:cs="Arial"/>
          <w:sz w:val="24"/>
          <w:szCs w:val="24"/>
        </w:rPr>
      </w:pPr>
      <w:r w:rsidRPr="00867618">
        <w:rPr>
          <w:rFonts w:asciiTheme="minorHAnsi" w:hAnsiTheme="minorHAnsi" w:cs="Arial"/>
          <w:sz w:val="24"/>
          <w:szCs w:val="24"/>
        </w:rPr>
        <w:t xml:space="preserve">Monthly payments received from </w:t>
      </w:r>
      <w:r w:rsidR="00AB3C01" w:rsidRPr="00867618">
        <w:rPr>
          <w:rFonts w:asciiTheme="minorHAnsi" w:hAnsiTheme="minorHAnsi" w:cs="Arial"/>
          <w:sz w:val="24"/>
          <w:szCs w:val="24"/>
        </w:rPr>
        <w:t>c</w:t>
      </w:r>
      <w:r w:rsidRPr="00867618">
        <w:rPr>
          <w:rFonts w:asciiTheme="minorHAnsi" w:hAnsiTheme="minorHAnsi" w:cs="Arial"/>
          <w:sz w:val="24"/>
          <w:szCs w:val="24"/>
        </w:rPr>
        <w:t xml:space="preserve">ustomers participating in this program will be allocated to the </w:t>
      </w:r>
      <w:r w:rsidR="00AB3C01" w:rsidRPr="00867618">
        <w:rPr>
          <w:rFonts w:asciiTheme="minorHAnsi" w:hAnsiTheme="minorHAnsi" w:cs="Arial"/>
          <w:sz w:val="24"/>
          <w:szCs w:val="24"/>
        </w:rPr>
        <w:t>c</w:t>
      </w:r>
      <w:r w:rsidRPr="00867618">
        <w:rPr>
          <w:rFonts w:asciiTheme="minorHAnsi" w:hAnsiTheme="minorHAnsi" w:cs="Arial"/>
          <w:sz w:val="24"/>
          <w:szCs w:val="24"/>
        </w:rPr>
        <w:t xml:space="preserve">ustomers’ account in accordance with Rule </w:t>
      </w:r>
      <w:r w:rsidR="008F1881" w:rsidRPr="00867618">
        <w:rPr>
          <w:rFonts w:asciiTheme="minorHAnsi" w:hAnsiTheme="minorHAnsi" w:cs="Arial"/>
          <w:sz w:val="24"/>
          <w:szCs w:val="24"/>
        </w:rPr>
        <w:t>4</w:t>
      </w:r>
      <w:r w:rsidRPr="00867618">
        <w:rPr>
          <w:rFonts w:asciiTheme="minorHAnsi" w:hAnsiTheme="minorHAnsi" w:cs="Arial"/>
          <w:sz w:val="24"/>
          <w:szCs w:val="24"/>
        </w:rPr>
        <w:t xml:space="preserve"> of this </w:t>
      </w:r>
      <w:r w:rsidR="008F1881" w:rsidRPr="00867618">
        <w:rPr>
          <w:rFonts w:asciiTheme="minorHAnsi" w:hAnsiTheme="minorHAnsi" w:cs="Arial"/>
          <w:sz w:val="24"/>
          <w:szCs w:val="24"/>
        </w:rPr>
        <w:t>the Company’s T</w:t>
      </w:r>
      <w:r w:rsidRPr="00867618">
        <w:rPr>
          <w:rFonts w:asciiTheme="minorHAnsi" w:hAnsiTheme="minorHAnsi" w:cs="Arial"/>
          <w:sz w:val="24"/>
          <w:szCs w:val="24"/>
        </w:rPr>
        <w:t xml:space="preserve">ariff.  </w:t>
      </w:r>
    </w:p>
    <w:p w14:paraId="70E543CC" w14:textId="77777777" w:rsidR="00106C2C" w:rsidRPr="00867618" w:rsidRDefault="00106C2C" w:rsidP="00BB651B">
      <w:pPr>
        <w:spacing w:after="0" w:line="240" w:lineRule="auto"/>
        <w:rPr>
          <w:rFonts w:asciiTheme="minorHAnsi" w:hAnsiTheme="minorHAnsi" w:cs="Arial"/>
          <w:sz w:val="24"/>
          <w:szCs w:val="24"/>
        </w:rPr>
      </w:pPr>
    </w:p>
    <w:p w14:paraId="70E543CD" w14:textId="77777777" w:rsidR="00903FCA" w:rsidRPr="00867618" w:rsidRDefault="00903FCA" w:rsidP="00BB651B">
      <w:pPr>
        <w:numPr>
          <w:ilvl w:val="0"/>
          <w:numId w:val="19"/>
        </w:numPr>
        <w:tabs>
          <w:tab w:val="left" w:pos="360"/>
        </w:tabs>
        <w:spacing w:after="0" w:line="240" w:lineRule="auto"/>
        <w:rPr>
          <w:rFonts w:asciiTheme="minorHAnsi" w:hAnsiTheme="minorHAnsi" w:cs="Arial"/>
          <w:sz w:val="24"/>
          <w:szCs w:val="24"/>
        </w:rPr>
      </w:pPr>
      <w:r w:rsidRPr="00867618">
        <w:rPr>
          <w:rFonts w:asciiTheme="minorHAnsi" w:hAnsiTheme="minorHAnsi" w:cs="Arial"/>
          <w:sz w:val="24"/>
          <w:szCs w:val="24"/>
        </w:rPr>
        <w:t>The Company will n</w:t>
      </w:r>
      <w:r w:rsidR="00AB3C01" w:rsidRPr="00867618">
        <w:rPr>
          <w:rFonts w:asciiTheme="minorHAnsi" w:hAnsiTheme="minorHAnsi" w:cs="Arial"/>
          <w:sz w:val="24"/>
          <w:szCs w:val="24"/>
        </w:rPr>
        <w:t>ot disconnect gas service to a c</w:t>
      </w:r>
      <w:r w:rsidRPr="00867618">
        <w:rPr>
          <w:rFonts w:asciiTheme="minorHAnsi" w:hAnsiTheme="minorHAnsi" w:cs="Arial"/>
          <w:sz w:val="24"/>
          <w:szCs w:val="24"/>
        </w:rPr>
        <w:t xml:space="preserve">ustomer for non-payment of </w:t>
      </w:r>
      <w:r w:rsidR="00AB3C01" w:rsidRPr="00867618">
        <w:rPr>
          <w:rFonts w:asciiTheme="minorHAnsi" w:hAnsiTheme="minorHAnsi" w:cs="Arial"/>
          <w:sz w:val="24"/>
          <w:szCs w:val="24"/>
        </w:rPr>
        <w:t>l</w:t>
      </w:r>
      <w:r w:rsidRPr="00867618">
        <w:rPr>
          <w:rFonts w:asciiTheme="minorHAnsi" w:hAnsiTheme="minorHAnsi" w:cs="Arial"/>
          <w:sz w:val="24"/>
          <w:szCs w:val="24"/>
        </w:rPr>
        <w:t xml:space="preserve">oan repayment charges.  </w:t>
      </w:r>
    </w:p>
    <w:p w14:paraId="70E543CE" w14:textId="77777777" w:rsidR="00106C2C" w:rsidRPr="00867618" w:rsidRDefault="00106C2C" w:rsidP="00BB651B">
      <w:pPr>
        <w:spacing w:after="0" w:line="240" w:lineRule="auto"/>
        <w:rPr>
          <w:rFonts w:asciiTheme="minorHAnsi" w:hAnsiTheme="minorHAnsi" w:cs="Arial"/>
          <w:sz w:val="24"/>
          <w:szCs w:val="24"/>
        </w:rPr>
      </w:pPr>
    </w:p>
    <w:p w14:paraId="70E543CF" w14:textId="77777777" w:rsidR="00903FCA" w:rsidRPr="00867618" w:rsidRDefault="00903FCA" w:rsidP="00BB651B">
      <w:pPr>
        <w:numPr>
          <w:ilvl w:val="0"/>
          <w:numId w:val="19"/>
        </w:numPr>
        <w:tabs>
          <w:tab w:val="left" w:pos="360"/>
        </w:tabs>
        <w:spacing w:after="0" w:line="240" w:lineRule="auto"/>
        <w:rPr>
          <w:rFonts w:asciiTheme="minorHAnsi" w:hAnsiTheme="minorHAnsi" w:cs="Arial"/>
          <w:sz w:val="24"/>
          <w:szCs w:val="24"/>
        </w:rPr>
      </w:pPr>
      <w:r w:rsidRPr="00867618">
        <w:rPr>
          <w:rFonts w:asciiTheme="minorHAnsi" w:hAnsiTheme="minorHAnsi" w:cs="Arial"/>
          <w:sz w:val="24"/>
          <w:szCs w:val="24"/>
        </w:rPr>
        <w:t xml:space="preserve">NW Natural is solely a billing agent for </w:t>
      </w:r>
      <w:r w:rsidR="00886367" w:rsidRPr="00867618">
        <w:rPr>
          <w:rFonts w:asciiTheme="minorHAnsi" w:hAnsiTheme="minorHAnsi" w:cs="Arial"/>
          <w:sz w:val="24"/>
          <w:szCs w:val="24"/>
        </w:rPr>
        <w:t>Craft3</w:t>
      </w:r>
      <w:r w:rsidRPr="00867618">
        <w:rPr>
          <w:rFonts w:asciiTheme="minorHAnsi" w:hAnsiTheme="minorHAnsi" w:cs="Arial"/>
          <w:sz w:val="24"/>
          <w:szCs w:val="24"/>
        </w:rPr>
        <w:t>.  Participating Customers must acknowledge that the Company shall be held harmless for any liability resulting from contractors’ actions with regard to installation of energy efficiency measures resulting from this program.</w:t>
      </w:r>
    </w:p>
    <w:p w14:paraId="70E543D0" w14:textId="77777777" w:rsidR="00106C2C" w:rsidRPr="00867618" w:rsidRDefault="00106C2C" w:rsidP="00BB651B">
      <w:pPr>
        <w:spacing w:after="0" w:line="240" w:lineRule="auto"/>
        <w:rPr>
          <w:rFonts w:asciiTheme="minorHAnsi" w:hAnsiTheme="minorHAnsi" w:cs="Arial"/>
          <w:sz w:val="24"/>
          <w:szCs w:val="24"/>
        </w:rPr>
      </w:pPr>
    </w:p>
    <w:p w14:paraId="70E543D1" w14:textId="77777777" w:rsidR="00903FCA" w:rsidRPr="00867618" w:rsidRDefault="00903FCA" w:rsidP="00BB651B">
      <w:pPr>
        <w:numPr>
          <w:ilvl w:val="0"/>
          <w:numId w:val="19"/>
        </w:numPr>
        <w:tabs>
          <w:tab w:val="left" w:pos="360"/>
        </w:tabs>
        <w:spacing w:after="0" w:line="240" w:lineRule="auto"/>
        <w:rPr>
          <w:rFonts w:asciiTheme="minorHAnsi" w:hAnsiTheme="minorHAnsi" w:cs="Arial"/>
          <w:sz w:val="24"/>
          <w:szCs w:val="24"/>
        </w:rPr>
      </w:pPr>
      <w:r w:rsidRPr="00867618">
        <w:rPr>
          <w:rFonts w:asciiTheme="minorHAnsi" w:hAnsiTheme="minorHAnsi" w:cs="Arial"/>
          <w:sz w:val="24"/>
          <w:szCs w:val="24"/>
        </w:rPr>
        <w:t xml:space="preserve">NW Natural has no responsibility to collect charges, penalties, or fees beyond the remitting to </w:t>
      </w:r>
      <w:r w:rsidR="00886367" w:rsidRPr="00867618">
        <w:rPr>
          <w:rFonts w:asciiTheme="minorHAnsi" w:hAnsiTheme="minorHAnsi" w:cs="Arial"/>
          <w:sz w:val="24"/>
          <w:szCs w:val="24"/>
        </w:rPr>
        <w:t>Craft3</w:t>
      </w:r>
      <w:r w:rsidRPr="00867618">
        <w:rPr>
          <w:rFonts w:asciiTheme="minorHAnsi" w:hAnsiTheme="minorHAnsi" w:cs="Arial"/>
          <w:sz w:val="24"/>
          <w:szCs w:val="24"/>
        </w:rPr>
        <w:t xml:space="preserve"> the loan repayment collections the Company receives from Customers in accordance with the services described herein. </w:t>
      </w:r>
    </w:p>
    <w:p w14:paraId="70E543D2" w14:textId="77777777" w:rsidR="00106C2C" w:rsidRPr="00867618" w:rsidRDefault="00106C2C" w:rsidP="00BB651B">
      <w:pPr>
        <w:spacing w:after="0" w:line="240" w:lineRule="auto"/>
        <w:rPr>
          <w:rFonts w:asciiTheme="minorHAnsi" w:hAnsiTheme="minorHAnsi" w:cs="Arial"/>
          <w:sz w:val="24"/>
          <w:szCs w:val="24"/>
        </w:rPr>
      </w:pPr>
    </w:p>
    <w:p w14:paraId="70E543D3" w14:textId="77777777" w:rsidR="00903FCA" w:rsidRPr="00867618" w:rsidRDefault="00886367" w:rsidP="00BB651B">
      <w:pPr>
        <w:numPr>
          <w:ilvl w:val="0"/>
          <w:numId w:val="19"/>
        </w:numPr>
        <w:tabs>
          <w:tab w:val="left" w:pos="360"/>
        </w:tabs>
        <w:spacing w:after="0" w:line="240" w:lineRule="auto"/>
        <w:rPr>
          <w:rFonts w:asciiTheme="minorHAnsi" w:hAnsiTheme="minorHAnsi" w:cs="Arial"/>
          <w:sz w:val="24"/>
          <w:szCs w:val="24"/>
        </w:rPr>
      </w:pPr>
      <w:r w:rsidRPr="00867618">
        <w:rPr>
          <w:rFonts w:asciiTheme="minorHAnsi" w:hAnsiTheme="minorHAnsi" w:cs="Arial"/>
          <w:sz w:val="24"/>
          <w:szCs w:val="24"/>
        </w:rPr>
        <w:t xml:space="preserve">Craft3 </w:t>
      </w:r>
      <w:r w:rsidR="00903FCA" w:rsidRPr="00867618">
        <w:rPr>
          <w:rFonts w:asciiTheme="minorHAnsi" w:hAnsiTheme="minorHAnsi" w:cs="Arial"/>
          <w:sz w:val="24"/>
          <w:szCs w:val="24"/>
        </w:rPr>
        <w:t xml:space="preserve">is responsible to tell the Company how much to bill per month for each loan and how many months each customer should be billed.  The Company is not responsible for any information provided by </w:t>
      </w:r>
      <w:r w:rsidRPr="00867618">
        <w:rPr>
          <w:rFonts w:asciiTheme="minorHAnsi" w:hAnsiTheme="minorHAnsi" w:cs="Arial"/>
          <w:sz w:val="24"/>
          <w:szCs w:val="24"/>
        </w:rPr>
        <w:t>Craft3.</w:t>
      </w:r>
    </w:p>
    <w:p w14:paraId="70E543D4" w14:textId="77777777" w:rsidR="00106C2C" w:rsidRPr="00867618" w:rsidRDefault="00106C2C" w:rsidP="00BB651B">
      <w:pPr>
        <w:spacing w:after="0" w:line="240" w:lineRule="auto"/>
        <w:rPr>
          <w:rFonts w:asciiTheme="minorHAnsi" w:hAnsiTheme="minorHAnsi" w:cs="Arial"/>
          <w:sz w:val="24"/>
          <w:szCs w:val="24"/>
        </w:rPr>
      </w:pPr>
    </w:p>
    <w:p w14:paraId="70E543D5" w14:textId="77777777" w:rsidR="00903FCA" w:rsidRPr="00867618" w:rsidRDefault="00903FCA" w:rsidP="00BB651B">
      <w:pPr>
        <w:numPr>
          <w:ilvl w:val="0"/>
          <w:numId w:val="19"/>
        </w:numPr>
        <w:tabs>
          <w:tab w:val="left" w:pos="360"/>
        </w:tabs>
        <w:spacing w:after="0" w:line="240" w:lineRule="auto"/>
        <w:rPr>
          <w:rFonts w:asciiTheme="minorHAnsi" w:hAnsiTheme="minorHAnsi" w:cs="Arial"/>
          <w:sz w:val="24"/>
          <w:szCs w:val="24"/>
        </w:rPr>
      </w:pPr>
      <w:r w:rsidRPr="00867618">
        <w:rPr>
          <w:rFonts w:asciiTheme="minorHAnsi" w:hAnsiTheme="minorHAnsi" w:cs="Arial"/>
          <w:sz w:val="24"/>
          <w:szCs w:val="24"/>
        </w:rPr>
        <w:t>The Company will not a) accept loan pay-offs, b) issue refunds on loan payments, c) offer payment arrangements on loan amounts due, or d) allow energy assistance to be applied to loan balances.</w:t>
      </w:r>
    </w:p>
    <w:p w14:paraId="70E543D6" w14:textId="77777777" w:rsidR="00106C2C" w:rsidRPr="00867618" w:rsidRDefault="00106C2C" w:rsidP="00BB651B">
      <w:pPr>
        <w:spacing w:after="0" w:line="240" w:lineRule="auto"/>
        <w:rPr>
          <w:rFonts w:asciiTheme="minorHAnsi" w:hAnsiTheme="minorHAnsi" w:cs="Arial"/>
          <w:sz w:val="24"/>
          <w:szCs w:val="24"/>
        </w:rPr>
      </w:pPr>
    </w:p>
    <w:p w14:paraId="70E543D7" w14:textId="77777777" w:rsidR="00903FCA" w:rsidRPr="00867618" w:rsidRDefault="00886367" w:rsidP="00BB651B">
      <w:pPr>
        <w:numPr>
          <w:ilvl w:val="0"/>
          <w:numId w:val="19"/>
        </w:numPr>
        <w:tabs>
          <w:tab w:val="left" w:pos="360"/>
        </w:tabs>
        <w:spacing w:after="0" w:line="240" w:lineRule="auto"/>
        <w:rPr>
          <w:rFonts w:asciiTheme="minorHAnsi" w:hAnsiTheme="minorHAnsi" w:cs="Arial"/>
          <w:sz w:val="24"/>
          <w:szCs w:val="24"/>
        </w:rPr>
      </w:pPr>
      <w:r w:rsidRPr="00867618">
        <w:rPr>
          <w:rFonts w:asciiTheme="minorHAnsi" w:hAnsiTheme="minorHAnsi" w:cs="Arial"/>
          <w:sz w:val="24"/>
          <w:szCs w:val="24"/>
        </w:rPr>
        <w:t>Craft3</w:t>
      </w:r>
      <w:r w:rsidR="00903FCA" w:rsidRPr="00867618">
        <w:rPr>
          <w:rFonts w:asciiTheme="minorHAnsi" w:hAnsiTheme="minorHAnsi" w:cs="Arial"/>
          <w:sz w:val="24"/>
          <w:szCs w:val="24"/>
        </w:rPr>
        <w:t xml:space="preserve"> </w:t>
      </w:r>
      <w:r w:rsidRPr="00867618">
        <w:rPr>
          <w:rFonts w:asciiTheme="minorHAnsi" w:hAnsiTheme="minorHAnsi" w:cs="Arial"/>
          <w:sz w:val="24"/>
          <w:szCs w:val="24"/>
        </w:rPr>
        <w:t>must</w:t>
      </w:r>
      <w:r w:rsidR="00903FCA" w:rsidRPr="00867618">
        <w:rPr>
          <w:rFonts w:asciiTheme="minorHAnsi" w:hAnsiTheme="minorHAnsi" w:cs="Arial"/>
          <w:sz w:val="24"/>
          <w:szCs w:val="24"/>
        </w:rPr>
        <w:t xml:space="preserve"> obtain a signed consent form from participating Customers that states that the Customer agrees to allow the Company to provide </w:t>
      </w:r>
      <w:r w:rsidRPr="00867618">
        <w:rPr>
          <w:rFonts w:asciiTheme="minorHAnsi" w:hAnsiTheme="minorHAnsi" w:cs="Arial"/>
          <w:sz w:val="24"/>
          <w:szCs w:val="24"/>
        </w:rPr>
        <w:t>Craft3</w:t>
      </w:r>
      <w:r w:rsidR="00903FCA" w:rsidRPr="00867618">
        <w:rPr>
          <w:rFonts w:asciiTheme="minorHAnsi" w:hAnsiTheme="minorHAnsi" w:cs="Arial"/>
          <w:sz w:val="24"/>
          <w:szCs w:val="24"/>
        </w:rPr>
        <w:t xml:space="preserve"> with Customer-specific bill payment information. </w:t>
      </w:r>
    </w:p>
    <w:p w14:paraId="70E543D8" w14:textId="77777777" w:rsidR="00106C2C" w:rsidRPr="00867618" w:rsidRDefault="00106C2C" w:rsidP="00BB651B">
      <w:pPr>
        <w:spacing w:after="0" w:line="240" w:lineRule="auto"/>
        <w:rPr>
          <w:rFonts w:asciiTheme="minorHAnsi" w:hAnsiTheme="minorHAnsi" w:cs="Arial"/>
          <w:sz w:val="24"/>
          <w:szCs w:val="24"/>
        </w:rPr>
      </w:pPr>
    </w:p>
    <w:p w14:paraId="70E543D9" w14:textId="77777777" w:rsidR="00903FCA" w:rsidRPr="00867618" w:rsidRDefault="00EB58D9" w:rsidP="00BB651B">
      <w:pPr>
        <w:numPr>
          <w:ilvl w:val="0"/>
          <w:numId w:val="19"/>
        </w:numPr>
        <w:tabs>
          <w:tab w:val="left" w:pos="360"/>
        </w:tabs>
        <w:spacing w:after="0" w:line="240" w:lineRule="auto"/>
        <w:rPr>
          <w:rFonts w:asciiTheme="minorHAnsi" w:hAnsiTheme="minorHAnsi" w:cs="Arial"/>
          <w:sz w:val="24"/>
          <w:szCs w:val="24"/>
        </w:rPr>
      </w:pPr>
      <w:r w:rsidRPr="00867618">
        <w:rPr>
          <w:rFonts w:asciiTheme="minorHAnsi" w:hAnsiTheme="minorHAnsi" w:cs="Arial"/>
          <w:sz w:val="24"/>
          <w:szCs w:val="24"/>
        </w:rPr>
        <w:t>Craft3</w:t>
      </w:r>
      <w:r w:rsidR="00903FCA" w:rsidRPr="00867618">
        <w:rPr>
          <w:rFonts w:asciiTheme="minorHAnsi" w:hAnsiTheme="minorHAnsi" w:cs="Arial"/>
          <w:sz w:val="24"/>
          <w:szCs w:val="24"/>
        </w:rPr>
        <w:t xml:space="preserve"> must obtain signed documentation from the Customer that certifies that the Customer has been made aware of the Company’s limited role in the loan repayment process. </w:t>
      </w:r>
    </w:p>
    <w:p w14:paraId="70E543DA" w14:textId="77777777" w:rsidR="00106C2C" w:rsidRPr="00867618" w:rsidRDefault="00106C2C" w:rsidP="00BB651B">
      <w:pPr>
        <w:spacing w:after="0" w:line="240" w:lineRule="auto"/>
        <w:rPr>
          <w:rFonts w:asciiTheme="minorHAnsi" w:hAnsiTheme="minorHAnsi" w:cs="Arial"/>
          <w:sz w:val="24"/>
          <w:szCs w:val="24"/>
        </w:rPr>
      </w:pPr>
    </w:p>
    <w:p w14:paraId="70E543DB" w14:textId="77777777" w:rsidR="00BB651B" w:rsidRPr="00BB651B" w:rsidRDefault="00886367" w:rsidP="00BB651B">
      <w:pPr>
        <w:pStyle w:val="ListParagraph"/>
        <w:numPr>
          <w:ilvl w:val="0"/>
          <w:numId w:val="19"/>
        </w:numPr>
        <w:tabs>
          <w:tab w:val="left" w:pos="360"/>
        </w:tabs>
        <w:spacing w:after="0" w:line="240" w:lineRule="auto"/>
        <w:rPr>
          <w:rFonts w:asciiTheme="minorHAnsi" w:hAnsiTheme="minorHAnsi"/>
          <w:sz w:val="24"/>
          <w:szCs w:val="24"/>
        </w:rPr>
      </w:pPr>
      <w:r w:rsidRPr="00BB651B">
        <w:rPr>
          <w:rFonts w:asciiTheme="minorHAnsi" w:hAnsiTheme="minorHAnsi"/>
          <w:sz w:val="24"/>
          <w:szCs w:val="24"/>
        </w:rPr>
        <w:t>Craft3</w:t>
      </w:r>
      <w:r w:rsidR="00903FCA" w:rsidRPr="00BB651B">
        <w:rPr>
          <w:rFonts w:asciiTheme="minorHAnsi" w:hAnsiTheme="minorHAnsi"/>
          <w:sz w:val="24"/>
          <w:szCs w:val="24"/>
        </w:rPr>
        <w:t xml:space="preserve"> must provide the Company with a toll-free customer service phone number to which the Company will refer Customers who have questions or concerns about their loan.  The Company is not responsible for Customer questions and disputes related to the loan or the Customer’s perceived or real experience related to any portion of the loan or energy efficiency measures.  </w:t>
      </w:r>
    </w:p>
    <w:p w14:paraId="70E543DC" w14:textId="77777777" w:rsidR="00BB651B" w:rsidRPr="00BB651B" w:rsidRDefault="00BB651B" w:rsidP="00BB651B">
      <w:pPr>
        <w:pStyle w:val="ListParagraph"/>
        <w:rPr>
          <w:rFonts w:asciiTheme="minorHAnsi" w:hAnsiTheme="minorHAnsi"/>
          <w:sz w:val="24"/>
          <w:szCs w:val="24"/>
        </w:rPr>
      </w:pPr>
    </w:p>
    <w:p w14:paraId="70E543DD" w14:textId="77777777" w:rsidR="00ED70D2" w:rsidRPr="00BB651B" w:rsidRDefault="00ED70D2" w:rsidP="00BB651B">
      <w:pPr>
        <w:pStyle w:val="ListParagraph"/>
        <w:numPr>
          <w:ilvl w:val="0"/>
          <w:numId w:val="19"/>
        </w:numPr>
        <w:tabs>
          <w:tab w:val="left" w:pos="360"/>
        </w:tabs>
        <w:spacing w:after="0" w:line="240" w:lineRule="auto"/>
        <w:rPr>
          <w:rFonts w:asciiTheme="minorHAnsi" w:hAnsiTheme="minorHAnsi"/>
          <w:sz w:val="24"/>
          <w:szCs w:val="24"/>
        </w:rPr>
      </w:pPr>
      <w:r w:rsidRPr="00BB651B">
        <w:rPr>
          <w:rFonts w:asciiTheme="minorHAnsi" w:hAnsiTheme="minorHAnsi"/>
          <w:sz w:val="24"/>
          <w:szCs w:val="24"/>
        </w:rPr>
        <w:t xml:space="preserve">The Company will provide Customers with an overview of the loan product.  Specific terms and conditions of the loan will be provided by Craft3. </w:t>
      </w:r>
    </w:p>
    <w:p w14:paraId="70E543DE" w14:textId="77777777" w:rsidR="00BB651B" w:rsidRPr="00BB651B" w:rsidRDefault="00BB651B" w:rsidP="00BB651B">
      <w:pPr>
        <w:pStyle w:val="ListParagraph"/>
        <w:tabs>
          <w:tab w:val="left" w:pos="360"/>
        </w:tabs>
        <w:spacing w:after="0" w:line="240" w:lineRule="auto"/>
        <w:ind w:left="360"/>
        <w:rPr>
          <w:rFonts w:asciiTheme="minorHAnsi" w:hAnsiTheme="minorHAnsi"/>
          <w:sz w:val="24"/>
          <w:szCs w:val="24"/>
        </w:rPr>
      </w:pPr>
    </w:p>
    <w:p w14:paraId="70E543DF" w14:textId="77777777" w:rsidR="00DF42BE" w:rsidRPr="00BB651B" w:rsidRDefault="00DF42BE" w:rsidP="00BB651B">
      <w:pPr>
        <w:pStyle w:val="ListParagraph"/>
        <w:numPr>
          <w:ilvl w:val="0"/>
          <w:numId w:val="19"/>
        </w:numPr>
        <w:tabs>
          <w:tab w:val="left" w:pos="360"/>
        </w:tabs>
        <w:spacing w:after="0" w:line="240" w:lineRule="auto"/>
        <w:rPr>
          <w:rFonts w:asciiTheme="minorHAnsi" w:hAnsiTheme="minorHAnsi"/>
          <w:sz w:val="24"/>
          <w:szCs w:val="24"/>
        </w:rPr>
      </w:pPr>
      <w:r w:rsidRPr="00BB651B">
        <w:rPr>
          <w:rFonts w:asciiTheme="minorHAnsi" w:hAnsiTheme="minorHAnsi"/>
          <w:sz w:val="24"/>
          <w:szCs w:val="24"/>
        </w:rPr>
        <w:t xml:space="preserve">A Customer with a loan open at the time he/she sells his/her home may either pay the loan off at the time of the sale; or if the new homeowner is willing to assume the loan and is able to pass the Craft3’s credit requirements, the new homeowner may assume the remaining balance of the loan.  </w:t>
      </w:r>
    </w:p>
    <w:p w14:paraId="70E543E0" w14:textId="77777777" w:rsidR="00BB651B" w:rsidRPr="00BB651B" w:rsidRDefault="00BB651B" w:rsidP="00BB651B">
      <w:pPr>
        <w:tabs>
          <w:tab w:val="left" w:pos="360"/>
        </w:tabs>
        <w:spacing w:after="0" w:line="240" w:lineRule="auto"/>
        <w:rPr>
          <w:rFonts w:asciiTheme="minorHAnsi" w:hAnsiTheme="minorHAnsi"/>
          <w:sz w:val="24"/>
          <w:szCs w:val="24"/>
        </w:rPr>
      </w:pPr>
    </w:p>
    <w:p w14:paraId="70E543E1" w14:textId="77777777" w:rsidR="00DF42BE" w:rsidRPr="00867618" w:rsidRDefault="00DF42BE" w:rsidP="00BB651B">
      <w:pPr>
        <w:tabs>
          <w:tab w:val="left" w:pos="360"/>
        </w:tabs>
        <w:spacing w:after="0" w:line="240" w:lineRule="auto"/>
        <w:ind w:left="360" w:hanging="360"/>
        <w:rPr>
          <w:rFonts w:asciiTheme="minorHAnsi" w:hAnsiTheme="minorHAnsi"/>
          <w:sz w:val="24"/>
          <w:szCs w:val="24"/>
        </w:rPr>
      </w:pPr>
      <w:r w:rsidRPr="00867618">
        <w:rPr>
          <w:rFonts w:asciiTheme="minorHAnsi" w:hAnsiTheme="minorHAnsi"/>
          <w:sz w:val="24"/>
          <w:szCs w:val="24"/>
        </w:rPr>
        <w:t>1</w:t>
      </w:r>
      <w:r w:rsidR="00ED70D2" w:rsidRPr="00867618">
        <w:rPr>
          <w:rFonts w:asciiTheme="minorHAnsi" w:hAnsiTheme="minorHAnsi"/>
          <w:sz w:val="24"/>
          <w:szCs w:val="24"/>
        </w:rPr>
        <w:t>8</w:t>
      </w:r>
      <w:r w:rsidRPr="00867618">
        <w:rPr>
          <w:rFonts w:asciiTheme="minorHAnsi" w:hAnsiTheme="minorHAnsi"/>
          <w:sz w:val="24"/>
          <w:szCs w:val="24"/>
        </w:rPr>
        <w:t>. If a Customer with a loan refinances his/her mortgage, Craft</w:t>
      </w:r>
      <w:r w:rsidR="00A4758A">
        <w:rPr>
          <w:rFonts w:asciiTheme="minorHAnsi" w:hAnsiTheme="minorHAnsi"/>
          <w:sz w:val="24"/>
          <w:szCs w:val="24"/>
        </w:rPr>
        <w:t xml:space="preserve">3 will work with the Customer. </w:t>
      </w:r>
      <w:r w:rsidRPr="00867618">
        <w:rPr>
          <w:rFonts w:asciiTheme="minorHAnsi" w:hAnsiTheme="minorHAnsi"/>
          <w:sz w:val="24"/>
          <w:szCs w:val="24"/>
        </w:rPr>
        <w:t xml:space="preserve">A fee may be assessed if Craft3 subordinates its lien to the new mortgage lender.  </w:t>
      </w:r>
    </w:p>
    <w:p w14:paraId="70E543E2" w14:textId="77777777" w:rsidR="00632779" w:rsidRPr="00632779" w:rsidRDefault="00632779" w:rsidP="00BB651B">
      <w:pPr>
        <w:spacing w:after="0" w:line="240" w:lineRule="auto"/>
        <w:rPr>
          <w:rFonts w:ascii="Arial" w:eastAsiaTheme="minorHAnsi" w:hAnsi="Arial" w:cs="Arial"/>
          <w:color w:val="171717"/>
          <w:sz w:val="20"/>
          <w:szCs w:val="20"/>
        </w:rPr>
      </w:pPr>
    </w:p>
    <w:p w14:paraId="70E543E3" w14:textId="77777777" w:rsidR="00DF42BE" w:rsidRPr="00867618" w:rsidRDefault="00410276" w:rsidP="00BB651B">
      <w:pPr>
        <w:spacing w:after="0" w:line="240" w:lineRule="auto"/>
        <w:rPr>
          <w:rFonts w:asciiTheme="minorHAnsi" w:hAnsiTheme="minorHAnsi"/>
          <w:sz w:val="24"/>
          <w:szCs w:val="24"/>
        </w:rPr>
      </w:pPr>
      <w:r>
        <w:rPr>
          <w:rFonts w:asciiTheme="minorHAnsi" w:hAnsiTheme="minorHAnsi" w:cs="Arial"/>
          <w:bCs/>
          <w:sz w:val="32"/>
          <w:szCs w:val="32"/>
        </w:rPr>
        <w:t xml:space="preserve"> </w:t>
      </w:r>
    </w:p>
    <w:sectPr w:rsidR="00DF42BE" w:rsidRPr="00867618" w:rsidSect="00AC364B">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320" w:left="1440" w:header="720" w:footer="720" w:gutter="0"/>
      <w:pgNumType w:start="1"/>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C4C7D6" w15:done="0"/>
  <w15:commentEx w15:paraId="23F07630" w15:paraIdParent="09C4C7D6" w15:done="0"/>
  <w15:commentEx w15:paraId="5D3321AD" w15:done="0"/>
  <w15:commentEx w15:paraId="41DA1D79" w15:paraIdParent="5D3321AD" w15:done="0"/>
  <w15:commentEx w15:paraId="0D9FC7E3" w15:done="0"/>
  <w15:commentEx w15:paraId="7D262479" w15:paraIdParent="0D9FC7E3" w15:done="0"/>
  <w15:commentEx w15:paraId="45C4015E" w15:done="0"/>
  <w15:commentEx w15:paraId="4074EB58" w15:paraIdParent="45C4015E" w15:done="0"/>
  <w15:commentEx w15:paraId="0B754BF1" w15:done="0"/>
  <w15:commentEx w15:paraId="561B311C" w15:paraIdParent="0B754BF1" w15:done="0"/>
  <w15:commentEx w15:paraId="2DEF1965" w15:done="0"/>
  <w15:commentEx w15:paraId="7D3DE40D" w15:paraIdParent="2DEF1965" w15:done="0"/>
  <w15:commentEx w15:paraId="48ADFE0D" w15:done="0"/>
  <w15:commentEx w15:paraId="31DDD619" w15:paraIdParent="48ADFE0D" w15:done="0"/>
  <w15:commentEx w15:paraId="55F801B4" w15:done="0"/>
  <w15:commentEx w15:paraId="2139AB27" w15:paraIdParent="55F801B4" w15:done="0"/>
  <w15:commentEx w15:paraId="593EB830" w15:done="0"/>
  <w15:commentEx w15:paraId="26662D16" w15:done="0"/>
  <w15:commentEx w15:paraId="29417970" w15:paraIdParent="26662D16" w15:done="0"/>
  <w15:commentEx w15:paraId="38DC5E8A" w15:done="0"/>
  <w15:commentEx w15:paraId="7C005569" w15:paraIdParent="38DC5E8A" w15:done="0"/>
  <w15:commentEx w15:paraId="6F07E94F" w15:done="0"/>
  <w15:commentEx w15:paraId="2B71CD6A" w15:done="0"/>
  <w15:commentEx w15:paraId="30C9FB4D" w15:done="0"/>
  <w15:commentEx w15:paraId="50064283" w15:paraIdParent="30C9FB4D" w15:done="0"/>
  <w15:commentEx w15:paraId="4FBA98E1" w15:done="0"/>
  <w15:commentEx w15:paraId="5733AA0F" w15:paraIdParent="4FBA98E1" w15:done="0"/>
  <w15:commentEx w15:paraId="4487DCC2" w15:done="0"/>
  <w15:commentEx w15:paraId="2B2CE355" w15:done="0"/>
  <w15:commentEx w15:paraId="5C056D01" w15:paraIdParent="2B2CE355" w15:done="0"/>
  <w15:commentEx w15:paraId="7419FA15" w15:done="0"/>
  <w15:commentEx w15:paraId="7074EFC3" w15:paraIdParent="7419FA15" w15:done="0"/>
  <w15:commentEx w15:paraId="239BFF67" w15:done="0"/>
  <w15:commentEx w15:paraId="4612A1B5" w15:paraIdParent="239BFF6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E543EA" w14:textId="77777777" w:rsidR="00823668" w:rsidRDefault="00823668" w:rsidP="0000701E">
      <w:pPr>
        <w:spacing w:after="0" w:line="240" w:lineRule="auto"/>
      </w:pPr>
      <w:r>
        <w:separator/>
      </w:r>
    </w:p>
  </w:endnote>
  <w:endnote w:type="continuationSeparator" w:id="0">
    <w:p w14:paraId="70E543EB" w14:textId="77777777" w:rsidR="00823668" w:rsidRDefault="00823668" w:rsidP="0000701E">
      <w:pPr>
        <w:spacing w:after="0" w:line="240" w:lineRule="auto"/>
      </w:pPr>
      <w:r>
        <w:continuationSeparator/>
      </w:r>
    </w:p>
  </w:endnote>
  <w:endnote w:type="continuationNotice" w:id="1">
    <w:p w14:paraId="70E543EC" w14:textId="77777777" w:rsidR="00823668" w:rsidRDefault="008236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85822" w14:textId="77777777" w:rsidR="00842BA8" w:rsidRDefault="00842B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543EE" w14:textId="77777777" w:rsidR="002301EC" w:rsidRDefault="002301EC" w:rsidP="0000701E">
    <w:pPr>
      <w:pStyle w:val="Footer"/>
      <w:jc w:val="right"/>
    </w:pPr>
  </w:p>
  <w:p w14:paraId="70E543EF" w14:textId="77777777" w:rsidR="002301EC" w:rsidRDefault="002301EC" w:rsidP="0000701E">
    <w:pPr>
      <w:pStyle w:val="Footer"/>
      <w:jc w:val="right"/>
    </w:pPr>
    <w:r>
      <w:t xml:space="preserve">Last updated </w:t>
    </w:r>
    <w:r w:rsidR="00A02644">
      <w:t>December</w:t>
    </w:r>
    <w:r>
      <w:t xml:space="preserve"> </w:t>
    </w:r>
    <w:r w:rsidR="00A02644">
      <w:t>1</w:t>
    </w:r>
    <w:r>
      <w:t xml:space="preserve">, 2016 </w:t>
    </w:r>
    <w:r>
      <w:tab/>
    </w:r>
    <w:r>
      <w:tab/>
      <w:t xml:space="preserve">Page </w:t>
    </w:r>
    <w:r>
      <w:rPr>
        <w:b/>
      </w:rPr>
      <w:fldChar w:fldCharType="begin"/>
    </w:r>
    <w:r>
      <w:rPr>
        <w:b/>
      </w:rPr>
      <w:instrText xml:space="preserve"> PAGE </w:instrText>
    </w:r>
    <w:r>
      <w:rPr>
        <w:b/>
      </w:rPr>
      <w:fldChar w:fldCharType="separate"/>
    </w:r>
    <w:r w:rsidR="00842BA8">
      <w:rPr>
        <w:b/>
        <w:noProof/>
      </w:rPr>
      <w:t>18</w:t>
    </w:r>
    <w:r>
      <w:rPr>
        <w:b/>
      </w:rPr>
      <w:fldChar w:fldCharType="end"/>
    </w:r>
    <w:r>
      <w:t xml:space="preserve"> of </w:t>
    </w:r>
    <w:r>
      <w:rPr>
        <w:b/>
      </w:rPr>
      <w:fldChar w:fldCharType="begin"/>
    </w:r>
    <w:r>
      <w:rPr>
        <w:b/>
      </w:rPr>
      <w:instrText xml:space="preserve"> NUMPAGES  </w:instrText>
    </w:r>
    <w:r>
      <w:rPr>
        <w:b/>
      </w:rPr>
      <w:fldChar w:fldCharType="separate"/>
    </w:r>
    <w:r w:rsidR="00842BA8">
      <w:rPr>
        <w:b/>
        <w:noProof/>
      </w:rPr>
      <w:t>18</w:t>
    </w:r>
    <w:r>
      <w:rPr>
        <w:b/>
      </w:rPr>
      <w:fldChar w:fldCharType="end"/>
    </w:r>
  </w:p>
  <w:p w14:paraId="70E543F0" w14:textId="77777777" w:rsidR="002301EC" w:rsidRDefault="002301EC">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543F1" w14:textId="29906C90" w:rsidR="002301EC" w:rsidRDefault="002301EC" w:rsidP="00137D89">
    <w:pPr>
      <w:pStyle w:val="Footer"/>
      <w:jc w:val="right"/>
    </w:pPr>
    <w:r>
      <w:t xml:space="preserve">Last updated </w:t>
    </w:r>
    <w:r w:rsidR="00A02644">
      <w:t>Dec</w:t>
    </w:r>
    <w:r w:rsidR="00842BA8">
      <w:t>ember 1</w:t>
    </w:r>
    <w:bookmarkStart w:id="4" w:name="_GoBack"/>
    <w:bookmarkEnd w:id="4"/>
    <w:r>
      <w:t>, 2016</w:t>
    </w:r>
    <w:r>
      <w:tab/>
    </w:r>
    <w:r>
      <w:tab/>
      <w:t xml:space="preserve">Page </w:t>
    </w:r>
    <w:r>
      <w:rPr>
        <w:b/>
      </w:rPr>
      <w:fldChar w:fldCharType="begin"/>
    </w:r>
    <w:r>
      <w:rPr>
        <w:b/>
      </w:rPr>
      <w:instrText xml:space="preserve"> PAGE </w:instrText>
    </w:r>
    <w:r>
      <w:rPr>
        <w:b/>
      </w:rPr>
      <w:fldChar w:fldCharType="separate"/>
    </w:r>
    <w:r w:rsidR="00842BA8">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842BA8">
      <w:rPr>
        <w:b/>
        <w:noProof/>
      </w:rPr>
      <w:t>18</w:t>
    </w:r>
    <w:r>
      <w:rPr>
        <w:b/>
      </w:rPr>
      <w:fldChar w:fldCharType="end"/>
    </w:r>
  </w:p>
  <w:p w14:paraId="70E543F2" w14:textId="77777777" w:rsidR="002301EC" w:rsidRDefault="002301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E543E7" w14:textId="77777777" w:rsidR="00823668" w:rsidRDefault="00823668" w:rsidP="0000701E">
      <w:pPr>
        <w:spacing w:after="0" w:line="240" w:lineRule="auto"/>
      </w:pPr>
      <w:r>
        <w:separator/>
      </w:r>
    </w:p>
  </w:footnote>
  <w:footnote w:type="continuationSeparator" w:id="0">
    <w:p w14:paraId="70E543E8" w14:textId="77777777" w:rsidR="00823668" w:rsidRDefault="00823668" w:rsidP="0000701E">
      <w:pPr>
        <w:spacing w:after="0" w:line="240" w:lineRule="auto"/>
      </w:pPr>
      <w:r>
        <w:continuationSeparator/>
      </w:r>
    </w:p>
  </w:footnote>
  <w:footnote w:type="continuationNotice" w:id="1">
    <w:p w14:paraId="70E543E9" w14:textId="77777777" w:rsidR="00823668" w:rsidRDefault="00823668">
      <w:pPr>
        <w:spacing w:after="0" w:line="240" w:lineRule="auto"/>
      </w:pPr>
    </w:p>
  </w:footnote>
  <w:footnote w:id="2">
    <w:p w14:paraId="70E543F3" w14:textId="77777777" w:rsidR="002301EC" w:rsidRDefault="002301EC" w:rsidP="00EB0FF1">
      <w:pPr>
        <w:pStyle w:val="FootnoteText"/>
        <w:tabs>
          <w:tab w:val="left" w:pos="360"/>
        </w:tabs>
        <w:ind w:left="360" w:hanging="360"/>
      </w:pPr>
      <w:r>
        <w:rPr>
          <w:rStyle w:val="FootnoteReference"/>
        </w:rPr>
        <w:footnoteRef/>
      </w:r>
      <w:r>
        <w:t xml:space="preserve">  </w:t>
      </w:r>
      <w:r>
        <w:tab/>
        <w:t xml:space="preserve">SB 1149, codified as ORS 757.612, mandated the creation of an independent entity capable of providing demand side management services to utility customers.   </w:t>
      </w:r>
    </w:p>
  </w:footnote>
  <w:footnote w:id="3">
    <w:p w14:paraId="70E543F4" w14:textId="77777777" w:rsidR="002301EC" w:rsidRPr="00F91E0F" w:rsidRDefault="002301EC" w:rsidP="00737F45">
      <w:pPr>
        <w:spacing w:after="240"/>
        <w:rPr>
          <w:color w:val="1F497D"/>
          <w:sz w:val="20"/>
          <w:szCs w:val="20"/>
        </w:rPr>
      </w:pPr>
      <w:r w:rsidRPr="00F91E0F">
        <w:rPr>
          <w:rStyle w:val="FootnoteReference"/>
          <w:sz w:val="20"/>
          <w:szCs w:val="20"/>
        </w:rPr>
        <w:footnoteRef/>
      </w:r>
      <w:r w:rsidRPr="00F91E0F">
        <w:rPr>
          <w:sz w:val="20"/>
          <w:szCs w:val="20"/>
        </w:rPr>
        <w:t xml:space="preserve"> </w:t>
      </w:r>
      <w:r w:rsidRPr="00DA3584">
        <w:rPr>
          <w:sz w:val="20"/>
          <w:szCs w:val="20"/>
        </w:rPr>
        <w:t>The relevant pages are 4.8-4.13 and all of Chapter 5.</w:t>
      </w:r>
    </w:p>
    <w:p w14:paraId="70E543F5" w14:textId="77777777" w:rsidR="002301EC" w:rsidRDefault="002301EC" w:rsidP="00737F45">
      <w:pPr>
        <w:pStyle w:val="FootnoteText"/>
      </w:pPr>
    </w:p>
  </w:footnote>
  <w:footnote w:id="4">
    <w:p w14:paraId="70E543F6" w14:textId="77777777" w:rsidR="002301EC" w:rsidRPr="004E59E6" w:rsidRDefault="002301EC" w:rsidP="004E59E6">
      <w:pPr>
        <w:pStyle w:val="ListParagraph"/>
        <w:spacing w:after="0" w:line="240" w:lineRule="auto"/>
        <w:ind w:left="0"/>
        <w:rPr>
          <w:rFonts w:asciiTheme="minorHAnsi" w:eastAsiaTheme="minorHAnsi" w:hAnsiTheme="minorHAnsi" w:cstheme="minorBidi"/>
          <w:sz w:val="20"/>
          <w:szCs w:val="20"/>
        </w:rPr>
      </w:pPr>
      <w:r w:rsidRPr="004E59E6">
        <w:rPr>
          <w:rStyle w:val="FootnoteReference"/>
          <w:sz w:val="20"/>
          <w:szCs w:val="20"/>
        </w:rPr>
        <w:footnoteRef/>
      </w:r>
      <w:r w:rsidRPr="004E59E6">
        <w:rPr>
          <w:sz w:val="20"/>
          <w:szCs w:val="20"/>
        </w:rPr>
        <w:t xml:space="preserve"> </w:t>
      </w:r>
      <w:r w:rsidRPr="004E59E6">
        <w:rPr>
          <w:rFonts w:asciiTheme="minorHAnsi" w:eastAsiaTheme="minorHAnsi" w:hAnsiTheme="minorHAnsi" w:cstheme="minorBidi"/>
          <w:sz w:val="20"/>
          <w:szCs w:val="20"/>
        </w:rPr>
        <w:t>The average job costs for WA-LIEE homes in 2016</w:t>
      </w:r>
      <w:r>
        <w:rPr>
          <w:rFonts w:asciiTheme="minorHAnsi" w:eastAsiaTheme="minorHAnsi" w:hAnsiTheme="minorHAnsi" w:cstheme="minorBidi"/>
          <w:sz w:val="20"/>
          <w:szCs w:val="20"/>
        </w:rPr>
        <w:t xml:space="preserve"> is based on data through Q3.</w:t>
      </w:r>
      <w:r w:rsidRPr="004E59E6">
        <w:rPr>
          <w:rFonts w:asciiTheme="minorHAnsi" w:eastAsiaTheme="minorHAnsi" w:hAnsiTheme="minorHAnsi" w:cstheme="minorBidi"/>
          <w:sz w:val="20"/>
          <w:szCs w:val="20"/>
        </w:rPr>
        <w:t xml:space="preserve"> </w:t>
      </w:r>
    </w:p>
    <w:p w14:paraId="70E543F7" w14:textId="77777777" w:rsidR="002301EC" w:rsidRDefault="002301EC" w:rsidP="004E59E6">
      <w:pPr>
        <w:pStyle w:val="FootnoteText"/>
      </w:pPr>
    </w:p>
  </w:footnote>
  <w:footnote w:id="5">
    <w:p w14:paraId="70E543F8" w14:textId="77777777" w:rsidR="002301EC" w:rsidRPr="00DC379A" w:rsidRDefault="002301EC">
      <w:pPr>
        <w:pStyle w:val="FootnoteText"/>
      </w:pPr>
      <w:r>
        <w:rPr>
          <w:rStyle w:val="FootnoteReference"/>
        </w:rPr>
        <w:footnoteRef/>
      </w:r>
      <w:r>
        <w:t xml:space="preserve"> </w:t>
      </w:r>
      <w:r>
        <w:rPr>
          <w:i/>
        </w:rPr>
        <w:t xml:space="preserve">See </w:t>
      </w:r>
      <w:r w:rsidRPr="00DC379A">
        <w:t>http://www.commerce.wa.gov/Programs/Energy/Office/Pages/Clean-Energy-Funds.aspx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FC0CA" w14:textId="77777777" w:rsidR="00842BA8" w:rsidRDefault="00842B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543ED" w14:textId="77777777" w:rsidR="002301EC" w:rsidRDefault="002301EC" w:rsidP="0072436E">
    <w:pPr>
      <w:pStyle w:val="Header"/>
      <w:tabs>
        <w:tab w:val="clear" w:pos="4680"/>
        <w:tab w:val="clear" w:pos="9360"/>
        <w:tab w:val="left" w:pos="3763"/>
      </w:tabs>
    </w:pPr>
    <w:r>
      <w:t>NWN’s WA EE Plan 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1AB12" w14:textId="77777777" w:rsidR="00842BA8" w:rsidRDefault="00842B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567D"/>
    <w:multiLevelType w:val="hybridMultilevel"/>
    <w:tmpl w:val="8CB44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16A55"/>
    <w:multiLevelType w:val="hybridMultilevel"/>
    <w:tmpl w:val="E7FC4756"/>
    <w:lvl w:ilvl="0" w:tplc="10B2CD0A">
      <w:start w:val="1"/>
      <w:numFmt w:val="upperRoman"/>
      <w:lvlText w:val="%1."/>
      <w:lvlJc w:val="left"/>
      <w:pPr>
        <w:ind w:left="360" w:hanging="360"/>
      </w:pPr>
      <w:rPr>
        <w:rFonts w:ascii="Calibri" w:eastAsia="Times New Roman" w:hAnsi="Calibri" w:cs="Times New Roman"/>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8C4CBE"/>
    <w:multiLevelType w:val="hybridMultilevel"/>
    <w:tmpl w:val="7F6AA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C9319E"/>
    <w:multiLevelType w:val="hybridMultilevel"/>
    <w:tmpl w:val="134C9C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42594C"/>
    <w:multiLevelType w:val="hybridMultilevel"/>
    <w:tmpl w:val="225A40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BB263AB"/>
    <w:multiLevelType w:val="hybridMultilevel"/>
    <w:tmpl w:val="615456B4"/>
    <w:lvl w:ilvl="0" w:tplc="EFD2FA8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0CD566FD"/>
    <w:multiLevelType w:val="hybridMultilevel"/>
    <w:tmpl w:val="AC8CE468"/>
    <w:lvl w:ilvl="0" w:tplc="2700AA54">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724A63"/>
    <w:multiLevelType w:val="hybridMultilevel"/>
    <w:tmpl w:val="05FCD52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12AD387E"/>
    <w:multiLevelType w:val="hybridMultilevel"/>
    <w:tmpl w:val="F2869A5E"/>
    <w:lvl w:ilvl="0" w:tplc="D660D5F6">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F415D7"/>
    <w:multiLevelType w:val="hybridMultilevel"/>
    <w:tmpl w:val="3E4083A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219A3E06"/>
    <w:multiLevelType w:val="hybridMultilevel"/>
    <w:tmpl w:val="9E2A409C"/>
    <w:lvl w:ilvl="0" w:tplc="19F074A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1E330E9"/>
    <w:multiLevelType w:val="hybridMultilevel"/>
    <w:tmpl w:val="326CC6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2512733"/>
    <w:multiLevelType w:val="hybridMultilevel"/>
    <w:tmpl w:val="EDFC6182"/>
    <w:lvl w:ilvl="0" w:tplc="EFC4F48C">
      <w:start w:val="6"/>
      <w:numFmt w:val="upperRoman"/>
      <w:lvlText w:val="%1."/>
      <w:lvlJc w:val="left"/>
      <w:pPr>
        <w:ind w:left="900" w:hanging="72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13">
    <w:nsid w:val="28F44933"/>
    <w:multiLevelType w:val="hybridMultilevel"/>
    <w:tmpl w:val="61FC9B6A"/>
    <w:lvl w:ilvl="0" w:tplc="3E7A37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AC2154E"/>
    <w:multiLevelType w:val="hybridMultilevel"/>
    <w:tmpl w:val="FBC2E496"/>
    <w:lvl w:ilvl="0" w:tplc="15D26EB4">
      <w:start w:val="1"/>
      <w:numFmt w:val="upperRoman"/>
      <w:lvlText w:val="%1."/>
      <w:lvlJc w:val="left"/>
      <w:pPr>
        <w:ind w:left="720" w:hanging="360"/>
      </w:pPr>
      <w:rPr>
        <w:rFonts w:ascii="Calibri" w:eastAsia="Times New Roman" w:hAnsi="Calibri" w:cs="Times New Roman"/>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741C6E"/>
    <w:multiLevelType w:val="hybridMultilevel"/>
    <w:tmpl w:val="6E18E63A"/>
    <w:lvl w:ilvl="0" w:tplc="F5D8F80C">
      <w:start w:val="9"/>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6410E2"/>
    <w:multiLevelType w:val="hybridMultilevel"/>
    <w:tmpl w:val="A3CAF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8A09F8"/>
    <w:multiLevelType w:val="hybridMultilevel"/>
    <w:tmpl w:val="503A371C"/>
    <w:lvl w:ilvl="0" w:tplc="43603D44">
      <w:start w:val="1"/>
      <w:numFmt w:val="upperRoman"/>
      <w:lvlText w:val="%1."/>
      <w:lvlJc w:val="left"/>
      <w:pPr>
        <w:ind w:left="1080" w:hanging="720"/>
      </w:pPr>
      <w:rPr>
        <w:rFonts w:cs="Times New Roman" w:hint="default"/>
        <w:sz w:val="32"/>
        <w:szCs w:val="3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6AC2654"/>
    <w:multiLevelType w:val="hybridMultilevel"/>
    <w:tmpl w:val="251871A2"/>
    <w:lvl w:ilvl="0" w:tplc="4DD08338">
      <w:start w:val="7"/>
      <w:numFmt w:val="upperRoman"/>
      <w:lvlText w:val="%1."/>
      <w:lvlJc w:val="left"/>
      <w:pPr>
        <w:ind w:left="1080" w:hanging="720"/>
      </w:pPr>
      <w:rPr>
        <w:rFont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B27735"/>
    <w:multiLevelType w:val="hybridMultilevel"/>
    <w:tmpl w:val="05C496CE"/>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20">
    <w:nsid w:val="395F3BD7"/>
    <w:multiLevelType w:val="hybridMultilevel"/>
    <w:tmpl w:val="804A34B2"/>
    <w:lvl w:ilvl="0" w:tplc="CFD4A578">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452F9B"/>
    <w:multiLevelType w:val="hybridMultilevel"/>
    <w:tmpl w:val="593E152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5">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F620D8"/>
    <w:multiLevelType w:val="hybridMultilevel"/>
    <w:tmpl w:val="783E8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3DA5149A"/>
    <w:multiLevelType w:val="hybridMultilevel"/>
    <w:tmpl w:val="D63EB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C32AC8"/>
    <w:multiLevelType w:val="hybridMultilevel"/>
    <w:tmpl w:val="8FF2CD1A"/>
    <w:lvl w:ilvl="0" w:tplc="000043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4C878F2"/>
    <w:multiLevelType w:val="hybridMultilevel"/>
    <w:tmpl w:val="7D222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44EB2287"/>
    <w:multiLevelType w:val="hybridMultilevel"/>
    <w:tmpl w:val="755227AC"/>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EA56BE"/>
    <w:multiLevelType w:val="hybridMultilevel"/>
    <w:tmpl w:val="4E663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E7446F"/>
    <w:multiLevelType w:val="hybridMultilevel"/>
    <w:tmpl w:val="277076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B8E5727"/>
    <w:multiLevelType w:val="hybridMultilevel"/>
    <w:tmpl w:val="735C0B50"/>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nsid w:val="4EF83876"/>
    <w:multiLevelType w:val="hybridMultilevel"/>
    <w:tmpl w:val="45A0900C"/>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1">
    <w:nsid w:val="55567E10"/>
    <w:multiLevelType w:val="hybridMultilevel"/>
    <w:tmpl w:val="2F4CD0F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2">
    <w:nsid w:val="590A28F0"/>
    <w:multiLevelType w:val="hybridMultilevel"/>
    <w:tmpl w:val="D2D82EE6"/>
    <w:lvl w:ilvl="0" w:tplc="02E8E49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5E2A337D"/>
    <w:multiLevelType w:val="hybridMultilevel"/>
    <w:tmpl w:val="08F4C20A"/>
    <w:lvl w:ilvl="0" w:tplc="00004326">
      <w:start w:val="1"/>
      <w:numFmt w:val="decimal"/>
      <w:lvlText w:val="%1."/>
      <w:lvlJc w:val="left"/>
      <w:pPr>
        <w:ind w:left="1080" w:hanging="360"/>
      </w:pPr>
      <w:rPr>
        <w:rFonts w:hint="default"/>
      </w:rPr>
    </w:lvl>
    <w:lvl w:ilvl="1" w:tplc="AE1CEFB4">
      <w:numFmt w:val="bullet"/>
      <w:lvlText w:val="·"/>
      <w:lvlJc w:val="left"/>
      <w:pPr>
        <w:ind w:left="1992" w:hanging="552"/>
      </w:pPr>
      <w:rPr>
        <w:rFonts w:ascii="Calibri" w:eastAsiaTheme="minorHAnsi" w:hAnsi="Calibri"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201019F"/>
    <w:multiLevelType w:val="hybridMultilevel"/>
    <w:tmpl w:val="B956C2E4"/>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9B7E67"/>
    <w:multiLevelType w:val="hybridMultilevel"/>
    <w:tmpl w:val="EF7E672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5E4A30"/>
    <w:multiLevelType w:val="hybridMultilevel"/>
    <w:tmpl w:val="9DCE7EC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704C6BF3"/>
    <w:multiLevelType w:val="hybridMultilevel"/>
    <w:tmpl w:val="1724417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8">
    <w:nsid w:val="74A940AB"/>
    <w:multiLevelType w:val="hybridMultilevel"/>
    <w:tmpl w:val="5E266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765E5592"/>
    <w:multiLevelType w:val="hybridMultilevel"/>
    <w:tmpl w:val="2F1242D4"/>
    <w:lvl w:ilvl="0" w:tplc="15D26EB4">
      <w:start w:val="1"/>
      <w:numFmt w:val="upperRoman"/>
      <w:lvlText w:val="%1."/>
      <w:lvlJc w:val="left"/>
      <w:pPr>
        <w:ind w:left="720" w:hanging="360"/>
      </w:pPr>
      <w:rPr>
        <w:rFonts w:ascii="Calibri" w:eastAsia="Times New Roman" w:hAnsi="Calibri"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16"/>
  </w:num>
  <w:num w:numId="3">
    <w:abstractNumId w:val="39"/>
  </w:num>
  <w:num w:numId="4">
    <w:abstractNumId w:val="14"/>
  </w:num>
  <w:num w:numId="5">
    <w:abstractNumId w:val="21"/>
  </w:num>
  <w:num w:numId="6">
    <w:abstractNumId w:val="5"/>
  </w:num>
  <w:num w:numId="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7"/>
  </w:num>
  <w:num w:numId="10">
    <w:abstractNumId w:val="12"/>
  </w:num>
  <w:num w:numId="11">
    <w:abstractNumId w:val="35"/>
  </w:num>
  <w:num w:numId="12">
    <w:abstractNumId w:val="13"/>
  </w:num>
  <w:num w:numId="1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6"/>
  </w:num>
  <w:num w:numId="18">
    <w:abstractNumId w:val="19"/>
  </w:num>
  <w:num w:numId="19">
    <w:abstractNumId w:val="32"/>
  </w:num>
  <w:num w:numId="20">
    <w:abstractNumId w:val="24"/>
  </w:num>
  <w:num w:numId="21">
    <w:abstractNumId w:val="23"/>
  </w:num>
  <w:num w:numId="22">
    <w:abstractNumId w:val="33"/>
  </w:num>
  <w:num w:numId="23">
    <w:abstractNumId w:val="22"/>
  </w:num>
  <w:num w:numId="24">
    <w:abstractNumId w:val="3"/>
  </w:num>
  <w:num w:numId="25">
    <w:abstractNumId w:val="19"/>
  </w:num>
  <w:num w:numId="26">
    <w:abstractNumId w:val="30"/>
  </w:num>
  <w:num w:numId="27">
    <w:abstractNumId w:val="28"/>
  </w:num>
  <w:num w:numId="28">
    <w:abstractNumId w:val="2"/>
  </w:num>
  <w:num w:numId="29">
    <w:abstractNumId w:val="18"/>
  </w:num>
  <w:num w:numId="30">
    <w:abstractNumId w:val="37"/>
  </w:num>
  <w:num w:numId="31">
    <w:abstractNumId w:val="29"/>
  </w:num>
  <w:num w:numId="32">
    <w:abstractNumId w:val="7"/>
  </w:num>
  <w:num w:numId="33">
    <w:abstractNumId w:val="8"/>
  </w:num>
  <w:num w:numId="34">
    <w:abstractNumId w:val="9"/>
  </w:num>
  <w:num w:numId="35">
    <w:abstractNumId w:val="34"/>
  </w:num>
  <w:num w:numId="36">
    <w:abstractNumId w:val="15"/>
  </w:num>
  <w:num w:numId="37">
    <w:abstractNumId w:val="20"/>
  </w:num>
  <w:num w:numId="38">
    <w:abstractNumId w:val="27"/>
  </w:num>
  <w:num w:numId="39">
    <w:abstractNumId w:val="25"/>
  </w:num>
  <w:num w:numId="40">
    <w:abstractNumId w:val="38"/>
  </w:num>
  <w:num w:numId="41">
    <w:abstractNumId w:val="0"/>
  </w:num>
  <w:num w:numId="4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w Shepard">
    <w15:presenceInfo w15:providerId="AD" w15:userId="S-1-5-21-299502267-1482476501-1417001333-238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766"/>
    <w:rsid w:val="000001BB"/>
    <w:rsid w:val="0000280B"/>
    <w:rsid w:val="0000701E"/>
    <w:rsid w:val="000109AC"/>
    <w:rsid w:val="00013C3F"/>
    <w:rsid w:val="00021F87"/>
    <w:rsid w:val="00023D3D"/>
    <w:rsid w:val="000245F6"/>
    <w:rsid w:val="00030B47"/>
    <w:rsid w:val="00032878"/>
    <w:rsid w:val="000344DD"/>
    <w:rsid w:val="00035E11"/>
    <w:rsid w:val="000375E0"/>
    <w:rsid w:val="00040AB6"/>
    <w:rsid w:val="00053991"/>
    <w:rsid w:val="00057DE6"/>
    <w:rsid w:val="00062D10"/>
    <w:rsid w:val="00066B0C"/>
    <w:rsid w:val="000740DD"/>
    <w:rsid w:val="00076D36"/>
    <w:rsid w:val="00076F8D"/>
    <w:rsid w:val="000838D6"/>
    <w:rsid w:val="00084CA1"/>
    <w:rsid w:val="00084FE6"/>
    <w:rsid w:val="0009033E"/>
    <w:rsid w:val="00092C5B"/>
    <w:rsid w:val="000946C0"/>
    <w:rsid w:val="00097823"/>
    <w:rsid w:val="000A1DFE"/>
    <w:rsid w:val="000A53A1"/>
    <w:rsid w:val="000A65B2"/>
    <w:rsid w:val="000B26EB"/>
    <w:rsid w:val="000B2D85"/>
    <w:rsid w:val="000B41A4"/>
    <w:rsid w:val="000B45D3"/>
    <w:rsid w:val="000B535B"/>
    <w:rsid w:val="000C2008"/>
    <w:rsid w:val="000C2946"/>
    <w:rsid w:val="000C6669"/>
    <w:rsid w:val="000D455A"/>
    <w:rsid w:val="000E1BC9"/>
    <w:rsid w:val="000E5B0F"/>
    <w:rsid w:val="000E6514"/>
    <w:rsid w:val="000F51D9"/>
    <w:rsid w:val="000F7410"/>
    <w:rsid w:val="00102C95"/>
    <w:rsid w:val="00106C2C"/>
    <w:rsid w:val="00106E4B"/>
    <w:rsid w:val="001078A0"/>
    <w:rsid w:val="00112663"/>
    <w:rsid w:val="00113045"/>
    <w:rsid w:val="001142B0"/>
    <w:rsid w:val="00115260"/>
    <w:rsid w:val="00122F13"/>
    <w:rsid w:val="00123388"/>
    <w:rsid w:val="0012571C"/>
    <w:rsid w:val="00126582"/>
    <w:rsid w:val="00127EAD"/>
    <w:rsid w:val="00136AA4"/>
    <w:rsid w:val="00136FF5"/>
    <w:rsid w:val="00137135"/>
    <w:rsid w:val="00137D89"/>
    <w:rsid w:val="00144035"/>
    <w:rsid w:val="00145ABB"/>
    <w:rsid w:val="00146D2F"/>
    <w:rsid w:val="001556BA"/>
    <w:rsid w:val="00157523"/>
    <w:rsid w:val="00170502"/>
    <w:rsid w:val="00175DBA"/>
    <w:rsid w:val="00177605"/>
    <w:rsid w:val="001817A0"/>
    <w:rsid w:val="00182EF4"/>
    <w:rsid w:val="00184CCA"/>
    <w:rsid w:val="001A1EC1"/>
    <w:rsid w:val="001A2B88"/>
    <w:rsid w:val="001A3C72"/>
    <w:rsid w:val="001A4A16"/>
    <w:rsid w:val="001A5661"/>
    <w:rsid w:val="001A5882"/>
    <w:rsid w:val="001A5A0B"/>
    <w:rsid w:val="001B2EFF"/>
    <w:rsid w:val="001B48E0"/>
    <w:rsid w:val="001B5C89"/>
    <w:rsid w:val="001C2393"/>
    <w:rsid w:val="001C4B7A"/>
    <w:rsid w:val="001C6321"/>
    <w:rsid w:val="001C693F"/>
    <w:rsid w:val="001C6A2C"/>
    <w:rsid w:val="001D10FB"/>
    <w:rsid w:val="001D659E"/>
    <w:rsid w:val="001D65C7"/>
    <w:rsid w:val="001E07DE"/>
    <w:rsid w:val="001E283F"/>
    <w:rsid w:val="001E306E"/>
    <w:rsid w:val="001E33A9"/>
    <w:rsid w:val="001E4B1A"/>
    <w:rsid w:val="001F07EE"/>
    <w:rsid w:val="001F1612"/>
    <w:rsid w:val="001F4258"/>
    <w:rsid w:val="001F4BE1"/>
    <w:rsid w:val="00202080"/>
    <w:rsid w:val="002020C4"/>
    <w:rsid w:val="002034C5"/>
    <w:rsid w:val="00203657"/>
    <w:rsid w:val="002039B0"/>
    <w:rsid w:val="0020566B"/>
    <w:rsid w:val="0020795C"/>
    <w:rsid w:val="002120AA"/>
    <w:rsid w:val="002157A3"/>
    <w:rsid w:val="00215AAC"/>
    <w:rsid w:val="00225E05"/>
    <w:rsid w:val="002301EC"/>
    <w:rsid w:val="002335A4"/>
    <w:rsid w:val="00242088"/>
    <w:rsid w:val="0024677A"/>
    <w:rsid w:val="00246DE6"/>
    <w:rsid w:val="00257A7D"/>
    <w:rsid w:val="00262EC7"/>
    <w:rsid w:val="002651C8"/>
    <w:rsid w:val="002668F1"/>
    <w:rsid w:val="00266A29"/>
    <w:rsid w:val="00276FB5"/>
    <w:rsid w:val="002778AA"/>
    <w:rsid w:val="002805AA"/>
    <w:rsid w:val="0028568D"/>
    <w:rsid w:val="00287B46"/>
    <w:rsid w:val="00295F8B"/>
    <w:rsid w:val="002A355C"/>
    <w:rsid w:val="002A7E24"/>
    <w:rsid w:val="002B0095"/>
    <w:rsid w:val="002B133B"/>
    <w:rsid w:val="002B14B9"/>
    <w:rsid w:val="002B22E3"/>
    <w:rsid w:val="002B2DEF"/>
    <w:rsid w:val="002B31D3"/>
    <w:rsid w:val="002B3534"/>
    <w:rsid w:val="002B3884"/>
    <w:rsid w:val="002C1CEA"/>
    <w:rsid w:val="002C2CBA"/>
    <w:rsid w:val="002C6CE4"/>
    <w:rsid w:val="002C7434"/>
    <w:rsid w:val="002D1DB6"/>
    <w:rsid w:val="002D585F"/>
    <w:rsid w:val="002E0279"/>
    <w:rsid w:val="002E1311"/>
    <w:rsid w:val="002E1FAB"/>
    <w:rsid w:val="002E2863"/>
    <w:rsid w:val="002F7203"/>
    <w:rsid w:val="002F795F"/>
    <w:rsid w:val="00301D2A"/>
    <w:rsid w:val="00303426"/>
    <w:rsid w:val="003055F4"/>
    <w:rsid w:val="00314516"/>
    <w:rsid w:val="00316897"/>
    <w:rsid w:val="00316B55"/>
    <w:rsid w:val="00320FB8"/>
    <w:rsid w:val="003303E6"/>
    <w:rsid w:val="003324F5"/>
    <w:rsid w:val="003331A7"/>
    <w:rsid w:val="00333C08"/>
    <w:rsid w:val="00336934"/>
    <w:rsid w:val="00341BE4"/>
    <w:rsid w:val="00344EB3"/>
    <w:rsid w:val="003450E7"/>
    <w:rsid w:val="00351F7D"/>
    <w:rsid w:val="00355735"/>
    <w:rsid w:val="00357665"/>
    <w:rsid w:val="003607A9"/>
    <w:rsid w:val="0036359C"/>
    <w:rsid w:val="00364AD1"/>
    <w:rsid w:val="003652B4"/>
    <w:rsid w:val="003675FB"/>
    <w:rsid w:val="00367B29"/>
    <w:rsid w:val="0037216F"/>
    <w:rsid w:val="00372AF9"/>
    <w:rsid w:val="0038164D"/>
    <w:rsid w:val="0038189F"/>
    <w:rsid w:val="00381BD8"/>
    <w:rsid w:val="00382A53"/>
    <w:rsid w:val="003830E0"/>
    <w:rsid w:val="00392A0A"/>
    <w:rsid w:val="003A1FAE"/>
    <w:rsid w:val="003A24FB"/>
    <w:rsid w:val="003A45ED"/>
    <w:rsid w:val="003A4753"/>
    <w:rsid w:val="003B0029"/>
    <w:rsid w:val="003B1874"/>
    <w:rsid w:val="003B221B"/>
    <w:rsid w:val="003B3192"/>
    <w:rsid w:val="003B41C5"/>
    <w:rsid w:val="003B488B"/>
    <w:rsid w:val="003B653C"/>
    <w:rsid w:val="003B72DD"/>
    <w:rsid w:val="003C465F"/>
    <w:rsid w:val="003C4A7B"/>
    <w:rsid w:val="003C7D77"/>
    <w:rsid w:val="003E169E"/>
    <w:rsid w:val="003E3683"/>
    <w:rsid w:val="003E4F99"/>
    <w:rsid w:val="003E7A42"/>
    <w:rsid w:val="003F0E70"/>
    <w:rsid w:val="003F318F"/>
    <w:rsid w:val="003F7CDA"/>
    <w:rsid w:val="00401FB8"/>
    <w:rsid w:val="004063D6"/>
    <w:rsid w:val="00406C41"/>
    <w:rsid w:val="00410276"/>
    <w:rsid w:val="00410CE1"/>
    <w:rsid w:val="00412676"/>
    <w:rsid w:val="004160A8"/>
    <w:rsid w:val="00421BFF"/>
    <w:rsid w:val="00430E37"/>
    <w:rsid w:val="00431D5C"/>
    <w:rsid w:val="004420DD"/>
    <w:rsid w:val="00442D53"/>
    <w:rsid w:val="00443502"/>
    <w:rsid w:val="00446ADD"/>
    <w:rsid w:val="0045187F"/>
    <w:rsid w:val="0045325A"/>
    <w:rsid w:val="004537C1"/>
    <w:rsid w:val="00455549"/>
    <w:rsid w:val="00457507"/>
    <w:rsid w:val="004652A8"/>
    <w:rsid w:val="00465EC4"/>
    <w:rsid w:val="00466DA3"/>
    <w:rsid w:val="0046778E"/>
    <w:rsid w:val="0047136B"/>
    <w:rsid w:val="004716C6"/>
    <w:rsid w:val="004747B6"/>
    <w:rsid w:val="00476E02"/>
    <w:rsid w:val="00483F12"/>
    <w:rsid w:val="004853E0"/>
    <w:rsid w:val="00486A27"/>
    <w:rsid w:val="004873B8"/>
    <w:rsid w:val="004912A0"/>
    <w:rsid w:val="00491986"/>
    <w:rsid w:val="004923AD"/>
    <w:rsid w:val="004A44D7"/>
    <w:rsid w:val="004A5883"/>
    <w:rsid w:val="004B293D"/>
    <w:rsid w:val="004B5112"/>
    <w:rsid w:val="004B57C8"/>
    <w:rsid w:val="004B67E4"/>
    <w:rsid w:val="004C098D"/>
    <w:rsid w:val="004C3F8F"/>
    <w:rsid w:val="004D0855"/>
    <w:rsid w:val="004D1008"/>
    <w:rsid w:val="004D1E3F"/>
    <w:rsid w:val="004D2B0A"/>
    <w:rsid w:val="004D4857"/>
    <w:rsid w:val="004D7339"/>
    <w:rsid w:val="004E39EB"/>
    <w:rsid w:val="004E59B8"/>
    <w:rsid w:val="004E59E6"/>
    <w:rsid w:val="004E6B2D"/>
    <w:rsid w:val="004E6EDA"/>
    <w:rsid w:val="004E6F0E"/>
    <w:rsid w:val="004F5E75"/>
    <w:rsid w:val="00500691"/>
    <w:rsid w:val="005008C6"/>
    <w:rsid w:val="005011BA"/>
    <w:rsid w:val="00501DF0"/>
    <w:rsid w:val="00502A24"/>
    <w:rsid w:val="00503D3A"/>
    <w:rsid w:val="005063AB"/>
    <w:rsid w:val="00506A98"/>
    <w:rsid w:val="00510B95"/>
    <w:rsid w:val="00512699"/>
    <w:rsid w:val="00513F5D"/>
    <w:rsid w:val="005159E2"/>
    <w:rsid w:val="005163AE"/>
    <w:rsid w:val="00516CCA"/>
    <w:rsid w:val="00517355"/>
    <w:rsid w:val="00523319"/>
    <w:rsid w:val="00537A36"/>
    <w:rsid w:val="00544A5B"/>
    <w:rsid w:val="00544F87"/>
    <w:rsid w:val="00551F20"/>
    <w:rsid w:val="005542C5"/>
    <w:rsid w:val="00562BF0"/>
    <w:rsid w:val="00564D4C"/>
    <w:rsid w:val="00565BDF"/>
    <w:rsid w:val="00567113"/>
    <w:rsid w:val="0057051B"/>
    <w:rsid w:val="00570966"/>
    <w:rsid w:val="005720E9"/>
    <w:rsid w:val="005847CA"/>
    <w:rsid w:val="00585F3E"/>
    <w:rsid w:val="00590874"/>
    <w:rsid w:val="00595387"/>
    <w:rsid w:val="005A39B1"/>
    <w:rsid w:val="005A58F0"/>
    <w:rsid w:val="005B2BD6"/>
    <w:rsid w:val="005B4B2B"/>
    <w:rsid w:val="005C0399"/>
    <w:rsid w:val="005C105F"/>
    <w:rsid w:val="005C21F8"/>
    <w:rsid w:val="005C39B1"/>
    <w:rsid w:val="005C5462"/>
    <w:rsid w:val="005C690D"/>
    <w:rsid w:val="005D0111"/>
    <w:rsid w:val="005D0D58"/>
    <w:rsid w:val="005D1F3F"/>
    <w:rsid w:val="005D4315"/>
    <w:rsid w:val="005D52D2"/>
    <w:rsid w:val="005E1B95"/>
    <w:rsid w:val="005E2E29"/>
    <w:rsid w:val="005F2857"/>
    <w:rsid w:val="005F2CBA"/>
    <w:rsid w:val="005F44CD"/>
    <w:rsid w:val="005F497C"/>
    <w:rsid w:val="005F49DF"/>
    <w:rsid w:val="005F6B35"/>
    <w:rsid w:val="006066EB"/>
    <w:rsid w:val="0061137C"/>
    <w:rsid w:val="0061226F"/>
    <w:rsid w:val="00614BC3"/>
    <w:rsid w:val="00622178"/>
    <w:rsid w:val="00624C3D"/>
    <w:rsid w:val="00626123"/>
    <w:rsid w:val="006315B0"/>
    <w:rsid w:val="00632779"/>
    <w:rsid w:val="00633458"/>
    <w:rsid w:val="00633D8F"/>
    <w:rsid w:val="006367E4"/>
    <w:rsid w:val="00637D58"/>
    <w:rsid w:val="00637F8E"/>
    <w:rsid w:val="00646136"/>
    <w:rsid w:val="00651077"/>
    <w:rsid w:val="006606E5"/>
    <w:rsid w:val="0066075C"/>
    <w:rsid w:val="00661E28"/>
    <w:rsid w:val="006641DA"/>
    <w:rsid w:val="006650F2"/>
    <w:rsid w:val="00671AC8"/>
    <w:rsid w:val="0067644D"/>
    <w:rsid w:val="00676821"/>
    <w:rsid w:val="00677E81"/>
    <w:rsid w:val="00680DB2"/>
    <w:rsid w:val="00686D03"/>
    <w:rsid w:val="0069202D"/>
    <w:rsid w:val="00693FBC"/>
    <w:rsid w:val="006965FC"/>
    <w:rsid w:val="00696EE3"/>
    <w:rsid w:val="006A0C5B"/>
    <w:rsid w:val="006A58D4"/>
    <w:rsid w:val="006A63E1"/>
    <w:rsid w:val="006B00B3"/>
    <w:rsid w:val="006C06C1"/>
    <w:rsid w:val="006C5306"/>
    <w:rsid w:val="006D05BF"/>
    <w:rsid w:val="006D27FC"/>
    <w:rsid w:val="006E130D"/>
    <w:rsid w:val="006E4739"/>
    <w:rsid w:val="006E5197"/>
    <w:rsid w:val="006E7675"/>
    <w:rsid w:val="006F46D1"/>
    <w:rsid w:val="006F60EB"/>
    <w:rsid w:val="00701805"/>
    <w:rsid w:val="007079B1"/>
    <w:rsid w:val="00711EBA"/>
    <w:rsid w:val="00713341"/>
    <w:rsid w:val="007203D3"/>
    <w:rsid w:val="0072436E"/>
    <w:rsid w:val="007274FB"/>
    <w:rsid w:val="0073162D"/>
    <w:rsid w:val="007333D0"/>
    <w:rsid w:val="007344BA"/>
    <w:rsid w:val="00737F45"/>
    <w:rsid w:val="007427E0"/>
    <w:rsid w:val="0074386C"/>
    <w:rsid w:val="00744294"/>
    <w:rsid w:val="007504C3"/>
    <w:rsid w:val="00755EB7"/>
    <w:rsid w:val="007606A6"/>
    <w:rsid w:val="007627D2"/>
    <w:rsid w:val="00763313"/>
    <w:rsid w:val="00764461"/>
    <w:rsid w:val="007723F3"/>
    <w:rsid w:val="00774E72"/>
    <w:rsid w:val="007750EC"/>
    <w:rsid w:val="0077574B"/>
    <w:rsid w:val="00776086"/>
    <w:rsid w:val="00781F15"/>
    <w:rsid w:val="007A5A02"/>
    <w:rsid w:val="007B08E7"/>
    <w:rsid w:val="007D25A0"/>
    <w:rsid w:val="007E4263"/>
    <w:rsid w:val="007E6083"/>
    <w:rsid w:val="007F0C14"/>
    <w:rsid w:val="007F13EA"/>
    <w:rsid w:val="007F2307"/>
    <w:rsid w:val="007F3355"/>
    <w:rsid w:val="007F43EE"/>
    <w:rsid w:val="00800AFA"/>
    <w:rsid w:val="008050E7"/>
    <w:rsid w:val="00810571"/>
    <w:rsid w:val="00814D49"/>
    <w:rsid w:val="00814F2A"/>
    <w:rsid w:val="00822685"/>
    <w:rsid w:val="0082276E"/>
    <w:rsid w:val="00823668"/>
    <w:rsid w:val="008238CF"/>
    <w:rsid w:val="008320C8"/>
    <w:rsid w:val="00833E29"/>
    <w:rsid w:val="00834E0C"/>
    <w:rsid w:val="008404D8"/>
    <w:rsid w:val="00840A35"/>
    <w:rsid w:val="00841608"/>
    <w:rsid w:val="00842349"/>
    <w:rsid w:val="00842BA8"/>
    <w:rsid w:val="008431AD"/>
    <w:rsid w:val="00843CD5"/>
    <w:rsid w:val="00846F26"/>
    <w:rsid w:val="008536DA"/>
    <w:rsid w:val="00854264"/>
    <w:rsid w:val="00854330"/>
    <w:rsid w:val="00863F1E"/>
    <w:rsid w:val="0086720C"/>
    <w:rsid w:val="00867618"/>
    <w:rsid w:val="00870A4C"/>
    <w:rsid w:val="00874B3F"/>
    <w:rsid w:val="008778C7"/>
    <w:rsid w:val="00880996"/>
    <w:rsid w:val="00886367"/>
    <w:rsid w:val="00887498"/>
    <w:rsid w:val="008921E9"/>
    <w:rsid w:val="00892638"/>
    <w:rsid w:val="008A3DB7"/>
    <w:rsid w:val="008A7584"/>
    <w:rsid w:val="008B1D58"/>
    <w:rsid w:val="008B6F0E"/>
    <w:rsid w:val="008C480B"/>
    <w:rsid w:val="008C4F4E"/>
    <w:rsid w:val="008C5FE3"/>
    <w:rsid w:val="008D558A"/>
    <w:rsid w:val="008E3885"/>
    <w:rsid w:val="008E41CE"/>
    <w:rsid w:val="008F1881"/>
    <w:rsid w:val="008F6B2D"/>
    <w:rsid w:val="008F76CA"/>
    <w:rsid w:val="00903FCA"/>
    <w:rsid w:val="00904745"/>
    <w:rsid w:val="00913254"/>
    <w:rsid w:val="0091465A"/>
    <w:rsid w:val="00914A46"/>
    <w:rsid w:val="00923EB2"/>
    <w:rsid w:val="00925ED1"/>
    <w:rsid w:val="00935B97"/>
    <w:rsid w:val="009421F0"/>
    <w:rsid w:val="00943319"/>
    <w:rsid w:val="00943698"/>
    <w:rsid w:val="009602BA"/>
    <w:rsid w:val="009604E4"/>
    <w:rsid w:val="00963BA2"/>
    <w:rsid w:val="009656A4"/>
    <w:rsid w:val="00966731"/>
    <w:rsid w:val="009730A6"/>
    <w:rsid w:val="0097483E"/>
    <w:rsid w:val="009749B5"/>
    <w:rsid w:val="009753D1"/>
    <w:rsid w:val="00975612"/>
    <w:rsid w:val="00976246"/>
    <w:rsid w:val="00980CDA"/>
    <w:rsid w:val="00982ADD"/>
    <w:rsid w:val="00983E59"/>
    <w:rsid w:val="00985486"/>
    <w:rsid w:val="00991192"/>
    <w:rsid w:val="00992A5B"/>
    <w:rsid w:val="009B0269"/>
    <w:rsid w:val="009B3B7A"/>
    <w:rsid w:val="009C0801"/>
    <w:rsid w:val="009C0A25"/>
    <w:rsid w:val="009C112E"/>
    <w:rsid w:val="009C3D0A"/>
    <w:rsid w:val="009C3EDF"/>
    <w:rsid w:val="009C7541"/>
    <w:rsid w:val="009D5794"/>
    <w:rsid w:val="009E1A7B"/>
    <w:rsid w:val="009E7223"/>
    <w:rsid w:val="009F7D04"/>
    <w:rsid w:val="00A0092F"/>
    <w:rsid w:val="00A00DF4"/>
    <w:rsid w:val="00A01E33"/>
    <w:rsid w:val="00A02644"/>
    <w:rsid w:val="00A05B15"/>
    <w:rsid w:val="00A0634F"/>
    <w:rsid w:val="00A07943"/>
    <w:rsid w:val="00A12F86"/>
    <w:rsid w:val="00A20906"/>
    <w:rsid w:val="00A21EC2"/>
    <w:rsid w:val="00A226D0"/>
    <w:rsid w:val="00A24D22"/>
    <w:rsid w:val="00A258F5"/>
    <w:rsid w:val="00A316CD"/>
    <w:rsid w:val="00A340FC"/>
    <w:rsid w:val="00A3612A"/>
    <w:rsid w:val="00A415B4"/>
    <w:rsid w:val="00A42FA1"/>
    <w:rsid w:val="00A459BC"/>
    <w:rsid w:val="00A4758A"/>
    <w:rsid w:val="00A5582A"/>
    <w:rsid w:val="00A6196C"/>
    <w:rsid w:val="00A64BDC"/>
    <w:rsid w:val="00A705AF"/>
    <w:rsid w:val="00A71E2C"/>
    <w:rsid w:val="00A74726"/>
    <w:rsid w:val="00A76A80"/>
    <w:rsid w:val="00A770B5"/>
    <w:rsid w:val="00A87361"/>
    <w:rsid w:val="00A879A1"/>
    <w:rsid w:val="00A879A3"/>
    <w:rsid w:val="00A87A83"/>
    <w:rsid w:val="00A909FA"/>
    <w:rsid w:val="00A9305E"/>
    <w:rsid w:val="00A952C4"/>
    <w:rsid w:val="00AA011C"/>
    <w:rsid w:val="00AA56D0"/>
    <w:rsid w:val="00AA7332"/>
    <w:rsid w:val="00AB3C01"/>
    <w:rsid w:val="00AB4C99"/>
    <w:rsid w:val="00AB792F"/>
    <w:rsid w:val="00AC233C"/>
    <w:rsid w:val="00AC364B"/>
    <w:rsid w:val="00AC3991"/>
    <w:rsid w:val="00AD09B3"/>
    <w:rsid w:val="00AD158F"/>
    <w:rsid w:val="00AD1AF8"/>
    <w:rsid w:val="00AD656B"/>
    <w:rsid w:val="00AD743B"/>
    <w:rsid w:val="00AE033D"/>
    <w:rsid w:val="00AE1AD0"/>
    <w:rsid w:val="00AF2A16"/>
    <w:rsid w:val="00B01965"/>
    <w:rsid w:val="00B03049"/>
    <w:rsid w:val="00B05549"/>
    <w:rsid w:val="00B0652F"/>
    <w:rsid w:val="00B12B90"/>
    <w:rsid w:val="00B13766"/>
    <w:rsid w:val="00B20B5E"/>
    <w:rsid w:val="00B275C3"/>
    <w:rsid w:val="00B2771F"/>
    <w:rsid w:val="00B341DB"/>
    <w:rsid w:val="00B4210B"/>
    <w:rsid w:val="00B5210F"/>
    <w:rsid w:val="00B52CD8"/>
    <w:rsid w:val="00B53A12"/>
    <w:rsid w:val="00B6005C"/>
    <w:rsid w:val="00B62608"/>
    <w:rsid w:val="00B658B3"/>
    <w:rsid w:val="00B67D00"/>
    <w:rsid w:val="00B71802"/>
    <w:rsid w:val="00B743E9"/>
    <w:rsid w:val="00B76E77"/>
    <w:rsid w:val="00B80A8E"/>
    <w:rsid w:val="00B82B2F"/>
    <w:rsid w:val="00B83252"/>
    <w:rsid w:val="00B847DF"/>
    <w:rsid w:val="00B903DE"/>
    <w:rsid w:val="00B94AFB"/>
    <w:rsid w:val="00B94D22"/>
    <w:rsid w:val="00B9765C"/>
    <w:rsid w:val="00B97EA1"/>
    <w:rsid w:val="00BA20BF"/>
    <w:rsid w:val="00BA3C0F"/>
    <w:rsid w:val="00BA697B"/>
    <w:rsid w:val="00BA6EC5"/>
    <w:rsid w:val="00BB651B"/>
    <w:rsid w:val="00BC0AB3"/>
    <w:rsid w:val="00BC1458"/>
    <w:rsid w:val="00BC3813"/>
    <w:rsid w:val="00BC45BB"/>
    <w:rsid w:val="00BC6065"/>
    <w:rsid w:val="00BC65D5"/>
    <w:rsid w:val="00BD1A74"/>
    <w:rsid w:val="00BD7243"/>
    <w:rsid w:val="00BD7A19"/>
    <w:rsid w:val="00BD7B19"/>
    <w:rsid w:val="00BE1A1C"/>
    <w:rsid w:val="00BE2564"/>
    <w:rsid w:val="00BE4A87"/>
    <w:rsid w:val="00BE6EF3"/>
    <w:rsid w:val="00BE7265"/>
    <w:rsid w:val="00BE73D2"/>
    <w:rsid w:val="00BF0B99"/>
    <w:rsid w:val="00BF1830"/>
    <w:rsid w:val="00BF2975"/>
    <w:rsid w:val="00BF3C54"/>
    <w:rsid w:val="00C05FB8"/>
    <w:rsid w:val="00C1043F"/>
    <w:rsid w:val="00C110C1"/>
    <w:rsid w:val="00C12E39"/>
    <w:rsid w:val="00C21507"/>
    <w:rsid w:val="00C31476"/>
    <w:rsid w:val="00C31E34"/>
    <w:rsid w:val="00C32BC6"/>
    <w:rsid w:val="00C32DBD"/>
    <w:rsid w:val="00C350FF"/>
    <w:rsid w:val="00C41640"/>
    <w:rsid w:val="00C42309"/>
    <w:rsid w:val="00C46D97"/>
    <w:rsid w:val="00C46DB7"/>
    <w:rsid w:val="00C50E0F"/>
    <w:rsid w:val="00C54531"/>
    <w:rsid w:val="00C5545C"/>
    <w:rsid w:val="00C60B0E"/>
    <w:rsid w:val="00C628A6"/>
    <w:rsid w:val="00C65916"/>
    <w:rsid w:val="00C671A4"/>
    <w:rsid w:val="00C672A6"/>
    <w:rsid w:val="00C67C2E"/>
    <w:rsid w:val="00C71D5A"/>
    <w:rsid w:val="00C74081"/>
    <w:rsid w:val="00C7463B"/>
    <w:rsid w:val="00C75549"/>
    <w:rsid w:val="00C76326"/>
    <w:rsid w:val="00C76CED"/>
    <w:rsid w:val="00C83065"/>
    <w:rsid w:val="00C8375A"/>
    <w:rsid w:val="00C838F3"/>
    <w:rsid w:val="00C8615E"/>
    <w:rsid w:val="00C93483"/>
    <w:rsid w:val="00CA27F2"/>
    <w:rsid w:val="00CB32EA"/>
    <w:rsid w:val="00CB6727"/>
    <w:rsid w:val="00CB6DFA"/>
    <w:rsid w:val="00CB70D4"/>
    <w:rsid w:val="00CC523E"/>
    <w:rsid w:val="00CC7E1E"/>
    <w:rsid w:val="00CE6980"/>
    <w:rsid w:val="00CE6A50"/>
    <w:rsid w:val="00CE6FD9"/>
    <w:rsid w:val="00CF2671"/>
    <w:rsid w:val="00D01F76"/>
    <w:rsid w:val="00D022CC"/>
    <w:rsid w:val="00D03C02"/>
    <w:rsid w:val="00D05B36"/>
    <w:rsid w:val="00D0788B"/>
    <w:rsid w:val="00D111A2"/>
    <w:rsid w:val="00D16F54"/>
    <w:rsid w:val="00D22203"/>
    <w:rsid w:val="00D2740E"/>
    <w:rsid w:val="00D3557B"/>
    <w:rsid w:val="00D40832"/>
    <w:rsid w:val="00D47351"/>
    <w:rsid w:val="00D51544"/>
    <w:rsid w:val="00D527B5"/>
    <w:rsid w:val="00D528F5"/>
    <w:rsid w:val="00D558E9"/>
    <w:rsid w:val="00D57E7F"/>
    <w:rsid w:val="00D618B9"/>
    <w:rsid w:val="00D62EDE"/>
    <w:rsid w:val="00D63818"/>
    <w:rsid w:val="00D63C79"/>
    <w:rsid w:val="00D651F6"/>
    <w:rsid w:val="00D66C6C"/>
    <w:rsid w:val="00D67E13"/>
    <w:rsid w:val="00D72844"/>
    <w:rsid w:val="00D72EB5"/>
    <w:rsid w:val="00D75CE5"/>
    <w:rsid w:val="00D85227"/>
    <w:rsid w:val="00D90EBA"/>
    <w:rsid w:val="00D91045"/>
    <w:rsid w:val="00D938D6"/>
    <w:rsid w:val="00DA11EB"/>
    <w:rsid w:val="00DA2F21"/>
    <w:rsid w:val="00DA3584"/>
    <w:rsid w:val="00DA6ECE"/>
    <w:rsid w:val="00DB0B43"/>
    <w:rsid w:val="00DB35BF"/>
    <w:rsid w:val="00DB408A"/>
    <w:rsid w:val="00DC284A"/>
    <w:rsid w:val="00DC379A"/>
    <w:rsid w:val="00DC426E"/>
    <w:rsid w:val="00DC5A11"/>
    <w:rsid w:val="00DC6DF4"/>
    <w:rsid w:val="00DC7F29"/>
    <w:rsid w:val="00DD1E82"/>
    <w:rsid w:val="00DD61F4"/>
    <w:rsid w:val="00DD70A0"/>
    <w:rsid w:val="00DE4408"/>
    <w:rsid w:val="00DE520A"/>
    <w:rsid w:val="00DF009A"/>
    <w:rsid w:val="00DF1A59"/>
    <w:rsid w:val="00DF42BE"/>
    <w:rsid w:val="00DF61C4"/>
    <w:rsid w:val="00DF6A7A"/>
    <w:rsid w:val="00E02920"/>
    <w:rsid w:val="00E02FB6"/>
    <w:rsid w:val="00E0349A"/>
    <w:rsid w:val="00E04259"/>
    <w:rsid w:val="00E04E7D"/>
    <w:rsid w:val="00E16413"/>
    <w:rsid w:val="00E172E4"/>
    <w:rsid w:val="00E175DC"/>
    <w:rsid w:val="00E2128A"/>
    <w:rsid w:val="00E24F58"/>
    <w:rsid w:val="00E2534C"/>
    <w:rsid w:val="00E259B4"/>
    <w:rsid w:val="00E31365"/>
    <w:rsid w:val="00E35659"/>
    <w:rsid w:val="00E35E77"/>
    <w:rsid w:val="00E370CF"/>
    <w:rsid w:val="00E40417"/>
    <w:rsid w:val="00E511BF"/>
    <w:rsid w:val="00E515E5"/>
    <w:rsid w:val="00E53789"/>
    <w:rsid w:val="00E53D76"/>
    <w:rsid w:val="00E54B9D"/>
    <w:rsid w:val="00E56202"/>
    <w:rsid w:val="00E5636B"/>
    <w:rsid w:val="00E565CC"/>
    <w:rsid w:val="00E84BE2"/>
    <w:rsid w:val="00E85CB8"/>
    <w:rsid w:val="00E90D90"/>
    <w:rsid w:val="00E91352"/>
    <w:rsid w:val="00E92871"/>
    <w:rsid w:val="00E954BD"/>
    <w:rsid w:val="00E96A90"/>
    <w:rsid w:val="00E9708E"/>
    <w:rsid w:val="00EA2174"/>
    <w:rsid w:val="00EA2A1F"/>
    <w:rsid w:val="00EA575F"/>
    <w:rsid w:val="00EB0E8F"/>
    <w:rsid w:val="00EB0FF1"/>
    <w:rsid w:val="00EB2723"/>
    <w:rsid w:val="00EB3181"/>
    <w:rsid w:val="00EB49D4"/>
    <w:rsid w:val="00EB58D9"/>
    <w:rsid w:val="00EC7B75"/>
    <w:rsid w:val="00ED0DFE"/>
    <w:rsid w:val="00ED116A"/>
    <w:rsid w:val="00ED2841"/>
    <w:rsid w:val="00ED70D2"/>
    <w:rsid w:val="00EE0BA3"/>
    <w:rsid w:val="00EE621B"/>
    <w:rsid w:val="00EF086C"/>
    <w:rsid w:val="00EF2D73"/>
    <w:rsid w:val="00EF56E5"/>
    <w:rsid w:val="00EF65E0"/>
    <w:rsid w:val="00EF6A4C"/>
    <w:rsid w:val="00F053CB"/>
    <w:rsid w:val="00F0613C"/>
    <w:rsid w:val="00F0743D"/>
    <w:rsid w:val="00F164BC"/>
    <w:rsid w:val="00F177B2"/>
    <w:rsid w:val="00F17DBF"/>
    <w:rsid w:val="00F24178"/>
    <w:rsid w:val="00F2499C"/>
    <w:rsid w:val="00F25BC2"/>
    <w:rsid w:val="00F30AE6"/>
    <w:rsid w:val="00F31EC7"/>
    <w:rsid w:val="00F32942"/>
    <w:rsid w:val="00F36024"/>
    <w:rsid w:val="00F45147"/>
    <w:rsid w:val="00F47772"/>
    <w:rsid w:val="00F50F60"/>
    <w:rsid w:val="00F51D9C"/>
    <w:rsid w:val="00F528A9"/>
    <w:rsid w:val="00F6603F"/>
    <w:rsid w:val="00F72D57"/>
    <w:rsid w:val="00F746E4"/>
    <w:rsid w:val="00F74A9E"/>
    <w:rsid w:val="00F81377"/>
    <w:rsid w:val="00F81527"/>
    <w:rsid w:val="00F81D9F"/>
    <w:rsid w:val="00F81F85"/>
    <w:rsid w:val="00F9141D"/>
    <w:rsid w:val="00F93D2E"/>
    <w:rsid w:val="00F94EF4"/>
    <w:rsid w:val="00FA06CC"/>
    <w:rsid w:val="00FA5448"/>
    <w:rsid w:val="00FA5DC6"/>
    <w:rsid w:val="00FA7971"/>
    <w:rsid w:val="00FB7BFD"/>
    <w:rsid w:val="00FC511F"/>
    <w:rsid w:val="00FC5BED"/>
    <w:rsid w:val="00FC6252"/>
    <w:rsid w:val="00FC75F5"/>
    <w:rsid w:val="00FD16CF"/>
    <w:rsid w:val="00FD2372"/>
    <w:rsid w:val="00FD5AD1"/>
    <w:rsid w:val="00FE0DD2"/>
    <w:rsid w:val="00FE33E3"/>
    <w:rsid w:val="00FF1636"/>
    <w:rsid w:val="00FF2CB2"/>
    <w:rsid w:val="00FF2F4F"/>
    <w:rsid w:val="00FF40CC"/>
    <w:rsid w:val="00FF4D0D"/>
    <w:rsid w:val="00FF5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0E5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7D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766"/>
    <w:pPr>
      <w:ind w:left="720"/>
      <w:contextualSpacing/>
    </w:pPr>
  </w:style>
  <w:style w:type="paragraph" w:styleId="BalloonText">
    <w:name w:val="Balloon Text"/>
    <w:basedOn w:val="Normal"/>
    <w:link w:val="BalloonTextChar"/>
    <w:uiPriority w:val="99"/>
    <w:semiHidden/>
    <w:rsid w:val="006E473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E4739"/>
    <w:rPr>
      <w:rFonts w:ascii="Tahoma" w:hAnsi="Tahoma" w:cs="Tahoma"/>
      <w:sz w:val="16"/>
      <w:szCs w:val="16"/>
    </w:rPr>
  </w:style>
  <w:style w:type="paragraph" w:styleId="Header">
    <w:name w:val="header"/>
    <w:basedOn w:val="Normal"/>
    <w:link w:val="HeaderChar"/>
    <w:uiPriority w:val="99"/>
    <w:rsid w:val="0000701E"/>
    <w:pPr>
      <w:tabs>
        <w:tab w:val="center" w:pos="4680"/>
        <w:tab w:val="right" w:pos="9360"/>
      </w:tabs>
      <w:spacing w:after="0" w:line="240" w:lineRule="auto"/>
    </w:pPr>
  </w:style>
  <w:style w:type="character" w:customStyle="1" w:styleId="HeaderChar">
    <w:name w:val="Header Char"/>
    <w:link w:val="Header"/>
    <w:uiPriority w:val="99"/>
    <w:locked/>
    <w:rsid w:val="0000701E"/>
    <w:rPr>
      <w:rFonts w:cs="Times New Roman"/>
    </w:rPr>
  </w:style>
  <w:style w:type="paragraph" w:styleId="Footer">
    <w:name w:val="footer"/>
    <w:basedOn w:val="Normal"/>
    <w:link w:val="FooterChar"/>
    <w:uiPriority w:val="99"/>
    <w:rsid w:val="0000701E"/>
    <w:pPr>
      <w:tabs>
        <w:tab w:val="center" w:pos="4680"/>
        <w:tab w:val="right" w:pos="9360"/>
      </w:tabs>
      <w:spacing w:after="0" w:line="240" w:lineRule="auto"/>
    </w:pPr>
  </w:style>
  <w:style w:type="character" w:customStyle="1" w:styleId="FooterChar">
    <w:name w:val="Footer Char"/>
    <w:link w:val="Footer"/>
    <w:uiPriority w:val="99"/>
    <w:locked/>
    <w:rsid w:val="0000701E"/>
    <w:rPr>
      <w:rFonts w:cs="Times New Roman"/>
    </w:rPr>
  </w:style>
  <w:style w:type="paragraph" w:styleId="EndnoteText">
    <w:name w:val="endnote text"/>
    <w:basedOn w:val="Normal"/>
    <w:link w:val="EndnoteTextChar"/>
    <w:uiPriority w:val="99"/>
    <w:semiHidden/>
    <w:rsid w:val="00764461"/>
    <w:pPr>
      <w:spacing w:after="0" w:line="240" w:lineRule="auto"/>
    </w:pPr>
    <w:rPr>
      <w:sz w:val="20"/>
      <w:szCs w:val="20"/>
    </w:rPr>
  </w:style>
  <w:style w:type="character" w:customStyle="1" w:styleId="EndnoteTextChar">
    <w:name w:val="Endnote Text Char"/>
    <w:link w:val="EndnoteText"/>
    <w:uiPriority w:val="99"/>
    <w:semiHidden/>
    <w:locked/>
    <w:rsid w:val="00764461"/>
    <w:rPr>
      <w:rFonts w:cs="Times New Roman"/>
      <w:sz w:val="20"/>
      <w:szCs w:val="20"/>
    </w:rPr>
  </w:style>
  <w:style w:type="character" w:styleId="EndnoteReference">
    <w:name w:val="endnote reference"/>
    <w:uiPriority w:val="99"/>
    <w:semiHidden/>
    <w:rsid w:val="00764461"/>
    <w:rPr>
      <w:rFonts w:cs="Times New Roman"/>
      <w:vertAlign w:val="superscript"/>
    </w:rPr>
  </w:style>
  <w:style w:type="paragraph" w:styleId="FootnoteText">
    <w:name w:val="footnote text"/>
    <w:basedOn w:val="Normal"/>
    <w:link w:val="FootnoteTextChar"/>
    <w:uiPriority w:val="99"/>
    <w:semiHidden/>
    <w:rsid w:val="00764461"/>
    <w:pPr>
      <w:spacing w:after="0" w:line="240" w:lineRule="auto"/>
    </w:pPr>
    <w:rPr>
      <w:sz w:val="20"/>
      <w:szCs w:val="20"/>
    </w:rPr>
  </w:style>
  <w:style w:type="character" w:customStyle="1" w:styleId="FootnoteTextChar">
    <w:name w:val="Footnote Text Char"/>
    <w:link w:val="FootnoteText"/>
    <w:uiPriority w:val="99"/>
    <w:semiHidden/>
    <w:locked/>
    <w:rsid w:val="00764461"/>
    <w:rPr>
      <w:rFonts w:cs="Times New Roman"/>
      <w:sz w:val="20"/>
      <w:szCs w:val="20"/>
    </w:rPr>
  </w:style>
  <w:style w:type="character" w:styleId="FootnoteReference">
    <w:name w:val="footnote reference"/>
    <w:uiPriority w:val="99"/>
    <w:semiHidden/>
    <w:rsid w:val="00764461"/>
    <w:rPr>
      <w:rFonts w:cs="Times New Roman"/>
      <w:vertAlign w:val="superscript"/>
    </w:rPr>
  </w:style>
  <w:style w:type="table" w:styleId="TableGrid">
    <w:name w:val="Table Grid"/>
    <w:basedOn w:val="TableNormal"/>
    <w:uiPriority w:val="99"/>
    <w:rsid w:val="007757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3450E7"/>
    <w:rPr>
      <w:rFonts w:cs="Times New Roman"/>
      <w:color w:val="0000FF"/>
      <w:u w:val="single"/>
    </w:rPr>
  </w:style>
  <w:style w:type="character" w:styleId="CommentReference">
    <w:name w:val="annotation reference"/>
    <w:uiPriority w:val="99"/>
    <w:semiHidden/>
    <w:rsid w:val="00863F1E"/>
    <w:rPr>
      <w:rFonts w:cs="Times New Roman"/>
      <w:sz w:val="16"/>
      <w:szCs w:val="16"/>
    </w:rPr>
  </w:style>
  <w:style w:type="paragraph" w:styleId="CommentText">
    <w:name w:val="annotation text"/>
    <w:basedOn w:val="Normal"/>
    <w:link w:val="CommentTextChar"/>
    <w:uiPriority w:val="99"/>
    <w:semiHidden/>
    <w:rsid w:val="00863F1E"/>
    <w:pPr>
      <w:spacing w:line="240" w:lineRule="auto"/>
    </w:pPr>
    <w:rPr>
      <w:sz w:val="20"/>
      <w:szCs w:val="20"/>
    </w:rPr>
  </w:style>
  <w:style w:type="character" w:customStyle="1" w:styleId="CommentTextChar">
    <w:name w:val="Comment Text Char"/>
    <w:link w:val="CommentText"/>
    <w:uiPriority w:val="99"/>
    <w:semiHidden/>
    <w:locked/>
    <w:rsid w:val="00863F1E"/>
    <w:rPr>
      <w:rFonts w:cs="Times New Roman"/>
      <w:sz w:val="20"/>
      <w:szCs w:val="20"/>
    </w:rPr>
  </w:style>
  <w:style w:type="paragraph" w:styleId="CommentSubject">
    <w:name w:val="annotation subject"/>
    <w:basedOn w:val="CommentText"/>
    <w:next w:val="CommentText"/>
    <w:link w:val="CommentSubjectChar"/>
    <w:uiPriority w:val="99"/>
    <w:semiHidden/>
    <w:rsid w:val="00863F1E"/>
    <w:rPr>
      <w:b/>
      <w:bCs/>
    </w:rPr>
  </w:style>
  <w:style w:type="character" w:customStyle="1" w:styleId="CommentSubjectChar">
    <w:name w:val="Comment Subject Char"/>
    <w:link w:val="CommentSubject"/>
    <w:uiPriority w:val="99"/>
    <w:semiHidden/>
    <w:locked/>
    <w:rsid w:val="00863F1E"/>
    <w:rPr>
      <w:rFonts w:cs="Times New Roman"/>
      <w:b/>
      <w:bCs/>
      <w:sz w:val="20"/>
      <w:szCs w:val="20"/>
    </w:rPr>
  </w:style>
  <w:style w:type="paragraph" w:styleId="Revision">
    <w:name w:val="Revision"/>
    <w:hidden/>
    <w:uiPriority w:val="99"/>
    <w:semiHidden/>
    <w:rsid w:val="00A01E33"/>
    <w:rPr>
      <w:sz w:val="22"/>
      <w:szCs w:val="22"/>
    </w:rPr>
  </w:style>
  <w:style w:type="paragraph" w:styleId="BodyText">
    <w:name w:val="Body Text"/>
    <w:basedOn w:val="Normal"/>
    <w:link w:val="BodyTextChar"/>
    <w:rsid w:val="00F72D57"/>
    <w:pPr>
      <w:widowControl w:val="0"/>
      <w:spacing w:after="0" w:line="240" w:lineRule="auto"/>
    </w:pPr>
    <w:rPr>
      <w:rFonts w:ascii="Arial" w:hAnsi="Arial"/>
      <w:sz w:val="20"/>
      <w:szCs w:val="20"/>
    </w:rPr>
  </w:style>
  <w:style w:type="character" w:customStyle="1" w:styleId="BodyTextChar">
    <w:name w:val="Body Text Char"/>
    <w:link w:val="BodyText"/>
    <w:rsid w:val="00F72D57"/>
    <w:rPr>
      <w:rFonts w:ascii="Arial" w:hAnsi="Arial"/>
      <w:sz w:val="20"/>
      <w:szCs w:val="20"/>
    </w:rPr>
  </w:style>
  <w:style w:type="paragraph" w:styleId="NormalWeb">
    <w:name w:val="Normal (Web)"/>
    <w:basedOn w:val="Normal"/>
    <w:uiPriority w:val="99"/>
    <w:unhideWhenUsed/>
    <w:rsid w:val="00BE7265"/>
    <w:pPr>
      <w:spacing w:before="100" w:beforeAutospacing="1" w:after="100" w:afterAutospacing="1" w:line="240" w:lineRule="auto"/>
    </w:pPr>
    <w:rPr>
      <w:rFonts w:ascii="Times New Roman" w:eastAsia="Calibri" w:hAnsi="Times New Roman"/>
      <w:sz w:val="24"/>
      <w:szCs w:val="24"/>
    </w:rPr>
  </w:style>
  <w:style w:type="character" w:styleId="FollowedHyperlink">
    <w:name w:val="FollowedHyperlink"/>
    <w:basedOn w:val="DefaultParagraphFont"/>
    <w:uiPriority w:val="99"/>
    <w:semiHidden/>
    <w:unhideWhenUsed/>
    <w:rsid w:val="00DC379A"/>
    <w:rPr>
      <w:color w:val="800080" w:themeColor="followedHyperlink"/>
      <w:u w:val="single"/>
    </w:rPr>
  </w:style>
  <w:style w:type="paragraph" w:styleId="Caption">
    <w:name w:val="caption"/>
    <w:basedOn w:val="Normal"/>
    <w:next w:val="Normal"/>
    <w:unhideWhenUsed/>
    <w:qFormat/>
    <w:locked/>
    <w:rsid w:val="00737F45"/>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7D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766"/>
    <w:pPr>
      <w:ind w:left="720"/>
      <w:contextualSpacing/>
    </w:pPr>
  </w:style>
  <w:style w:type="paragraph" w:styleId="BalloonText">
    <w:name w:val="Balloon Text"/>
    <w:basedOn w:val="Normal"/>
    <w:link w:val="BalloonTextChar"/>
    <w:uiPriority w:val="99"/>
    <w:semiHidden/>
    <w:rsid w:val="006E473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E4739"/>
    <w:rPr>
      <w:rFonts w:ascii="Tahoma" w:hAnsi="Tahoma" w:cs="Tahoma"/>
      <w:sz w:val="16"/>
      <w:szCs w:val="16"/>
    </w:rPr>
  </w:style>
  <w:style w:type="paragraph" w:styleId="Header">
    <w:name w:val="header"/>
    <w:basedOn w:val="Normal"/>
    <w:link w:val="HeaderChar"/>
    <w:uiPriority w:val="99"/>
    <w:rsid w:val="0000701E"/>
    <w:pPr>
      <w:tabs>
        <w:tab w:val="center" w:pos="4680"/>
        <w:tab w:val="right" w:pos="9360"/>
      </w:tabs>
      <w:spacing w:after="0" w:line="240" w:lineRule="auto"/>
    </w:pPr>
  </w:style>
  <w:style w:type="character" w:customStyle="1" w:styleId="HeaderChar">
    <w:name w:val="Header Char"/>
    <w:link w:val="Header"/>
    <w:uiPriority w:val="99"/>
    <w:locked/>
    <w:rsid w:val="0000701E"/>
    <w:rPr>
      <w:rFonts w:cs="Times New Roman"/>
    </w:rPr>
  </w:style>
  <w:style w:type="paragraph" w:styleId="Footer">
    <w:name w:val="footer"/>
    <w:basedOn w:val="Normal"/>
    <w:link w:val="FooterChar"/>
    <w:uiPriority w:val="99"/>
    <w:rsid w:val="0000701E"/>
    <w:pPr>
      <w:tabs>
        <w:tab w:val="center" w:pos="4680"/>
        <w:tab w:val="right" w:pos="9360"/>
      </w:tabs>
      <w:spacing w:after="0" w:line="240" w:lineRule="auto"/>
    </w:pPr>
  </w:style>
  <w:style w:type="character" w:customStyle="1" w:styleId="FooterChar">
    <w:name w:val="Footer Char"/>
    <w:link w:val="Footer"/>
    <w:uiPriority w:val="99"/>
    <w:locked/>
    <w:rsid w:val="0000701E"/>
    <w:rPr>
      <w:rFonts w:cs="Times New Roman"/>
    </w:rPr>
  </w:style>
  <w:style w:type="paragraph" w:styleId="EndnoteText">
    <w:name w:val="endnote text"/>
    <w:basedOn w:val="Normal"/>
    <w:link w:val="EndnoteTextChar"/>
    <w:uiPriority w:val="99"/>
    <w:semiHidden/>
    <w:rsid w:val="00764461"/>
    <w:pPr>
      <w:spacing w:after="0" w:line="240" w:lineRule="auto"/>
    </w:pPr>
    <w:rPr>
      <w:sz w:val="20"/>
      <w:szCs w:val="20"/>
    </w:rPr>
  </w:style>
  <w:style w:type="character" w:customStyle="1" w:styleId="EndnoteTextChar">
    <w:name w:val="Endnote Text Char"/>
    <w:link w:val="EndnoteText"/>
    <w:uiPriority w:val="99"/>
    <w:semiHidden/>
    <w:locked/>
    <w:rsid w:val="00764461"/>
    <w:rPr>
      <w:rFonts w:cs="Times New Roman"/>
      <w:sz w:val="20"/>
      <w:szCs w:val="20"/>
    </w:rPr>
  </w:style>
  <w:style w:type="character" w:styleId="EndnoteReference">
    <w:name w:val="endnote reference"/>
    <w:uiPriority w:val="99"/>
    <w:semiHidden/>
    <w:rsid w:val="00764461"/>
    <w:rPr>
      <w:rFonts w:cs="Times New Roman"/>
      <w:vertAlign w:val="superscript"/>
    </w:rPr>
  </w:style>
  <w:style w:type="paragraph" w:styleId="FootnoteText">
    <w:name w:val="footnote text"/>
    <w:basedOn w:val="Normal"/>
    <w:link w:val="FootnoteTextChar"/>
    <w:uiPriority w:val="99"/>
    <w:semiHidden/>
    <w:rsid w:val="00764461"/>
    <w:pPr>
      <w:spacing w:after="0" w:line="240" w:lineRule="auto"/>
    </w:pPr>
    <w:rPr>
      <w:sz w:val="20"/>
      <w:szCs w:val="20"/>
    </w:rPr>
  </w:style>
  <w:style w:type="character" w:customStyle="1" w:styleId="FootnoteTextChar">
    <w:name w:val="Footnote Text Char"/>
    <w:link w:val="FootnoteText"/>
    <w:uiPriority w:val="99"/>
    <w:semiHidden/>
    <w:locked/>
    <w:rsid w:val="00764461"/>
    <w:rPr>
      <w:rFonts w:cs="Times New Roman"/>
      <w:sz w:val="20"/>
      <w:szCs w:val="20"/>
    </w:rPr>
  </w:style>
  <w:style w:type="character" w:styleId="FootnoteReference">
    <w:name w:val="footnote reference"/>
    <w:uiPriority w:val="99"/>
    <w:semiHidden/>
    <w:rsid w:val="00764461"/>
    <w:rPr>
      <w:rFonts w:cs="Times New Roman"/>
      <w:vertAlign w:val="superscript"/>
    </w:rPr>
  </w:style>
  <w:style w:type="table" w:styleId="TableGrid">
    <w:name w:val="Table Grid"/>
    <w:basedOn w:val="TableNormal"/>
    <w:uiPriority w:val="99"/>
    <w:rsid w:val="007757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3450E7"/>
    <w:rPr>
      <w:rFonts w:cs="Times New Roman"/>
      <w:color w:val="0000FF"/>
      <w:u w:val="single"/>
    </w:rPr>
  </w:style>
  <w:style w:type="character" w:styleId="CommentReference">
    <w:name w:val="annotation reference"/>
    <w:uiPriority w:val="99"/>
    <w:semiHidden/>
    <w:rsid w:val="00863F1E"/>
    <w:rPr>
      <w:rFonts w:cs="Times New Roman"/>
      <w:sz w:val="16"/>
      <w:szCs w:val="16"/>
    </w:rPr>
  </w:style>
  <w:style w:type="paragraph" w:styleId="CommentText">
    <w:name w:val="annotation text"/>
    <w:basedOn w:val="Normal"/>
    <w:link w:val="CommentTextChar"/>
    <w:uiPriority w:val="99"/>
    <w:semiHidden/>
    <w:rsid w:val="00863F1E"/>
    <w:pPr>
      <w:spacing w:line="240" w:lineRule="auto"/>
    </w:pPr>
    <w:rPr>
      <w:sz w:val="20"/>
      <w:szCs w:val="20"/>
    </w:rPr>
  </w:style>
  <w:style w:type="character" w:customStyle="1" w:styleId="CommentTextChar">
    <w:name w:val="Comment Text Char"/>
    <w:link w:val="CommentText"/>
    <w:uiPriority w:val="99"/>
    <w:semiHidden/>
    <w:locked/>
    <w:rsid w:val="00863F1E"/>
    <w:rPr>
      <w:rFonts w:cs="Times New Roman"/>
      <w:sz w:val="20"/>
      <w:szCs w:val="20"/>
    </w:rPr>
  </w:style>
  <w:style w:type="paragraph" w:styleId="CommentSubject">
    <w:name w:val="annotation subject"/>
    <w:basedOn w:val="CommentText"/>
    <w:next w:val="CommentText"/>
    <w:link w:val="CommentSubjectChar"/>
    <w:uiPriority w:val="99"/>
    <w:semiHidden/>
    <w:rsid w:val="00863F1E"/>
    <w:rPr>
      <w:b/>
      <w:bCs/>
    </w:rPr>
  </w:style>
  <w:style w:type="character" w:customStyle="1" w:styleId="CommentSubjectChar">
    <w:name w:val="Comment Subject Char"/>
    <w:link w:val="CommentSubject"/>
    <w:uiPriority w:val="99"/>
    <w:semiHidden/>
    <w:locked/>
    <w:rsid w:val="00863F1E"/>
    <w:rPr>
      <w:rFonts w:cs="Times New Roman"/>
      <w:b/>
      <w:bCs/>
      <w:sz w:val="20"/>
      <w:szCs w:val="20"/>
    </w:rPr>
  </w:style>
  <w:style w:type="paragraph" w:styleId="Revision">
    <w:name w:val="Revision"/>
    <w:hidden/>
    <w:uiPriority w:val="99"/>
    <w:semiHidden/>
    <w:rsid w:val="00A01E33"/>
    <w:rPr>
      <w:sz w:val="22"/>
      <w:szCs w:val="22"/>
    </w:rPr>
  </w:style>
  <w:style w:type="paragraph" w:styleId="BodyText">
    <w:name w:val="Body Text"/>
    <w:basedOn w:val="Normal"/>
    <w:link w:val="BodyTextChar"/>
    <w:rsid w:val="00F72D57"/>
    <w:pPr>
      <w:widowControl w:val="0"/>
      <w:spacing w:after="0" w:line="240" w:lineRule="auto"/>
    </w:pPr>
    <w:rPr>
      <w:rFonts w:ascii="Arial" w:hAnsi="Arial"/>
      <w:sz w:val="20"/>
      <w:szCs w:val="20"/>
    </w:rPr>
  </w:style>
  <w:style w:type="character" w:customStyle="1" w:styleId="BodyTextChar">
    <w:name w:val="Body Text Char"/>
    <w:link w:val="BodyText"/>
    <w:rsid w:val="00F72D57"/>
    <w:rPr>
      <w:rFonts w:ascii="Arial" w:hAnsi="Arial"/>
      <w:sz w:val="20"/>
      <w:szCs w:val="20"/>
    </w:rPr>
  </w:style>
  <w:style w:type="paragraph" w:styleId="NormalWeb">
    <w:name w:val="Normal (Web)"/>
    <w:basedOn w:val="Normal"/>
    <w:uiPriority w:val="99"/>
    <w:unhideWhenUsed/>
    <w:rsid w:val="00BE7265"/>
    <w:pPr>
      <w:spacing w:before="100" w:beforeAutospacing="1" w:after="100" w:afterAutospacing="1" w:line="240" w:lineRule="auto"/>
    </w:pPr>
    <w:rPr>
      <w:rFonts w:ascii="Times New Roman" w:eastAsia="Calibri" w:hAnsi="Times New Roman"/>
      <w:sz w:val="24"/>
      <w:szCs w:val="24"/>
    </w:rPr>
  </w:style>
  <w:style w:type="character" w:styleId="FollowedHyperlink">
    <w:name w:val="FollowedHyperlink"/>
    <w:basedOn w:val="DefaultParagraphFont"/>
    <w:uiPriority w:val="99"/>
    <w:semiHidden/>
    <w:unhideWhenUsed/>
    <w:rsid w:val="00DC379A"/>
    <w:rPr>
      <w:color w:val="800080" w:themeColor="followedHyperlink"/>
      <w:u w:val="single"/>
    </w:rPr>
  </w:style>
  <w:style w:type="paragraph" w:styleId="Caption">
    <w:name w:val="caption"/>
    <w:basedOn w:val="Normal"/>
    <w:next w:val="Normal"/>
    <w:unhideWhenUsed/>
    <w:qFormat/>
    <w:locked/>
    <w:rsid w:val="00737F45"/>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24474">
      <w:bodyDiv w:val="1"/>
      <w:marLeft w:val="0"/>
      <w:marRight w:val="0"/>
      <w:marTop w:val="0"/>
      <w:marBottom w:val="0"/>
      <w:divBdr>
        <w:top w:val="none" w:sz="0" w:space="0" w:color="auto"/>
        <w:left w:val="none" w:sz="0" w:space="0" w:color="auto"/>
        <w:bottom w:val="none" w:sz="0" w:space="0" w:color="auto"/>
        <w:right w:val="none" w:sz="0" w:space="0" w:color="auto"/>
      </w:divBdr>
    </w:div>
    <w:div w:id="98834613">
      <w:bodyDiv w:val="1"/>
      <w:marLeft w:val="0"/>
      <w:marRight w:val="0"/>
      <w:marTop w:val="0"/>
      <w:marBottom w:val="0"/>
      <w:divBdr>
        <w:top w:val="none" w:sz="0" w:space="0" w:color="auto"/>
        <w:left w:val="none" w:sz="0" w:space="0" w:color="auto"/>
        <w:bottom w:val="none" w:sz="0" w:space="0" w:color="auto"/>
        <w:right w:val="none" w:sz="0" w:space="0" w:color="auto"/>
      </w:divBdr>
    </w:div>
    <w:div w:id="107355114">
      <w:bodyDiv w:val="1"/>
      <w:marLeft w:val="0"/>
      <w:marRight w:val="0"/>
      <w:marTop w:val="0"/>
      <w:marBottom w:val="0"/>
      <w:divBdr>
        <w:top w:val="none" w:sz="0" w:space="0" w:color="auto"/>
        <w:left w:val="none" w:sz="0" w:space="0" w:color="auto"/>
        <w:bottom w:val="none" w:sz="0" w:space="0" w:color="auto"/>
        <w:right w:val="none" w:sz="0" w:space="0" w:color="auto"/>
      </w:divBdr>
    </w:div>
    <w:div w:id="302126969">
      <w:bodyDiv w:val="1"/>
      <w:marLeft w:val="0"/>
      <w:marRight w:val="0"/>
      <w:marTop w:val="0"/>
      <w:marBottom w:val="0"/>
      <w:divBdr>
        <w:top w:val="none" w:sz="0" w:space="0" w:color="auto"/>
        <w:left w:val="none" w:sz="0" w:space="0" w:color="auto"/>
        <w:bottom w:val="none" w:sz="0" w:space="0" w:color="auto"/>
        <w:right w:val="none" w:sz="0" w:space="0" w:color="auto"/>
      </w:divBdr>
    </w:div>
    <w:div w:id="340738806">
      <w:bodyDiv w:val="1"/>
      <w:marLeft w:val="0"/>
      <w:marRight w:val="0"/>
      <w:marTop w:val="0"/>
      <w:marBottom w:val="0"/>
      <w:divBdr>
        <w:top w:val="none" w:sz="0" w:space="0" w:color="auto"/>
        <w:left w:val="none" w:sz="0" w:space="0" w:color="auto"/>
        <w:bottom w:val="none" w:sz="0" w:space="0" w:color="auto"/>
        <w:right w:val="none" w:sz="0" w:space="0" w:color="auto"/>
      </w:divBdr>
    </w:div>
    <w:div w:id="354427957">
      <w:bodyDiv w:val="1"/>
      <w:marLeft w:val="0"/>
      <w:marRight w:val="0"/>
      <w:marTop w:val="0"/>
      <w:marBottom w:val="0"/>
      <w:divBdr>
        <w:top w:val="none" w:sz="0" w:space="0" w:color="auto"/>
        <w:left w:val="none" w:sz="0" w:space="0" w:color="auto"/>
        <w:bottom w:val="none" w:sz="0" w:space="0" w:color="auto"/>
        <w:right w:val="none" w:sz="0" w:space="0" w:color="auto"/>
      </w:divBdr>
    </w:div>
    <w:div w:id="387802781">
      <w:bodyDiv w:val="1"/>
      <w:marLeft w:val="0"/>
      <w:marRight w:val="0"/>
      <w:marTop w:val="0"/>
      <w:marBottom w:val="0"/>
      <w:divBdr>
        <w:top w:val="none" w:sz="0" w:space="0" w:color="auto"/>
        <w:left w:val="none" w:sz="0" w:space="0" w:color="auto"/>
        <w:bottom w:val="none" w:sz="0" w:space="0" w:color="auto"/>
        <w:right w:val="none" w:sz="0" w:space="0" w:color="auto"/>
      </w:divBdr>
    </w:div>
    <w:div w:id="431245136">
      <w:bodyDiv w:val="1"/>
      <w:marLeft w:val="0"/>
      <w:marRight w:val="0"/>
      <w:marTop w:val="0"/>
      <w:marBottom w:val="0"/>
      <w:divBdr>
        <w:top w:val="none" w:sz="0" w:space="0" w:color="auto"/>
        <w:left w:val="none" w:sz="0" w:space="0" w:color="auto"/>
        <w:bottom w:val="none" w:sz="0" w:space="0" w:color="auto"/>
        <w:right w:val="none" w:sz="0" w:space="0" w:color="auto"/>
      </w:divBdr>
    </w:div>
    <w:div w:id="440296637">
      <w:bodyDiv w:val="1"/>
      <w:marLeft w:val="0"/>
      <w:marRight w:val="0"/>
      <w:marTop w:val="0"/>
      <w:marBottom w:val="0"/>
      <w:divBdr>
        <w:top w:val="none" w:sz="0" w:space="0" w:color="auto"/>
        <w:left w:val="none" w:sz="0" w:space="0" w:color="auto"/>
        <w:bottom w:val="none" w:sz="0" w:space="0" w:color="auto"/>
        <w:right w:val="none" w:sz="0" w:space="0" w:color="auto"/>
      </w:divBdr>
    </w:div>
    <w:div w:id="490022234">
      <w:bodyDiv w:val="1"/>
      <w:marLeft w:val="0"/>
      <w:marRight w:val="0"/>
      <w:marTop w:val="0"/>
      <w:marBottom w:val="0"/>
      <w:divBdr>
        <w:top w:val="none" w:sz="0" w:space="0" w:color="auto"/>
        <w:left w:val="none" w:sz="0" w:space="0" w:color="auto"/>
        <w:bottom w:val="none" w:sz="0" w:space="0" w:color="auto"/>
        <w:right w:val="none" w:sz="0" w:space="0" w:color="auto"/>
      </w:divBdr>
    </w:div>
    <w:div w:id="544365905">
      <w:bodyDiv w:val="1"/>
      <w:marLeft w:val="0"/>
      <w:marRight w:val="0"/>
      <w:marTop w:val="0"/>
      <w:marBottom w:val="0"/>
      <w:divBdr>
        <w:top w:val="none" w:sz="0" w:space="0" w:color="auto"/>
        <w:left w:val="none" w:sz="0" w:space="0" w:color="auto"/>
        <w:bottom w:val="none" w:sz="0" w:space="0" w:color="auto"/>
        <w:right w:val="none" w:sz="0" w:space="0" w:color="auto"/>
      </w:divBdr>
    </w:div>
    <w:div w:id="574782764">
      <w:bodyDiv w:val="1"/>
      <w:marLeft w:val="0"/>
      <w:marRight w:val="0"/>
      <w:marTop w:val="0"/>
      <w:marBottom w:val="0"/>
      <w:divBdr>
        <w:top w:val="none" w:sz="0" w:space="0" w:color="auto"/>
        <w:left w:val="none" w:sz="0" w:space="0" w:color="auto"/>
        <w:bottom w:val="none" w:sz="0" w:space="0" w:color="auto"/>
        <w:right w:val="none" w:sz="0" w:space="0" w:color="auto"/>
      </w:divBdr>
    </w:div>
    <w:div w:id="579414661">
      <w:bodyDiv w:val="1"/>
      <w:marLeft w:val="0"/>
      <w:marRight w:val="0"/>
      <w:marTop w:val="0"/>
      <w:marBottom w:val="0"/>
      <w:divBdr>
        <w:top w:val="none" w:sz="0" w:space="0" w:color="auto"/>
        <w:left w:val="none" w:sz="0" w:space="0" w:color="auto"/>
        <w:bottom w:val="none" w:sz="0" w:space="0" w:color="auto"/>
        <w:right w:val="none" w:sz="0" w:space="0" w:color="auto"/>
      </w:divBdr>
    </w:div>
    <w:div w:id="590087101">
      <w:bodyDiv w:val="1"/>
      <w:marLeft w:val="0"/>
      <w:marRight w:val="0"/>
      <w:marTop w:val="0"/>
      <w:marBottom w:val="0"/>
      <w:divBdr>
        <w:top w:val="none" w:sz="0" w:space="0" w:color="auto"/>
        <w:left w:val="none" w:sz="0" w:space="0" w:color="auto"/>
        <w:bottom w:val="none" w:sz="0" w:space="0" w:color="auto"/>
        <w:right w:val="none" w:sz="0" w:space="0" w:color="auto"/>
      </w:divBdr>
    </w:div>
    <w:div w:id="712658469">
      <w:bodyDiv w:val="1"/>
      <w:marLeft w:val="0"/>
      <w:marRight w:val="0"/>
      <w:marTop w:val="0"/>
      <w:marBottom w:val="0"/>
      <w:divBdr>
        <w:top w:val="none" w:sz="0" w:space="0" w:color="auto"/>
        <w:left w:val="none" w:sz="0" w:space="0" w:color="auto"/>
        <w:bottom w:val="none" w:sz="0" w:space="0" w:color="auto"/>
        <w:right w:val="none" w:sz="0" w:space="0" w:color="auto"/>
      </w:divBdr>
    </w:div>
    <w:div w:id="769396060">
      <w:bodyDiv w:val="1"/>
      <w:marLeft w:val="0"/>
      <w:marRight w:val="0"/>
      <w:marTop w:val="0"/>
      <w:marBottom w:val="0"/>
      <w:divBdr>
        <w:top w:val="none" w:sz="0" w:space="0" w:color="auto"/>
        <w:left w:val="none" w:sz="0" w:space="0" w:color="auto"/>
        <w:bottom w:val="none" w:sz="0" w:space="0" w:color="auto"/>
        <w:right w:val="none" w:sz="0" w:space="0" w:color="auto"/>
      </w:divBdr>
    </w:div>
    <w:div w:id="831675459">
      <w:bodyDiv w:val="1"/>
      <w:marLeft w:val="0"/>
      <w:marRight w:val="0"/>
      <w:marTop w:val="0"/>
      <w:marBottom w:val="0"/>
      <w:divBdr>
        <w:top w:val="none" w:sz="0" w:space="0" w:color="auto"/>
        <w:left w:val="none" w:sz="0" w:space="0" w:color="auto"/>
        <w:bottom w:val="none" w:sz="0" w:space="0" w:color="auto"/>
        <w:right w:val="none" w:sz="0" w:space="0" w:color="auto"/>
      </w:divBdr>
    </w:div>
    <w:div w:id="880167954">
      <w:bodyDiv w:val="1"/>
      <w:marLeft w:val="0"/>
      <w:marRight w:val="0"/>
      <w:marTop w:val="0"/>
      <w:marBottom w:val="0"/>
      <w:divBdr>
        <w:top w:val="none" w:sz="0" w:space="0" w:color="auto"/>
        <w:left w:val="none" w:sz="0" w:space="0" w:color="auto"/>
        <w:bottom w:val="none" w:sz="0" w:space="0" w:color="auto"/>
        <w:right w:val="none" w:sz="0" w:space="0" w:color="auto"/>
      </w:divBdr>
    </w:div>
    <w:div w:id="926692414">
      <w:bodyDiv w:val="1"/>
      <w:marLeft w:val="0"/>
      <w:marRight w:val="0"/>
      <w:marTop w:val="0"/>
      <w:marBottom w:val="0"/>
      <w:divBdr>
        <w:top w:val="none" w:sz="0" w:space="0" w:color="auto"/>
        <w:left w:val="none" w:sz="0" w:space="0" w:color="auto"/>
        <w:bottom w:val="none" w:sz="0" w:space="0" w:color="auto"/>
        <w:right w:val="none" w:sz="0" w:space="0" w:color="auto"/>
      </w:divBdr>
    </w:div>
    <w:div w:id="1019311857">
      <w:bodyDiv w:val="1"/>
      <w:marLeft w:val="0"/>
      <w:marRight w:val="0"/>
      <w:marTop w:val="0"/>
      <w:marBottom w:val="0"/>
      <w:divBdr>
        <w:top w:val="none" w:sz="0" w:space="0" w:color="auto"/>
        <w:left w:val="none" w:sz="0" w:space="0" w:color="auto"/>
        <w:bottom w:val="none" w:sz="0" w:space="0" w:color="auto"/>
        <w:right w:val="none" w:sz="0" w:space="0" w:color="auto"/>
      </w:divBdr>
    </w:div>
    <w:div w:id="1288505151">
      <w:bodyDiv w:val="1"/>
      <w:marLeft w:val="0"/>
      <w:marRight w:val="0"/>
      <w:marTop w:val="0"/>
      <w:marBottom w:val="0"/>
      <w:divBdr>
        <w:top w:val="none" w:sz="0" w:space="0" w:color="auto"/>
        <w:left w:val="none" w:sz="0" w:space="0" w:color="auto"/>
        <w:bottom w:val="none" w:sz="0" w:space="0" w:color="auto"/>
        <w:right w:val="none" w:sz="0" w:space="0" w:color="auto"/>
      </w:divBdr>
    </w:div>
    <w:div w:id="1291785732">
      <w:bodyDiv w:val="1"/>
      <w:marLeft w:val="0"/>
      <w:marRight w:val="0"/>
      <w:marTop w:val="0"/>
      <w:marBottom w:val="0"/>
      <w:divBdr>
        <w:top w:val="none" w:sz="0" w:space="0" w:color="auto"/>
        <w:left w:val="none" w:sz="0" w:space="0" w:color="auto"/>
        <w:bottom w:val="none" w:sz="0" w:space="0" w:color="auto"/>
        <w:right w:val="none" w:sz="0" w:space="0" w:color="auto"/>
      </w:divBdr>
    </w:div>
    <w:div w:id="1301610938">
      <w:bodyDiv w:val="1"/>
      <w:marLeft w:val="0"/>
      <w:marRight w:val="0"/>
      <w:marTop w:val="0"/>
      <w:marBottom w:val="0"/>
      <w:divBdr>
        <w:top w:val="none" w:sz="0" w:space="0" w:color="auto"/>
        <w:left w:val="none" w:sz="0" w:space="0" w:color="auto"/>
        <w:bottom w:val="none" w:sz="0" w:space="0" w:color="auto"/>
        <w:right w:val="none" w:sz="0" w:space="0" w:color="auto"/>
      </w:divBdr>
    </w:div>
    <w:div w:id="1452045982">
      <w:bodyDiv w:val="1"/>
      <w:marLeft w:val="0"/>
      <w:marRight w:val="0"/>
      <w:marTop w:val="0"/>
      <w:marBottom w:val="0"/>
      <w:divBdr>
        <w:top w:val="none" w:sz="0" w:space="0" w:color="auto"/>
        <w:left w:val="none" w:sz="0" w:space="0" w:color="auto"/>
        <w:bottom w:val="none" w:sz="0" w:space="0" w:color="auto"/>
        <w:right w:val="none" w:sz="0" w:space="0" w:color="auto"/>
      </w:divBdr>
    </w:div>
    <w:div w:id="1516186917">
      <w:bodyDiv w:val="1"/>
      <w:marLeft w:val="0"/>
      <w:marRight w:val="0"/>
      <w:marTop w:val="0"/>
      <w:marBottom w:val="0"/>
      <w:divBdr>
        <w:top w:val="none" w:sz="0" w:space="0" w:color="auto"/>
        <w:left w:val="none" w:sz="0" w:space="0" w:color="auto"/>
        <w:bottom w:val="none" w:sz="0" w:space="0" w:color="auto"/>
        <w:right w:val="none" w:sz="0" w:space="0" w:color="auto"/>
      </w:divBdr>
    </w:div>
    <w:div w:id="1556044031">
      <w:bodyDiv w:val="1"/>
      <w:marLeft w:val="0"/>
      <w:marRight w:val="0"/>
      <w:marTop w:val="0"/>
      <w:marBottom w:val="0"/>
      <w:divBdr>
        <w:top w:val="none" w:sz="0" w:space="0" w:color="auto"/>
        <w:left w:val="none" w:sz="0" w:space="0" w:color="auto"/>
        <w:bottom w:val="none" w:sz="0" w:space="0" w:color="auto"/>
        <w:right w:val="none" w:sz="0" w:space="0" w:color="auto"/>
      </w:divBdr>
    </w:div>
    <w:div w:id="1686638907">
      <w:marLeft w:val="0"/>
      <w:marRight w:val="0"/>
      <w:marTop w:val="0"/>
      <w:marBottom w:val="0"/>
      <w:divBdr>
        <w:top w:val="none" w:sz="0" w:space="0" w:color="auto"/>
        <w:left w:val="none" w:sz="0" w:space="0" w:color="auto"/>
        <w:bottom w:val="none" w:sz="0" w:space="0" w:color="auto"/>
        <w:right w:val="none" w:sz="0" w:space="0" w:color="auto"/>
      </w:divBdr>
    </w:div>
    <w:div w:id="1686638908">
      <w:marLeft w:val="0"/>
      <w:marRight w:val="0"/>
      <w:marTop w:val="0"/>
      <w:marBottom w:val="0"/>
      <w:divBdr>
        <w:top w:val="none" w:sz="0" w:space="0" w:color="auto"/>
        <w:left w:val="none" w:sz="0" w:space="0" w:color="auto"/>
        <w:bottom w:val="none" w:sz="0" w:space="0" w:color="auto"/>
        <w:right w:val="none" w:sz="0" w:space="0" w:color="auto"/>
      </w:divBdr>
    </w:div>
    <w:div w:id="1686638909">
      <w:marLeft w:val="0"/>
      <w:marRight w:val="0"/>
      <w:marTop w:val="0"/>
      <w:marBottom w:val="0"/>
      <w:divBdr>
        <w:top w:val="none" w:sz="0" w:space="0" w:color="auto"/>
        <w:left w:val="none" w:sz="0" w:space="0" w:color="auto"/>
        <w:bottom w:val="none" w:sz="0" w:space="0" w:color="auto"/>
        <w:right w:val="none" w:sz="0" w:space="0" w:color="auto"/>
      </w:divBdr>
    </w:div>
    <w:div w:id="1740513036">
      <w:bodyDiv w:val="1"/>
      <w:marLeft w:val="0"/>
      <w:marRight w:val="0"/>
      <w:marTop w:val="0"/>
      <w:marBottom w:val="0"/>
      <w:divBdr>
        <w:top w:val="none" w:sz="0" w:space="0" w:color="auto"/>
        <w:left w:val="none" w:sz="0" w:space="0" w:color="auto"/>
        <w:bottom w:val="none" w:sz="0" w:space="0" w:color="auto"/>
        <w:right w:val="none" w:sz="0" w:space="0" w:color="auto"/>
      </w:divBdr>
    </w:div>
    <w:div w:id="1758939548">
      <w:bodyDiv w:val="1"/>
      <w:marLeft w:val="0"/>
      <w:marRight w:val="0"/>
      <w:marTop w:val="0"/>
      <w:marBottom w:val="0"/>
      <w:divBdr>
        <w:top w:val="none" w:sz="0" w:space="0" w:color="auto"/>
        <w:left w:val="none" w:sz="0" w:space="0" w:color="auto"/>
        <w:bottom w:val="none" w:sz="0" w:space="0" w:color="auto"/>
        <w:right w:val="none" w:sz="0" w:space="0" w:color="auto"/>
      </w:divBdr>
    </w:div>
    <w:div w:id="1795438946">
      <w:bodyDiv w:val="1"/>
      <w:marLeft w:val="0"/>
      <w:marRight w:val="0"/>
      <w:marTop w:val="0"/>
      <w:marBottom w:val="0"/>
      <w:divBdr>
        <w:top w:val="none" w:sz="0" w:space="0" w:color="auto"/>
        <w:left w:val="none" w:sz="0" w:space="0" w:color="auto"/>
        <w:bottom w:val="none" w:sz="0" w:space="0" w:color="auto"/>
        <w:right w:val="none" w:sz="0" w:space="0" w:color="auto"/>
      </w:divBdr>
    </w:div>
    <w:div w:id="1894924937">
      <w:bodyDiv w:val="1"/>
      <w:marLeft w:val="0"/>
      <w:marRight w:val="0"/>
      <w:marTop w:val="0"/>
      <w:marBottom w:val="0"/>
      <w:divBdr>
        <w:top w:val="none" w:sz="0" w:space="0" w:color="auto"/>
        <w:left w:val="none" w:sz="0" w:space="0" w:color="auto"/>
        <w:bottom w:val="none" w:sz="0" w:space="0" w:color="auto"/>
        <w:right w:val="none" w:sz="0" w:space="0" w:color="auto"/>
      </w:divBdr>
    </w:div>
    <w:div w:id="1910574426">
      <w:bodyDiv w:val="1"/>
      <w:marLeft w:val="0"/>
      <w:marRight w:val="0"/>
      <w:marTop w:val="0"/>
      <w:marBottom w:val="0"/>
      <w:divBdr>
        <w:top w:val="none" w:sz="0" w:space="0" w:color="auto"/>
        <w:left w:val="none" w:sz="0" w:space="0" w:color="auto"/>
        <w:bottom w:val="none" w:sz="0" w:space="0" w:color="auto"/>
        <w:right w:val="none" w:sz="0" w:space="0" w:color="auto"/>
      </w:divBdr>
    </w:div>
    <w:div w:id="1933317144">
      <w:bodyDiv w:val="1"/>
      <w:marLeft w:val="0"/>
      <w:marRight w:val="0"/>
      <w:marTop w:val="0"/>
      <w:marBottom w:val="0"/>
      <w:divBdr>
        <w:top w:val="none" w:sz="0" w:space="0" w:color="auto"/>
        <w:left w:val="none" w:sz="0" w:space="0" w:color="auto"/>
        <w:bottom w:val="none" w:sz="0" w:space="0" w:color="auto"/>
        <w:right w:val="none" w:sz="0" w:space="0" w:color="auto"/>
      </w:divBdr>
    </w:div>
    <w:div w:id="1956328314">
      <w:bodyDiv w:val="1"/>
      <w:marLeft w:val="0"/>
      <w:marRight w:val="0"/>
      <w:marTop w:val="0"/>
      <w:marBottom w:val="0"/>
      <w:divBdr>
        <w:top w:val="none" w:sz="0" w:space="0" w:color="auto"/>
        <w:left w:val="none" w:sz="0" w:space="0" w:color="auto"/>
        <w:bottom w:val="none" w:sz="0" w:space="0" w:color="auto"/>
        <w:right w:val="none" w:sz="0" w:space="0" w:color="auto"/>
      </w:divBdr>
    </w:div>
    <w:div w:id="197814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nwnatural.com/uploadedFiles/6Iai.pdf" TargetMode="External"/><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wnatural.com/uploadedFiles/LC64-Errata.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wmf"/><Relationship Id="rId22" Type="http://schemas.openxmlformats.org/officeDocument/2006/relationships/header" Target="header3.xml"/><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2016-12-01T08:00:00+00:00</OpenedDate>
    <Date1 xmlns="dc463f71-b30c-4ab2-9473-d307f9d35888">2016-12-01T08:00:00+00:00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161259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2623939E3483B4E9833454BD2A802FC" ma:contentTypeVersion="104" ma:contentTypeDescription="" ma:contentTypeScope="" ma:versionID="7c527a25141470385cfbd6ecff6418a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59BDD-A18C-4FCC-B731-4254815D2C1D}"/>
</file>

<file path=customXml/itemProps2.xml><?xml version="1.0" encoding="utf-8"?>
<ds:datastoreItem xmlns:ds="http://schemas.openxmlformats.org/officeDocument/2006/customXml" ds:itemID="{11BDF7E2-E7A5-42ED-A1C4-EB670BBE9262}"/>
</file>

<file path=customXml/itemProps3.xml><?xml version="1.0" encoding="utf-8"?>
<ds:datastoreItem xmlns:ds="http://schemas.openxmlformats.org/officeDocument/2006/customXml" ds:itemID="{3043D4D0-7725-4482-BF24-2DB9748EB507}"/>
</file>

<file path=customXml/itemProps4.xml><?xml version="1.0" encoding="utf-8"?>
<ds:datastoreItem xmlns:ds="http://schemas.openxmlformats.org/officeDocument/2006/customXml" ds:itemID="{352CE749-0DD2-4B1B-AA60-C8A9F9B93CC4}"/>
</file>

<file path=customXml/itemProps5.xml><?xml version="1.0" encoding="utf-8"?>
<ds:datastoreItem xmlns:ds="http://schemas.openxmlformats.org/officeDocument/2006/customXml" ds:itemID="{9C0BACE1-F144-4B82-AA83-C05BC79E2EBD}"/>
</file>

<file path=docProps/app.xml><?xml version="1.0" encoding="utf-8"?>
<Properties xmlns="http://schemas.openxmlformats.org/officeDocument/2006/extended-properties" xmlns:vt="http://schemas.openxmlformats.org/officeDocument/2006/docPropsVTypes">
  <Template>Normal.dotm</Template>
  <TotalTime>6</TotalTime>
  <Pages>18</Pages>
  <Words>5706</Words>
  <Characters>31225</Characters>
  <Application>Microsoft Office Word</Application>
  <DocSecurity>0</DocSecurity>
  <Lines>637</Lines>
  <Paragraphs>265</Paragraphs>
  <ScaleCrop>false</ScaleCrop>
  <HeadingPairs>
    <vt:vector size="2" baseType="variant">
      <vt:variant>
        <vt:lpstr>Title</vt:lpstr>
      </vt:variant>
      <vt:variant>
        <vt:i4>1</vt:i4>
      </vt:variant>
    </vt:vector>
  </HeadingPairs>
  <TitlesOfParts>
    <vt:vector size="1" baseType="lpstr">
      <vt:lpstr/>
    </vt:vector>
  </TitlesOfParts>
  <Company>NW Natural</Company>
  <LinksUpToDate>false</LinksUpToDate>
  <CharactersWithSpaces>36666</CharactersWithSpaces>
  <SharedDoc>false</SharedDoc>
  <HLinks>
    <vt:vector size="6" baseType="variant">
      <vt:variant>
        <vt:i4>3211368</vt:i4>
      </vt:variant>
      <vt:variant>
        <vt:i4>0</vt:i4>
      </vt:variant>
      <vt:variant>
        <vt:i4>0</vt:i4>
      </vt:variant>
      <vt:variant>
        <vt:i4>5</vt:i4>
      </vt:variant>
      <vt:variant>
        <vt:lpwstr>http://www.energytrust.org/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Gross, Jennifer</dc:creator>
  <cp:lastModifiedBy>Erican Nai Lee</cp:lastModifiedBy>
  <cp:revision>4</cp:revision>
  <cp:lastPrinted>2016-12-01T19:17:00Z</cp:lastPrinted>
  <dcterms:created xsi:type="dcterms:W3CDTF">2016-12-01T22:42:00Z</dcterms:created>
  <dcterms:modified xsi:type="dcterms:W3CDTF">2016-12-01T23:05:00Z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aedc6731-8238-4a45-a7fa-e794b832b3e0</vt:lpwstr>
  </property>
  <property fmtid="{D5CDD505-2E9C-101B-9397-08002B2CF9AE}" pid="4" name="ContentTypeId">
    <vt:lpwstr>0x0101006E56B4D1795A2E4DB2F0B01679ED314A00A2623939E3483B4E9833454BD2A802FC</vt:lpwstr>
  </property>
  <property fmtid="{D5CDD505-2E9C-101B-9397-08002B2CF9AE}" pid="5" name="_docset_NoMedatataSyncRequired">
    <vt:lpwstr>False</vt:lpwstr>
  </property>
</Properties>
</file>