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479A0" w14:textId="77777777" w:rsidR="004A2544" w:rsidRDefault="004A2544">
      <w:bookmarkStart w:id="0" w:name="_GoBack"/>
      <w:bookmarkEnd w:id="0"/>
    </w:p>
    <w:p w14:paraId="245479A1" w14:textId="77777777" w:rsidR="004A2544" w:rsidRDefault="004A2544"/>
    <w:p w14:paraId="245479A2" w14:textId="77777777" w:rsidR="004A2544" w:rsidRDefault="004A2544"/>
    <w:p w14:paraId="245479A3" w14:textId="77777777" w:rsidR="004A2544" w:rsidRDefault="004A2544"/>
    <w:p w14:paraId="245479A4" w14:textId="77777777" w:rsidR="004A2544" w:rsidRDefault="004A2544"/>
    <w:p w14:paraId="245479A5" w14:textId="77777777" w:rsidR="004A2544" w:rsidRDefault="004A2544"/>
    <w:p w14:paraId="245479A6" w14:textId="77777777" w:rsidR="004A2544" w:rsidRDefault="004A2544"/>
    <w:p w14:paraId="245479A7" w14:textId="77777777" w:rsidR="004A2544" w:rsidRDefault="004A2544"/>
    <w:p w14:paraId="245479A8" w14:textId="77777777" w:rsidR="004A2544" w:rsidRDefault="004A2544"/>
    <w:p w14:paraId="245479A9" w14:textId="77777777" w:rsidR="004A2544" w:rsidRPr="0048194C" w:rsidRDefault="004A2544" w:rsidP="0048194C">
      <w:pPr>
        <w:jc w:val="center"/>
        <w:rPr>
          <w:b/>
          <w:i/>
          <w:sz w:val="40"/>
          <w:szCs w:val="40"/>
        </w:rPr>
      </w:pPr>
    </w:p>
    <w:p w14:paraId="245479AA"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245479AB" w14:textId="77777777" w:rsidR="004A2544" w:rsidRDefault="004A2544">
      <w:pPr>
        <w:jc w:val="center"/>
        <w:rPr>
          <w:rFonts w:ascii="Bookman Old Style" w:hAnsi="Bookman Old Style"/>
          <w:sz w:val="44"/>
        </w:rPr>
      </w:pPr>
    </w:p>
    <w:p w14:paraId="245479AC" w14:textId="77777777" w:rsidR="004A2544" w:rsidRDefault="00C27E75">
      <w:pPr>
        <w:jc w:val="center"/>
        <w:outlineLvl w:val="0"/>
        <w:rPr>
          <w:rFonts w:ascii="Bookman Old Style" w:hAnsi="Bookman Old Style"/>
          <w:sz w:val="44"/>
        </w:rPr>
      </w:pPr>
      <w:r>
        <w:rPr>
          <w:rFonts w:ascii="Bookman Old Style" w:hAnsi="Bookman Old Style"/>
          <w:sz w:val="44"/>
        </w:rPr>
        <w:t>201</w:t>
      </w:r>
      <w:r w:rsidR="00CB14DD">
        <w:rPr>
          <w:rFonts w:ascii="Bookman Old Style" w:hAnsi="Bookman Old Style"/>
          <w:sz w:val="44"/>
        </w:rPr>
        <w:t>7</w:t>
      </w:r>
      <w:r>
        <w:rPr>
          <w:rFonts w:ascii="Bookman Old Style" w:hAnsi="Bookman Old Style"/>
          <w:sz w:val="44"/>
        </w:rPr>
        <w:t xml:space="preserve"> </w:t>
      </w:r>
      <w:r w:rsidR="004A2544">
        <w:rPr>
          <w:rFonts w:ascii="Bookman Old Style" w:hAnsi="Bookman Old Style"/>
          <w:sz w:val="44"/>
        </w:rPr>
        <w:t>INTEGRATED RESOURCE PLAN</w:t>
      </w:r>
    </w:p>
    <w:p w14:paraId="245479AD"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5680" behindDoc="0" locked="0" layoutInCell="0" allowOverlap="1" wp14:anchorId="24547B20" wp14:editId="24547B21">
                <wp:simplePos x="0" y="0"/>
                <wp:positionH relativeFrom="column">
                  <wp:posOffset>228600</wp:posOffset>
                </wp:positionH>
                <wp:positionV relativeFrom="paragraph">
                  <wp:posOffset>153035</wp:posOffset>
                </wp:positionV>
                <wp:extent cx="5029200" cy="0"/>
                <wp:effectExtent l="28575" t="29210" r="2857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F10C"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3NHA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7H6WgGLcaI9ncJKfpAY53/zHWLglFiCZwjMDltnA9ESNG7hHeUXgsp&#10;Y7OlQh2AP2fjAN0aSN03Qu1AAG8RwmkpWHAPgc4e9ktp0YkEAcUv5gk3j25WHxWL8A0nbHWzPRHy&#10;agMdqQIeJAcEb9ZVIT9m6Ww1XU3zQT6arAZ5WlWDT+tlPpiss+dx9VQtl1X2M1DL8qIRjHEV2PVq&#10;zfK/U8Ntbq46u+v1XpjkPXqsIJDt/5F07G5o6FUae80uW9t3HQQanW/DFCbgcQ/248gvfgE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HTC3N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14:paraId="245479AE" w14:textId="77777777" w:rsidR="004A2544" w:rsidRDefault="004A2544">
      <w:pPr>
        <w:jc w:val="center"/>
        <w:outlineLvl w:val="0"/>
        <w:rPr>
          <w:rFonts w:ascii="Bookman Old Style" w:hAnsi="Bookman Old Style"/>
          <w:sz w:val="44"/>
        </w:rPr>
      </w:pPr>
      <w:r>
        <w:rPr>
          <w:rFonts w:ascii="Bookman Old Style" w:hAnsi="Bookman Old Style"/>
          <w:sz w:val="44"/>
        </w:rPr>
        <w:t>WORK PLAN</w:t>
      </w:r>
    </w:p>
    <w:p w14:paraId="245479AF" w14:textId="77777777" w:rsidR="004A2544" w:rsidRDefault="004A2544"/>
    <w:p w14:paraId="245479B0" w14:textId="77777777" w:rsidR="004A2544" w:rsidRDefault="004A2544"/>
    <w:p w14:paraId="245479B1" w14:textId="77777777" w:rsidR="004A2544" w:rsidRDefault="004A2544"/>
    <w:p w14:paraId="245479B2" w14:textId="77777777" w:rsidR="004A2544" w:rsidRDefault="004A2544"/>
    <w:p w14:paraId="245479B3" w14:textId="77777777" w:rsidR="004A2544" w:rsidRDefault="004A2544"/>
    <w:p w14:paraId="245479B4" w14:textId="77777777" w:rsidR="004A2544" w:rsidRDefault="004A2544"/>
    <w:p w14:paraId="245479B5" w14:textId="77777777" w:rsidR="004A2544" w:rsidRDefault="004A2544"/>
    <w:p w14:paraId="245479B6" w14:textId="77777777" w:rsidR="004A2544" w:rsidRDefault="004A2544"/>
    <w:p w14:paraId="245479B7" w14:textId="77777777" w:rsidR="004A2544" w:rsidRDefault="004A2544"/>
    <w:p w14:paraId="245479B8" w14:textId="77777777" w:rsidR="004A2544" w:rsidRDefault="004A2544"/>
    <w:p w14:paraId="245479B9" w14:textId="77777777" w:rsidR="004A2544" w:rsidRDefault="004A2544"/>
    <w:p w14:paraId="245479BA" w14:textId="77777777" w:rsidR="004A2544" w:rsidRDefault="004A2544"/>
    <w:p w14:paraId="245479BB" w14:textId="77777777" w:rsidR="004A2544" w:rsidRDefault="004A2544"/>
    <w:p w14:paraId="245479BC" w14:textId="77777777" w:rsidR="004A2544" w:rsidRDefault="004A2544"/>
    <w:p w14:paraId="245479BD" w14:textId="77777777" w:rsidR="004A2544" w:rsidRDefault="004A2544"/>
    <w:p w14:paraId="245479BE" w14:textId="77777777" w:rsidR="004A2544" w:rsidRDefault="004A2544"/>
    <w:p w14:paraId="245479BF" w14:textId="77777777" w:rsidR="004A2544" w:rsidRDefault="004A2544"/>
    <w:p w14:paraId="245479C0" w14:textId="77777777" w:rsidR="004A2544" w:rsidRDefault="004A2544"/>
    <w:p w14:paraId="245479C1" w14:textId="77777777" w:rsidR="004A2544" w:rsidRDefault="004A2544"/>
    <w:p w14:paraId="245479C2" w14:textId="77777777" w:rsidR="00444F7E" w:rsidRDefault="005C7257">
      <w:pPr>
        <w:jc w:val="center"/>
        <w:rPr>
          <w:sz w:val="28"/>
        </w:rPr>
      </w:pPr>
      <w:r>
        <w:rPr>
          <w:sz w:val="28"/>
        </w:rPr>
        <w:t>July 1</w:t>
      </w:r>
      <w:r w:rsidR="00425163">
        <w:rPr>
          <w:sz w:val="28"/>
        </w:rPr>
        <w:t>4</w:t>
      </w:r>
      <w:r w:rsidR="004A2544">
        <w:rPr>
          <w:sz w:val="28"/>
        </w:rPr>
        <w:t xml:space="preserve">, </w:t>
      </w:r>
      <w:r w:rsidR="00C27E75">
        <w:rPr>
          <w:sz w:val="28"/>
        </w:rPr>
        <w:t>201</w:t>
      </w:r>
      <w:r>
        <w:rPr>
          <w:sz w:val="28"/>
        </w:rPr>
        <w:t>6</w:t>
      </w:r>
      <w:r w:rsidR="00444F7E">
        <w:rPr>
          <w:sz w:val="28"/>
        </w:rPr>
        <w:br w:type="page"/>
      </w:r>
    </w:p>
    <w:p w14:paraId="245479C3" w14:textId="77777777" w:rsidR="004A2544" w:rsidRDefault="004A2544">
      <w:pPr>
        <w:rPr>
          <w:rFonts w:ascii="Bookman Old Style" w:hAnsi="Bookman Old Style"/>
          <w:b/>
        </w:rPr>
      </w:pPr>
    </w:p>
    <w:p w14:paraId="245479C4" w14:textId="77777777" w:rsidR="004A2544" w:rsidRPr="003D0F7F" w:rsidRDefault="006C749B">
      <w:pPr>
        <w:pStyle w:val="Heading4"/>
        <w:rPr>
          <w:i w:val="0"/>
        </w:rPr>
      </w:pPr>
      <w:r w:rsidRPr="003D0F7F">
        <w:rPr>
          <w:i w:val="0"/>
        </w:rPr>
        <w:t>IRP WORK PLAN REQUIREMENTS</w:t>
      </w:r>
    </w:p>
    <w:p w14:paraId="245479C5" w14:textId="77777777" w:rsidR="004A2544" w:rsidRPr="003D0F7F" w:rsidRDefault="004A2544">
      <w:pPr>
        <w:rPr>
          <w:rFonts w:ascii="Bookman Old Style" w:hAnsi="Bookman Old Style"/>
        </w:rPr>
      </w:pPr>
    </w:p>
    <w:p w14:paraId="245479C6" w14:textId="77777777" w:rsidR="003E092B" w:rsidRPr="003D0F7F" w:rsidRDefault="001A7FE6" w:rsidP="003E092B">
      <w:pPr>
        <w:rPr>
          <w:rFonts w:ascii="Bookman Old Style" w:hAnsi="Bookman Old Style"/>
        </w:rPr>
      </w:pPr>
      <w:r>
        <w:rPr>
          <w:rFonts w:ascii="Bookman Old Style" w:hAnsi="Bookman Old Style"/>
        </w:rPr>
        <w:t xml:space="preserve">Washington Administrative Code (“WAC”) </w:t>
      </w:r>
      <w:r w:rsidR="003E092B" w:rsidRPr="003D0F7F">
        <w:rPr>
          <w:rFonts w:ascii="Bookman Old Style" w:hAnsi="Bookman Old Style"/>
        </w:rPr>
        <w:t>Section</w:t>
      </w:r>
      <w:r>
        <w:rPr>
          <w:rFonts w:ascii="Bookman Old Style" w:hAnsi="Bookman Old Style"/>
        </w:rPr>
        <w:t>s</w:t>
      </w:r>
      <w:r w:rsidR="003E092B" w:rsidRPr="003D0F7F">
        <w:rPr>
          <w:rFonts w:ascii="Bookman Old Style" w:hAnsi="Bookman Old Style"/>
        </w:rPr>
        <w:t xml:space="preserve"> 480-90-238 (4) and 480-100-238 (4), the natural gas and electric </w:t>
      </w:r>
      <w:r w:rsidR="003836FB" w:rsidRPr="003D0F7F">
        <w:rPr>
          <w:rFonts w:ascii="Bookman Old Style" w:hAnsi="Bookman Old Style"/>
        </w:rPr>
        <w:t>Integrated Resource Plan (“</w:t>
      </w:r>
      <w:r w:rsidR="003E092B" w:rsidRPr="003D0F7F">
        <w:rPr>
          <w:rFonts w:ascii="Bookman Old Style" w:hAnsi="Bookman Old Style"/>
        </w:rPr>
        <w:t>IRP</w:t>
      </w:r>
      <w:r w:rsidR="003836FB" w:rsidRPr="003D0F7F">
        <w:rPr>
          <w:rFonts w:ascii="Bookman Old Style" w:hAnsi="Bookman Old Style"/>
        </w:rPr>
        <w:t>”)</w:t>
      </w:r>
      <w:r w:rsidR="003E092B" w:rsidRPr="003D0F7F">
        <w:rPr>
          <w:rFonts w:ascii="Bookman Old Style" w:hAnsi="Bookman Old Style"/>
        </w:rPr>
        <w:t xml:space="preserve"> rules, specify requirements for the IRP Work Plan: </w:t>
      </w:r>
    </w:p>
    <w:p w14:paraId="245479C7" w14:textId="77777777" w:rsidR="003E092B" w:rsidRPr="003D0F7F" w:rsidRDefault="003E092B" w:rsidP="003E092B">
      <w:pPr>
        <w:rPr>
          <w:rFonts w:ascii="Bookman Old Style" w:hAnsi="Bookman Old Style"/>
        </w:rPr>
      </w:pPr>
    </w:p>
    <w:p w14:paraId="245479C8" w14:textId="77777777" w:rsidR="003E092B" w:rsidRPr="003D0F7F" w:rsidRDefault="003E092B" w:rsidP="003E092B">
      <w:pPr>
        <w:ind w:left="360"/>
        <w:rPr>
          <w:rFonts w:ascii="Bookman Old Style" w:hAnsi="Bookman Old Style"/>
        </w:rPr>
      </w:pPr>
      <w:r w:rsidRPr="003D0F7F">
        <w:rPr>
          <w:rFonts w:ascii="Bookman Old Style" w:hAnsi="Bookman Old Style"/>
        </w:rPr>
        <w:t>Not later than twelve months prior to the due date of a plan, the utility must provide a work plan for informal commission review.  The work plan must outline the content of the integrated resource plan to be developed by the utility and the method for assessing potential resources.</w:t>
      </w:r>
    </w:p>
    <w:p w14:paraId="245479C9" w14:textId="77777777" w:rsidR="003E092B" w:rsidRPr="003D0F7F" w:rsidRDefault="003E092B" w:rsidP="003E092B">
      <w:pPr>
        <w:ind w:left="360"/>
        <w:rPr>
          <w:rFonts w:ascii="Bookman Old Style" w:hAnsi="Bookman Old Style"/>
        </w:rPr>
      </w:pPr>
    </w:p>
    <w:p w14:paraId="245479CA" w14:textId="77777777" w:rsidR="003E092B" w:rsidRPr="003D0F7F" w:rsidRDefault="003E092B" w:rsidP="003E092B">
      <w:pPr>
        <w:rPr>
          <w:rFonts w:ascii="Bookman Old Style" w:hAnsi="Bookman Old Style"/>
        </w:rPr>
      </w:pPr>
      <w:r w:rsidRPr="003D0F7F">
        <w:rPr>
          <w:rFonts w:ascii="Bookman Old Style" w:hAnsi="Bookman Old Style"/>
        </w:rPr>
        <w:t>Additionally, Section 480-90-238 (5) and 480-100-238 (5) of the WAC states:</w:t>
      </w:r>
    </w:p>
    <w:p w14:paraId="245479CB" w14:textId="77777777" w:rsidR="003E092B" w:rsidRPr="003D0F7F" w:rsidRDefault="003E092B" w:rsidP="003E092B">
      <w:pPr>
        <w:rPr>
          <w:rFonts w:ascii="Bookman Old Style" w:hAnsi="Bookman Old Style"/>
        </w:rPr>
      </w:pPr>
    </w:p>
    <w:p w14:paraId="245479CC" w14:textId="77777777" w:rsidR="003E092B" w:rsidRPr="00B746F7" w:rsidRDefault="00B93550" w:rsidP="003E092B">
      <w:pPr>
        <w:ind w:left="360"/>
        <w:rPr>
          <w:rFonts w:ascii="Bookman Old Style" w:hAnsi="Bookman Old Style"/>
        </w:rPr>
      </w:pPr>
      <w:r w:rsidRPr="00B746F7">
        <w:rPr>
          <w:rFonts w:ascii="Bookman Old Style" w:hAnsi="Bookman Old Style" w:cs="Arial"/>
        </w:rPr>
        <w:t xml:space="preserve">(5) Public participation. Consultations with commission staff and public participation are essential to the development of an effective plan. The work plan must outline the timing and extent of public participation…. </w:t>
      </w:r>
      <w:r w:rsidR="003E092B" w:rsidRPr="00B746F7">
        <w:rPr>
          <w:rFonts w:ascii="Bookman Old Style" w:hAnsi="Bookman Old Style" w:cs="Arial"/>
        </w:rPr>
        <w:t xml:space="preserve"> </w:t>
      </w:r>
    </w:p>
    <w:p w14:paraId="245479CD" w14:textId="77777777" w:rsidR="003E092B" w:rsidRPr="003D0F7F" w:rsidRDefault="003E092B">
      <w:pPr>
        <w:rPr>
          <w:rFonts w:ascii="Bookman Old Style" w:hAnsi="Bookman Old Style"/>
        </w:rPr>
      </w:pPr>
    </w:p>
    <w:p w14:paraId="245479CE" w14:textId="77777777" w:rsidR="004A2544" w:rsidRPr="003D0F7F" w:rsidRDefault="004A2544">
      <w:pPr>
        <w:rPr>
          <w:rFonts w:ascii="Bookman Old Style" w:hAnsi="Bookman Old Style"/>
        </w:rPr>
      </w:pPr>
    </w:p>
    <w:p w14:paraId="245479CF" w14:textId="77777777" w:rsidR="004A2544" w:rsidRPr="003D0F7F" w:rsidRDefault="004A2544">
      <w:pPr>
        <w:pStyle w:val="Heading4"/>
      </w:pPr>
      <w:r w:rsidRPr="003D0F7F">
        <w:t>Purpose of the Integrated Resource Plan</w:t>
      </w:r>
    </w:p>
    <w:p w14:paraId="245479D0" w14:textId="77777777" w:rsidR="004A2544" w:rsidRPr="003D0F7F" w:rsidRDefault="004A2544">
      <w:pPr>
        <w:rPr>
          <w:rFonts w:ascii="Bookman Old Style" w:hAnsi="Bookman Old Style"/>
        </w:rPr>
      </w:pPr>
    </w:p>
    <w:p w14:paraId="245479D1" w14:textId="77777777" w:rsidR="00D25DAE" w:rsidRDefault="001A7FE6">
      <w:pPr>
        <w:rPr>
          <w:rFonts w:ascii="Bookman Old Style" w:hAnsi="Bookman Old Style"/>
        </w:rPr>
      </w:pPr>
      <w:r>
        <w:rPr>
          <w:rFonts w:ascii="Bookman Old Style" w:hAnsi="Bookman Old Style"/>
        </w:rPr>
        <w:t>Puget Sound Energy’s (“PSE”; “Company”)</w:t>
      </w:r>
      <w:r w:rsidR="004A2544" w:rsidRPr="003D0F7F">
        <w:rPr>
          <w:rFonts w:ascii="Bookman Old Style" w:hAnsi="Bookman Old Style"/>
        </w:rPr>
        <w:t xml:space="preserve"> long-term resource planning process continues </w:t>
      </w:r>
      <w:r w:rsidR="005B2503" w:rsidRPr="003D0F7F">
        <w:rPr>
          <w:rFonts w:ascii="Bookman Old Style" w:hAnsi="Bookman Old Style"/>
        </w:rPr>
        <w:t>t</w:t>
      </w:r>
      <w:r w:rsidR="004A2544" w:rsidRPr="003D0F7F">
        <w:rPr>
          <w:rFonts w:ascii="Bookman Old Style" w:hAnsi="Bookman Old Style"/>
        </w:rPr>
        <w:t>o inform and guid</w:t>
      </w:r>
      <w:r w:rsidR="005B2503" w:rsidRPr="003D0F7F">
        <w:rPr>
          <w:rFonts w:ascii="Bookman Old Style" w:hAnsi="Bookman Old Style"/>
        </w:rPr>
        <w:t>e</w:t>
      </w:r>
      <w:r w:rsidR="004A2544" w:rsidRPr="003D0F7F">
        <w:rPr>
          <w:rFonts w:ascii="Bookman Old Style" w:hAnsi="Bookman Old Style"/>
        </w:rPr>
        <w:t xml:space="preserve"> the Company’s resource acquisition processes, consistent with the letter and spirit of WAC 480-90-238 and WAC 480-100-238.  </w:t>
      </w:r>
      <w:r w:rsidR="005B2503" w:rsidRPr="003D0F7F">
        <w:rPr>
          <w:rFonts w:ascii="Bookman Old Style" w:hAnsi="Bookman Old Style"/>
        </w:rPr>
        <w:t xml:space="preserve">PSE’s IRP </w:t>
      </w:r>
      <w:r w:rsidR="003321E7" w:rsidRPr="003D0F7F">
        <w:rPr>
          <w:rFonts w:ascii="Bookman Old Style" w:hAnsi="Bookman Old Style"/>
        </w:rPr>
        <w:t xml:space="preserve">analysis </w:t>
      </w:r>
      <w:r w:rsidR="005B2503" w:rsidRPr="003D0F7F">
        <w:rPr>
          <w:rFonts w:ascii="Bookman Old Style" w:hAnsi="Bookman Old Style"/>
        </w:rPr>
        <w:t>integrates demand-side and supply</w:t>
      </w:r>
      <w:r w:rsidR="00E177BA">
        <w:rPr>
          <w:rFonts w:ascii="Bookman Old Style" w:hAnsi="Bookman Old Style"/>
        </w:rPr>
        <w:t>-</w:t>
      </w:r>
      <w:r w:rsidR="005B2503" w:rsidRPr="003D0F7F">
        <w:rPr>
          <w:rFonts w:ascii="Bookman Old Style" w:hAnsi="Bookman Old Style"/>
        </w:rPr>
        <w:t xml:space="preserve">side resources in a manner so as to find the lowest reasonable cost set of resources to meet the growing energy needs of our customers.  </w:t>
      </w:r>
    </w:p>
    <w:p w14:paraId="245479D2" w14:textId="77777777" w:rsidR="004A2544" w:rsidRPr="003D0F7F" w:rsidRDefault="004A2544">
      <w:pPr>
        <w:rPr>
          <w:rFonts w:ascii="Bookman Old Style" w:hAnsi="Bookman Old Style"/>
        </w:rPr>
      </w:pPr>
    </w:p>
    <w:p w14:paraId="245479D3" w14:textId="77777777" w:rsidR="00D25DAE" w:rsidRDefault="00D25DAE" w:rsidP="001C6AC7">
      <w:pPr>
        <w:rPr>
          <w:rFonts w:ascii="Bookman Old Style" w:hAnsi="Bookman Old Style"/>
        </w:rPr>
      </w:pPr>
    </w:p>
    <w:p w14:paraId="245479D4" w14:textId="77777777" w:rsidR="00D25DAE" w:rsidRPr="005406D2" w:rsidRDefault="000D08D5" w:rsidP="001C6AC7">
      <w:pPr>
        <w:rPr>
          <w:rFonts w:ascii="Bookman Old Style" w:hAnsi="Bookman Old Style"/>
          <w:b/>
        </w:rPr>
      </w:pPr>
      <w:r w:rsidRPr="005406D2">
        <w:rPr>
          <w:rFonts w:ascii="Bookman Old Style" w:hAnsi="Bookman Old Style"/>
          <w:b/>
        </w:rPr>
        <w:t xml:space="preserve">Section I:  </w:t>
      </w:r>
      <w:r w:rsidR="00B93550" w:rsidRPr="005406D2">
        <w:rPr>
          <w:rFonts w:ascii="Bookman Old Style" w:hAnsi="Bookman Old Style"/>
          <w:b/>
        </w:rPr>
        <w:t>Public Participation Process</w:t>
      </w:r>
      <w:r w:rsidRPr="005406D2">
        <w:rPr>
          <w:rFonts w:ascii="Bookman Old Style" w:hAnsi="Bookman Old Style"/>
          <w:b/>
        </w:rPr>
        <w:t xml:space="preserve"> and Anticipated Timing</w:t>
      </w:r>
    </w:p>
    <w:p w14:paraId="245479D5" w14:textId="77777777" w:rsidR="00D25DAE" w:rsidRDefault="00D25DAE" w:rsidP="001C6AC7">
      <w:pPr>
        <w:rPr>
          <w:rFonts w:ascii="Bookman Old Style" w:hAnsi="Bookman Old Style"/>
        </w:rPr>
      </w:pPr>
    </w:p>
    <w:p w14:paraId="245479D6" w14:textId="77777777" w:rsidR="00CB14DD" w:rsidRDefault="006E07A1" w:rsidP="001C6AC7">
      <w:pPr>
        <w:rPr>
          <w:rFonts w:ascii="Bookman Old Style" w:hAnsi="Bookman Old Style"/>
        </w:rPr>
      </w:pPr>
      <w:r w:rsidRPr="003D0F7F">
        <w:rPr>
          <w:rFonts w:ascii="Bookman Old Style" w:hAnsi="Bookman Old Style"/>
        </w:rPr>
        <w:t>Input and feedback in PSE’s planning process from external stakeholders has been fundamental to the success of PSE’s IRP process.</w:t>
      </w:r>
      <w:r w:rsidR="00406AC1">
        <w:rPr>
          <w:rFonts w:ascii="Bookman Old Style" w:hAnsi="Bookman Old Style"/>
        </w:rPr>
        <w:t xml:space="preserve">  </w:t>
      </w:r>
      <w:r w:rsidR="00CB14DD">
        <w:rPr>
          <w:rFonts w:ascii="Bookman Old Style" w:hAnsi="Bookman Old Style"/>
        </w:rPr>
        <w:t>The public participation process for the 2017 IRP will build on lessons learned in the 2015 IRP process.  The 2017 IRP public participation process will impr</w:t>
      </w:r>
      <w:r w:rsidR="001A7FE6">
        <w:rPr>
          <w:rFonts w:ascii="Bookman Old Style" w:hAnsi="Bookman Old Style"/>
        </w:rPr>
        <w:t xml:space="preserve">ove transparency and meeting structures to make better use of stakeholder’s time while still gathering the necessary input to inform the IRP.  To achieve this objective, PSE will be </w:t>
      </w:r>
      <w:r w:rsidR="00CB14DD">
        <w:rPr>
          <w:rFonts w:ascii="Bookman Old Style" w:hAnsi="Bookman Old Style"/>
        </w:rPr>
        <w:t xml:space="preserve">changing the way Technical Advisory Groups are used and managed.  </w:t>
      </w:r>
    </w:p>
    <w:p w14:paraId="245479D7" w14:textId="77777777" w:rsidR="00E177BA" w:rsidRDefault="00E177BA">
      <w:pPr>
        <w:rPr>
          <w:rFonts w:ascii="Bookman Old Style" w:hAnsi="Bookman Old Style"/>
        </w:rPr>
      </w:pPr>
      <w:r>
        <w:rPr>
          <w:rFonts w:ascii="Bookman Old Style" w:hAnsi="Bookman Old Style"/>
        </w:rPr>
        <w:br w:type="page"/>
      </w:r>
    </w:p>
    <w:p w14:paraId="245479D8" w14:textId="77777777" w:rsidR="00CB14DD" w:rsidRDefault="00CB14DD" w:rsidP="001C6AC7">
      <w:pPr>
        <w:rPr>
          <w:rFonts w:ascii="Bookman Old Style" w:hAnsi="Bookman Old Style"/>
        </w:rPr>
      </w:pPr>
    </w:p>
    <w:p w14:paraId="245479D9" w14:textId="77777777" w:rsidR="00D25DAE" w:rsidRPr="005406D2" w:rsidRDefault="00F14F76" w:rsidP="00D25DAE">
      <w:pPr>
        <w:rPr>
          <w:rFonts w:ascii="Bookman Old Style" w:hAnsi="Bookman Old Style"/>
          <w:u w:val="single"/>
        </w:rPr>
      </w:pPr>
      <w:r>
        <w:rPr>
          <w:rFonts w:ascii="Bookman Old Style" w:hAnsi="Bookman Old Style"/>
          <w:u w:val="single"/>
        </w:rPr>
        <w:t>Process Overview</w:t>
      </w:r>
      <w:r w:rsidR="00D25DAE" w:rsidRPr="005406D2">
        <w:rPr>
          <w:rFonts w:ascii="Bookman Old Style" w:hAnsi="Bookman Old Style"/>
          <w:u w:val="single"/>
        </w:rPr>
        <w:t xml:space="preserve"> </w:t>
      </w:r>
    </w:p>
    <w:p w14:paraId="245479DA" w14:textId="77777777" w:rsidR="00D25DAE" w:rsidRDefault="00D25DAE" w:rsidP="00D25DAE">
      <w:pPr>
        <w:rPr>
          <w:rFonts w:ascii="Bookman Old Style" w:hAnsi="Bookman Old Style"/>
        </w:rPr>
      </w:pPr>
    </w:p>
    <w:p w14:paraId="245479DB" w14:textId="77777777" w:rsidR="00F14F76" w:rsidRDefault="00F14F76" w:rsidP="00D25DAE">
      <w:pPr>
        <w:rPr>
          <w:rFonts w:ascii="Bookman Old Style" w:hAnsi="Bookman Old Style"/>
        </w:rPr>
      </w:pPr>
      <w:r>
        <w:rPr>
          <w:rFonts w:ascii="Bookman Old Style" w:hAnsi="Bookman Old Style"/>
        </w:rPr>
        <w:t xml:space="preserve">PSE’s </w:t>
      </w:r>
      <w:r w:rsidR="00E177BA">
        <w:rPr>
          <w:rFonts w:ascii="Bookman Old Style" w:hAnsi="Bookman Old Style"/>
        </w:rPr>
        <w:t xml:space="preserve">public participation </w:t>
      </w:r>
      <w:r>
        <w:rPr>
          <w:rFonts w:ascii="Bookman Old Style" w:hAnsi="Bookman Old Style"/>
        </w:rPr>
        <w:t>process for the 2017 IRP will</w:t>
      </w:r>
      <w:r w:rsidR="00E177BA">
        <w:rPr>
          <w:rFonts w:ascii="Bookman Old Style" w:hAnsi="Bookman Old Style"/>
        </w:rPr>
        <w:t xml:space="preserve"> build upon the basic structure of </w:t>
      </w:r>
      <w:r w:rsidR="00855016">
        <w:rPr>
          <w:rFonts w:ascii="Bookman Old Style" w:hAnsi="Bookman Old Style"/>
        </w:rPr>
        <w:t xml:space="preserve">the </w:t>
      </w:r>
      <w:r w:rsidR="00E177BA">
        <w:rPr>
          <w:rFonts w:ascii="Bookman Old Style" w:hAnsi="Bookman Old Style"/>
        </w:rPr>
        <w:t xml:space="preserve">2015 process to include changes that create a more </w:t>
      </w:r>
      <w:r>
        <w:rPr>
          <w:rFonts w:ascii="Bookman Old Style" w:hAnsi="Bookman Old Style"/>
        </w:rPr>
        <w:t xml:space="preserve"> </w:t>
      </w:r>
      <w:r w:rsidR="003F7A22">
        <w:rPr>
          <w:rFonts w:ascii="Bookman Old Style" w:hAnsi="Bookman Old Style"/>
        </w:rPr>
        <w:t>open</w:t>
      </w:r>
      <w:r w:rsidR="00E177BA">
        <w:rPr>
          <w:rFonts w:ascii="Bookman Old Style" w:hAnsi="Bookman Old Style"/>
        </w:rPr>
        <w:t>, transparent and focused dialogue</w:t>
      </w:r>
      <w:r w:rsidR="003F7A22">
        <w:rPr>
          <w:rFonts w:ascii="Bookman Old Style" w:hAnsi="Bookman Old Style"/>
        </w:rPr>
        <w:t xml:space="preserve"> </w:t>
      </w:r>
      <w:r w:rsidR="00E177BA">
        <w:rPr>
          <w:rFonts w:ascii="Bookman Old Style" w:hAnsi="Bookman Old Style"/>
        </w:rPr>
        <w:t>than previous</w:t>
      </w:r>
      <w:r w:rsidR="003F7A22">
        <w:rPr>
          <w:rFonts w:ascii="Bookman Old Style" w:hAnsi="Bookman Old Style"/>
        </w:rPr>
        <w:t xml:space="preserve"> process</w:t>
      </w:r>
      <w:r w:rsidR="00E177BA">
        <w:rPr>
          <w:rFonts w:ascii="Bookman Old Style" w:hAnsi="Bookman Old Style"/>
        </w:rPr>
        <w:t>es.</w:t>
      </w:r>
      <w:r w:rsidR="003F7A22">
        <w:rPr>
          <w:rFonts w:ascii="Bookman Old Style" w:hAnsi="Bookman Old Style"/>
        </w:rPr>
        <w:t xml:space="preserve"> </w:t>
      </w:r>
      <w:r w:rsidR="00E177BA">
        <w:rPr>
          <w:rFonts w:ascii="Bookman Old Style" w:hAnsi="Bookman Old Style"/>
        </w:rPr>
        <w:t xml:space="preserve">Those changes include:  </w:t>
      </w:r>
    </w:p>
    <w:p w14:paraId="245479DC" w14:textId="77777777" w:rsidR="00F14F76" w:rsidRDefault="00F14F76" w:rsidP="00F14F76">
      <w:pPr>
        <w:pStyle w:val="ListParagraph"/>
        <w:numPr>
          <w:ilvl w:val="0"/>
          <w:numId w:val="15"/>
        </w:numPr>
        <w:rPr>
          <w:rFonts w:ascii="Bookman Old Style" w:hAnsi="Bookman Old Style"/>
        </w:rPr>
      </w:pPr>
      <w:r>
        <w:rPr>
          <w:rFonts w:ascii="Bookman Old Style" w:hAnsi="Bookman Old Style"/>
        </w:rPr>
        <w:t xml:space="preserve">Technical Advisory </w:t>
      </w:r>
      <w:r w:rsidR="003F7A22">
        <w:rPr>
          <w:rFonts w:ascii="Bookman Old Style" w:hAnsi="Bookman Old Style"/>
        </w:rPr>
        <w:t>Committee</w:t>
      </w:r>
      <w:r>
        <w:rPr>
          <w:rFonts w:ascii="Bookman Old Style" w:hAnsi="Bookman Old Style"/>
        </w:rPr>
        <w:t>s</w:t>
      </w:r>
      <w:r w:rsidR="003F7A22">
        <w:rPr>
          <w:rFonts w:ascii="Bookman Old Style" w:hAnsi="Bookman Old Style"/>
        </w:rPr>
        <w:t xml:space="preserve"> (TAC)</w:t>
      </w:r>
      <w:r>
        <w:rPr>
          <w:rFonts w:ascii="Bookman Old Style" w:hAnsi="Bookman Old Style"/>
        </w:rPr>
        <w:t xml:space="preserve">:  </w:t>
      </w:r>
      <w:r w:rsidRPr="00F14F76">
        <w:rPr>
          <w:rFonts w:ascii="Bookman Old Style" w:hAnsi="Bookman Old Style"/>
        </w:rPr>
        <w:t xml:space="preserve">Several topic-specific technical advisory </w:t>
      </w:r>
      <w:r w:rsidR="003F7A22">
        <w:rPr>
          <w:rFonts w:ascii="Bookman Old Style" w:hAnsi="Bookman Old Style"/>
        </w:rPr>
        <w:t>committees</w:t>
      </w:r>
      <w:r w:rsidRPr="00F14F76">
        <w:rPr>
          <w:rFonts w:ascii="Bookman Old Style" w:hAnsi="Bookman Old Style"/>
        </w:rPr>
        <w:t xml:space="preserve"> will be formed.  </w:t>
      </w:r>
      <w:r>
        <w:rPr>
          <w:rFonts w:ascii="Bookman Old Style" w:hAnsi="Bookman Old Style"/>
        </w:rPr>
        <w:t xml:space="preserve">The </w:t>
      </w:r>
      <w:r w:rsidR="003F7A22">
        <w:rPr>
          <w:rFonts w:ascii="Bookman Old Style" w:hAnsi="Bookman Old Style"/>
        </w:rPr>
        <w:t xml:space="preserve">purpose will be </w:t>
      </w:r>
      <w:r>
        <w:rPr>
          <w:rFonts w:ascii="Bookman Old Style" w:hAnsi="Bookman Old Style"/>
        </w:rPr>
        <w:t xml:space="preserve">to bring technical experts in that can help PSE improve </w:t>
      </w:r>
      <w:r w:rsidR="00B746F7">
        <w:rPr>
          <w:rFonts w:ascii="Bookman Old Style" w:hAnsi="Bookman Old Style"/>
        </w:rPr>
        <w:t>its</w:t>
      </w:r>
      <w:r>
        <w:rPr>
          <w:rFonts w:ascii="Bookman Old Style" w:hAnsi="Bookman Old Style"/>
        </w:rPr>
        <w:t xml:space="preserve"> planning process</w:t>
      </w:r>
      <w:r w:rsidR="003F7A22">
        <w:rPr>
          <w:rFonts w:ascii="Bookman Old Style" w:hAnsi="Bookman Old Style"/>
        </w:rPr>
        <w:t>es</w:t>
      </w:r>
      <w:r>
        <w:rPr>
          <w:rFonts w:ascii="Bookman Old Style" w:hAnsi="Bookman Old Style"/>
        </w:rPr>
        <w:t xml:space="preserve">, methods, and assumptions in groups that communicate efficiently.  </w:t>
      </w:r>
      <w:r w:rsidR="003F7A22">
        <w:rPr>
          <w:rFonts w:ascii="Bookman Old Style" w:hAnsi="Bookman Old Style"/>
        </w:rPr>
        <w:t>These meetings will be open, to help transparency, as long as this approach remains productive.  Agendas for the meetings will be technical and dialogue will be kept focused on those specific technical issues in sufficient detail needed for the modeling efforts</w:t>
      </w:r>
      <w:r w:rsidR="00CB14DD">
        <w:rPr>
          <w:rFonts w:ascii="Bookman Old Style" w:hAnsi="Bookman Old Style"/>
        </w:rPr>
        <w:t>.</w:t>
      </w:r>
    </w:p>
    <w:p w14:paraId="245479DD" w14:textId="77777777" w:rsidR="00EB3A79" w:rsidRDefault="003F7A22" w:rsidP="00F14F76">
      <w:pPr>
        <w:pStyle w:val="ListParagraph"/>
        <w:numPr>
          <w:ilvl w:val="0"/>
          <w:numId w:val="15"/>
        </w:numPr>
        <w:rPr>
          <w:rFonts w:ascii="Bookman Old Style" w:hAnsi="Bookman Old Style"/>
        </w:rPr>
      </w:pPr>
      <w:r>
        <w:rPr>
          <w:rFonts w:ascii="Bookman Old Style" w:hAnsi="Bookman Old Style"/>
        </w:rPr>
        <w:t>IRP Advisory Group (IRPAG)</w:t>
      </w:r>
      <w:r w:rsidR="00F14F76">
        <w:rPr>
          <w:rFonts w:ascii="Bookman Old Style" w:hAnsi="Bookman Old Style"/>
        </w:rPr>
        <w:t xml:space="preserve">:  </w:t>
      </w:r>
      <w:r>
        <w:rPr>
          <w:rFonts w:ascii="Bookman Old Style" w:hAnsi="Bookman Old Style"/>
        </w:rPr>
        <w:t>These meetings will generally include broader-level discussions on topics such as scenarios</w:t>
      </w:r>
      <w:r w:rsidR="006D3DA4">
        <w:rPr>
          <w:rFonts w:ascii="Bookman Old Style" w:hAnsi="Bookman Old Style"/>
        </w:rPr>
        <w:t xml:space="preserve"> and results of analysis, </w:t>
      </w:r>
      <w:r>
        <w:rPr>
          <w:rFonts w:ascii="Bookman Old Style" w:hAnsi="Bookman Old Style"/>
        </w:rPr>
        <w:t xml:space="preserve">rather than </w:t>
      </w:r>
      <w:r w:rsidR="006D3DA4">
        <w:rPr>
          <w:rFonts w:ascii="Bookman Old Style" w:hAnsi="Bookman Old Style"/>
        </w:rPr>
        <w:t xml:space="preserve">the </w:t>
      </w:r>
      <w:r>
        <w:rPr>
          <w:rFonts w:ascii="Bookman Old Style" w:hAnsi="Bookman Old Style"/>
        </w:rPr>
        <w:t xml:space="preserve">very detailed </w:t>
      </w:r>
      <w:r w:rsidR="006D3DA4">
        <w:rPr>
          <w:rFonts w:ascii="Bookman Old Style" w:hAnsi="Bookman Old Style"/>
        </w:rPr>
        <w:t>discuss</w:t>
      </w:r>
      <w:r w:rsidR="00E177BA">
        <w:rPr>
          <w:rFonts w:ascii="Bookman Old Style" w:hAnsi="Bookman Old Style"/>
        </w:rPr>
        <w:t>ions</w:t>
      </w:r>
      <w:r w:rsidR="006D3DA4">
        <w:rPr>
          <w:rFonts w:ascii="Bookman Old Style" w:hAnsi="Bookman Old Style"/>
        </w:rPr>
        <w:t xml:space="preserve"> in the TAC meetings. </w:t>
      </w:r>
      <w:r w:rsidR="00B93550" w:rsidRPr="00F14F76">
        <w:rPr>
          <w:rFonts w:ascii="Bookman Old Style" w:hAnsi="Bookman Old Style"/>
        </w:rPr>
        <w:t xml:space="preserve">Dialogue with stakeholders </w:t>
      </w:r>
      <w:r w:rsidR="006E07A1" w:rsidRPr="00F14F76">
        <w:rPr>
          <w:rFonts w:ascii="Bookman Old Style" w:hAnsi="Bookman Old Style"/>
        </w:rPr>
        <w:t>provides</w:t>
      </w:r>
      <w:r w:rsidR="00B93550" w:rsidRPr="00F14F76">
        <w:rPr>
          <w:rFonts w:ascii="Bookman Old Style" w:hAnsi="Bookman Old Style"/>
        </w:rPr>
        <w:t xml:space="preserve"> PSE </w:t>
      </w:r>
      <w:r w:rsidR="006E07A1" w:rsidRPr="00F14F76">
        <w:rPr>
          <w:rFonts w:ascii="Bookman Old Style" w:hAnsi="Bookman Old Style"/>
        </w:rPr>
        <w:t xml:space="preserve">with broader </w:t>
      </w:r>
      <w:r w:rsidR="00B93550" w:rsidRPr="00F14F76">
        <w:rPr>
          <w:rFonts w:ascii="Bookman Old Style" w:hAnsi="Bookman Old Style"/>
        </w:rPr>
        <w:t>perspectives about the future than PSE would have on its own</w:t>
      </w:r>
      <w:r w:rsidR="006D3DA4">
        <w:rPr>
          <w:rFonts w:ascii="Bookman Old Style" w:hAnsi="Bookman Old Style"/>
        </w:rPr>
        <w:t>, thereby improving PSE’s planning process</w:t>
      </w:r>
      <w:r w:rsidR="00B93550" w:rsidRPr="00F14F76">
        <w:rPr>
          <w:rFonts w:ascii="Bookman Old Style" w:hAnsi="Bookman Old Style"/>
        </w:rPr>
        <w:t xml:space="preserve">.  </w:t>
      </w:r>
    </w:p>
    <w:p w14:paraId="245479DE" w14:textId="77777777" w:rsidR="00E177BA" w:rsidRDefault="00E177BA" w:rsidP="00E177BA">
      <w:pPr>
        <w:rPr>
          <w:rFonts w:ascii="Bookman Old Style" w:hAnsi="Bookman Old Style"/>
        </w:rPr>
      </w:pPr>
    </w:p>
    <w:p w14:paraId="245479DF" w14:textId="77777777" w:rsidR="00E177BA" w:rsidRPr="00E177BA" w:rsidRDefault="00E177BA" w:rsidP="00E177BA">
      <w:pPr>
        <w:rPr>
          <w:rFonts w:ascii="Bookman Old Style" w:hAnsi="Bookman Old Style"/>
        </w:rPr>
      </w:pPr>
      <w:r>
        <w:rPr>
          <w:rFonts w:ascii="Bookman Old Style" w:hAnsi="Bookman Old Style"/>
        </w:rPr>
        <w:t xml:space="preserve">Appendix A shows the anticipated timing of the various TAC and IRPAG meetings during PSE’s 2017 IRP cycle, which as note above, are open to the public.   </w:t>
      </w:r>
    </w:p>
    <w:p w14:paraId="245479E0" w14:textId="77777777" w:rsidR="00EB3A79" w:rsidRDefault="00EB3A79" w:rsidP="00D25DAE">
      <w:pPr>
        <w:rPr>
          <w:rFonts w:ascii="Bookman Old Style" w:hAnsi="Bookman Old Style"/>
        </w:rPr>
      </w:pPr>
    </w:p>
    <w:p w14:paraId="245479E1" w14:textId="77777777" w:rsidR="00EB3A79" w:rsidRPr="005406D2" w:rsidRDefault="00EB3A79" w:rsidP="00D25DAE">
      <w:pPr>
        <w:rPr>
          <w:rFonts w:ascii="Bookman Old Style" w:hAnsi="Bookman Old Style"/>
          <w:u w:val="single"/>
        </w:rPr>
      </w:pPr>
      <w:r w:rsidRPr="005406D2">
        <w:rPr>
          <w:rFonts w:ascii="Bookman Old Style" w:hAnsi="Bookman Old Style"/>
          <w:u w:val="single"/>
        </w:rPr>
        <w:t>Consultative</w:t>
      </w:r>
      <w:r w:rsidR="006D3DA4">
        <w:rPr>
          <w:rFonts w:ascii="Bookman Old Style" w:hAnsi="Bookman Old Style"/>
          <w:u w:val="single"/>
        </w:rPr>
        <w:t>, Open</w:t>
      </w:r>
      <w:r w:rsidRPr="005406D2">
        <w:rPr>
          <w:rFonts w:ascii="Bookman Old Style" w:hAnsi="Bookman Old Style"/>
          <w:u w:val="single"/>
        </w:rPr>
        <w:t xml:space="preserve"> </w:t>
      </w:r>
      <w:r w:rsidR="00C655F5">
        <w:rPr>
          <w:rFonts w:ascii="Bookman Old Style" w:hAnsi="Bookman Old Style"/>
          <w:u w:val="single"/>
        </w:rPr>
        <w:t xml:space="preserve">Stakeholder </w:t>
      </w:r>
      <w:r w:rsidRPr="005406D2">
        <w:rPr>
          <w:rFonts w:ascii="Bookman Old Style" w:hAnsi="Bookman Old Style"/>
          <w:u w:val="single"/>
        </w:rPr>
        <w:t>Process</w:t>
      </w:r>
    </w:p>
    <w:p w14:paraId="245479E2" w14:textId="77777777" w:rsidR="00EB3A79" w:rsidRDefault="00EB3A79" w:rsidP="00D25DAE">
      <w:pPr>
        <w:rPr>
          <w:rFonts w:ascii="Bookman Old Style" w:hAnsi="Bookman Old Style"/>
        </w:rPr>
      </w:pPr>
    </w:p>
    <w:p w14:paraId="245479E3" w14:textId="77777777" w:rsidR="00EB3A79" w:rsidRDefault="00EB3A79" w:rsidP="00D25DAE">
      <w:pPr>
        <w:rPr>
          <w:rFonts w:ascii="Bookman Old Style" w:hAnsi="Bookman Old Style"/>
        </w:rPr>
      </w:pPr>
      <w:r>
        <w:rPr>
          <w:rFonts w:ascii="Bookman Old Style" w:hAnsi="Bookman Old Style"/>
        </w:rPr>
        <w:t xml:space="preserve">PSE values the feedback, alternative views, and technical information received from stakeholders in prior IRP processes. </w:t>
      </w:r>
      <w:r w:rsidR="006D3DA4">
        <w:rPr>
          <w:rFonts w:ascii="Bookman Old Style" w:hAnsi="Bookman Old Style"/>
        </w:rPr>
        <w:t xml:space="preserve">PSE </w:t>
      </w:r>
      <w:r>
        <w:rPr>
          <w:rFonts w:ascii="Bookman Old Style" w:hAnsi="Bookman Old Style"/>
        </w:rPr>
        <w:t>appreciate</w:t>
      </w:r>
      <w:r w:rsidR="006D3DA4">
        <w:rPr>
          <w:rFonts w:ascii="Bookman Old Style" w:hAnsi="Bookman Old Style"/>
        </w:rPr>
        <w:t>s</w:t>
      </w:r>
      <w:r>
        <w:rPr>
          <w:rFonts w:ascii="Bookman Old Style" w:hAnsi="Bookman Old Style"/>
        </w:rPr>
        <w:t xml:space="preserve"> the advice from stakeholders and the time individuals take to provide such </w:t>
      </w:r>
      <w:r w:rsidR="00A71F77">
        <w:rPr>
          <w:rFonts w:ascii="Bookman Old Style" w:hAnsi="Bookman Old Style"/>
        </w:rPr>
        <w:t xml:space="preserve">consultation, ideas, and </w:t>
      </w:r>
      <w:r>
        <w:rPr>
          <w:rFonts w:ascii="Bookman Old Style" w:hAnsi="Bookman Old Style"/>
        </w:rPr>
        <w:t>advice</w:t>
      </w:r>
      <w:r w:rsidR="006E07A1">
        <w:rPr>
          <w:rFonts w:ascii="Bookman Old Style" w:hAnsi="Bookman Old Style"/>
        </w:rPr>
        <w:t xml:space="preserve">, especially when stakeholders have no legal obligation to lend such </w:t>
      </w:r>
      <w:r w:rsidR="005533F5">
        <w:rPr>
          <w:rFonts w:ascii="Bookman Old Style" w:hAnsi="Bookman Old Style"/>
        </w:rPr>
        <w:t>assistance</w:t>
      </w:r>
      <w:r>
        <w:rPr>
          <w:rFonts w:ascii="Bookman Old Style" w:hAnsi="Bookman Old Style"/>
        </w:rPr>
        <w:t xml:space="preserve">.  </w:t>
      </w:r>
      <w:r w:rsidR="00A71F77">
        <w:rPr>
          <w:rFonts w:ascii="Bookman Old Style" w:hAnsi="Bookman Old Style"/>
        </w:rPr>
        <w:t>Th</w:t>
      </w:r>
      <w:r w:rsidR="00C655F5">
        <w:rPr>
          <w:rFonts w:ascii="Bookman Old Style" w:hAnsi="Bookman Old Style"/>
        </w:rPr>
        <w:t>e IRP stakeholder process</w:t>
      </w:r>
      <w:r w:rsidR="00A71F77">
        <w:rPr>
          <w:rFonts w:ascii="Bookman Old Style" w:hAnsi="Bookman Old Style"/>
        </w:rPr>
        <w:t xml:space="preserve"> </w:t>
      </w:r>
      <w:r w:rsidR="00C655F5">
        <w:rPr>
          <w:rFonts w:ascii="Bookman Old Style" w:hAnsi="Bookman Old Style"/>
        </w:rPr>
        <w:t>is</w:t>
      </w:r>
      <w:r w:rsidR="00A71F77">
        <w:rPr>
          <w:rFonts w:ascii="Bookman Old Style" w:hAnsi="Bookman Old Style"/>
        </w:rPr>
        <w:t xml:space="preserve"> </w:t>
      </w:r>
      <w:r w:rsidR="006E07A1">
        <w:rPr>
          <w:rFonts w:ascii="Bookman Old Style" w:hAnsi="Bookman Old Style"/>
        </w:rPr>
        <w:t xml:space="preserve">a </w:t>
      </w:r>
      <w:r w:rsidR="00A71F77">
        <w:rPr>
          <w:rFonts w:ascii="Bookman Old Style" w:hAnsi="Bookman Old Style"/>
        </w:rPr>
        <w:t>consultative</w:t>
      </w:r>
      <w:r w:rsidR="006E07A1">
        <w:rPr>
          <w:rFonts w:ascii="Bookman Old Style" w:hAnsi="Bookman Old Style"/>
        </w:rPr>
        <w:t xml:space="preserve"> one</w:t>
      </w:r>
      <w:r w:rsidR="00C655F5">
        <w:rPr>
          <w:rFonts w:ascii="Bookman Old Style" w:hAnsi="Bookman Old Style"/>
        </w:rPr>
        <w:t xml:space="preserve">, not a consensus process where majority voting will drive decisions.  </w:t>
      </w:r>
      <w:r w:rsidR="00A71F77">
        <w:rPr>
          <w:rFonts w:ascii="Bookman Old Style" w:hAnsi="Bookman Old Style"/>
        </w:rPr>
        <w:t xml:space="preserve">PSE </w:t>
      </w:r>
      <w:r w:rsidR="005533F5">
        <w:rPr>
          <w:rFonts w:ascii="Bookman Old Style" w:hAnsi="Bookman Old Style"/>
        </w:rPr>
        <w:t>bears full</w:t>
      </w:r>
      <w:r w:rsidR="00A71F77">
        <w:rPr>
          <w:rFonts w:ascii="Bookman Old Style" w:hAnsi="Bookman Old Style"/>
        </w:rPr>
        <w:t xml:space="preserve"> </w:t>
      </w:r>
      <w:r w:rsidR="005533F5">
        <w:rPr>
          <w:rFonts w:ascii="Bookman Old Style" w:hAnsi="Bookman Old Style"/>
        </w:rPr>
        <w:t>responsibility</w:t>
      </w:r>
      <w:r w:rsidR="00A71F77">
        <w:rPr>
          <w:rFonts w:ascii="Bookman Old Style" w:hAnsi="Bookman Old Style"/>
        </w:rPr>
        <w:t xml:space="preserve"> for filing an Integrated Resource Plan with the WUTC that complies with WAC 480-90-238 and WAC 480-100-238</w:t>
      </w:r>
      <w:r w:rsidR="00C655F5">
        <w:rPr>
          <w:rFonts w:ascii="Bookman Old Style" w:hAnsi="Bookman Old Style"/>
        </w:rPr>
        <w:t xml:space="preserve">.  Stakeholders need not be experts in compliance to provide helpful advice, but </w:t>
      </w:r>
      <w:r w:rsidR="002317EA">
        <w:rPr>
          <w:rFonts w:ascii="Bookman Old Style" w:hAnsi="Bookman Old Style"/>
        </w:rPr>
        <w:t xml:space="preserve">the IRP is ultimately a compliance filing </w:t>
      </w:r>
      <w:r w:rsidR="006E07A1">
        <w:rPr>
          <w:rFonts w:ascii="Bookman Old Style" w:hAnsi="Bookman Old Style"/>
        </w:rPr>
        <w:t>for which P</w:t>
      </w:r>
      <w:r w:rsidR="00C655F5">
        <w:rPr>
          <w:rFonts w:ascii="Bookman Old Style" w:hAnsi="Bookman Old Style"/>
        </w:rPr>
        <w:t xml:space="preserve">SE </w:t>
      </w:r>
      <w:r w:rsidR="006E07A1">
        <w:rPr>
          <w:rFonts w:ascii="Bookman Old Style" w:hAnsi="Bookman Old Style"/>
        </w:rPr>
        <w:t xml:space="preserve">is </w:t>
      </w:r>
      <w:r w:rsidR="002317EA">
        <w:rPr>
          <w:rFonts w:ascii="Bookman Old Style" w:hAnsi="Bookman Old Style"/>
        </w:rPr>
        <w:t xml:space="preserve">responsible.  </w:t>
      </w:r>
      <w:r w:rsidR="00C655F5">
        <w:rPr>
          <w:rFonts w:ascii="Bookman Old Style" w:hAnsi="Bookman Old Style"/>
        </w:rPr>
        <w:t xml:space="preserve">Additionally, </w:t>
      </w:r>
      <w:r w:rsidR="00A71F77">
        <w:rPr>
          <w:rFonts w:ascii="Bookman Old Style" w:hAnsi="Bookman Old Style"/>
        </w:rPr>
        <w:t xml:space="preserve">PSE </w:t>
      </w:r>
      <w:r w:rsidR="00C655F5">
        <w:rPr>
          <w:rFonts w:ascii="Bookman Old Style" w:hAnsi="Bookman Old Style"/>
        </w:rPr>
        <w:t>bears the responsibility for demonstrating the prudence of its resource decisions that will be informed by the IRP; again, stakeholders need not be prudence experts to provide helpful advice</w:t>
      </w:r>
      <w:r w:rsidR="002317EA">
        <w:rPr>
          <w:rFonts w:ascii="Bookman Old Style" w:hAnsi="Bookman Old Style"/>
        </w:rPr>
        <w:t xml:space="preserve"> in the IRP</w:t>
      </w:r>
      <w:r w:rsidR="00C655F5">
        <w:rPr>
          <w:rFonts w:ascii="Bookman Old Style" w:hAnsi="Bookman Old Style"/>
        </w:rPr>
        <w:t xml:space="preserve">, but PSE </w:t>
      </w:r>
      <w:r w:rsidR="002317EA">
        <w:rPr>
          <w:rFonts w:ascii="Bookman Old Style" w:hAnsi="Bookman Old Style"/>
        </w:rPr>
        <w:t xml:space="preserve">will be required to demonstrate prudence in potentially highly contested cases in the future.  </w:t>
      </w:r>
      <w:r w:rsidR="00512206">
        <w:rPr>
          <w:rFonts w:ascii="Bookman Old Style" w:hAnsi="Bookman Old Style"/>
        </w:rPr>
        <w:t>Therefore, PSE will continue to use a consultative process</w:t>
      </w:r>
      <w:r w:rsidR="006D3DA4">
        <w:rPr>
          <w:rFonts w:ascii="Bookman Old Style" w:hAnsi="Bookman Old Style"/>
        </w:rPr>
        <w:t xml:space="preserve"> while </w:t>
      </w:r>
      <w:r w:rsidR="006D3DA4">
        <w:rPr>
          <w:rFonts w:ascii="Bookman Old Style" w:hAnsi="Bookman Old Style"/>
        </w:rPr>
        <w:lastRenderedPageBreak/>
        <w:t xml:space="preserve">improving </w:t>
      </w:r>
      <w:r w:rsidR="00512206">
        <w:rPr>
          <w:rFonts w:ascii="Bookman Old Style" w:hAnsi="Bookman Old Style"/>
        </w:rPr>
        <w:t>transparency and communication</w:t>
      </w:r>
      <w:r w:rsidR="006D3DA4">
        <w:rPr>
          <w:rFonts w:ascii="Bookman Old Style" w:hAnsi="Bookman Old Style"/>
        </w:rPr>
        <w:t>,</w:t>
      </w:r>
      <w:r>
        <w:rPr>
          <w:rFonts w:ascii="Bookman Old Style" w:hAnsi="Bookman Old Style"/>
        </w:rPr>
        <w:t xml:space="preserve"> so all participants can derive greater value from </w:t>
      </w:r>
      <w:r w:rsidR="006E07A1">
        <w:rPr>
          <w:rFonts w:ascii="Bookman Old Style" w:hAnsi="Bookman Old Style"/>
        </w:rPr>
        <w:t>PSE’s</w:t>
      </w:r>
      <w:r>
        <w:rPr>
          <w:rFonts w:ascii="Bookman Old Style" w:hAnsi="Bookman Old Style"/>
        </w:rPr>
        <w:t xml:space="preserve"> IRP</w:t>
      </w:r>
      <w:r w:rsidR="006E07A1">
        <w:rPr>
          <w:rFonts w:ascii="Bookman Old Style" w:hAnsi="Bookman Old Style"/>
        </w:rPr>
        <w:t xml:space="preserve"> process</w:t>
      </w:r>
      <w:r>
        <w:rPr>
          <w:rFonts w:ascii="Bookman Old Style" w:hAnsi="Bookman Old Style"/>
        </w:rPr>
        <w:t xml:space="preserve">.  </w:t>
      </w:r>
    </w:p>
    <w:p w14:paraId="245479E4" w14:textId="77777777" w:rsidR="00E177BA" w:rsidRDefault="00E177BA" w:rsidP="00D25DAE">
      <w:pPr>
        <w:rPr>
          <w:rFonts w:ascii="Bookman Old Style" w:hAnsi="Bookman Old Style"/>
        </w:rPr>
      </w:pPr>
    </w:p>
    <w:p w14:paraId="245479E5" w14:textId="77777777" w:rsidR="00E177BA" w:rsidRDefault="00E177BA" w:rsidP="00D25DAE">
      <w:pPr>
        <w:rPr>
          <w:rFonts w:ascii="Bookman Old Style" w:hAnsi="Bookman Old Style"/>
        </w:rPr>
      </w:pPr>
      <w:r>
        <w:rPr>
          <w:rFonts w:ascii="Bookman Old Style" w:hAnsi="Bookman Old Style"/>
        </w:rPr>
        <w:t>Appendix B outlines the initial ground rules for PSE</w:t>
      </w:r>
      <w:r w:rsidR="003D459C">
        <w:rPr>
          <w:rFonts w:ascii="Bookman Old Style" w:hAnsi="Bookman Old Style"/>
        </w:rPr>
        <w:t xml:space="preserve"> IRPAG and TAC meetings. </w:t>
      </w:r>
      <w:r>
        <w:rPr>
          <w:rFonts w:ascii="Bookman Old Style" w:hAnsi="Bookman Old Style"/>
        </w:rPr>
        <w:t xml:space="preserve"> </w:t>
      </w:r>
      <w:r w:rsidR="003D459C">
        <w:rPr>
          <w:rFonts w:ascii="Bookman Old Style" w:hAnsi="Bookman Old Style"/>
        </w:rPr>
        <w:t>These rules were discussed during the 2017 IRPAG kick-off meeting and agreed to that a good faith effort by all stakeholders to adhere to t</w:t>
      </w:r>
      <w:r>
        <w:rPr>
          <w:rFonts w:ascii="Bookman Old Style" w:hAnsi="Bookman Old Style"/>
        </w:rPr>
        <w:t xml:space="preserve">hese ground rules </w:t>
      </w:r>
      <w:r w:rsidR="003D459C">
        <w:rPr>
          <w:rFonts w:ascii="Bookman Old Style" w:hAnsi="Bookman Old Style"/>
        </w:rPr>
        <w:t xml:space="preserve">will help to ensure a productive use of the meeting time.  </w:t>
      </w:r>
    </w:p>
    <w:p w14:paraId="245479E6" w14:textId="77777777" w:rsidR="003D459C" w:rsidRDefault="003D459C" w:rsidP="00D25DAE">
      <w:pPr>
        <w:rPr>
          <w:rFonts w:ascii="Bookman Old Style" w:hAnsi="Bookman Old Style"/>
        </w:rPr>
      </w:pPr>
    </w:p>
    <w:p w14:paraId="245479E7" w14:textId="77777777" w:rsidR="003D459C" w:rsidRDefault="003D459C" w:rsidP="00D25DAE">
      <w:pPr>
        <w:rPr>
          <w:rFonts w:ascii="Bookman Old Style" w:hAnsi="Bookman Old Style"/>
        </w:rPr>
      </w:pPr>
      <w:r>
        <w:rPr>
          <w:rFonts w:ascii="Bookman Old Style" w:hAnsi="Bookman Old Style"/>
        </w:rPr>
        <w:t xml:space="preserve">Appendix C provides further description of the various advisory groups and committees that will help to inform the 2017 IRP process.  </w:t>
      </w:r>
    </w:p>
    <w:p w14:paraId="245479E8" w14:textId="77777777" w:rsidR="00EB3A79" w:rsidRDefault="00EB3A79" w:rsidP="00D25DAE">
      <w:pPr>
        <w:rPr>
          <w:rFonts w:ascii="Bookman Old Style" w:hAnsi="Bookman Old Style"/>
        </w:rPr>
      </w:pPr>
    </w:p>
    <w:p w14:paraId="245479E9" w14:textId="77777777" w:rsidR="00346D03" w:rsidRDefault="00346D03" w:rsidP="000D08D5">
      <w:pPr>
        <w:rPr>
          <w:rFonts w:ascii="Bookman Old Style" w:hAnsi="Bookman Old Style"/>
        </w:rPr>
      </w:pPr>
    </w:p>
    <w:p w14:paraId="245479EA" w14:textId="77777777" w:rsidR="003E092B" w:rsidRPr="003D0F7F" w:rsidRDefault="006C749B">
      <w:pPr>
        <w:rPr>
          <w:rFonts w:ascii="Bookman Old Style" w:hAnsi="Bookman Old Style"/>
          <w:b/>
        </w:rPr>
      </w:pPr>
      <w:r w:rsidRPr="003D0F7F">
        <w:rPr>
          <w:rFonts w:ascii="Bookman Old Style" w:hAnsi="Bookman Old Style"/>
          <w:b/>
        </w:rPr>
        <w:t>SECTION I</w:t>
      </w:r>
      <w:r w:rsidR="001C6AC7" w:rsidRPr="003D0F7F">
        <w:rPr>
          <w:rFonts w:ascii="Bookman Old Style" w:hAnsi="Bookman Old Style"/>
          <w:b/>
        </w:rPr>
        <w:t>I</w:t>
      </w:r>
      <w:r w:rsidRPr="003D0F7F">
        <w:rPr>
          <w:rFonts w:ascii="Bookman Old Style" w:hAnsi="Bookman Old Style"/>
          <w:b/>
        </w:rPr>
        <w:t xml:space="preserve">:  </w:t>
      </w:r>
      <w:r w:rsidR="003E092B" w:rsidRPr="003D0F7F">
        <w:rPr>
          <w:rFonts w:ascii="Bookman Old Style" w:hAnsi="Bookman Old Style"/>
          <w:b/>
        </w:rPr>
        <w:t>METHODS FOR ASSESSING RESOURCES</w:t>
      </w:r>
    </w:p>
    <w:p w14:paraId="245479EB" w14:textId="77777777" w:rsidR="00C14326" w:rsidRPr="003D0F7F" w:rsidRDefault="00C14326" w:rsidP="00802AF2">
      <w:pPr>
        <w:pStyle w:val="BodyTextIndent"/>
        <w:ind w:left="0"/>
        <w:rPr>
          <w:b/>
          <w:i/>
          <w:sz w:val="24"/>
        </w:rPr>
      </w:pPr>
    </w:p>
    <w:p w14:paraId="245479EC" w14:textId="77777777" w:rsidR="009F3E84" w:rsidRPr="003D0F7F" w:rsidRDefault="009F3E84" w:rsidP="00802AF2">
      <w:pPr>
        <w:pStyle w:val="BodyTextIndent"/>
        <w:ind w:left="0"/>
        <w:rPr>
          <w:b/>
          <w:i/>
          <w:sz w:val="24"/>
        </w:rPr>
      </w:pPr>
      <w:r w:rsidRPr="003D0F7F">
        <w:rPr>
          <w:b/>
          <w:i/>
          <w:sz w:val="24"/>
        </w:rPr>
        <w:t>Overview of Analytical Approach</w:t>
      </w:r>
    </w:p>
    <w:p w14:paraId="245479ED" w14:textId="77777777" w:rsidR="009F3E84" w:rsidRPr="003D0F7F" w:rsidRDefault="009F3E84" w:rsidP="00802AF2">
      <w:pPr>
        <w:pStyle w:val="BodyTextIndent"/>
        <w:ind w:left="0"/>
        <w:rPr>
          <w:sz w:val="24"/>
        </w:rPr>
      </w:pPr>
    </w:p>
    <w:p w14:paraId="245479EE" w14:textId="77777777" w:rsidR="00802AF2" w:rsidRPr="003D0F7F" w:rsidRDefault="00802AF2" w:rsidP="00802AF2">
      <w:pPr>
        <w:pStyle w:val="BodyTextIndent"/>
        <w:ind w:left="0"/>
        <w:rPr>
          <w:sz w:val="24"/>
        </w:rPr>
      </w:pPr>
      <w:r w:rsidRPr="003D0F7F">
        <w:rPr>
          <w:sz w:val="24"/>
        </w:rPr>
        <w:t>PSE’s demand-side and supply-side resource analyses are well integrated, as are the Company’s electric and gas resource planning efforts.  Common assumptions and similar analytical approaches are used</w:t>
      </w:r>
      <w:r w:rsidR="00777276" w:rsidRPr="003D0F7F">
        <w:rPr>
          <w:sz w:val="24"/>
        </w:rPr>
        <w:t xml:space="preserve"> in our electric and gas planning efforts</w:t>
      </w:r>
      <w:r w:rsidRPr="003D0F7F">
        <w:rPr>
          <w:sz w:val="24"/>
        </w:rPr>
        <w:t xml:space="preserve">.  </w:t>
      </w:r>
      <w:r w:rsidRPr="00FF521F">
        <w:rPr>
          <w:color w:val="000000" w:themeColor="text1"/>
          <w:sz w:val="24"/>
        </w:rPr>
        <w:t>A</w:t>
      </w:r>
      <w:r w:rsidR="004208EC" w:rsidRPr="00FF521F">
        <w:rPr>
          <w:color w:val="000000" w:themeColor="text1"/>
          <w:sz w:val="24"/>
        </w:rPr>
        <w:t>ppendix</w:t>
      </w:r>
      <w:r w:rsidRPr="00FF521F">
        <w:rPr>
          <w:color w:val="000000" w:themeColor="text1"/>
          <w:sz w:val="24"/>
        </w:rPr>
        <w:t xml:space="preserve"> </w:t>
      </w:r>
      <w:r w:rsidR="0056133E">
        <w:rPr>
          <w:color w:val="000000" w:themeColor="text1"/>
          <w:sz w:val="24"/>
        </w:rPr>
        <w:t>D</w:t>
      </w:r>
      <w:r w:rsidRPr="003D0F7F">
        <w:rPr>
          <w:sz w:val="24"/>
        </w:rPr>
        <w:t xml:space="preserve"> is a diagram that illustrates how PSE plans to perform the quantitative analysis for this </w:t>
      </w:r>
      <w:r w:rsidR="00466595" w:rsidRPr="003D0F7F">
        <w:rPr>
          <w:sz w:val="24"/>
        </w:rPr>
        <w:t>201</w:t>
      </w:r>
      <w:r w:rsidR="00E177BA">
        <w:rPr>
          <w:sz w:val="24"/>
        </w:rPr>
        <w:t>7</w:t>
      </w:r>
      <w:r w:rsidR="00466595" w:rsidRPr="003D0F7F">
        <w:rPr>
          <w:sz w:val="24"/>
        </w:rPr>
        <w:t xml:space="preserve"> </w:t>
      </w:r>
      <w:r w:rsidRPr="003D0F7F">
        <w:rPr>
          <w:sz w:val="24"/>
        </w:rPr>
        <w:t>IRP.</w:t>
      </w:r>
      <w:r w:rsidR="000E1D5E">
        <w:rPr>
          <w:sz w:val="24"/>
        </w:rPr>
        <w:t xml:space="preserve">  Appendix </w:t>
      </w:r>
      <w:r w:rsidR="0056133E">
        <w:rPr>
          <w:sz w:val="24"/>
        </w:rPr>
        <w:t>D</w:t>
      </w:r>
      <w:r w:rsidR="000E1D5E">
        <w:rPr>
          <w:sz w:val="24"/>
        </w:rPr>
        <w:t xml:space="preserve"> also includes a table summarizing the different parts of the Company that contribute to the IRP process.</w:t>
      </w:r>
    </w:p>
    <w:p w14:paraId="245479EF" w14:textId="77777777" w:rsidR="00802AF2" w:rsidRPr="003D0F7F" w:rsidRDefault="00802AF2" w:rsidP="00802AF2">
      <w:pPr>
        <w:rPr>
          <w:rFonts w:ascii="Bookman Old Style" w:hAnsi="Bookman Old Style"/>
        </w:rPr>
      </w:pPr>
    </w:p>
    <w:p w14:paraId="245479F0" w14:textId="77777777" w:rsidR="00802AF2" w:rsidRPr="003D0F7F" w:rsidRDefault="00802AF2" w:rsidP="00802AF2">
      <w:pPr>
        <w:rPr>
          <w:rFonts w:ascii="Bookman Old Style" w:hAnsi="Bookman Old Style"/>
        </w:rPr>
      </w:pPr>
      <w:r w:rsidRPr="003D0F7F">
        <w:rPr>
          <w:rFonts w:ascii="Bookman Old Style" w:hAnsi="Bookman Old Style"/>
        </w:rPr>
        <w:t xml:space="preserve">Uncertainty will be addressed in two ways, consistent with PSE’s </w:t>
      </w:r>
      <w:r w:rsidR="00E1125D">
        <w:rPr>
          <w:rFonts w:ascii="Bookman Old Style" w:hAnsi="Bookman Old Style"/>
        </w:rPr>
        <w:t>resource plans</w:t>
      </w:r>
      <w:r w:rsidR="00F95D2D">
        <w:rPr>
          <w:rFonts w:ascii="Bookman Old Style" w:hAnsi="Bookman Old Style"/>
        </w:rPr>
        <w:t xml:space="preserve"> </w:t>
      </w:r>
      <w:r w:rsidR="003D459C">
        <w:rPr>
          <w:rFonts w:ascii="Bookman Old Style" w:hAnsi="Bookman Old Style"/>
        </w:rPr>
        <w:t xml:space="preserve">dating </w:t>
      </w:r>
      <w:r w:rsidR="00F95D2D">
        <w:rPr>
          <w:rFonts w:ascii="Bookman Old Style" w:hAnsi="Bookman Old Style"/>
        </w:rPr>
        <w:t xml:space="preserve">back to </w:t>
      </w:r>
      <w:r w:rsidRPr="003D0F7F">
        <w:rPr>
          <w:rFonts w:ascii="Bookman Old Style" w:hAnsi="Bookman Old Style"/>
        </w:rPr>
        <w:t>2003</w:t>
      </w:r>
      <w:r w:rsidR="003D459C">
        <w:rPr>
          <w:rFonts w:ascii="Bookman Old Style" w:hAnsi="Bookman Old Style"/>
        </w:rPr>
        <w:t>:</w:t>
      </w:r>
      <w:r w:rsidRPr="003D0F7F">
        <w:rPr>
          <w:rFonts w:ascii="Bookman Old Style" w:hAnsi="Bookman Old Style"/>
        </w:rPr>
        <w:t xml:space="preserve">  </w:t>
      </w:r>
      <w:r w:rsidR="003D459C">
        <w:rPr>
          <w:rFonts w:ascii="Bookman Old Style" w:hAnsi="Bookman Old Style"/>
        </w:rPr>
        <w:t xml:space="preserve">1) </w:t>
      </w:r>
      <w:r w:rsidRPr="003D0F7F">
        <w:rPr>
          <w:rFonts w:ascii="Bookman Old Style" w:hAnsi="Bookman Old Style"/>
        </w:rPr>
        <w:t xml:space="preserve">Potential futures will be reflected in scenarios that will have different fuel prices, carbon costs, resource costs, environmental policies, etc..  </w:t>
      </w:r>
      <w:r w:rsidR="003D459C">
        <w:rPr>
          <w:rFonts w:ascii="Bookman Old Style" w:hAnsi="Bookman Old Style"/>
        </w:rPr>
        <w:t xml:space="preserve">2) </w:t>
      </w:r>
      <w:r w:rsidR="00C27E75">
        <w:rPr>
          <w:rFonts w:ascii="Bookman Old Style" w:hAnsi="Bookman Old Style"/>
        </w:rPr>
        <w:t>Sensitivities will also be used</w:t>
      </w:r>
      <w:r w:rsidR="00AE5DBF">
        <w:rPr>
          <w:rFonts w:ascii="Bookman Old Style" w:hAnsi="Bookman Old Style"/>
        </w:rPr>
        <w:t xml:space="preserve">.  Sensitivities </w:t>
      </w:r>
      <w:r w:rsidR="00C27E75">
        <w:rPr>
          <w:rFonts w:ascii="Bookman Old Style" w:hAnsi="Bookman Old Style"/>
        </w:rPr>
        <w:t>are similar to scenarios, but focus on impact of one variable; i.e., sensitivity analyses examine implications of key variables “all else equal”</w:t>
      </w:r>
      <w:r w:rsidR="00F95D2D">
        <w:rPr>
          <w:rFonts w:ascii="Bookman Old Style" w:hAnsi="Bookman Old Style"/>
        </w:rPr>
        <w:t xml:space="preserve"> such as changing natural gas prices or the resource additions in a portfolio</w:t>
      </w:r>
      <w:r w:rsidR="00C27E75">
        <w:rPr>
          <w:rFonts w:ascii="Bookman Old Style" w:hAnsi="Bookman Old Style"/>
        </w:rPr>
        <w:t xml:space="preserve">.  </w:t>
      </w:r>
      <w:r w:rsidR="004250D9" w:rsidRPr="003D0F7F">
        <w:rPr>
          <w:rFonts w:ascii="Bookman Old Style" w:hAnsi="Bookman Old Style"/>
        </w:rPr>
        <w:t xml:space="preserve">Understanding how different potential futures </w:t>
      </w:r>
      <w:r w:rsidR="00C27E75">
        <w:rPr>
          <w:rFonts w:ascii="Bookman Old Style" w:hAnsi="Bookman Old Style"/>
        </w:rPr>
        <w:t xml:space="preserve">and factors </w:t>
      </w:r>
      <w:r w:rsidR="004250D9" w:rsidRPr="003D0F7F">
        <w:rPr>
          <w:rFonts w:ascii="Bookman Old Style" w:hAnsi="Bookman Old Style"/>
        </w:rPr>
        <w:t>affect resource strategies</w:t>
      </w:r>
      <w:r w:rsidR="00F95D2D">
        <w:rPr>
          <w:rFonts w:ascii="Bookman Old Style" w:hAnsi="Bookman Old Style"/>
        </w:rPr>
        <w:t>, costs, emissions, and cost risks</w:t>
      </w:r>
      <w:r w:rsidR="004250D9" w:rsidRPr="003D0F7F">
        <w:rPr>
          <w:rFonts w:ascii="Bookman Old Style" w:hAnsi="Bookman Old Style"/>
        </w:rPr>
        <w:t xml:space="preserve"> is the focus of this analysis.  </w:t>
      </w:r>
    </w:p>
    <w:p w14:paraId="245479F1" w14:textId="77777777" w:rsidR="00802AF2" w:rsidRPr="003D0F7F" w:rsidRDefault="00802AF2" w:rsidP="00802AF2">
      <w:pPr>
        <w:ind w:left="360"/>
        <w:rPr>
          <w:rFonts w:ascii="Bookman Old Style" w:hAnsi="Bookman Old Style"/>
        </w:rPr>
      </w:pPr>
    </w:p>
    <w:p w14:paraId="245479F2" w14:textId="77777777" w:rsidR="00802AF2" w:rsidRPr="003D0F7F" w:rsidRDefault="00802AF2" w:rsidP="009F3E84">
      <w:pPr>
        <w:rPr>
          <w:rFonts w:ascii="Bookman Old Style" w:hAnsi="Bookman Old Style"/>
        </w:rPr>
      </w:pPr>
      <w:r w:rsidRPr="003D0F7F">
        <w:rPr>
          <w:rFonts w:ascii="Bookman Old Style" w:hAnsi="Bookman Old Style"/>
        </w:rPr>
        <w:t xml:space="preserve">Stochastic analysis will </w:t>
      </w:r>
      <w:r w:rsidR="00777276" w:rsidRPr="003D0F7F">
        <w:rPr>
          <w:rFonts w:ascii="Bookman Old Style" w:hAnsi="Bookman Old Style"/>
        </w:rPr>
        <w:t xml:space="preserve">be used in addition to </w:t>
      </w:r>
      <w:r w:rsidR="00C27E75">
        <w:rPr>
          <w:rFonts w:ascii="Bookman Old Style" w:hAnsi="Bookman Old Style"/>
        </w:rPr>
        <w:t xml:space="preserve">deterministic </w:t>
      </w:r>
      <w:r w:rsidR="00777276" w:rsidRPr="003D0F7F">
        <w:rPr>
          <w:rFonts w:ascii="Bookman Old Style" w:hAnsi="Bookman Old Style"/>
        </w:rPr>
        <w:t xml:space="preserve">scenario </w:t>
      </w:r>
      <w:r w:rsidR="00C27E75">
        <w:rPr>
          <w:rFonts w:ascii="Bookman Old Style" w:hAnsi="Bookman Old Style"/>
        </w:rPr>
        <w:t xml:space="preserve">and sensitivity </w:t>
      </w:r>
      <w:r w:rsidR="00777276" w:rsidRPr="003D0F7F">
        <w:rPr>
          <w:rFonts w:ascii="Bookman Old Style" w:hAnsi="Bookman Old Style"/>
        </w:rPr>
        <w:t xml:space="preserve">analysis.  Stochastic analysis is helpful to understand the impact on </w:t>
      </w:r>
      <w:r w:rsidR="00B4309C" w:rsidRPr="003D0F7F">
        <w:rPr>
          <w:rFonts w:ascii="Bookman Old Style" w:hAnsi="Bookman Old Style"/>
        </w:rPr>
        <w:t xml:space="preserve">the risk and volatility of costs </w:t>
      </w:r>
      <w:r w:rsidR="00777276" w:rsidRPr="003D0F7F">
        <w:rPr>
          <w:rFonts w:ascii="Bookman Old Style" w:hAnsi="Bookman Old Style"/>
        </w:rPr>
        <w:t xml:space="preserve">that different resource types may have on the Company’s long term portfolio.  </w:t>
      </w:r>
    </w:p>
    <w:p w14:paraId="245479F3" w14:textId="77777777" w:rsidR="004A2544" w:rsidRPr="003D0F7F" w:rsidRDefault="00DD09D1">
      <w:pPr>
        <w:rPr>
          <w:rFonts w:ascii="Bookman Old Style" w:hAnsi="Bookman Old Style"/>
        </w:rPr>
      </w:pPr>
      <w:r w:rsidRPr="003D0F7F">
        <w:rPr>
          <w:rFonts w:ascii="Bookman Old Style" w:hAnsi="Bookman Old Style"/>
        </w:rPr>
        <w:br w:type="page"/>
      </w:r>
    </w:p>
    <w:p w14:paraId="245479F4" w14:textId="77777777" w:rsidR="004A2544" w:rsidRPr="003D0F7F" w:rsidRDefault="006C749B" w:rsidP="006C749B">
      <w:pPr>
        <w:rPr>
          <w:rFonts w:ascii="Bookman Old Style" w:hAnsi="Bookman Old Style"/>
          <w:b/>
        </w:rPr>
      </w:pPr>
      <w:r w:rsidRPr="003D0F7F">
        <w:rPr>
          <w:rFonts w:ascii="Bookman Old Style" w:hAnsi="Bookman Old Style"/>
          <w:b/>
        </w:rPr>
        <w:lastRenderedPageBreak/>
        <w:t xml:space="preserve">SECTION </w:t>
      </w:r>
      <w:r w:rsidR="004208EC" w:rsidRPr="003D0F7F">
        <w:rPr>
          <w:rFonts w:ascii="Bookman Old Style" w:hAnsi="Bookman Old Style"/>
          <w:b/>
        </w:rPr>
        <w:t>I</w:t>
      </w:r>
      <w:r w:rsidRPr="003D0F7F">
        <w:rPr>
          <w:rFonts w:ascii="Bookman Old Style" w:hAnsi="Bookman Old Style"/>
          <w:b/>
        </w:rPr>
        <w:t xml:space="preserve">II:  </w:t>
      </w:r>
      <w:r w:rsidR="00C27E75" w:rsidRPr="003D0F7F">
        <w:rPr>
          <w:rFonts w:ascii="Bookman Old Style" w:hAnsi="Bookman Old Style"/>
          <w:b/>
        </w:rPr>
        <w:t>201</w:t>
      </w:r>
      <w:r w:rsidR="007561CC">
        <w:rPr>
          <w:rFonts w:ascii="Bookman Old Style" w:hAnsi="Bookman Old Style"/>
          <w:b/>
        </w:rPr>
        <w:t>5</w:t>
      </w:r>
      <w:r w:rsidR="00C27E75" w:rsidRPr="003D0F7F">
        <w:rPr>
          <w:rFonts w:ascii="Bookman Old Style" w:hAnsi="Bookman Old Style"/>
          <w:b/>
        </w:rPr>
        <w:t xml:space="preserve"> </w:t>
      </w:r>
      <w:r w:rsidRPr="003D0F7F">
        <w:rPr>
          <w:rFonts w:ascii="Bookman Old Style" w:hAnsi="Bookman Old Style"/>
          <w:b/>
        </w:rPr>
        <w:t>IRP</w:t>
      </w:r>
      <w:r w:rsidR="004A2544" w:rsidRPr="003D0F7F">
        <w:rPr>
          <w:rFonts w:ascii="Bookman Old Style" w:hAnsi="Bookman Old Style"/>
          <w:b/>
        </w:rPr>
        <w:t>-</w:t>
      </w:r>
      <w:r w:rsidRPr="003D0F7F">
        <w:rPr>
          <w:rFonts w:ascii="Bookman Old Style" w:hAnsi="Bookman Old Style"/>
          <w:b/>
        </w:rPr>
        <w:t>CONTENT OUTLINE</w:t>
      </w:r>
    </w:p>
    <w:p w14:paraId="245479F5" w14:textId="77777777" w:rsidR="004A2544" w:rsidRPr="003D0F7F" w:rsidRDefault="004A2544">
      <w:pPr>
        <w:rPr>
          <w:rFonts w:ascii="Bookman Old Style" w:hAnsi="Bookman Old Style"/>
        </w:rPr>
      </w:pPr>
    </w:p>
    <w:p w14:paraId="245479F6" w14:textId="77777777" w:rsidR="004A2544" w:rsidRPr="003D0F7F" w:rsidRDefault="004A2544">
      <w:pPr>
        <w:rPr>
          <w:rFonts w:ascii="Bookman Old Style" w:hAnsi="Bookman Old Style"/>
        </w:rPr>
      </w:pPr>
      <w:r w:rsidRPr="003D0F7F">
        <w:rPr>
          <w:rFonts w:ascii="Bookman Old Style" w:hAnsi="Bookman Old Style"/>
        </w:rPr>
        <w:t xml:space="preserve">The following is a draft outline of the </w:t>
      </w:r>
      <w:r w:rsidR="00466595" w:rsidRPr="003D0F7F">
        <w:rPr>
          <w:rFonts w:ascii="Bookman Old Style" w:hAnsi="Bookman Old Style"/>
        </w:rPr>
        <w:t>201</w:t>
      </w:r>
      <w:r w:rsidR="00FD342F">
        <w:rPr>
          <w:rFonts w:ascii="Bookman Old Style" w:hAnsi="Bookman Old Style"/>
        </w:rPr>
        <w:t>5</w:t>
      </w:r>
      <w:r w:rsidR="00466595" w:rsidRPr="003D0F7F">
        <w:rPr>
          <w:rFonts w:ascii="Bookman Old Style" w:hAnsi="Bookman Old Style"/>
        </w:rPr>
        <w:t xml:space="preserve"> </w:t>
      </w:r>
      <w:r w:rsidRPr="003D0F7F">
        <w:rPr>
          <w:rFonts w:ascii="Bookman Old Style" w:hAnsi="Bookman Old Style"/>
        </w:rPr>
        <w:t xml:space="preserve">IRP.  This </w:t>
      </w:r>
      <w:r w:rsidR="00FD342F">
        <w:rPr>
          <w:rFonts w:ascii="Bookman Old Style" w:hAnsi="Bookman Old Style"/>
        </w:rPr>
        <w:t xml:space="preserve">draft </w:t>
      </w:r>
      <w:r w:rsidRPr="003D0F7F">
        <w:rPr>
          <w:rFonts w:ascii="Bookman Old Style" w:hAnsi="Bookman Old Style"/>
        </w:rPr>
        <w:t xml:space="preserve">is based on PSE’s </w:t>
      </w:r>
      <w:r w:rsidR="00C27E75" w:rsidRPr="003D0F7F">
        <w:rPr>
          <w:rFonts w:ascii="Bookman Old Style" w:hAnsi="Bookman Old Style"/>
        </w:rPr>
        <w:t>20</w:t>
      </w:r>
      <w:r w:rsidR="00C27E75">
        <w:rPr>
          <w:rFonts w:ascii="Bookman Old Style" w:hAnsi="Bookman Old Style"/>
        </w:rPr>
        <w:t>1</w:t>
      </w:r>
      <w:r w:rsidR="00FD342F">
        <w:rPr>
          <w:rFonts w:ascii="Bookman Old Style" w:hAnsi="Bookman Old Style"/>
        </w:rPr>
        <w:t>3</w:t>
      </w:r>
      <w:r w:rsidR="00C27E75" w:rsidRPr="003D0F7F">
        <w:rPr>
          <w:rFonts w:ascii="Bookman Old Style" w:hAnsi="Bookman Old Style"/>
        </w:rPr>
        <w:t xml:space="preserve"> </w:t>
      </w:r>
      <w:r w:rsidR="00E62F22" w:rsidRPr="003D0F7F">
        <w:rPr>
          <w:rFonts w:ascii="Bookman Old Style" w:hAnsi="Bookman Old Style"/>
        </w:rPr>
        <w:t>IRP</w:t>
      </w:r>
      <w:r w:rsidR="00FD342F">
        <w:rPr>
          <w:rFonts w:ascii="Bookman Old Style" w:hAnsi="Bookman Old Style"/>
        </w:rPr>
        <w:t>, modified based on early discussions with stakeholders</w:t>
      </w:r>
      <w:r w:rsidRPr="003D0F7F">
        <w:rPr>
          <w:rFonts w:ascii="Bookman Old Style" w:hAnsi="Bookman Old Style"/>
        </w:rPr>
        <w:t>.  Organizational structure of the final IRP may be revised based on results of analysis and feedback received through the planning process.</w:t>
      </w:r>
    </w:p>
    <w:p w14:paraId="245479F7" w14:textId="77777777" w:rsidR="004A2544" w:rsidRPr="003D0F7F" w:rsidRDefault="004A2544">
      <w:pPr>
        <w:rPr>
          <w:rFonts w:ascii="Bookman Old Style" w:hAnsi="Bookman Old Style"/>
        </w:rPr>
      </w:pPr>
    </w:p>
    <w:p w14:paraId="245479F8" w14:textId="77777777" w:rsidR="004A2544" w:rsidRDefault="004A2544" w:rsidP="00E62F22">
      <w:pPr>
        <w:numPr>
          <w:ilvl w:val="0"/>
          <w:numId w:val="1"/>
        </w:numPr>
        <w:rPr>
          <w:rFonts w:ascii="Bookman Old Style" w:hAnsi="Bookman Old Style"/>
        </w:rPr>
      </w:pPr>
      <w:r w:rsidRPr="003D0F7F">
        <w:rPr>
          <w:rFonts w:ascii="Bookman Old Style" w:hAnsi="Bookman Old Style"/>
        </w:rPr>
        <w:t>Executive Summary</w:t>
      </w:r>
    </w:p>
    <w:p w14:paraId="245479F9" w14:textId="77777777" w:rsidR="00861B37" w:rsidRDefault="00C27E75">
      <w:pPr>
        <w:numPr>
          <w:ilvl w:val="1"/>
          <w:numId w:val="1"/>
        </w:numPr>
        <w:rPr>
          <w:rFonts w:ascii="Bookman Old Style" w:hAnsi="Bookman Old Style"/>
        </w:rPr>
      </w:pPr>
      <w:r>
        <w:rPr>
          <w:rFonts w:ascii="Bookman Old Style" w:hAnsi="Bookman Old Style"/>
        </w:rPr>
        <w:t>Electric Resource Plan</w:t>
      </w:r>
    </w:p>
    <w:p w14:paraId="245479FA" w14:textId="77777777" w:rsidR="00861B37" w:rsidRDefault="00C27E75">
      <w:pPr>
        <w:numPr>
          <w:ilvl w:val="1"/>
          <w:numId w:val="1"/>
        </w:numPr>
        <w:rPr>
          <w:rFonts w:ascii="Bookman Old Style" w:hAnsi="Bookman Old Style"/>
        </w:rPr>
      </w:pPr>
      <w:r>
        <w:rPr>
          <w:rFonts w:ascii="Bookman Old Style" w:hAnsi="Bookman Old Style"/>
        </w:rPr>
        <w:t>Gas Sales Resource Plan</w:t>
      </w:r>
    </w:p>
    <w:p w14:paraId="245479FB" w14:textId="77777777" w:rsidR="00861B37" w:rsidRDefault="00C27E75">
      <w:pPr>
        <w:numPr>
          <w:ilvl w:val="1"/>
          <w:numId w:val="1"/>
        </w:numPr>
        <w:rPr>
          <w:rFonts w:ascii="Bookman Old Style" w:hAnsi="Bookman Old Style"/>
        </w:rPr>
      </w:pPr>
      <w:r>
        <w:rPr>
          <w:rFonts w:ascii="Bookman Old Style" w:hAnsi="Bookman Old Style"/>
        </w:rPr>
        <w:t>Action Plans</w:t>
      </w:r>
    </w:p>
    <w:p w14:paraId="245479FC" w14:textId="77777777" w:rsidR="00C27E75" w:rsidRDefault="00C27E75">
      <w:pPr>
        <w:numPr>
          <w:ilvl w:val="0"/>
          <w:numId w:val="1"/>
        </w:numPr>
        <w:rPr>
          <w:rFonts w:ascii="Bookman Old Style" w:hAnsi="Bookman Old Style"/>
        </w:rPr>
      </w:pPr>
      <w:r>
        <w:rPr>
          <w:rFonts w:ascii="Bookman Old Style" w:hAnsi="Bookman Old Style"/>
        </w:rPr>
        <w:t>Developing the Plan</w:t>
      </w:r>
    </w:p>
    <w:p w14:paraId="245479FD" w14:textId="77777777" w:rsidR="00861B37" w:rsidRDefault="00C27E75">
      <w:pPr>
        <w:numPr>
          <w:ilvl w:val="1"/>
          <w:numId w:val="1"/>
        </w:numPr>
        <w:rPr>
          <w:rFonts w:ascii="Bookman Old Style" w:hAnsi="Bookman Old Style"/>
        </w:rPr>
      </w:pPr>
      <w:r>
        <w:rPr>
          <w:rFonts w:ascii="Bookman Old Style" w:hAnsi="Bookman Old Style"/>
        </w:rPr>
        <w:t>Electric Plan</w:t>
      </w:r>
    </w:p>
    <w:p w14:paraId="245479FE" w14:textId="77777777" w:rsidR="00861B37" w:rsidRDefault="00C27E75">
      <w:pPr>
        <w:numPr>
          <w:ilvl w:val="1"/>
          <w:numId w:val="1"/>
        </w:numPr>
        <w:rPr>
          <w:rFonts w:ascii="Bookman Old Style" w:hAnsi="Bookman Old Style"/>
        </w:rPr>
      </w:pPr>
      <w:r>
        <w:rPr>
          <w:rFonts w:ascii="Bookman Old Style" w:hAnsi="Bookman Old Style"/>
        </w:rPr>
        <w:t>Electric: Results Across Scenarios/Sensitivities</w:t>
      </w:r>
    </w:p>
    <w:p w14:paraId="245479FF" w14:textId="77777777" w:rsidR="00861B37" w:rsidRDefault="003B5137">
      <w:pPr>
        <w:numPr>
          <w:ilvl w:val="1"/>
          <w:numId w:val="1"/>
        </w:numPr>
        <w:rPr>
          <w:rFonts w:ascii="Bookman Old Style" w:hAnsi="Bookman Old Style"/>
        </w:rPr>
      </w:pPr>
      <w:r>
        <w:rPr>
          <w:rFonts w:ascii="Bookman Old Style" w:hAnsi="Bookman Old Style"/>
        </w:rPr>
        <w:t>Other Considerations</w:t>
      </w:r>
    </w:p>
    <w:p w14:paraId="24547A00" w14:textId="77777777" w:rsidR="00861B37" w:rsidRDefault="003B5137">
      <w:pPr>
        <w:numPr>
          <w:ilvl w:val="1"/>
          <w:numId w:val="1"/>
        </w:numPr>
        <w:rPr>
          <w:rFonts w:ascii="Bookman Old Style" w:hAnsi="Bookman Old Style"/>
        </w:rPr>
      </w:pPr>
      <w:r>
        <w:rPr>
          <w:rFonts w:ascii="Bookman Old Style" w:hAnsi="Bookman Old Style"/>
        </w:rPr>
        <w:t>Gas Plan</w:t>
      </w:r>
    </w:p>
    <w:p w14:paraId="24547A01" w14:textId="77777777" w:rsidR="00861B37" w:rsidRDefault="003B5137">
      <w:pPr>
        <w:numPr>
          <w:ilvl w:val="1"/>
          <w:numId w:val="1"/>
        </w:numPr>
        <w:rPr>
          <w:rFonts w:ascii="Bookman Old Style" w:hAnsi="Bookman Old Style"/>
        </w:rPr>
      </w:pPr>
      <w:r>
        <w:rPr>
          <w:rFonts w:ascii="Bookman Old Style" w:hAnsi="Bookman Old Style"/>
        </w:rPr>
        <w:t>Gas Results Across Scenarios</w:t>
      </w:r>
    </w:p>
    <w:p w14:paraId="24547A02" w14:textId="77777777" w:rsidR="004A2544" w:rsidRDefault="00E62F22">
      <w:pPr>
        <w:numPr>
          <w:ilvl w:val="0"/>
          <w:numId w:val="1"/>
        </w:numPr>
        <w:rPr>
          <w:rFonts w:ascii="Bookman Old Style" w:hAnsi="Bookman Old Style"/>
        </w:rPr>
      </w:pPr>
      <w:r w:rsidRPr="003D0F7F">
        <w:rPr>
          <w:rFonts w:ascii="Bookman Old Style" w:hAnsi="Bookman Old Style"/>
        </w:rPr>
        <w:t>Planning Environment</w:t>
      </w:r>
    </w:p>
    <w:p w14:paraId="24547A03" w14:textId="77777777" w:rsidR="00861B37" w:rsidRDefault="003B5137">
      <w:pPr>
        <w:numPr>
          <w:ilvl w:val="1"/>
          <w:numId w:val="1"/>
        </w:numPr>
        <w:rPr>
          <w:rFonts w:ascii="Bookman Old Style" w:hAnsi="Bookman Old Style"/>
        </w:rPr>
      </w:pPr>
      <w:r>
        <w:rPr>
          <w:rFonts w:ascii="Bookman Old Style" w:hAnsi="Bookman Old Style"/>
        </w:rPr>
        <w:t>Economic Environment</w:t>
      </w:r>
    </w:p>
    <w:p w14:paraId="24547A04" w14:textId="77777777" w:rsidR="00861B37" w:rsidRDefault="003B5137">
      <w:pPr>
        <w:numPr>
          <w:ilvl w:val="1"/>
          <w:numId w:val="1"/>
        </w:numPr>
        <w:rPr>
          <w:rFonts w:ascii="Bookman Old Style" w:hAnsi="Bookman Old Style"/>
        </w:rPr>
      </w:pPr>
      <w:r>
        <w:rPr>
          <w:rFonts w:ascii="Bookman Old Style" w:hAnsi="Bookman Old Style"/>
        </w:rPr>
        <w:t>Policy Requirements and Influences</w:t>
      </w:r>
    </w:p>
    <w:p w14:paraId="24547A05" w14:textId="77777777" w:rsidR="00861B37" w:rsidRDefault="003B5137">
      <w:pPr>
        <w:numPr>
          <w:ilvl w:val="1"/>
          <w:numId w:val="1"/>
        </w:numPr>
        <w:rPr>
          <w:rFonts w:ascii="Bookman Old Style" w:hAnsi="Bookman Old Style"/>
        </w:rPr>
      </w:pPr>
      <w:r>
        <w:rPr>
          <w:rFonts w:ascii="Bookman Old Style" w:hAnsi="Bookman Old Style"/>
        </w:rPr>
        <w:t>Resource Considerations</w:t>
      </w:r>
    </w:p>
    <w:p w14:paraId="24547A06" w14:textId="77777777" w:rsidR="004A2544" w:rsidRDefault="00DF59C6">
      <w:pPr>
        <w:numPr>
          <w:ilvl w:val="0"/>
          <w:numId w:val="1"/>
        </w:numPr>
        <w:rPr>
          <w:rFonts w:ascii="Bookman Old Style" w:hAnsi="Bookman Old Style"/>
        </w:rPr>
      </w:pPr>
      <w:r w:rsidRPr="003D0F7F">
        <w:rPr>
          <w:rFonts w:ascii="Bookman Old Style" w:hAnsi="Bookman Old Style"/>
        </w:rPr>
        <w:t>Key Analytical Assumptions</w:t>
      </w:r>
    </w:p>
    <w:p w14:paraId="24547A07" w14:textId="77777777" w:rsidR="00861B37" w:rsidRDefault="003B5137">
      <w:pPr>
        <w:numPr>
          <w:ilvl w:val="1"/>
          <w:numId w:val="1"/>
        </w:numPr>
        <w:rPr>
          <w:rFonts w:ascii="Bookman Old Style" w:hAnsi="Bookman Old Style"/>
        </w:rPr>
      </w:pPr>
      <w:r>
        <w:rPr>
          <w:rFonts w:ascii="Bookman Old Style" w:hAnsi="Bookman Old Style"/>
        </w:rPr>
        <w:t>Key Inputs</w:t>
      </w:r>
    </w:p>
    <w:p w14:paraId="24547A08" w14:textId="77777777" w:rsidR="00861B37" w:rsidRDefault="003B5137">
      <w:pPr>
        <w:numPr>
          <w:ilvl w:val="1"/>
          <w:numId w:val="1"/>
        </w:numPr>
        <w:rPr>
          <w:rFonts w:ascii="Bookman Old Style" w:hAnsi="Bookman Old Style"/>
        </w:rPr>
      </w:pPr>
      <w:r>
        <w:rPr>
          <w:rFonts w:ascii="Bookman Old Style" w:hAnsi="Bookman Old Style"/>
        </w:rPr>
        <w:t>Scenarios/Sensitivities</w:t>
      </w:r>
    </w:p>
    <w:p w14:paraId="24547A09" w14:textId="77777777" w:rsidR="00861B37" w:rsidRDefault="003B5137">
      <w:pPr>
        <w:numPr>
          <w:ilvl w:val="1"/>
          <w:numId w:val="1"/>
        </w:numPr>
        <w:rPr>
          <w:rFonts w:ascii="Bookman Old Style" w:hAnsi="Bookman Old Style"/>
        </w:rPr>
      </w:pPr>
      <w:r>
        <w:rPr>
          <w:rFonts w:ascii="Bookman Old Style" w:hAnsi="Bookman Old Style"/>
        </w:rPr>
        <w:t>Stochastic Assumptions</w:t>
      </w:r>
    </w:p>
    <w:p w14:paraId="24547A0A" w14:textId="77777777" w:rsidR="00861B37" w:rsidRDefault="003B5137">
      <w:pPr>
        <w:numPr>
          <w:ilvl w:val="1"/>
          <w:numId w:val="1"/>
        </w:numPr>
        <w:rPr>
          <w:rFonts w:ascii="Bookman Old Style" w:hAnsi="Bookman Old Style"/>
        </w:rPr>
      </w:pPr>
      <w:r>
        <w:rPr>
          <w:rFonts w:ascii="Bookman Old Style" w:hAnsi="Bookman Old Style"/>
        </w:rPr>
        <w:t>Input Matrices</w:t>
      </w:r>
    </w:p>
    <w:p w14:paraId="24547A0B" w14:textId="77777777" w:rsidR="00861B37" w:rsidRDefault="003B5137">
      <w:pPr>
        <w:numPr>
          <w:ilvl w:val="1"/>
          <w:numId w:val="1"/>
        </w:numPr>
        <w:rPr>
          <w:rFonts w:ascii="Bookman Old Style" w:hAnsi="Bookman Old Style"/>
        </w:rPr>
      </w:pPr>
      <w:r>
        <w:rPr>
          <w:rFonts w:ascii="Bookman Old Style" w:hAnsi="Bookman Old Style"/>
        </w:rPr>
        <w:t>Summary Table of Scenarios and Sensitivity Assumptions</w:t>
      </w:r>
    </w:p>
    <w:p w14:paraId="24547A0C" w14:textId="77777777" w:rsidR="000D08D5" w:rsidRDefault="000D08D5" w:rsidP="005406D2">
      <w:pPr>
        <w:numPr>
          <w:ilvl w:val="0"/>
          <w:numId w:val="1"/>
        </w:numPr>
        <w:rPr>
          <w:rFonts w:ascii="Bookman Old Style" w:hAnsi="Bookman Old Style"/>
        </w:rPr>
      </w:pPr>
      <w:r>
        <w:rPr>
          <w:rFonts w:ascii="Bookman Old Style" w:hAnsi="Bookman Old Style"/>
        </w:rPr>
        <w:t>Load Forecasts</w:t>
      </w:r>
    </w:p>
    <w:p w14:paraId="24547A0D" w14:textId="77777777" w:rsidR="007561CC" w:rsidRDefault="007561CC" w:rsidP="000D08D5">
      <w:pPr>
        <w:numPr>
          <w:ilvl w:val="1"/>
          <w:numId w:val="1"/>
        </w:numPr>
        <w:rPr>
          <w:rFonts w:ascii="Bookman Old Style" w:hAnsi="Bookman Old Style"/>
        </w:rPr>
      </w:pPr>
      <w:r>
        <w:rPr>
          <w:rFonts w:ascii="Bookman Old Style" w:hAnsi="Bookman Old Style"/>
        </w:rPr>
        <w:t>Overview</w:t>
      </w:r>
    </w:p>
    <w:p w14:paraId="24547A0E" w14:textId="77777777" w:rsidR="007561CC" w:rsidRDefault="007561CC" w:rsidP="000D08D5">
      <w:pPr>
        <w:numPr>
          <w:ilvl w:val="1"/>
          <w:numId w:val="1"/>
        </w:numPr>
        <w:rPr>
          <w:rFonts w:ascii="Bookman Old Style" w:hAnsi="Bookman Old Style"/>
        </w:rPr>
      </w:pPr>
      <w:r>
        <w:rPr>
          <w:rFonts w:ascii="Bookman Old Style" w:hAnsi="Bookman Old Style"/>
        </w:rPr>
        <w:t>Methodology: Electric and Gas, Energy and Peaks</w:t>
      </w:r>
    </w:p>
    <w:p w14:paraId="24547A0F" w14:textId="77777777" w:rsidR="000D08D5" w:rsidRDefault="000D08D5" w:rsidP="000D08D5">
      <w:pPr>
        <w:numPr>
          <w:ilvl w:val="1"/>
          <w:numId w:val="1"/>
        </w:numPr>
        <w:rPr>
          <w:rFonts w:ascii="Bookman Old Style" w:hAnsi="Bookman Old Style"/>
        </w:rPr>
      </w:pPr>
      <w:r>
        <w:rPr>
          <w:rFonts w:ascii="Bookman Old Style" w:hAnsi="Bookman Old Style"/>
        </w:rPr>
        <w:t xml:space="preserve"> </w:t>
      </w:r>
      <w:r w:rsidR="007561CC">
        <w:rPr>
          <w:rFonts w:ascii="Bookman Old Style" w:hAnsi="Bookman Old Style"/>
        </w:rPr>
        <w:t>Key Assumptions</w:t>
      </w:r>
    </w:p>
    <w:p w14:paraId="24547A10" w14:textId="77777777" w:rsidR="007561CC" w:rsidRDefault="007561CC" w:rsidP="000D08D5">
      <w:pPr>
        <w:numPr>
          <w:ilvl w:val="1"/>
          <w:numId w:val="1"/>
        </w:numPr>
        <w:rPr>
          <w:rFonts w:ascii="Bookman Old Style" w:hAnsi="Bookman Old Style"/>
        </w:rPr>
      </w:pPr>
      <w:r>
        <w:rPr>
          <w:rFonts w:ascii="Bookman Old Style" w:hAnsi="Bookman Old Style"/>
        </w:rPr>
        <w:t>Results: Load Forecasts</w:t>
      </w:r>
    </w:p>
    <w:p w14:paraId="24547A11" w14:textId="77777777" w:rsidR="007561CC" w:rsidRDefault="007561CC" w:rsidP="000D08D5">
      <w:pPr>
        <w:numPr>
          <w:ilvl w:val="1"/>
          <w:numId w:val="1"/>
        </w:numPr>
        <w:rPr>
          <w:rFonts w:ascii="Bookman Old Style" w:hAnsi="Bookman Old Style"/>
        </w:rPr>
      </w:pPr>
      <w:r>
        <w:rPr>
          <w:rFonts w:ascii="Bookman Old Style" w:hAnsi="Bookman Old Style"/>
        </w:rPr>
        <w:t>Sensitivities to Normal Energy Forecasts Examined—Possible Impacts of Climate Change</w:t>
      </w:r>
    </w:p>
    <w:p w14:paraId="24547A12" w14:textId="77777777" w:rsidR="004A2544" w:rsidRDefault="00C27E75">
      <w:pPr>
        <w:numPr>
          <w:ilvl w:val="0"/>
          <w:numId w:val="1"/>
        </w:numPr>
        <w:rPr>
          <w:rFonts w:ascii="Bookman Old Style" w:hAnsi="Bookman Old Style"/>
        </w:rPr>
      </w:pPr>
      <w:r>
        <w:rPr>
          <w:rFonts w:ascii="Bookman Old Style" w:hAnsi="Bookman Old Style"/>
        </w:rPr>
        <w:t>Electric Analysis</w:t>
      </w:r>
    </w:p>
    <w:p w14:paraId="24547A13" w14:textId="77777777" w:rsidR="00861B37" w:rsidRDefault="003B5137">
      <w:pPr>
        <w:numPr>
          <w:ilvl w:val="1"/>
          <w:numId w:val="1"/>
        </w:numPr>
        <w:rPr>
          <w:rFonts w:ascii="Bookman Old Style" w:hAnsi="Bookman Old Style"/>
        </w:rPr>
      </w:pPr>
      <w:r>
        <w:rPr>
          <w:rFonts w:ascii="Bookman Old Style" w:hAnsi="Bookman Old Style"/>
        </w:rPr>
        <w:t>Resource Needs</w:t>
      </w:r>
    </w:p>
    <w:p w14:paraId="24547A14" w14:textId="77777777" w:rsidR="00861B37" w:rsidRDefault="003B5137">
      <w:pPr>
        <w:numPr>
          <w:ilvl w:val="1"/>
          <w:numId w:val="1"/>
        </w:numPr>
        <w:rPr>
          <w:rFonts w:ascii="Bookman Old Style" w:hAnsi="Bookman Old Style"/>
        </w:rPr>
      </w:pPr>
      <w:r>
        <w:rPr>
          <w:rFonts w:ascii="Bookman Old Style" w:hAnsi="Bookman Old Style"/>
        </w:rPr>
        <w:t>Resource Alternatives</w:t>
      </w:r>
    </w:p>
    <w:p w14:paraId="24547A15" w14:textId="77777777" w:rsidR="00861B37" w:rsidRDefault="003B5137">
      <w:pPr>
        <w:numPr>
          <w:ilvl w:val="1"/>
          <w:numId w:val="1"/>
        </w:numPr>
        <w:rPr>
          <w:rFonts w:ascii="Bookman Old Style" w:hAnsi="Bookman Old Style"/>
        </w:rPr>
      </w:pPr>
      <w:r>
        <w:rPr>
          <w:rFonts w:ascii="Bookman Old Style" w:hAnsi="Bookman Old Style"/>
        </w:rPr>
        <w:t>Analytic Methodologies</w:t>
      </w:r>
    </w:p>
    <w:p w14:paraId="24547A16" w14:textId="77777777" w:rsidR="00861B37" w:rsidRDefault="003B5137">
      <w:pPr>
        <w:numPr>
          <w:ilvl w:val="1"/>
          <w:numId w:val="1"/>
        </w:numPr>
        <w:rPr>
          <w:rFonts w:ascii="Bookman Old Style" w:hAnsi="Bookman Old Style"/>
        </w:rPr>
      </w:pPr>
      <w:r>
        <w:rPr>
          <w:rFonts w:ascii="Bookman Old Style" w:hAnsi="Bookman Old Style"/>
        </w:rPr>
        <w:t>Results</w:t>
      </w:r>
    </w:p>
    <w:p w14:paraId="24547A17" w14:textId="77777777" w:rsidR="00861B37" w:rsidRDefault="003B5137">
      <w:pPr>
        <w:numPr>
          <w:ilvl w:val="1"/>
          <w:numId w:val="1"/>
        </w:numPr>
        <w:rPr>
          <w:rFonts w:ascii="Bookman Old Style" w:hAnsi="Bookman Old Style"/>
        </w:rPr>
      </w:pPr>
      <w:r>
        <w:rPr>
          <w:rFonts w:ascii="Bookman Old Style" w:hAnsi="Bookman Old Style"/>
        </w:rPr>
        <w:t>Key Findings and Insights</w:t>
      </w:r>
    </w:p>
    <w:p w14:paraId="24547A18" w14:textId="77777777" w:rsidR="004A2544" w:rsidRPr="003D0F7F" w:rsidRDefault="00C27E75">
      <w:pPr>
        <w:numPr>
          <w:ilvl w:val="0"/>
          <w:numId w:val="1"/>
        </w:numPr>
        <w:rPr>
          <w:rFonts w:ascii="Bookman Old Style" w:hAnsi="Bookman Old Style"/>
        </w:rPr>
      </w:pPr>
      <w:r>
        <w:rPr>
          <w:rFonts w:ascii="Bookman Old Style" w:hAnsi="Bookman Old Style"/>
        </w:rPr>
        <w:t>Gas Analysis</w:t>
      </w:r>
    </w:p>
    <w:p w14:paraId="24547A19" w14:textId="77777777" w:rsidR="00DF59C6" w:rsidRPr="003D0F7F" w:rsidRDefault="003B5137" w:rsidP="00DF59C6">
      <w:pPr>
        <w:numPr>
          <w:ilvl w:val="1"/>
          <w:numId w:val="1"/>
        </w:numPr>
        <w:rPr>
          <w:rFonts w:ascii="Bookman Old Style" w:hAnsi="Bookman Old Style"/>
        </w:rPr>
      </w:pPr>
      <w:r>
        <w:rPr>
          <w:rFonts w:ascii="Bookman Old Style" w:hAnsi="Bookman Old Style"/>
        </w:rPr>
        <w:t>Gas Resource Needs</w:t>
      </w:r>
    </w:p>
    <w:p w14:paraId="24547A1A" w14:textId="77777777" w:rsidR="00DF59C6" w:rsidRPr="003D0F7F" w:rsidRDefault="003B5137" w:rsidP="00DF59C6">
      <w:pPr>
        <w:numPr>
          <w:ilvl w:val="1"/>
          <w:numId w:val="1"/>
        </w:numPr>
        <w:rPr>
          <w:rFonts w:ascii="Bookman Old Style" w:hAnsi="Bookman Old Style"/>
        </w:rPr>
      </w:pPr>
      <w:r>
        <w:rPr>
          <w:rFonts w:ascii="Bookman Old Style" w:hAnsi="Bookman Old Style"/>
        </w:rPr>
        <w:t>Existing Resources</w:t>
      </w:r>
    </w:p>
    <w:p w14:paraId="24547A1B" w14:textId="77777777" w:rsidR="00DF59C6" w:rsidRPr="003D0F7F" w:rsidRDefault="003B5137" w:rsidP="00DF59C6">
      <w:pPr>
        <w:numPr>
          <w:ilvl w:val="1"/>
          <w:numId w:val="1"/>
        </w:numPr>
        <w:rPr>
          <w:rFonts w:ascii="Bookman Old Style" w:hAnsi="Bookman Old Style"/>
        </w:rPr>
      </w:pPr>
      <w:r>
        <w:rPr>
          <w:rFonts w:ascii="Bookman Old Style" w:hAnsi="Bookman Old Style"/>
        </w:rPr>
        <w:t>Resource Alternatives</w:t>
      </w:r>
    </w:p>
    <w:p w14:paraId="24547A1C" w14:textId="77777777" w:rsidR="00DF59C6" w:rsidRPr="003D0F7F" w:rsidRDefault="003B5137" w:rsidP="00DF59C6">
      <w:pPr>
        <w:numPr>
          <w:ilvl w:val="1"/>
          <w:numId w:val="1"/>
        </w:numPr>
        <w:rPr>
          <w:rFonts w:ascii="Bookman Old Style" w:hAnsi="Bookman Old Style"/>
        </w:rPr>
      </w:pPr>
      <w:r>
        <w:rPr>
          <w:rFonts w:ascii="Bookman Old Style" w:hAnsi="Bookman Old Style"/>
        </w:rPr>
        <w:t>Analytic Methodologies</w:t>
      </w:r>
    </w:p>
    <w:p w14:paraId="24547A1D" w14:textId="77777777" w:rsidR="00DF59C6" w:rsidRPr="003D0F7F" w:rsidRDefault="003B5137" w:rsidP="00DF59C6">
      <w:pPr>
        <w:numPr>
          <w:ilvl w:val="1"/>
          <w:numId w:val="1"/>
        </w:numPr>
        <w:rPr>
          <w:rFonts w:ascii="Bookman Old Style" w:hAnsi="Bookman Old Style"/>
        </w:rPr>
      </w:pPr>
      <w:r>
        <w:rPr>
          <w:rFonts w:ascii="Bookman Old Style" w:hAnsi="Bookman Old Style"/>
        </w:rPr>
        <w:t>Results &amp; Key Findings</w:t>
      </w:r>
    </w:p>
    <w:p w14:paraId="24547A1E" w14:textId="77777777" w:rsidR="004A2544" w:rsidRPr="003D0F7F" w:rsidRDefault="003B5137">
      <w:pPr>
        <w:numPr>
          <w:ilvl w:val="0"/>
          <w:numId w:val="1"/>
        </w:numPr>
        <w:rPr>
          <w:rFonts w:ascii="Bookman Old Style" w:hAnsi="Bookman Old Style"/>
        </w:rPr>
      </w:pPr>
      <w:r>
        <w:rPr>
          <w:rFonts w:ascii="Bookman Old Style" w:hAnsi="Bookman Old Style"/>
        </w:rPr>
        <w:lastRenderedPageBreak/>
        <w:t>Delivery System Infrastructure Planning</w:t>
      </w:r>
    </w:p>
    <w:p w14:paraId="24547A1F" w14:textId="77777777" w:rsidR="003B5137" w:rsidRDefault="003B5137" w:rsidP="00DF59C6">
      <w:pPr>
        <w:numPr>
          <w:ilvl w:val="1"/>
          <w:numId w:val="1"/>
        </w:numPr>
        <w:rPr>
          <w:rFonts w:ascii="Bookman Old Style" w:hAnsi="Bookman Old Style"/>
        </w:rPr>
      </w:pPr>
      <w:r>
        <w:rPr>
          <w:rFonts w:ascii="Bookman Old Style" w:hAnsi="Bookman Old Style"/>
        </w:rPr>
        <w:t>System Overview</w:t>
      </w:r>
    </w:p>
    <w:p w14:paraId="24547A20" w14:textId="77777777" w:rsidR="003B5137" w:rsidRDefault="003B5137" w:rsidP="00DF59C6">
      <w:pPr>
        <w:numPr>
          <w:ilvl w:val="1"/>
          <w:numId w:val="1"/>
        </w:numPr>
        <w:rPr>
          <w:rFonts w:ascii="Bookman Old Style" w:hAnsi="Bookman Old Style"/>
        </w:rPr>
      </w:pPr>
      <w:r>
        <w:rPr>
          <w:rFonts w:ascii="Bookman Old Style" w:hAnsi="Bookman Old Style"/>
        </w:rPr>
        <w:t>Infrastructure Investment Drivers</w:t>
      </w:r>
    </w:p>
    <w:p w14:paraId="24547A21" w14:textId="77777777" w:rsidR="003B5137" w:rsidRDefault="003B5137" w:rsidP="00DF59C6">
      <w:pPr>
        <w:numPr>
          <w:ilvl w:val="1"/>
          <w:numId w:val="1"/>
        </w:numPr>
        <w:rPr>
          <w:rFonts w:ascii="Bookman Old Style" w:hAnsi="Bookman Old Style"/>
        </w:rPr>
      </w:pPr>
      <w:r>
        <w:rPr>
          <w:rFonts w:ascii="Bookman Old Style" w:hAnsi="Bookman Old Style"/>
        </w:rPr>
        <w:t>Planning Process</w:t>
      </w:r>
    </w:p>
    <w:p w14:paraId="24547A22" w14:textId="77777777" w:rsidR="003B5137" w:rsidRDefault="003B5137" w:rsidP="00DF59C6">
      <w:pPr>
        <w:numPr>
          <w:ilvl w:val="1"/>
          <w:numId w:val="1"/>
        </w:numPr>
        <w:rPr>
          <w:rFonts w:ascii="Bookman Old Style" w:hAnsi="Bookman Old Style"/>
        </w:rPr>
      </w:pPr>
      <w:r>
        <w:rPr>
          <w:rFonts w:ascii="Bookman Old Style" w:hAnsi="Bookman Old Style"/>
        </w:rPr>
        <w:t>2013-2023 Infrastructure Plans</w:t>
      </w:r>
    </w:p>
    <w:p w14:paraId="24547A23" w14:textId="77777777" w:rsidR="003B5137" w:rsidRDefault="003B5137" w:rsidP="00DF59C6">
      <w:pPr>
        <w:numPr>
          <w:ilvl w:val="1"/>
          <w:numId w:val="1"/>
        </w:numPr>
        <w:rPr>
          <w:rFonts w:ascii="Bookman Old Style" w:hAnsi="Bookman Old Style"/>
        </w:rPr>
      </w:pPr>
      <w:r>
        <w:rPr>
          <w:rFonts w:ascii="Bookman Old Style" w:hAnsi="Bookman Old Style"/>
        </w:rPr>
        <w:t>Challenges and Opportunities</w:t>
      </w:r>
    </w:p>
    <w:p w14:paraId="24547A24" w14:textId="77777777" w:rsidR="00DB08A2" w:rsidRPr="003D0F7F" w:rsidRDefault="00DB08A2" w:rsidP="00DB08A2">
      <w:pPr>
        <w:rPr>
          <w:rFonts w:ascii="Bookman Old Style" w:hAnsi="Bookman Old Style"/>
        </w:rPr>
      </w:pPr>
    </w:p>
    <w:p w14:paraId="24547A25" w14:textId="77777777" w:rsidR="004A2544" w:rsidRPr="003D0F7F" w:rsidRDefault="00AE5DBF" w:rsidP="00DB08A2">
      <w:pPr>
        <w:rPr>
          <w:rFonts w:ascii="Bookman Old Style" w:hAnsi="Bookman Old Style"/>
        </w:rPr>
      </w:pPr>
      <w:r w:rsidRPr="003D0F7F">
        <w:rPr>
          <w:rFonts w:ascii="Bookman Old Style" w:hAnsi="Bookman Old Style"/>
        </w:rPr>
        <w:t>Appendices</w:t>
      </w:r>
    </w:p>
    <w:p w14:paraId="24547A26" w14:textId="77777777" w:rsidR="004A2544" w:rsidRPr="003D0F7F" w:rsidRDefault="00DB08A2" w:rsidP="00DB08A2">
      <w:pPr>
        <w:numPr>
          <w:ilvl w:val="0"/>
          <w:numId w:val="4"/>
        </w:numPr>
        <w:rPr>
          <w:rFonts w:ascii="Bookman Old Style" w:hAnsi="Bookman Old Style"/>
        </w:rPr>
      </w:pPr>
      <w:r w:rsidRPr="003D0F7F">
        <w:rPr>
          <w:rFonts w:ascii="Bookman Old Style" w:hAnsi="Bookman Old Style"/>
        </w:rPr>
        <w:t>Public Participation</w:t>
      </w:r>
    </w:p>
    <w:p w14:paraId="24547A27" w14:textId="77777777" w:rsidR="004A2544" w:rsidRPr="003D0F7F" w:rsidRDefault="00DB08A2">
      <w:pPr>
        <w:numPr>
          <w:ilvl w:val="0"/>
          <w:numId w:val="4"/>
        </w:numPr>
        <w:rPr>
          <w:rFonts w:ascii="Bookman Old Style" w:hAnsi="Bookman Old Style"/>
        </w:rPr>
      </w:pPr>
      <w:r w:rsidRPr="003D0F7F">
        <w:rPr>
          <w:rFonts w:ascii="Bookman Old Style" w:hAnsi="Bookman Old Style"/>
        </w:rPr>
        <w:t>Legal Requirements</w:t>
      </w:r>
      <w:r w:rsidR="003B5137">
        <w:rPr>
          <w:rFonts w:ascii="Bookman Old Style" w:hAnsi="Bookman Old Style"/>
        </w:rPr>
        <w:t xml:space="preserve"> &amp; Other Reports</w:t>
      </w:r>
    </w:p>
    <w:p w14:paraId="24547A28" w14:textId="77777777" w:rsidR="004A2544" w:rsidRPr="003D0F7F" w:rsidRDefault="00466595">
      <w:pPr>
        <w:numPr>
          <w:ilvl w:val="0"/>
          <w:numId w:val="4"/>
        </w:numPr>
        <w:rPr>
          <w:rFonts w:ascii="Bookman Old Style" w:hAnsi="Bookman Old Style"/>
        </w:rPr>
      </w:pPr>
      <w:r w:rsidRPr="003D0F7F">
        <w:rPr>
          <w:rFonts w:ascii="Bookman Old Style" w:hAnsi="Bookman Old Style"/>
        </w:rPr>
        <w:t xml:space="preserve">Environmental </w:t>
      </w:r>
      <w:r w:rsidR="003B5137">
        <w:rPr>
          <w:rFonts w:ascii="Bookman Old Style" w:hAnsi="Bookman Old Style"/>
        </w:rPr>
        <w:t xml:space="preserve">and Related Regulatory </w:t>
      </w:r>
      <w:r w:rsidRPr="003D0F7F">
        <w:rPr>
          <w:rFonts w:ascii="Bookman Old Style" w:hAnsi="Bookman Old Style"/>
        </w:rPr>
        <w:t>Matters</w:t>
      </w:r>
    </w:p>
    <w:p w14:paraId="24547A29" w14:textId="77777777" w:rsidR="00FB101B" w:rsidRDefault="007561CC" w:rsidP="00FB101B">
      <w:pPr>
        <w:numPr>
          <w:ilvl w:val="0"/>
          <w:numId w:val="4"/>
        </w:numPr>
        <w:rPr>
          <w:rFonts w:ascii="Bookman Old Style" w:hAnsi="Bookman Old Style"/>
        </w:rPr>
      </w:pPr>
      <w:r>
        <w:rPr>
          <w:rFonts w:ascii="Bookman Old Style" w:hAnsi="Bookman Old Style"/>
        </w:rPr>
        <w:t>Electric Resource Alternatives</w:t>
      </w:r>
    </w:p>
    <w:p w14:paraId="24547A2A" w14:textId="77777777" w:rsidR="00563EEF" w:rsidRPr="003D0F7F" w:rsidRDefault="00563EEF" w:rsidP="00FB101B">
      <w:pPr>
        <w:numPr>
          <w:ilvl w:val="0"/>
          <w:numId w:val="4"/>
        </w:numPr>
        <w:rPr>
          <w:rFonts w:ascii="Bookman Old Style" w:hAnsi="Bookman Old Style"/>
        </w:rPr>
      </w:pPr>
      <w:r>
        <w:rPr>
          <w:rFonts w:ascii="Bookman Old Style" w:hAnsi="Bookman Old Style"/>
        </w:rPr>
        <w:t>Demand Forecasting Models</w:t>
      </w:r>
    </w:p>
    <w:p w14:paraId="24547A2B" w14:textId="77777777" w:rsidR="00DB08A2" w:rsidRDefault="003B5137">
      <w:pPr>
        <w:numPr>
          <w:ilvl w:val="0"/>
          <w:numId w:val="4"/>
        </w:numPr>
        <w:rPr>
          <w:rFonts w:ascii="Bookman Old Style" w:hAnsi="Bookman Old Style"/>
        </w:rPr>
      </w:pPr>
      <w:r>
        <w:rPr>
          <w:rFonts w:ascii="Bookman Old Style" w:hAnsi="Bookman Old Style"/>
        </w:rPr>
        <w:t xml:space="preserve">Regional </w:t>
      </w:r>
      <w:r w:rsidR="00563EEF">
        <w:rPr>
          <w:rFonts w:ascii="Bookman Old Style" w:hAnsi="Bookman Old Style"/>
        </w:rPr>
        <w:t>Resource Adequacy Studies</w:t>
      </w:r>
    </w:p>
    <w:p w14:paraId="24547A2C" w14:textId="77777777" w:rsidR="00DB08A2" w:rsidRPr="00563EEF" w:rsidRDefault="00563EEF" w:rsidP="00563EEF">
      <w:pPr>
        <w:numPr>
          <w:ilvl w:val="0"/>
          <w:numId w:val="4"/>
        </w:numPr>
        <w:rPr>
          <w:rFonts w:ascii="Bookman Old Style" w:hAnsi="Bookman Old Style"/>
        </w:rPr>
      </w:pPr>
      <w:r w:rsidRPr="00563EEF">
        <w:rPr>
          <w:rFonts w:ascii="Bookman Old Style" w:hAnsi="Bookman Old Style"/>
        </w:rPr>
        <w:t>Wholesale Market Risk</w:t>
      </w:r>
    </w:p>
    <w:p w14:paraId="24547A2D" w14:textId="77777777" w:rsidR="00DB08A2" w:rsidRPr="003D0F7F" w:rsidRDefault="007561CC">
      <w:pPr>
        <w:numPr>
          <w:ilvl w:val="0"/>
          <w:numId w:val="4"/>
        </w:numPr>
        <w:rPr>
          <w:rFonts w:ascii="Bookman Old Style" w:hAnsi="Bookman Old Style"/>
        </w:rPr>
      </w:pPr>
      <w:r>
        <w:rPr>
          <w:rFonts w:ascii="Bookman Old Style" w:hAnsi="Bookman Old Style"/>
        </w:rPr>
        <w:t>Operational Flexibility</w:t>
      </w:r>
    </w:p>
    <w:p w14:paraId="24547A2E" w14:textId="77777777" w:rsidR="003B5137" w:rsidRDefault="00563EEF">
      <w:pPr>
        <w:numPr>
          <w:ilvl w:val="0"/>
          <w:numId w:val="4"/>
        </w:numPr>
        <w:rPr>
          <w:rFonts w:ascii="Bookman Old Style" w:hAnsi="Bookman Old Style"/>
        </w:rPr>
      </w:pPr>
      <w:r>
        <w:rPr>
          <w:rFonts w:ascii="Bookman Old Style" w:hAnsi="Bookman Old Style"/>
        </w:rPr>
        <w:t>Regional Transmission Resource</w:t>
      </w:r>
    </w:p>
    <w:p w14:paraId="24547A2F" w14:textId="77777777" w:rsidR="007561CC" w:rsidRDefault="00563EEF">
      <w:pPr>
        <w:numPr>
          <w:ilvl w:val="0"/>
          <w:numId w:val="4"/>
        </w:numPr>
        <w:rPr>
          <w:rFonts w:ascii="Bookman Old Style" w:hAnsi="Bookman Old Style"/>
        </w:rPr>
      </w:pPr>
      <w:r>
        <w:rPr>
          <w:rFonts w:ascii="Bookman Old Style" w:hAnsi="Bookman Old Style"/>
        </w:rPr>
        <w:t>Demand-Side Resources</w:t>
      </w:r>
    </w:p>
    <w:p w14:paraId="24547A30" w14:textId="77777777" w:rsidR="007561CC" w:rsidRDefault="007561CC">
      <w:pPr>
        <w:numPr>
          <w:ilvl w:val="0"/>
          <w:numId w:val="4"/>
        </w:numPr>
        <w:rPr>
          <w:rFonts w:ascii="Bookman Old Style" w:hAnsi="Bookman Old Style"/>
        </w:rPr>
      </w:pPr>
      <w:r>
        <w:rPr>
          <w:rFonts w:ascii="Bookman Old Style" w:hAnsi="Bookman Old Style"/>
        </w:rPr>
        <w:t>Colstrip</w:t>
      </w:r>
    </w:p>
    <w:p w14:paraId="24547A31" w14:textId="77777777" w:rsidR="00563EEF" w:rsidRDefault="00563EEF">
      <w:pPr>
        <w:numPr>
          <w:ilvl w:val="0"/>
          <w:numId w:val="4"/>
        </w:numPr>
        <w:rPr>
          <w:rFonts w:ascii="Bookman Old Style" w:hAnsi="Bookman Old Style"/>
        </w:rPr>
      </w:pPr>
      <w:r>
        <w:rPr>
          <w:rFonts w:ascii="Bookman Old Style" w:hAnsi="Bookman Old Style"/>
        </w:rPr>
        <w:t>Electric Energy Storage</w:t>
      </w:r>
    </w:p>
    <w:p w14:paraId="24547A32" w14:textId="77777777" w:rsidR="00563EEF" w:rsidRDefault="00563EEF">
      <w:pPr>
        <w:numPr>
          <w:ilvl w:val="0"/>
          <w:numId w:val="4"/>
        </w:numPr>
        <w:rPr>
          <w:rFonts w:ascii="Bookman Old Style" w:hAnsi="Bookman Old Style"/>
        </w:rPr>
      </w:pPr>
      <w:r>
        <w:rPr>
          <w:rFonts w:ascii="Bookman Old Style" w:hAnsi="Bookman Old Style"/>
        </w:rPr>
        <w:t>Distributed Solar</w:t>
      </w:r>
    </w:p>
    <w:p w14:paraId="24547A33" w14:textId="77777777" w:rsidR="003B5137" w:rsidRDefault="003B5137">
      <w:pPr>
        <w:numPr>
          <w:ilvl w:val="0"/>
          <w:numId w:val="4"/>
        </w:numPr>
        <w:rPr>
          <w:rFonts w:ascii="Bookman Old Style" w:hAnsi="Bookman Old Style"/>
        </w:rPr>
      </w:pPr>
      <w:r>
        <w:rPr>
          <w:rFonts w:ascii="Bookman Old Style" w:hAnsi="Bookman Old Style"/>
        </w:rPr>
        <w:t>Electric Analysis</w:t>
      </w:r>
    </w:p>
    <w:p w14:paraId="24547A34" w14:textId="77777777" w:rsidR="004A2544" w:rsidRDefault="004A2544">
      <w:pPr>
        <w:rPr>
          <w:rFonts w:ascii="Bookman Old Style" w:hAnsi="Bookman Old Style"/>
          <w:sz w:val="22"/>
        </w:rPr>
      </w:pPr>
    </w:p>
    <w:p w14:paraId="24547A35" w14:textId="77777777" w:rsidR="004A2544" w:rsidRDefault="004A2544"/>
    <w:p w14:paraId="24547A36" w14:textId="77777777" w:rsidR="004A2544" w:rsidRDefault="004A2544"/>
    <w:p w14:paraId="24547A37" w14:textId="77777777" w:rsidR="004A2544" w:rsidRDefault="004A2544"/>
    <w:p w14:paraId="24547A38" w14:textId="77777777" w:rsidR="004A2544" w:rsidRDefault="004A2544"/>
    <w:p w14:paraId="24547A39" w14:textId="77777777" w:rsidR="004A2544" w:rsidRDefault="004A2544"/>
    <w:p w14:paraId="24547A3A" w14:textId="77777777" w:rsidR="00AE5DBF" w:rsidRDefault="00AE5DBF">
      <w:r>
        <w:br w:type="page"/>
      </w:r>
    </w:p>
    <w:p w14:paraId="24547A3B" w14:textId="77777777" w:rsidR="004A2544" w:rsidRDefault="004A2544"/>
    <w:p w14:paraId="24547A3C" w14:textId="77777777" w:rsidR="004A2544" w:rsidRDefault="004A2544"/>
    <w:p w14:paraId="24547A3D" w14:textId="77777777" w:rsidR="004A2544" w:rsidRDefault="004A2544"/>
    <w:p w14:paraId="24547A3E" w14:textId="77777777" w:rsidR="004A2544" w:rsidRDefault="004A2544"/>
    <w:p w14:paraId="24547A3F"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24547A40" w14:textId="77777777" w:rsidR="004A2544" w:rsidRDefault="004A2544">
      <w:pPr>
        <w:jc w:val="center"/>
        <w:rPr>
          <w:rFonts w:ascii="Bookman Old Style" w:hAnsi="Bookman Old Style"/>
          <w:sz w:val="44"/>
        </w:rPr>
      </w:pPr>
    </w:p>
    <w:p w14:paraId="24547A41" w14:textId="77777777" w:rsidR="004A2544" w:rsidRDefault="00466595">
      <w:pPr>
        <w:jc w:val="center"/>
        <w:outlineLvl w:val="0"/>
        <w:rPr>
          <w:rFonts w:ascii="Bookman Old Style" w:hAnsi="Bookman Old Style"/>
          <w:sz w:val="44"/>
        </w:rPr>
      </w:pPr>
      <w:r>
        <w:rPr>
          <w:rFonts w:ascii="Bookman Old Style" w:hAnsi="Bookman Old Style"/>
          <w:sz w:val="44"/>
        </w:rPr>
        <w:t>201</w:t>
      </w:r>
      <w:r w:rsidR="003D459C">
        <w:rPr>
          <w:rFonts w:ascii="Bookman Old Style" w:hAnsi="Bookman Old Style"/>
          <w:sz w:val="44"/>
        </w:rPr>
        <w:t>7</w:t>
      </w:r>
      <w:r>
        <w:rPr>
          <w:rFonts w:ascii="Bookman Old Style" w:hAnsi="Bookman Old Style"/>
          <w:sz w:val="44"/>
        </w:rPr>
        <w:t xml:space="preserve"> </w:t>
      </w:r>
      <w:r w:rsidR="004A2544">
        <w:rPr>
          <w:rFonts w:ascii="Bookman Old Style" w:hAnsi="Bookman Old Style"/>
          <w:sz w:val="44"/>
        </w:rPr>
        <w:t>I</w:t>
      </w:r>
      <w:r w:rsidR="004208EC">
        <w:rPr>
          <w:rFonts w:ascii="Bookman Old Style" w:hAnsi="Bookman Old Style"/>
          <w:sz w:val="44"/>
        </w:rPr>
        <w:t>RP Work Plan</w:t>
      </w:r>
    </w:p>
    <w:p w14:paraId="24547A42"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6704" behindDoc="0" locked="0" layoutInCell="0" allowOverlap="1" wp14:anchorId="24547B22" wp14:editId="24547B23">
                <wp:simplePos x="0" y="0"/>
                <wp:positionH relativeFrom="column">
                  <wp:posOffset>228600</wp:posOffset>
                </wp:positionH>
                <wp:positionV relativeFrom="paragraph">
                  <wp:posOffset>153035</wp:posOffset>
                </wp:positionV>
                <wp:extent cx="5029200" cy="0"/>
                <wp:effectExtent l="28575" t="29210" r="2857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4B18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Bx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KSiQcR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14:paraId="24547A43" w14:textId="77777777" w:rsidR="004A2544" w:rsidRDefault="004A2544">
      <w:pPr>
        <w:jc w:val="center"/>
        <w:rPr>
          <w:rFonts w:ascii="Bookman Old Style" w:hAnsi="Bookman Old Style"/>
          <w:sz w:val="44"/>
        </w:rPr>
      </w:pPr>
    </w:p>
    <w:p w14:paraId="24547A44" w14:textId="77777777" w:rsidR="002F3DEC" w:rsidRDefault="004A2544">
      <w:pPr>
        <w:jc w:val="center"/>
        <w:outlineLvl w:val="0"/>
        <w:rPr>
          <w:rFonts w:ascii="Bookman Old Style" w:hAnsi="Bookman Old Style"/>
          <w:sz w:val="44"/>
        </w:rPr>
      </w:pPr>
      <w:r>
        <w:rPr>
          <w:rFonts w:ascii="Bookman Old Style" w:hAnsi="Bookman Old Style"/>
          <w:sz w:val="44"/>
        </w:rPr>
        <w:t>Appe</w:t>
      </w:r>
      <w:r w:rsidR="002F3DEC">
        <w:rPr>
          <w:rFonts w:ascii="Bookman Old Style" w:hAnsi="Bookman Old Style"/>
          <w:sz w:val="44"/>
        </w:rPr>
        <w:t xml:space="preserve">ndix A </w:t>
      </w:r>
    </w:p>
    <w:p w14:paraId="24547A45" w14:textId="77777777" w:rsidR="004A2544" w:rsidRDefault="00F95D2D">
      <w:pPr>
        <w:jc w:val="center"/>
        <w:outlineLvl w:val="0"/>
        <w:rPr>
          <w:rFonts w:ascii="Bookman Old Style" w:hAnsi="Bookman Old Style"/>
          <w:sz w:val="44"/>
        </w:rPr>
      </w:pPr>
      <w:r>
        <w:rPr>
          <w:rFonts w:ascii="Bookman Old Style" w:hAnsi="Bookman Old Style"/>
          <w:sz w:val="44"/>
        </w:rPr>
        <w:t xml:space="preserve">Anticipated Timing of IRP Advisory Group </w:t>
      </w:r>
      <w:r w:rsidR="00927B26">
        <w:rPr>
          <w:rFonts w:ascii="Bookman Old Style" w:hAnsi="Bookman Old Style"/>
          <w:sz w:val="44"/>
        </w:rPr>
        <w:t xml:space="preserve">and Technical Advisory </w:t>
      </w:r>
      <w:r w:rsidR="00A87134">
        <w:rPr>
          <w:rFonts w:ascii="Bookman Old Style" w:hAnsi="Bookman Old Style"/>
          <w:sz w:val="44"/>
        </w:rPr>
        <w:t>Committee</w:t>
      </w:r>
      <w:r w:rsidR="00927B26">
        <w:rPr>
          <w:rFonts w:ascii="Bookman Old Style" w:hAnsi="Bookman Old Style"/>
          <w:sz w:val="44"/>
        </w:rPr>
        <w:t xml:space="preserve"> </w:t>
      </w:r>
      <w:r>
        <w:rPr>
          <w:rFonts w:ascii="Bookman Old Style" w:hAnsi="Bookman Old Style"/>
          <w:sz w:val="44"/>
        </w:rPr>
        <w:t>Meetings</w:t>
      </w:r>
    </w:p>
    <w:p w14:paraId="24547A46" w14:textId="77777777" w:rsidR="004A2544" w:rsidRDefault="004A2544"/>
    <w:p w14:paraId="24547A47" w14:textId="77777777" w:rsidR="004A2544" w:rsidRDefault="004A2544"/>
    <w:p w14:paraId="24547A48" w14:textId="77777777" w:rsidR="004A2544" w:rsidRDefault="004A2544"/>
    <w:p w14:paraId="24547A49" w14:textId="77777777" w:rsidR="004A2544" w:rsidRDefault="004A2544"/>
    <w:p w14:paraId="24547A4A" w14:textId="77777777" w:rsidR="00444F7E" w:rsidRDefault="00444F7E">
      <w:pPr>
        <w:rPr>
          <w:rFonts w:ascii="Bookman Old Style" w:hAnsi="Bookman Old Style"/>
          <w:sz w:val="22"/>
        </w:rPr>
        <w:sectPr w:rsidR="00444F7E" w:rsidSect="00444F7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800" w:bottom="1440" w:left="1800" w:header="720" w:footer="720" w:gutter="0"/>
          <w:cols w:space="720"/>
          <w:titlePg/>
          <w:docGrid w:linePitch="360"/>
        </w:sectPr>
      </w:pPr>
    </w:p>
    <w:p w14:paraId="24547A4B" w14:textId="77777777" w:rsidR="004A2544" w:rsidRDefault="004A2544">
      <w:pPr>
        <w:rPr>
          <w:rFonts w:ascii="Bookman Old Style" w:hAnsi="Bookman Old Style"/>
          <w:sz w:val="22"/>
        </w:rPr>
      </w:pPr>
    </w:p>
    <w:p w14:paraId="24547A4C" w14:textId="77777777" w:rsidR="004A2544" w:rsidRPr="00DD09D1" w:rsidRDefault="00B746F7" w:rsidP="00406AC1">
      <w:pPr>
        <w:jc w:val="center"/>
        <w:rPr>
          <w:rFonts w:ascii="Bookman Old Style" w:hAnsi="Bookman Old Style"/>
          <w:sz w:val="22"/>
        </w:rPr>
      </w:pPr>
      <w:r>
        <w:rPr>
          <w:noProof/>
        </w:rPr>
        <w:drawing>
          <wp:inline distT="0" distB="0" distL="0" distR="0" wp14:anchorId="24547B24" wp14:editId="24547B25">
            <wp:extent cx="7703401" cy="42862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6047" cy="4293286"/>
                    </a:xfrm>
                    <a:prstGeom prst="rect">
                      <a:avLst/>
                    </a:prstGeom>
                    <a:noFill/>
                    <a:ln>
                      <a:noFill/>
                    </a:ln>
                    <a:effectLst/>
                    <a:extLst/>
                  </pic:spPr>
                </pic:pic>
              </a:graphicData>
            </a:graphic>
          </wp:inline>
        </w:drawing>
      </w:r>
    </w:p>
    <w:p w14:paraId="24547A4D" w14:textId="77777777" w:rsidR="004A2544" w:rsidRDefault="004A2544">
      <w:pPr>
        <w:rPr>
          <w:rFonts w:ascii="Bookman Old Style" w:hAnsi="Bookman Old Style"/>
          <w:sz w:val="22"/>
        </w:rPr>
        <w:sectPr w:rsidR="004A2544" w:rsidSect="00444F7E">
          <w:pgSz w:w="15840" w:h="12240" w:orient="landscape" w:code="1"/>
          <w:pgMar w:top="1800" w:right="1440" w:bottom="1800" w:left="1440" w:header="720" w:footer="720" w:gutter="0"/>
          <w:cols w:space="720"/>
          <w:docGrid w:linePitch="360"/>
        </w:sectPr>
      </w:pPr>
    </w:p>
    <w:p w14:paraId="24547A4E" w14:textId="77777777" w:rsidR="004A2544" w:rsidRPr="00927B26" w:rsidRDefault="00927B26">
      <w:pPr>
        <w:rPr>
          <w:rFonts w:ascii="Bookman Old Style" w:hAnsi="Bookman Old Style"/>
          <w:b/>
        </w:rPr>
      </w:pPr>
      <w:r w:rsidRPr="00927B26">
        <w:rPr>
          <w:rFonts w:ascii="Bookman Old Style" w:hAnsi="Bookman Old Style"/>
          <w:b/>
        </w:rPr>
        <w:lastRenderedPageBreak/>
        <w:t>Summary Agenda for IRP Meetings</w:t>
      </w:r>
    </w:p>
    <w:p w14:paraId="24547A4F" w14:textId="77777777" w:rsidR="00927B26" w:rsidRDefault="00927B26">
      <w:pPr>
        <w:rPr>
          <w:rFonts w:ascii="Bookman Old Style" w:hAnsi="Bookman Old Style"/>
          <w:sz w:val="22"/>
        </w:rPr>
      </w:pPr>
    </w:p>
    <w:p w14:paraId="24547A50" w14:textId="77777777" w:rsidR="00B746F7" w:rsidRPr="00B746F7" w:rsidRDefault="00B746F7" w:rsidP="00B746F7">
      <w:pPr>
        <w:rPr>
          <w:rFonts w:ascii="Bookman Old Style" w:hAnsi="Bookman Old Style"/>
          <w:b/>
        </w:rPr>
      </w:pPr>
      <w:r w:rsidRPr="00B746F7">
        <w:rPr>
          <w:rFonts w:ascii="Bookman Old Style" w:hAnsi="Bookman Old Style"/>
          <w:b/>
        </w:rPr>
        <w:t>1: Friday, June 17, 2016—</w:t>
      </w:r>
      <w:r w:rsidRPr="00B746F7">
        <w:rPr>
          <w:rFonts w:ascii="Bookman Old Style" w:hAnsi="Bookman Old Style"/>
          <w:b/>
          <w:i/>
        </w:rPr>
        <w:t>IRP Advisory Group</w:t>
      </w:r>
    </w:p>
    <w:p w14:paraId="24547A51" w14:textId="77777777" w:rsidR="00B746F7" w:rsidRPr="00B746F7" w:rsidRDefault="00B746F7" w:rsidP="00B746F7">
      <w:pPr>
        <w:pStyle w:val="ListParagraph"/>
        <w:numPr>
          <w:ilvl w:val="0"/>
          <w:numId w:val="16"/>
        </w:numPr>
        <w:rPr>
          <w:rFonts w:ascii="Bookman Old Style" w:hAnsi="Bookman Old Style"/>
        </w:rPr>
      </w:pPr>
      <w:r w:rsidRPr="00B746F7">
        <w:rPr>
          <w:rFonts w:ascii="Bookman Old Style" w:hAnsi="Bookman Old Style"/>
        </w:rPr>
        <w:t>Review WUTC Letter on 2015 IRP</w:t>
      </w:r>
    </w:p>
    <w:p w14:paraId="24547A52" w14:textId="77777777" w:rsidR="00B746F7" w:rsidRPr="00B746F7" w:rsidRDefault="00B746F7" w:rsidP="00B746F7">
      <w:pPr>
        <w:pStyle w:val="ListParagraph"/>
        <w:numPr>
          <w:ilvl w:val="0"/>
          <w:numId w:val="16"/>
        </w:numPr>
        <w:rPr>
          <w:rFonts w:ascii="Bookman Old Style" w:hAnsi="Bookman Old Style"/>
        </w:rPr>
      </w:pPr>
      <w:r w:rsidRPr="00B746F7">
        <w:rPr>
          <w:rFonts w:ascii="Bookman Old Style" w:hAnsi="Bookman Old Style"/>
        </w:rPr>
        <w:t>Process and Ground Rules for 2017 IRP Public Participation Process</w:t>
      </w:r>
    </w:p>
    <w:p w14:paraId="24547A53" w14:textId="77777777" w:rsidR="00B746F7" w:rsidRPr="00B746F7" w:rsidRDefault="00B746F7" w:rsidP="00B746F7">
      <w:pPr>
        <w:rPr>
          <w:rFonts w:ascii="Bookman Old Style" w:hAnsi="Bookman Old Style"/>
        </w:rPr>
      </w:pPr>
    </w:p>
    <w:p w14:paraId="24547A54" w14:textId="77777777" w:rsidR="00B746F7" w:rsidRPr="00B746F7" w:rsidRDefault="00B746F7" w:rsidP="00B746F7">
      <w:pPr>
        <w:rPr>
          <w:rFonts w:ascii="Bookman Old Style" w:hAnsi="Bookman Old Style"/>
        </w:rPr>
      </w:pPr>
      <w:r w:rsidRPr="00B746F7">
        <w:rPr>
          <w:rFonts w:ascii="Bookman Old Style" w:hAnsi="Bookman Old Style"/>
          <w:b/>
        </w:rPr>
        <w:t xml:space="preserve">DSR-AC: </w:t>
      </w:r>
      <w:r w:rsidRPr="00B746F7">
        <w:rPr>
          <w:rFonts w:ascii="Bookman Old Style" w:hAnsi="Bookman Old Style"/>
        </w:rPr>
        <w:t>Electronic distribution of measures list.  This will be in preparation for the meeting on July 27.</w:t>
      </w:r>
    </w:p>
    <w:p w14:paraId="24547A55" w14:textId="77777777" w:rsidR="00B746F7" w:rsidRPr="00B746F7" w:rsidRDefault="00B746F7" w:rsidP="00B746F7">
      <w:pPr>
        <w:rPr>
          <w:rFonts w:ascii="Bookman Old Style" w:hAnsi="Bookman Old Style"/>
        </w:rPr>
      </w:pPr>
    </w:p>
    <w:p w14:paraId="24547A56" w14:textId="77777777" w:rsidR="00B746F7" w:rsidRPr="00B746F7" w:rsidRDefault="00B746F7" w:rsidP="00B746F7">
      <w:pPr>
        <w:rPr>
          <w:rFonts w:ascii="Bookman Old Style" w:hAnsi="Bookman Old Style"/>
          <w:b/>
        </w:rPr>
      </w:pPr>
      <w:r w:rsidRPr="00B746F7">
        <w:rPr>
          <w:rFonts w:ascii="Bookman Old Style" w:hAnsi="Bookman Old Style"/>
          <w:b/>
        </w:rPr>
        <w:t>2: Monday, July 25, 2016—</w:t>
      </w:r>
      <w:r w:rsidRPr="00B746F7">
        <w:rPr>
          <w:rFonts w:ascii="Bookman Old Style" w:hAnsi="Bookman Old Style"/>
          <w:b/>
          <w:i/>
        </w:rPr>
        <w:t>Thermal Generation RAC</w:t>
      </w:r>
    </w:p>
    <w:p w14:paraId="24547A57" w14:textId="77777777" w:rsidR="00B746F7" w:rsidRPr="00B746F7" w:rsidRDefault="00B746F7" w:rsidP="00B746F7">
      <w:pPr>
        <w:pStyle w:val="ListParagraph"/>
        <w:numPr>
          <w:ilvl w:val="0"/>
          <w:numId w:val="17"/>
        </w:numPr>
        <w:rPr>
          <w:rFonts w:ascii="Bookman Old Style" w:hAnsi="Bookman Old Style"/>
        </w:rPr>
      </w:pPr>
      <w:r w:rsidRPr="00B746F7">
        <w:rPr>
          <w:rFonts w:ascii="Bookman Old Style" w:hAnsi="Bookman Old Style"/>
        </w:rPr>
        <w:t>PSE has worked with Black and Veech on thermal plant acquisition and development work for some time. They have been the primary source of plant cost assumptions for IRPs in the past.</w:t>
      </w:r>
    </w:p>
    <w:p w14:paraId="24547A58" w14:textId="77777777" w:rsidR="00B746F7" w:rsidRPr="00B746F7" w:rsidRDefault="00B746F7" w:rsidP="00B746F7">
      <w:pPr>
        <w:pStyle w:val="ListParagraph"/>
        <w:numPr>
          <w:ilvl w:val="0"/>
          <w:numId w:val="17"/>
        </w:numPr>
        <w:rPr>
          <w:rFonts w:ascii="Bookman Old Style" w:hAnsi="Bookman Old Style"/>
        </w:rPr>
      </w:pPr>
      <w:r w:rsidRPr="00B746F7">
        <w:rPr>
          <w:rFonts w:ascii="Bookman Old Style" w:hAnsi="Bookman Old Style"/>
        </w:rPr>
        <w:t>They, along with others, will be available to discuss updates to their detailed cost assumptions.</w:t>
      </w:r>
    </w:p>
    <w:p w14:paraId="24547A59" w14:textId="77777777" w:rsidR="00B746F7" w:rsidRPr="00B746F7" w:rsidRDefault="00B746F7" w:rsidP="00B746F7">
      <w:pPr>
        <w:pStyle w:val="ListParagraph"/>
        <w:numPr>
          <w:ilvl w:val="0"/>
          <w:numId w:val="17"/>
        </w:numPr>
        <w:rPr>
          <w:rFonts w:ascii="Bookman Old Style" w:hAnsi="Bookman Old Style"/>
        </w:rPr>
      </w:pPr>
      <w:r w:rsidRPr="00B746F7">
        <w:rPr>
          <w:rFonts w:ascii="Bookman Old Style" w:hAnsi="Bookman Old Style"/>
        </w:rPr>
        <w:t>The focus is on details needed for portfolio modeling, not levelized cost screening.</w:t>
      </w:r>
    </w:p>
    <w:p w14:paraId="24547A5A" w14:textId="77777777" w:rsidR="00B746F7" w:rsidRPr="00B746F7" w:rsidRDefault="00B746F7" w:rsidP="00B746F7">
      <w:pPr>
        <w:rPr>
          <w:rFonts w:ascii="Bookman Old Style" w:hAnsi="Bookman Old Style"/>
        </w:rPr>
      </w:pPr>
    </w:p>
    <w:p w14:paraId="24547A5B" w14:textId="77777777" w:rsidR="00B746F7" w:rsidRPr="00B746F7" w:rsidRDefault="00B746F7" w:rsidP="00B746F7">
      <w:pPr>
        <w:rPr>
          <w:rFonts w:ascii="Bookman Old Style" w:hAnsi="Bookman Old Style"/>
          <w:b/>
        </w:rPr>
      </w:pPr>
      <w:r w:rsidRPr="00B746F7">
        <w:rPr>
          <w:rFonts w:ascii="Bookman Old Style" w:hAnsi="Bookman Old Style"/>
          <w:b/>
        </w:rPr>
        <w:t>3: Wednesday, July 27, 2016—</w:t>
      </w:r>
      <w:r w:rsidRPr="00B746F7">
        <w:rPr>
          <w:rFonts w:ascii="Bookman Old Style" w:hAnsi="Bookman Old Style"/>
          <w:b/>
          <w:i/>
        </w:rPr>
        <w:t>DSR-AC and IRP Advisory Group</w:t>
      </w:r>
    </w:p>
    <w:p w14:paraId="24547A5C" w14:textId="77777777" w:rsidR="00B746F7" w:rsidRPr="00B746F7" w:rsidRDefault="00B746F7" w:rsidP="00B746F7">
      <w:pPr>
        <w:pStyle w:val="ListParagraph"/>
        <w:numPr>
          <w:ilvl w:val="0"/>
          <w:numId w:val="24"/>
        </w:numPr>
        <w:rPr>
          <w:rFonts w:ascii="Bookman Old Style" w:hAnsi="Bookman Old Style"/>
        </w:rPr>
      </w:pPr>
      <w:r w:rsidRPr="00B746F7">
        <w:rPr>
          <w:rFonts w:ascii="Bookman Old Style" w:hAnsi="Bookman Old Style"/>
        </w:rPr>
        <w:t>DSR-AC:  9 am to noon.  Navigant is replacing Cadmus in consulting on conservation resource potential assessments.  Representatives will be here to walk through the details of how they will be approach that work.</w:t>
      </w:r>
    </w:p>
    <w:p w14:paraId="24547A5D" w14:textId="77777777" w:rsidR="00B746F7" w:rsidRPr="00B746F7" w:rsidRDefault="00B746F7" w:rsidP="00B746F7">
      <w:pPr>
        <w:pStyle w:val="ListParagraph"/>
        <w:numPr>
          <w:ilvl w:val="0"/>
          <w:numId w:val="24"/>
        </w:numPr>
        <w:rPr>
          <w:rFonts w:ascii="Bookman Old Style" w:hAnsi="Bookman Old Style"/>
        </w:rPr>
      </w:pPr>
      <w:r w:rsidRPr="00B746F7">
        <w:rPr>
          <w:rFonts w:ascii="Bookman Old Style" w:hAnsi="Bookman Old Style"/>
        </w:rPr>
        <w:t>IRPAG:  12:30 to 3:30 pm.  Focus on discussing scenarios and sensitivities for both electric and gas.  While there may be overlap in some areas, we will discuss scenarios that will be different.</w:t>
      </w:r>
    </w:p>
    <w:p w14:paraId="24547A5E" w14:textId="77777777" w:rsidR="00B746F7" w:rsidRPr="00B746F7" w:rsidRDefault="00B746F7" w:rsidP="00B746F7">
      <w:pPr>
        <w:rPr>
          <w:rFonts w:ascii="Bookman Old Style" w:hAnsi="Bookman Old Style"/>
        </w:rPr>
      </w:pPr>
    </w:p>
    <w:p w14:paraId="24547A5F" w14:textId="77777777" w:rsidR="00B746F7" w:rsidRPr="00B746F7" w:rsidRDefault="00B746F7" w:rsidP="00B746F7">
      <w:pPr>
        <w:rPr>
          <w:rFonts w:ascii="Bookman Old Style" w:hAnsi="Bookman Old Style"/>
          <w:b/>
        </w:rPr>
      </w:pPr>
      <w:r w:rsidRPr="00B746F7">
        <w:rPr>
          <w:rFonts w:ascii="Bookman Old Style" w:hAnsi="Bookman Old Style"/>
          <w:b/>
        </w:rPr>
        <w:t>4: Monday, August 22, 2016—</w:t>
      </w:r>
      <w:r w:rsidRPr="00B746F7">
        <w:rPr>
          <w:rFonts w:ascii="Bookman Old Style" w:hAnsi="Bookman Old Style"/>
          <w:b/>
          <w:i/>
        </w:rPr>
        <w:t>Renewable RAC</w:t>
      </w:r>
    </w:p>
    <w:p w14:paraId="24547A60" w14:textId="77777777" w:rsidR="00B746F7" w:rsidRPr="00B746F7" w:rsidRDefault="00B746F7" w:rsidP="00B746F7">
      <w:pPr>
        <w:pStyle w:val="ListParagraph"/>
        <w:numPr>
          <w:ilvl w:val="0"/>
          <w:numId w:val="25"/>
        </w:numPr>
        <w:rPr>
          <w:rFonts w:ascii="Bookman Old Style" w:hAnsi="Bookman Old Style"/>
        </w:rPr>
      </w:pPr>
      <w:r w:rsidRPr="00B746F7">
        <w:rPr>
          <w:rFonts w:ascii="Bookman Old Style" w:hAnsi="Bookman Old Style"/>
        </w:rPr>
        <w:t xml:space="preserve">Renewable Resources:  9 am – 12:30 pm.  PSE has worked with RES on renewable resource acquisition and development for some time. RES has been the primary source of plant cost assumptions for IRPs in the past and will be available to discuss updated assumptions.  </w:t>
      </w:r>
    </w:p>
    <w:p w14:paraId="24547A61" w14:textId="77777777" w:rsidR="00B746F7" w:rsidRPr="00B746F7" w:rsidRDefault="00B746F7" w:rsidP="00B746F7">
      <w:pPr>
        <w:pStyle w:val="ListParagraph"/>
        <w:numPr>
          <w:ilvl w:val="0"/>
          <w:numId w:val="25"/>
        </w:numPr>
        <w:rPr>
          <w:rFonts w:ascii="Bookman Old Style" w:hAnsi="Bookman Old Style"/>
        </w:rPr>
      </w:pPr>
      <w:r w:rsidRPr="00B746F7">
        <w:rPr>
          <w:rFonts w:ascii="Bookman Old Style" w:hAnsi="Bookman Old Style"/>
        </w:rPr>
        <w:t>Energy Storage: 1 pm to 3 pm. Focus on energy storage with several developers joining us in person or via web.  Will include RES energy Storage and a few others.</w:t>
      </w:r>
    </w:p>
    <w:p w14:paraId="24547A62" w14:textId="77777777" w:rsidR="00B746F7" w:rsidRPr="00B746F7" w:rsidRDefault="00B746F7" w:rsidP="00B746F7">
      <w:pPr>
        <w:rPr>
          <w:rFonts w:ascii="Bookman Old Style" w:hAnsi="Bookman Old Style"/>
        </w:rPr>
      </w:pPr>
    </w:p>
    <w:p w14:paraId="24547A63" w14:textId="77777777" w:rsidR="00B746F7" w:rsidRPr="00B746F7" w:rsidRDefault="00B746F7" w:rsidP="00B746F7">
      <w:pPr>
        <w:rPr>
          <w:rFonts w:ascii="Bookman Old Style" w:hAnsi="Bookman Old Style"/>
          <w:b/>
        </w:rPr>
      </w:pPr>
      <w:r w:rsidRPr="00B746F7">
        <w:rPr>
          <w:rFonts w:ascii="Bookman Old Style" w:hAnsi="Bookman Old Style"/>
          <w:b/>
        </w:rPr>
        <w:t>5: Wednesday, August 31, 2016—</w:t>
      </w:r>
      <w:r w:rsidRPr="00B746F7">
        <w:rPr>
          <w:rFonts w:ascii="Bookman Old Style" w:hAnsi="Bookman Old Style"/>
          <w:b/>
          <w:i/>
        </w:rPr>
        <w:t>IRP Advisory Group</w:t>
      </w:r>
    </w:p>
    <w:p w14:paraId="24547A64" w14:textId="77777777" w:rsidR="00B746F7" w:rsidRPr="00B746F7" w:rsidRDefault="00B746F7" w:rsidP="00B746F7">
      <w:pPr>
        <w:pStyle w:val="ListParagraph"/>
        <w:numPr>
          <w:ilvl w:val="0"/>
          <w:numId w:val="29"/>
        </w:numPr>
        <w:rPr>
          <w:rFonts w:ascii="Bookman Old Style" w:hAnsi="Bookman Old Style"/>
        </w:rPr>
      </w:pPr>
      <w:r w:rsidRPr="00B746F7">
        <w:rPr>
          <w:rFonts w:ascii="Bookman Old Style" w:hAnsi="Bookman Old Style"/>
        </w:rPr>
        <w:t>Continue discussion of Scenarios and Sensitivities.</w:t>
      </w:r>
    </w:p>
    <w:p w14:paraId="24547A65" w14:textId="77777777" w:rsidR="00B746F7" w:rsidRPr="00B746F7" w:rsidRDefault="00B746F7" w:rsidP="00B746F7">
      <w:pPr>
        <w:pStyle w:val="ListParagraph"/>
        <w:numPr>
          <w:ilvl w:val="0"/>
          <w:numId w:val="29"/>
        </w:numPr>
        <w:rPr>
          <w:rFonts w:ascii="Bookman Old Style" w:hAnsi="Bookman Old Style"/>
        </w:rPr>
      </w:pPr>
      <w:r w:rsidRPr="00B746F7">
        <w:rPr>
          <w:rFonts w:ascii="Bookman Old Style" w:hAnsi="Bookman Old Style"/>
        </w:rPr>
        <w:t>Focus on how PSE will approach each of the issues identified.</w:t>
      </w:r>
    </w:p>
    <w:p w14:paraId="24547A66" w14:textId="77777777" w:rsidR="00B746F7" w:rsidRDefault="00B746F7">
      <w:pPr>
        <w:rPr>
          <w:rFonts w:ascii="Bookman Old Style" w:hAnsi="Bookman Old Style"/>
        </w:rPr>
      </w:pPr>
      <w:r>
        <w:rPr>
          <w:rFonts w:ascii="Bookman Old Style" w:hAnsi="Bookman Old Style"/>
        </w:rPr>
        <w:br w:type="page"/>
      </w:r>
    </w:p>
    <w:p w14:paraId="24547A67" w14:textId="77777777" w:rsidR="00B746F7" w:rsidRPr="00B746F7" w:rsidRDefault="00B746F7" w:rsidP="00B746F7">
      <w:pPr>
        <w:rPr>
          <w:rFonts w:ascii="Bookman Old Style" w:hAnsi="Bookman Old Style"/>
        </w:rPr>
      </w:pPr>
    </w:p>
    <w:p w14:paraId="24547A68" w14:textId="77777777" w:rsidR="00B746F7" w:rsidRPr="00B746F7" w:rsidRDefault="00B746F7" w:rsidP="00B746F7">
      <w:pPr>
        <w:rPr>
          <w:rFonts w:ascii="Bookman Old Style" w:hAnsi="Bookman Old Style"/>
          <w:b/>
        </w:rPr>
      </w:pPr>
      <w:r w:rsidRPr="00B746F7">
        <w:rPr>
          <w:rFonts w:ascii="Bookman Old Style" w:hAnsi="Bookman Old Style"/>
          <w:b/>
        </w:rPr>
        <w:t>6: Monday, September 26, 2016—</w:t>
      </w:r>
      <w:r w:rsidRPr="00B746F7">
        <w:rPr>
          <w:rFonts w:ascii="Bookman Old Style" w:hAnsi="Bookman Old Style"/>
          <w:b/>
          <w:i/>
        </w:rPr>
        <w:t>GRAC and IRP Advisory Group</w:t>
      </w:r>
    </w:p>
    <w:p w14:paraId="24547A69" w14:textId="77777777" w:rsidR="00B746F7" w:rsidRPr="00B746F7" w:rsidRDefault="00B746F7" w:rsidP="00B746F7">
      <w:pPr>
        <w:pStyle w:val="ListParagraph"/>
        <w:numPr>
          <w:ilvl w:val="0"/>
          <w:numId w:val="18"/>
        </w:numPr>
        <w:rPr>
          <w:rFonts w:ascii="Bookman Old Style" w:hAnsi="Bookman Old Style"/>
        </w:rPr>
      </w:pPr>
      <w:r w:rsidRPr="00B746F7">
        <w:rPr>
          <w:rFonts w:ascii="Bookman Old Style" w:hAnsi="Bookman Old Style"/>
          <w:i/>
        </w:rPr>
        <w:t>Gas Resource Advisory Committee</w:t>
      </w:r>
      <w:r w:rsidRPr="00B746F7">
        <w:rPr>
          <w:rFonts w:ascii="Bookman Old Style" w:hAnsi="Bookman Old Style"/>
        </w:rPr>
        <w:t xml:space="preserve">: 9 am to 11 am. Discuss details of supply-side natural gas resources for modeling, including timing, costs, and what expansions would be contingent on different market participants. </w:t>
      </w:r>
    </w:p>
    <w:p w14:paraId="24547A6A" w14:textId="77777777" w:rsidR="00B746F7" w:rsidRPr="00B746F7" w:rsidRDefault="00B746F7" w:rsidP="00B746F7">
      <w:pPr>
        <w:pStyle w:val="ListParagraph"/>
        <w:numPr>
          <w:ilvl w:val="0"/>
          <w:numId w:val="18"/>
        </w:numPr>
        <w:rPr>
          <w:rFonts w:ascii="Bookman Old Style" w:hAnsi="Bookman Old Style"/>
        </w:rPr>
      </w:pPr>
      <w:r w:rsidRPr="00B746F7">
        <w:rPr>
          <w:rFonts w:ascii="Bookman Old Style" w:hAnsi="Bookman Old Style"/>
          <w:i/>
        </w:rPr>
        <w:t>IRPAG</w:t>
      </w:r>
      <w:r w:rsidRPr="00B746F7">
        <w:rPr>
          <w:rFonts w:ascii="Bookman Old Style" w:hAnsi="Bookman Old Style"/>
        </w:rPr>
        <w:t>: review results of scenarios to date and review final electric resource cost assumptions.</w:t>
      </w:r>
    </w:p>
    <w:p w14:paraId="24547A6B" w14:textId="77777777" w:rsidR="00B746F7" w:rsidRPr="00B746F7" w:rsidRDefault="00B746F7" w:rsidP="00B746F7">
      <w:pPr>
        <w:rPr>
          <w:rFonts w:ascii="Bookman Old Style" w:hAnsi="Bookman Old Style"/>
        </w:rPr>
      </w:pPr>
    </w:p>
    <w:p w14:paraId="24547A6C" w14:textId="77777777" w:rsidR="00B746F7" w:rsidRPr="00B746F7" w:rsidRDefault="00B746F7" w:rsidP="00B746F7">
      <w:pPr>
        <w:rPr>
          <w:rFonts w:ascii="Bookman Old Style" w:hAnsi="Bookman Old Style"/>
          <w:b/>
        </w:rPr>
      </w:pPr>
      <w:r w:rsidRPr="00B746F7">
        <w:rPr>
          <w:rFonts w:ascii="Bookman Old Style" w:hAnsi="Bookman Old Style"/>
          <w:b/>
        </w:rPr>
        <w:t>7: Thursday, October 27, 2016—</w:t>
      </w:r>
      <w:r w:rsidRPr="00B746F7">
        <w:rPr>
          <w:rFonts w:ascii="Bookman Old Style" w:hAnsi="Bookman Old Style"/>
          <w:b/>
          <w:i/>
        </w:rPr>
        <w:t>Flex TAC and DSR-AC</w:t>
      </w:r>
    </w:p>
    <w:p w14:paraId="24547A6D" w14:textId="77777777" w:rsidR="00B746F7" w:rsidRPr="00B746F7" w:rsidRDefault="00B746F7" w:rsidP="00B746F7">
      <w:pPr>
        <w:pStyle w:val="ListParagraph"/>
        <w:numPr>
          <w:ilvl w:val="0"/>
          <w:numId w:val="19"/>
        </w:numPr>
        <w:rPr>
          <w:rFonts w:ascii="Bookman Old Style" w:hAnsi="Bookman Old Style"/>
        </w:rPr>
      </w:pPr>
      <w:r w:rsidRPr="00B746F7">
        <w:rPr>
          <w:rFonts w:ascii="Bookman Old Style" w:hAnsi="Bookman Old Style"/>
          <w:i/>
        </w:rPr>
        <w:t>Flex TAC</w:t>
      </w:r>
      <w:r w:rsidRPr="00B746F7">
        <w:rPr>
          <w:rFonts w:ascii="Bookman Old Style" w:hAnsi="Bookman Old Style"/>
        </w:rPr>
        <w:t>: 9 am to noon. Present results of modeling and framework to date.</w:t>
      </w:r>
    </w:p>
    <w:p w14:paraId="24547A6E" w14:textId="77777777" w:rsidR="00B746F7" w:rsidRPr="00B746F7" w:rsidRDefault="00B746F7" w:rsidP="00B746F7">
      <w:pPr>
        <w:pStyle w:val="ListParagraph"/>
        <w:numPr>
          <w:ilvl w:val="0"/>
          <w:numId w:val="19"/>
        </w:numPr>
        <w:rPr>
          <w:rFonts w:ascii="Bookman Old Style" w:hAnsi="Bookman Old Style"/>
        </w:rPr>
      </w:pPr>
      <w:r w:rsidRPr="00B746F7">
        <w:rPr>
          <w:rFonts w:ascii="Bookman Old Style" w:hAnsi="Bookman Old Style"/>
          <w:i/>
        </w:rPr>
        <w:t>DSR TAC:</w:t>
      </w:r>
      <w:r w:rsidRPr="00B746F7">
        <w:rPr>
          <w:rFonts w:ascii="Bookman Old Style" w:hAnsi="Bookman Old Style"/>
        </w:rPr>
        <w:t xml:space="preserve"> 12:30 to 3:30. Results of conservation resource potential with Navigant.</w:t>
      </w:r>
    </w:p>
    <w:p w14:paraId="24547A6F" w14:textId="77777777" w:rsidR="00B746F7" w:rsidRPr="00B746F7" w:rsidRDefault="00B746F7" w:rsidP="00B746F7">
      <w:pPr>
        <w:rPr>
          <w:rFonts w:ascii="Bookman Old Style" w:hAnsi="Bookman Old Style"/>
        </w:rPr>
      </w:pPr>
    </w:p>
    <w:p w14:paraId="24547A70" w14:textId="77777777" w:rsidR="00B746F7" w:rsidRPr="00B746F7" w:rsidRDefault="00B746F7" w:rsidP="00B746F7">
      <w:pPr>
        <w:rPr>
          <w:rFonts w:ascii="Bookman Old Style" w:hAnsi="Bookman Old Style"/>
          <w:b/>
        </w:rPr>
      </w:pPr>
      <w:r w:rsidRPr="00B746F7">
        <w:rPr>
          <w:rFonts w:ascii="Bookman Old Style" w:hAnsi="Bookman Old Style"/>
          <w:b/>
        </w:rPr>
        <w:t>8: Monday, November 14</w:t>
      </w:r>
      <w:r w:rsidR="003D459C">
        <w:rPr>
          <w:rFonts w:ascii="Bookman Old Style" w:hAnsi="Bookman Old Style"/>
          <w:b/>
        </w:rPr>
        <w:t>, 2016</w:t>
      </w:r>
      <w:r w:rsidRPr="00B746F7">
        <w:rPr>
          <w:rFonts w:ascii="Bookman Old Style" w:hAnsi="Bookman Old Style"/>
          <w:b/>
        </w:rPr>
        <w:t>—</w:t>
      </w:r>
      <w:r w:rsidRPr="00B746F7">
        <w:rPr>
          <w:rFonts w:ascii="Bookman Old Style" w:hAnsi="Bookman Old Style"/>
          <w:b/>
          <w:i/>
        </w:rPr>
        <w:t>IRP Advisory Group</w:t>
      </w:r>
    </w:p>
    <w:p w14:paraId="24547A71" w14:textId="77777777" w:rsidR="00B746F7" w:rsidRPr="00B746F7" w:rsidRDefault="00B746F7" w:rsidP="00B746F7">
      <w:pPr>
        <w:pStyle w:val="ListParagraph"/>
        <w:numPr>
          <w:ilvl w:val="0"/>
          <w:numId w:val="26"/>
        </w:numPr>
        <w:rPr>
          <w:rFonts w:ascii="Bookman Old Style" w:hAnsi="Bookman Old Style"/>
        </w:rPr>
      </w:pPr>
      <w:r w:rsidRPr="00B746F7">
        <w:rPr>
          <w:rFonts w:ascii="Bookman Old Style" w:hAnsi="Bookman Old Style"/>
        </w:rPr>
        <w:t>Update on analysis to date.</w:t>
      </w:r>
    </w:p>
    <w:p w14:paraId="24547A72" w14:textId="77777777" w:rsidR="00B746F7" w:rsidRPr="00B746F7" w:rsidRDefault="00B746F7" w:rsidP="00B746F7">
      <w:pPr>
        <w:rPr>
          <w:rFonts w:ascii="Bookman Old Style" w:hAnsi="Bookman Old Style"/>
        </w:rPr>
      </w:pPr>
    </w:p>
    <w:p w14:paraId="24547A73" w14:textId="77777777" w:rsidR="00B746F7" w:rsidRPr="00B746F7" w:rsidRDefault="00B746F7" w:rsidP="00B746F7">
      <w:pPr>
        <w:rPr>
          <w:rFonts w:ascii="Bookman Old Style" w:hAnsi="Bookman Old Style"/>
          <w:b/>
        </w:rPr>
      </w:pPr>
      <w:r w:rsidRPr="00B746F7">
        <w:rPr>
          <w:rFonts w:ascii="Bookman Old Style" w:hAnsi="Bookman Old Style"/>
          <w:b/>
        </w:rPr>
        <w:t>9: Wednesday, January 11, 2017—</w:t>
      </w:r>
      <w:r w:rsidRPr="00B746F7">
        <w:rPr>
          <w:rFonts w:ascii="Bookman Old Style" w:hAnsi="Bookman Old Style"/>
          <w:b/>
          <w:i/>
        </w:rPr>
        <w:t>IRP Advisory Group</w:t>
      </w:r>
    </w:p>
    <w:p w14:paraId="24547A74" w14:textId="77777777" w:rsidR="00B746F7" w:rsidRPr="00B746F7" w:rsidRDefault="00B746F7" w:rsidP="00B746F7">
      <w:pPr>
        <w:pStyle w:val="ListParagraph"/>
        <w:numPr>
          <w:ilvl w:val="0"/>
          <w:numId w:val="20"/>
        </w:numPr>
        <w:rPr>
          <w:rFonts w:ascii="Bookman Old Style" w:hAnsi="Bookman Old Style"/>
        </w:rPr>
      </w:pPr>
      <w:r w:rsidRPr="00B746F7">
        <w:rPr>
          <w:rFonts w:ascii="Bookman Old Style" w:hAnsi="Bookman Old Style"/>
        </w:rPr>
        <w:t>Review draft results of base-case electric portfolio analysis, including flexibility values, if available.</w:t>
      </w:r>
    </w:p>
    <w:p w14:paraId="24547A75" w14:textId="77777777" w:rsidR="00B746F7" w:rsidRPr="00B746F7" w:rsidRDefault="00B746F7" w:rsidP="00B746F7">
      <w:pPr>
        <w:pStyle w:val="ListParagraph"/>
        <w:numPr>
          <w:ilvl w:val="0"/>
          <w:numId w:val="20"/>
        </w:numPr>
        <w:rPr>
          <w:rFonts w:ascii="Bookman Old Style" w:hAnsi="Bookman Old Style"/>
        </w:rPr>
      </w:pPr>
      <w:r w:rsidRPr="00B746F7">
        <w:rPr>
          <w:rFonts w:ascii="Bookman Old Style" w:hAnsi="Bookman Old Style"/>
        </w:rPr>
        <w:t>Review draft base case gas portfolio analysis.</w:t>
      </w:r>
    </w:p>
    <w:p w14:paraId="24547A76" w14:textId="77777777" w:rsidR="00B746F7" w:rsidRPr="00B746F7" w:rsidRDefault="00B746F7" w:rsidP="00B746F7">
      <w:pPr>
        <w:pStyle w:val="ListParagraph"/>
        <w:numPr>
          <w:ilvl w:val="0"/>
          <w:numId w:val="20"/>
        </w:numPr>
        <w:rPr>
          <w:rFonts w:ascii="Bookman Old Style" w:hAnsi="Bookman Old Style"/>
        </w:rPr>
      </w:pPr>
      <w:r w:rsidRPr="00B746F7">
        <w:rPr>
          <w:rFonts w:ascii="Bookman Old Style" w:hAnsi="Bookman Old Style"/>
        </w:rPr>
        <w:t>Review draft results of scenarios, as available.</w:t>
      </w:r>
    </w:p>
    <w:p w14:paraId="24547A77" w14:textId="77777777" w:rsidR="00B746F7" w:rsidRPr="00B746F7" w:rsidRDefault="00B746F7" w:rsidP="00B746F7">
      <w:pPr>
        <w:rPr>
          <w:rFonts w:ascii="Bookman Old Style" w:hAnsi="Bookman Old Style"/>
        </w:rPr>
      </w:pPr>
    </w:p>
    <w:p w14:paraId="24547A78" w14:textId="77777777" w:rsidR="00B746F7" w:rsidRPr="00B746F7" w:rsidRDefault="00B746F7" w:rsidP="00B746F7">
      <w:pPr>
        <w:rPr>
          <w:rFonts w:ascii="Bookman Old Style" w:hAnsi="Bookman Old Style"/>
          <w:b/>
        </w:rPr>
      </w:pPr>
      <w:r w:rsidRPr="00B746F7">
        <w:rPr>
          <w:rFonts w:ascii="Bookman Old Style" w:hAnsi="Bookman Old Style"/>
          <w:b/>
        </w:rPr>
        <w:t>10: Thursday, March 16, 2017</w:t>
      </w:r>
      <w:r w:rsidR="009D0435" w:rsidRPr="00B746F7">
        <w:rPr>
          <w:rFonts w:ascii="Bookman Old Style" w:hAnsi="Bookman Old Style"/>
          <w:b/>
        </w:rPr>
        <w:t>—</w:t>
      </w:r>
      <w:r w:rsidR="009D0435" w:rsidRPr="00B746F7">
        <w:rPr>
          <w:rFonts w:ascii="Bookman Old Style" w:hAnsi="Bookman Old Style"/>
          <w:b/>
          <w:i/>
        </w:rPr>
        <w:t>IRP Advisory Group</w:t>
      </w:r>
    </w:p>
    <w:p w14:paraId="24547A79" w14:textId="77777777" w:rsidR="00B746F7" w:rsidRPr="00B746F7" w:rsidRDefault="00B746F7" w:rsidP="00B746F7">
      <w:pPr>
        <w:pStyle w:val="ListParagraph"/>
        <w:numPr>
          <w:ilvl w:val="0"/>
          <w:numId w:val="22"/>
        </w:numPr>
        <w:rPr>
          <w:rFonts w:ascii="Bookman Old Style" w:hAnsi="Bookman Old Style"/>
        </w:rPr>
      </w:pPr>
      <w:r w:rsidRPr="00B746F7">
        <w:rPr>
          <w:rFonts w:ascii="Bookman Old Style" w:hAnsi="Bookman Old Style"/>
        </w:rPr>
        <w:t>Review draft result of electric resource plan scenarios and sensitivities.</w:t>
      </w:r>
    </w:p>
    <w:p w14:paraId="24547A7A" w14:textId="77777777" w:rsidR="00B746F7" w:rsidRPr="00B746F7" w:rsidRDefault="00B746F7" w:rsidP="00B746F7">
      <w:pPr>
        <w:pStyle w:val="ListParagraph"/>
        <w:numPr>
          <w:ilvl w:val="0"/>
          <w:numId w:val="22"/>
        </w:numPr>
        <w:rPr>
          <w:rFonts w:ascii="Bookman Old Style" w:hAnsi="Bookman Old Style"/>
        </w:rPr>
      </w:pPr>
      <w:r w:rsidRPr="00B746F7">
        <w:rPr>
          <w:rFonts w:ascii="Bookman Old Style" w:hAnsi="Bookman Old Style"/>
        </w:rPr>
        <w:t>Review draft results of gas resource plan scenarios and sensitivities.</w:t>
      </w:r>
    </w:p>
    <w:p w14:paraId="24547A7B" w14:textId="77777777" w:rsidR="00B746F7" w:rsidRPr="00B746F7" w:rsidRDefault="00B746F7" w:rsidP="00B746F7">
      <w:pPr>
        <w:rPr>
          <w:rFonts w:ascii="Bookman Old Style" w:hAnsi="Bookman Old Style"/>
        </w:rPr>
      </w:pPr>
    </w:p>
    <w:p w14:paraId="24547A7C" w14:textId="77777777" w:rsidR="00B746F7" w:rsidRPr="00B746F7" w:rsidRDefault="00B746F7" w:rsidP="00B746F7">
      <w:pPr>
        <w:rPr>
          <w:rFonts w:ascii="Bookman Old Style" w:hAnsi="Bookman Old Style"/>
          <w:b/>
        </w:rPr>
      </w:pPr>
      <w:r w:rsidRPr="00B746F7">
        <w:rPr>
          <w:rFonts w:ascii="Bookman Old Style" w:hAnsi="Bookman Old Style"/>
          <w:b/>
        </w:rPr>
        <w:t>11: Tuesday, April 18, 2017</w:t>
      </w:r>
      <w:r w:rsidR="009D0435" w:rsidRPr="00B746F7">
        <w:rPr>
          <w:rFonts w:ascii="Bookman Old Style" w:hAnsi="Bookman Old Style"/>
          <w:b/>
        </w:rPr>
        <w:t>—</w:t>
      </w:r>
      <w:r w:rsidR="009D0435" w:rsidRPr="00B746F7">
        <w:rPr>
          <w:rFonts w:ascii="Bookman Old Style" w:hAnsi="Bookman Old Style"/>
          <w:b/>
          <w:i/>
        </w:rPr>
        <w:t>IRP Advisory Group</w:t>
      </w:r>
    </w:p>
    <w:p w14:paraId="24547A7D" w14:textId="77777777" w:rsidR="00B746F7" w:rsidRPr="00B746F7" w:rsidRDefault="00B746F7" w:rsidP="00B746F7">
      <w:pPr>
        <w:pStyle w:val="ListParagraph"/>
        <w:numPr>
          <w:ilvl w:val="0"/>
          <w:numId w:val="21"/>
        </w:numPr>
        <w:rPr>
          <w:rFonts w:ascii="Bookman Old Style" w:hAnsi="Bookman Old Style"/>
        </w:rPr>
      </w:pPr>
      <w:r w:rsidRPr="00B746F7">
        <w:rPr>
          <w:rFonts w:ascii="Bookman Old Style" w:hAnsi="Bookman Old Style"/>
        </w:rPr>
        <w:t>Review final draft electric resource plans and results of portfolio analysis including flexibility.</w:t>
      </w:r>
    </w:p>
    <w:p w14:paraId="24547A7E" w14:textId="77777777" w:rsidR="00B746F7" w:rsidRPr="00B746F7" w:rsidRDefault="00B746F7" w:rsidP="00B746F7">
      <w:pPr>
        <w:pStyle w:val="ListParagraph"/>
        <w:numPr>
          <w:ilvl w:val="0"/>
          <w:numId w:val="21"/>
        </w:numPr>
        <w:rPr>
          <w:rFonts w:ascii="Bookman Old Style" w:hAnsi="Bookman Old Style"/>
        </w:rPr>
      </w:pPr>
      <w:r w:rsidRPr="00B746F7">
        <w:rPr>
          <w:rFonts w:ascii="Bookman Old Style" w:hAnsi="Bookman Old Style"/>
        </w:rPr>
        <w:t>Review draft results of scenarios and sensitivities that will be presented in draft IRP.</w:t>
      </w:r>
    </w:p>
    <w:p w14:paraId="24547A7F" w14:textId="77777777" w:rsidR="00B746F7" w:rsidRPr="00B746F7" w:rsidRDefault="00B746F7" w:rsidP="00B746F7">
      <w:pPr>
        <w:pStyle w:val="ListParagraph"/>
        <w:numPr>
          <w:ilvl w:val="0"/>
          <w:numId w:val="21"/>
        </w:numPr>
        <w:rPr>
          <w:rFonts w:ascii="Bookman Old Style" w:hAnsi="Bookman Old Style"/>
        </w:rPr>
      </w:pPr>
      <w:r w:rsidRPr="00B746F7">
        <w:rPr>
          <w:rFonts w:ascii="Bookman Old Style" w:hAnsi="Bookman Old Style"/>
        </w:rPr>
        <w:t>Review final draft gas resource plans.</w:t>
      </w:r>
    </w:p>
    <w:p w14:paraId="24547A80" w14:textId="77777777" w:rsidR="00B746F7" w:rsidRPr="00B746F7" w:rsidRDefault="00B746F7" w:rsidP="00B746F7">
      <w:pPr>
        <w:rPr>
          <w:rFonts w:ascii="Bookman Old Style" w:hAnsi="Bookman Old Style"/>
        </w:rPr>
      </w:pPr>
    </w:p>
    <w:p w14:paraId="24547A81" w14:textId="77777777" w:rsidR="00B746F7" w:rsidRPr="00B746F7" w:rsidRDefault="00B746F7" w:rsidP="00B746F7">
      <w:pPr>
        <w:rPr>
          <w:rFonts w:ascii="Bookman Old Style" w:hAnsi="Bookman Old Style"/>
          <w:b/>
        </w:rPr>
      </w:pPr>
      <w:r w:rsidRPr="00B746F7">
        <w:rPr>
          <w:rFonts w:ascii="Bookman Old Style" w:hAnsi="Bookman Old Style"/>
          <w:b/>
        </w:rPr>
        <w:t>12: Monday, May 22, 2017</w:t>
      </w:r>
      <w:r w:rsidR="009D0435" w:rsidRPr="00B746F7">
        <w:rPr>
          <w:rFonts w:ascii="Bookman Old Style" w:hAnsi="Bookman Old Style"/>
          <w:b/>
        </w:rPr>
        <w:t>—</w:t>
      </w:r>
      <w:r w:rsidR="009D0435" w:rsidRPr="00B746F7">
        <w:rPr>
          <w:rFonts w:ascii="Bookman Old Style" w:hAnsi="Bookman Old Style"/>
          <w:b/>
          <w:i/>
        </w:rPr>
        <w:t>IRP Advisory Group</w:t>
      </w:r>
    </w:p>
    <w:p w14:paraId="24547A82" w14:textId="77777777" w:rsidR="00B746F7" w:rsidRPr="00B746F7" w:rsidRDefault="00B746F7" w:rsidP="00B746F7">
      <w:pPr>
        <w:pStyle w:val="ListParagraph"/>
        <w:numPr>
          <w:ilvl w:val="0"/>
          <w:numId w:val="23"/>
        </w:numPr>
        <w:rPr>
          <w:rFonts w:ascii="Bookman Old Style" w:hAnsi="Bookman Old Style"/>
        </w:rPr>
      </w:pPr>
      <w:r w:rsidRPr="00B746F7">
        <w:rPr>
          <w:rFonts w:ascii="Bookman Old Style" w:hAnsi="Bookman Old Style"/>
        </w:rPr>
        <w:t>Feedback on draft IRP.</w:t>
      </w:r>
    </w:p>
    <w:p w14:paraId="24547A83" w14:textId="77777777" w:rsidR="00B746F7" w:rsidRDefault="00B746F7" w:rsidP="00B746F7"/>
    <w:p w14:paraId="24547A84" w14:textId="77777777" w:rsidR="00927B26" w:rsidRPr="00927B26" w:rsidRDefault="00927B26" w:rsidP="00927B26">
      <w:pPr>
        <w:rPr>
          <w:rFonts w:ascii="Bookman Old Style" w:hAnsi="Bookman Old Style"/>
        </w:rPr>
      </w:pPr>
    </w:p>
    <w:p w14:paraId="24547A85" w14:textId="77777777" w:rsidR="00927B26" w:rsidRDefault="00927B26">
      <w:r>
        <w:br w:type="page"/>
      </w:r>
    </w:p>
    <w:p w14:paraId="24547A86" w14:textId="77777777" w:rsidR="004A2544" w:rsidRDefault="004A2544"/>
    <w:p w14:paraId="24547A87" w14:textId="77777777" w:rsidR="004A2544" w:rsidRDefault="004A2544"/>
    <w:p w14:paraId="24547A88" w14:textId="77777777" w:rsidR="004A2544" w:rsidRDefault="004A2544"/>
    <w:p w14:paraId="24547A89" w14:textId="77777777" w:rsidR="004A2544" w:rsidRDefault="004A2544"/>
    <w:p w14:paraId="24547A8A" w14:textId="77777777" w:rsidR="004A2544" w:rsidRDefault="004A2544"/>
    <w:p w14:paraId="24547A8B" w14:textId="77777777" w:rsidR="004A2544" w:rsidRDefault="004A2544"/>
    <w:p w14:paraId="24547A8C" w14:textId="77777777" w:rsidR="004A2544" w:rsidRDefault="004A2544"/>
    <w:p w14:paraId="24547A8D" w14:textId="77777777" w:rsidR="004A2544" w:rsidRDefault="004A2544"/>
    <w:p w14:paraId="24547A8E" w14:textId="77777777" w:rsidR="004A2544" w:rsidRDefault="004A2544"/>
    <w:p w14:paraId="24547A8F" w14:textId="77777777" w:rsidR="004A2544" w:rsidRDefault="004A2544">
      <w:pPr>
        <w:jc w:val="center"/>
        <w:outlineLvl w:val="0"/>
        <w:rPr>
          <w:rFonts w:ascii="Bookman Old Style" w:hAnsi="Bookman Old Style"/>
          <w:b/>
          <w:sz w:val="44"/>
        </w:rPr>
      </w:pPr>
      <w:r>
        <w:rPr>
          <w:rFonts w:ascii="Bookman Old Style" w:hAnsi="Bookman Old Style"/>
          <w:b/>
          <w:sz w:val="44"/>
        </w:rPr>
        <w:t>PUGET SOUND ENERGY</w:t>
      </w:r>
    </w:p>
    <w:p w14:paraId="24547A90" w14:textId="77777777" w:rsidR="004A2544" w:rsidRDefault="004A2544">
      <w:pPr>
        <w:jc w:val="center"/>
        <w:rPr>
          <w:rFonts w:ascii="Bookman Old Style" w:hAnsi="Bookman Old Style"/>
          <w:sz w:val="44"/>
        </w:rPr>
      </w:pPr>
    </w:p>
    <w:p w14:paraId="24547A91" w14:textId="77777777" w:rsidR="004A2544" w:rsidRDefault="00586910">
      <w:pPr>
        <w:jc w:val="center"/>
        <w:outlineLvl w:val="0"/>
        <w:rPr>
          <w:rFonts w:ascii="Bookman Old Style" w:hAnsi="Bookman Old Style"/>
          <w:sz w:val="44"/>
        </w:rPr>
      </w:pPr>
      <w:r>
        <w:rPr>
          <w:rFonts w:ascii="Bookman Old Style" w:hAnsi="Bookman Old Style"/>
          <w:sz w:val="44"/>
        </w:rPr>
        <w:t>201</w:t>
      </w:r>
      <w:r w:rsidR="00B746F7">
        <w:rPr>
          <w:rFonts w:ascii="Bookman Old Style" w:hAnsi="Bookman Old Style"/>
          <w:sz w:val="44"/>
        </w:rPr>
        <w:t>7</w:t>
      </w:r>
      <w:r>
        <w:rPr>
          <w:rFonts w:ascii="Bookman Old Style" w:hAnsi="Bookman Old Style"/>
          <w:sz w:val="44"/>
        </w:rPr>
        <w:t xml:space="preserve"> </w:t>
      </w:r>
      <w:r w:rsidR="00A711B6">
        <w:rPr>
          <w:rFonts w:ascii="Bookman Old Style" w:hAnsi="Bookman Old Style"/>
          <w:sz w:val="44"/>
        </w:rPr>
        <w:t>IRP WORK PLAN</w:t>
      </w:r>
    </w:p>
    <w:p w14:paraId="24547A92" w14:textId="77777777" w:rsidR="004A2544" w:rsidRDefault="00512206">
      <w:pPr>
        <w:jc w:val="center"/>
        <w:rPr>
          <w:rFonts w:ascii="Bookman Old Style" w:hAnsi="Bookman Old Style"/>
          <w:sz w:val="44"/>
        </w:rPr>
      </w:pPr>
      <w:r>
        <w:rPr>
          <w:noProof/>
        </w:rPr>
        <mc:AlternateContent>
          <mc:Choice Requires="wps">
            <w:drawing>
              <wp:anchor distT="0" distB="0" distL="114300" distR="114300" simplePos="0" relativeHeight="251657728" behindDoc="0" locked="0" layoutInCell="0" allowOverlap="1" wp14:anchorId="24547B26" wp14:editId="24547B27">
                <wp:simplePos x="0" y="0"/>
                <wp:positionH relativeFrom="column">
                  <wp:posOffset>228600</wp:posOffset>
                </wp:positionH>
                <wp:positionV relativeFrom="paragraph">
                  <wp:posOffset>153035</wp:posOffset>
                </wp:positionV>
                <wp:extent cx="5029200" cy="0"/>
                <wp:effectExtent l="28575" t="29210" r="28575" b="374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3D0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" o:allowincell="f" strokeweight="4.5pt">
                <v:stroke linestyle="thinThick"/>
              </v:line>
            </w:pict>
          </mc:Fallback>
        </mc:AlternateContent>
      </w:r>
    </w:p>
    <w:p w14:paraId="24547A93" w14:textId="77777777" w:rsidR="004A2544" w:rsidRDefault="004A2544">
      <w:pPr>
        <w:jc w:val="center"/>
        <w:rPr>
          <w:rFonts w:ascii="Bookman Old Style" w:hAnsi="Bookman Old Style"/>
          <w:sz w:val="44"/>
        </w:rPr>
      </w:pPr>
    </w:p>
    <w:p w14:paraId="24547A94" w14:textId="77777777" w:rsidR="004A2544" w:rsidRDefault="004A2544">
      <w:pPr>
        <w:jc w:val="center"/>
        <w:outlineLvl w:val="0"/>
        <w:rPr>
          <w:rFonts w:ascii="Bookman Old Style" w:hAnsi="Bookman Old Style"/>
          <w:sz w:val="44"/>
        </w:rPr>
      </w:pPr>
      <w:r>
        <w:rPr>
          <w:rFonts w:ascii="Bookman Old Style" w:hAnsi="Bookman Old Style"/>
          <w:sz w:val="44"/>
        </w:rPr>
        <w:t>Appendix B</w:t>
      </w:r>
    </w:p>
    <w:p w14:paraId="24547A95" w14:textId="77777777" w:rsidR="00F95D2D" w:rsidRDefault="00F95D2D" w:rsidP="00F95D2D">
      <w:pPr>
        <w:jc w:val="center"/>
        <w:outlineLvl w:val="0"/>
        <w:rPr>
          <w:rFonts w:ascii="Bookman Old Style" w:hAnsi="Bookman Old Style"/>
          <w:sz w:val="44"/>
        </w:rPr>
      </w:pPr>
      <w:r>
        <w:rPr>
          <w:rFonts w:ascii="Bookman Old Style" w:hAnsi="Bookman Old Style"/>
          <w:sz w:val="44"/>
        </w:rPr>
        <w:t>Initial Meeting Ground Rules</w:t>
      </w:r>
    </w:p>
    <w:p w14:paraId="24547A96" w14:textId="77777777" w:rsidR="004A2544" w:rsidRDefault="004A2544"/>
    <w:p w14:paraId="24547A97" w14:textId="77777777" w:rsidR="004A2544" w:rsidRDefault="004A2544"/>
    <w:p w14:paraId="24547A98" w14:textId="77777777" w:rsidR="004A2544" w:rsidRDefault="004A2544">
      <w:pPr>
        <w:rPr>
          <w:rFonts w:ascii="Bookman Old Style" w:hAnsi="Bookman Old Style"/>
          <w:sz w:val="22"/>
        </w:rPr>
      </w:pPr>
    </w:p>
    <w:p w14:paraId="24547A99" w14:textId="77777777" w:rsidR="00F95D2D" w:rsidRDefault="00F95D2D">
      <w:pPr>
        <w:rPr>
          <w:rFonts w:ascii="Bookman Old Style" w:hAnsi="Bookman Old Style"/>
          <w:sz w:val="22"/>
        </w:rPr>
      </w:pPr>
      <w:r>
        <w:rPr>
          <w:rFonts w:ascii="Bookman Old Style" w:hAnsi="Bookman Old Style"/>
          <w:sz w:val="22"/>
        </w:rPr>
        <w:br w:type="page"/>
      </w:r>
    </w:p>
    <w:p w14:paraId="24547A9A" w14:textId="77777777" w:rsidR="00F95D2D" w:rsidRPr="00927B26" w:rsidRDefault="00F95D2D" w:rsidP="00F95D2D">
      <w:pPr>
        <w:rPr>
          <w:rFonts w:ascii="Bookman Old Style" w:hAnsi="Bookman Old Style" w:cs="Arial"/>
          <w:b/>
        </w:rPr>
      </w:pPr>
      <w:r w:rsidRPr="00927B26">
        <w:rPr>
          <w:rFonts w:ascii="Bookman Old Style" w:hAnsi="Bookman Old Style" w:cs="Arial"/>
          <w:b/>
        </w:rPr>
        <w:lastRenderedPageBreak/>
        <w:t>Meeting / Process Ground Rules</w:t>
      </w:r>
    </w:p>
    <w:p w14:paraId="24547A9B" w14:textId="77777777" w:rsidR="00927B26" w:rsidRPr="00927B26" w:rsidRDefault="00927B26" w:rsidP="00F95D2D">
      <w:pPr>
        <w:rPr>
          <w:rFonts w:ascii="Bookman Old Style" w:hAnsi="Bookman Old Style" w:cs="Arial"/>
        </w:rPr>
      </w:pPr>
    </w:p>
    <w:p w14:paraId="24547A9C" w14:textId="77777777" w:rsidR="00F95D2D" w:rsidRPr="00927B26" w:rsidRDefault="00927B26" w:rsidP="00F95D2D">
      <w:pPr>
        <w:rPr>
          <w:rFonts w:ascii="Bookman Old Style" w:hAnsi="Bookman Old Style" w:cs="Arial"/>
        </w:rPr>
      </w:pPr>
      <w:r w:rsidRPr="00927B26">
        <w:rPr>
          <w:rFonts w:ascii="Bookman Old Style" w:hAnsi="Bookman Old Style" w:cs="Arial"/>
        </w:rPr>
        <w:t>T</w:t>
      </w:r>
      <w:r w:rsidR="00F95D2D" w:rsidRPr="00927B26">
        <w:rPr>
          <w:rFonts w:ascii="Bookman Old Style" w:hAnsi="Bookman Old Style" w:cs="Arial"/>
        </w:rPr>
        <w:t xml:space="preserve">his list </w:t>
      </w:r>
      <w:r w:rsidRPr="00927B26">
        <w:rPr>
          <w:rFonts w:ascii="Bookman Old Style" w:hAnsi="Bookman Old Style" w:cs="Arial"/>
        </w:rPr>
        <w:t xml:space="preserve">of ground rules was initially discussed at the IRP Advisory Group meeting on June 17, 2016.  The first draft of ground rules was revised, based on dialogue during that meeting.  </w:t>
      </w:r>
      <w:r w:rsidR="00F95D2D" w:rsidRPr="00927B26">
        <w:rPr>
          <w:rFonts w:ascii="Bookman Old Style" w:hAnsi="Bookman Old Style" w:cs="Arial"/>
        </w:rPr>
        <w:t>These represent the initial ground rules and may be revised as needed to enhance the overall efficiency of the process:</w:t>
      </w:r>
    </w:p>
    <w:p w14:paraId="24547A9D" w14:textId="77777777" w:rsidR="00927B26" w:rsidRPr="00927B26" w:rsidRDefault="00927B26" w:rsidP="00F95D2D">
      <w:pPr>
        <w:rPr>
          <w:rFonts w:ascii="Bookman Old Style" w:hAnsi="Bookman Old Style" w:cs="Arial"/>
        </w:rPr>
      </w:pPr>
    </w:p>
    <w:p w14:paraId="24547A9E"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Revise these ground rules as needed to ensure they support the IRP process. </w:t>
      </w:r>
    </w:p>
    <w:p w14:paraId="24547A9F"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Start and end on time.</w:t>
      </w:r>
    </w:p>
    <w:p w14:paraId="24547AA0" w14:textId="77777777" w:rsidR="00927B26" w:rsidRPr="00CF6E06" w:rsidRDefault="00927B26" w:rsidP="00927B26">
      <w:pPr>
        <w:pStyle w:val="ListParagraph"/>
        <w:numPr>
          <w:ilvl w:val="0"/>
          <w:numId w:val="27"/>
        </w:numPr>
        <w:ind w:left="1080"/>
        <w:rPr>
          <w:rFonts w:ascii="Bookman Old Style" w:hAnsi="Bookman Old Style"/>
        </w:rPr>
      </w:pPr>
      <w:r w:rsidRPr="00CF6E06">
        <w:rPr>
          <w:rFonts w:ascii="Bookman Old Style" w:hAnsi="Bookman Old Style"/>
        </w:rPr>
        <w:t xml:space="preserve">Those participating by phone will sign in with their full names. </w:t>
      </w:r>
    </w:p>
    <w:p w14:paraId="24547AA1" w14:textId="77777777" w:rsidR="00927B26" w:rsidRPr="00927B26" w:rsidRDefault="00927B26" w:rsidP="00927B26">
      <w:pPr>
        <w:pStyle w:val="ListParagraph"/>
        <w:numPr>
          <w:ilvl w:val="0"/>
          <w:numId w:val="27"/>
        </w:numPr>
        <w:ind w:left="1080"/>
        <w:rPr>
          <w:rFonts w:ascii="Bookman Old Style" w:hAnsi="Bookman Old Style"/>
        </w:rPr>
      </w:pPr>
      <w:r w:rsidRPr="00CF6E06">
        <w:rPr>
          <w:rFonts w:ascii="Bookman Old Style" w:hAnsi="Bookman Old Style"/>
        </w:rPr>
        <w:t>All are to avoid acronyms or explain them when they use them</w:t>
      </w:r>
      <w:r w:rsidRPr="00927B26">
        <w:rPr>
          <w:rFonts w:ascii="Bookman Old Style" w:hAnsi="Bookman Old Style"/>
          <w:i/>
        </w:rPr>
        <w:t>.</w:t>
      </w:r>
    </w:p>
    <w:p w14:paraId="24547AA2"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Be fully present.</w:t>
      </w:r>
    </w:p>
    <w:p w14:paraId="24547AA3"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Stick to the agenda and purpose of each meeting. All discussions must be IRP focused.</w:t>
      </w:r>
    </w:p>
    <w:p w14:paraId="24547AA4"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Use Parking Lot to track issues off-topic issues to address at a later time.</w:t>
      </w:r>
    </w:p>
    <w:p w14:paraId="24547AA5"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Respect the direction of the facilitator in asking questions, responding to questions, and instructions to move on.</w:t>
      </w:r>
    </w:p>
    <w:p w14:paraId="24547AA6"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Allow for open, inclusive, and balanced participation and information sharing.</w:t>
      </w:r>
    </w:p>
    <w:p w14:paraId="24547AA7"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Ask questions and listen to increase understanding.</w:t>
      </w:r>
    </w:p>
    <w:p w14:paraId="24547AA8"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No side bars or interruptions.</w:t>
      </w:r>
    </w:p>
    <w:p w14:paraId="24547AA9"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Cell phones on “stun.”</w:t>
      </w:r>
    </w:p>
    <w:p w14:paraId="24547AAA"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Have fun.</w:t>
      </w:r>
    </w:p>
    <w:p w14:paraId="24547AAB" w14:textId="77777777" w:rsidR="00927B26" w:rsidRPr="00CF6E06" w:rsidRDefault="00927B26" w:rsidP="00927B26">
      <w:pPr>
        <w:pStyle w:val="ListParagraph"/>
        <w:numPr>
          <w:ilvl w:val="0"/>
          <w:numId w:val="27"/>
        </w:numPr>
        <w:ind w:left="1080"/>
        <w:rPr>
          <w:rFonts w:ascii="Bookman Old Style" w:hAnsi="Bookman Old Style"/>
        </w:rPr>
      </w:pPr>
      <w:r w:rsidRPr="00CF6E06">
        <w:rPr>
          <w:rFonts w:ascii="Bookman Old Style" w:hAnsi="Bookman Old Style"/>
        </w:rPr>
        <w:t>Take a break approximately half way through the meeting (~5 minutes).</w:t>
      </w:r>
    </w:p>
    <w:p w14:paraId="24547AAC"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Facilitator to provide high-level “draft” meeting notes (capture general discussion and use attribution only by exception or if requested). </w:t>
      </w:r>
    </w:p>
    <w:p w14:paraId="24547AAD" w14:textId="77777777" w:rsidR="00927B26" w:rsidRPr="00CF6E06" w:rsidRDefault="00927B26" w:rsidP="00927B26">
      <w:pPr>
        <w:pStyle w:val="ListParagraph"/>
        <w:numPr>
          <w:ilvl w:val="0"/>
          <w:numId w:val="27"/>
        </w:numPr>
        <w:ind w:left="1080"/>
        <w:rPr>
          <w:rFonts w:ascii="Bookman Old Style" w:hAnsi="Bookman Old Style"/>
        </w:rPr>
      </w:pPr>
      <w:r w:rsidRPr="00CF6E06">
        <w:rPr>
          <w:rFonts w:ascii="Bookman Old Style" w:hAnsi="Bookman Old Style"/>
        </w:rPr>
        <w:t xml:space="preserve">Draft meeting notes will be sent to attendees for comment before being posted (with edits) as final for public review. </w:t>
      </w:r>
    </w:p>
    <w:p w14:paraId="24547AAE"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Be clear about next steps (who is doing what by when).</w:t>
      </w:r>
    </w:p>
    <w:p w14:paraId="24547AAF" w14:textId="77777777" w:rsidR="00927B26" w:rsidRPr="00927B26" w:rsidRDefault="00927B26" w:rsidP="00927B26">
      <w:pPr>
        <w:pStyle w:val="ListParagraph"/>
        <w:numPr>
          <w:ilvl w:val="2"/>
          <w:numId w:val="27"/>
        </w:numPr>
        <w:rPr>
          <w:rFonts w:ascii="Bookman Old Style" w:hAnsi="Bookman Old Style"/>
        </w:rPr>
      </w:pPr>
      <w:r w:rsidRPr="00927B26">
        <w:rPr>
          <w:rFonts w:ascii="Bookman Old Style" w:hAnsi="Bookman Old Style"/>
        </w:rPr>
        <w:t xml:space="preserve">List Action Items at the top of the first page of the meeting notes. </w:t>
      </w:r>
    </w:p>
    <w:p w14:paraId="24547AB0"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PSE will email slides of presentations two days in advance. Note any last minute edits or additions on the day of the meeting.</w:t>
      </w:r>
    </w:p>
    <w:p w14:paraId="24547AB1"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PSE will respond to written </w:t>
      </w:r>
      <w:r w:rsidRPr="00927B26">
        <w:rPr>
          <w:rFonts w:ascii="Bookman Old Style" w:hAnsi="Bookman Old Style"/>
          <w:i/>
        </w:rPr>
        <w:t>questions</w:t>
      </w:r>
      <w:r w:rsidRPr="00927B26">
        <w:rPr>
          <w:rFonts w:ascii="Bookman Old Style" w:hAnsi="Bookman Old Style"/>
        </w:rPr>
        <w:t xml:space="preserve"> within two days. This may include a direct response, an estimate of when a direct response will be provided, or an explanation of why such response will not be forthcoming.</w:t>
      </w:r>
    </w:p>
    <w:p w14:paraId="24547AB2"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Questions submitted need to be specifically related to the Integrated Resource Plan analytical process, assumptions, or </w:t>
      </w:r>
      <w:r w:rsidRPr="00927B26">
        <w:rPr>
          <w:rFonts w:ascii="Bookman Old Style" w:hAnsi="Bookman Old Style"/>
        </w:rPr>
        <w:lastRenderedPageBreak/>
        <w:t xml:space="preserve">conclusions, not broad policy questions or issues that require legal counsel.  This is intended to help provide clarity, not to create a new discovery process for a regulatory filing that is still in development.  </w:t>
      </w:r>
    </w:p>
    <w:p w14:paraId="24547AB3"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PSE will “make full use of existing provisions to manage confidential information” but that process is limited by the Commission’s statutory authority to protect information outside of a contested case. There is actually very little information that must be treated as confidential. If access to confidential information is necessary by some stakeholders, PSE will work with those parties to try and overcome the specific barriers, to the extent feasible.</w:t>
      </w:r>
    </w:p>
    <w:p w14:paraId="24547AB4"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PSE will develop reasonable inputs and results.</w:t>
      </w:r>
    </w:p>
    <w:p w14:paraId="24547AB5"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PSE will ensure they use sufficient font size on PowerPoint presentations that they are easily legible on handouts and when viewed from the back of the room. </w:t>
      </w:r>
    </w:p>
    <w:p w14:paraId="24547AB6" w14:textId="77777777" w:rsidR="00927B26" w:rsidRPr="00927B26" w:rsidRDefault="00927B26" w:rsidP="00927B26">
      <w:pPr>
        <w:pStyle w:val="ListParagraph"/>
        <w:numPr>
          <w:ilvl w:val="0"/>
          <w:numId w:val="27"/>
        </w:numPr>
        <w:ind w:left="1080"/>
        <w:rPr>
          <w:rFonts w:ascii="Bookman Old Style" w:hAnsi="Bookman Old Style"/>
        </w:rPr>
      </w:pPr>
      <w:r w:rsidRPr="00927B26">
        <w:rPr>
          <w:rFonts w:ascii="Bookman Old Style" w:hAnsi="Bookman Old Style"/>
        </w:rPr>
        <w:t xml:space="preserve">Supplement IPR Planning Process with Technical Advisory Committee (TAC) Meetings to delve into complexities of analyses: </w:t>
      </w:r>
    </w:p>
    <w:p w14:paraId="24547AB7" w14:textId="77777777" w:rsidR="00927B26" w:rsidRPr="00927B26" w:rsidRDefault="00927B26" w:rsidP="00927B26">
      <w:pPr>
        <w:pStyle w:val="ListParagraph"/>
        <w:numPr>
          <w:ilvl w:val="2"/>
          <w:numId w:val="27"/>
        </w:numPr>
        <w:rPr>
          <w:rFonts w:ascii="Bookman Old Style" w:hAnsi="Bookman Old Style"/>
        </w:rPr>
      </w:pPr>
      <w:r w:rsidRPr="00927B26">
        <w:rPr>
          <w:rFonts w:ascii="Bookman Old Style" w:hAnsi="Bookman Old Style"/>
        </w:rPr>
        <w:t>The aim of TACs is to get through detailed technical information with key stakeholders in an effective and efficient manner.</w:t>
      </w:r>
    </w:p>
    <w:p w14:paraId="24547AB8" w14:textId="77777777" w:rsidR="00927B26" w:rsidRPr="00927B26" w:rsidRDefault="00927B26" w:rsidP="00927B26">
      <w:pPr>
        <w:pStyle w:val="ListParagraph"/>
        <w:numPr>
          <w:ilvl w:val="2"/>
          <w:numId w:val="27"/>
        </w:numPr>
        <w:rPr>
          <w:rFonts w:ascii="Bookman Old Style" w:hAnsi="Bookman Old Style"/>
        </w:rPr>
      </w:pPr>
      <w:r w:rsidRPr="00927B26">
        <w:rPr>
          <w:rFonts w:ascii="Bookman Old Style" w:hAnsi="Bookman Old Style"/>
        </w:rPr>
        <w:t>TAC Meetings are open to all as long as detail technical review can be effectively accomplished.</w:t>
      </w:r>
    </w:p>
    <w:p w14:paraId="24547AB9" w14:textId="77777777" w:rsidR="00927B26" w:rsidRPr="00927B26" w:rsidRDefault="00927B26" w:rsidP="00927B26">
      <w:pPr>
        <w:pStyle w:val="ListParagraph"/>
        <w:numPr>
          <w:ilvl w:val="2"/>
          <w:numId w:val="27"/>
        </w:numPr>
        <w:rPr>
          <w:rFonts w:ascii="Bookman Old Style" w:hAnsi="Bookman Old Style"/>
        </w:rPr>
      </w:pPr>
      <w:r w:rsidRPr="00927B26">
        <w:rPr>
          <w:rFonts w:ascii="Bookman Old Style" w:hAnsi="Bookman Old Style"/>
        </w:rPr>
        <w:t xml:space="preserve">PSE to share highlights / notes from TAC meetings at IRPAG meetings. </w:t>
      </w:r>
    </w:p>
    <w:p w14:paraId="24547ABA" w14:textId="77777777" w:rsidR="00CF6E06" w:rsidRDefault="00CF6E06">
      <w:pPr>
        <w:rPr>
          <w:rFonts w:ascii="Bookman Old Style" w:hAnsi="Bookman Old Style"/>
          <w:b/>
        </w:rPr>
      </w:pPr>
      <w:r>
        <w:rPr>
          <w:rFonts w:ascii="Bookman Old Style" w:hAnsi="Bookman Old Style"/>
          <w:b/>
        </w:rPr>
        <w:br w:type="page"/>
      </w:r>
    </w:p>
    <w:p w14:paraId="24547ABB" w14:textId="77777777" w:rsidR="00927B26" w:rsidRPr="00927B26" w:rsidRDefault="00927B26" w:rsidP="00927B26">
      <w:pPr>
        <w:rPr>
          <w:rFonts w:ascii="Bookman Old Style" w:hAnsi="Bookman Old Style"/>
          <w:b/>
        </w:rPr>
      </w:pPr>
    </w:p>
    <w:p w14:paraId="24547ABC" w14:textId="77777777" w:rsidR="00FF521F" w:rsidRPr="00FF521F" w:rsidRDefault="00FF521F" w:rsidP="00FF521F">
      <w:pPr>
        <w:ind w:left="360"/>
        <w:jc w:val="center"/>
        <w:outlineLvl w:val="0"/>
        <w:rPr>
          <w:rFonts w:ascii="Bookman Old Style" w:hAnsi="Bookman Old Style"/>
          <w:b/>
          <w:sz w:val="44"/>
        </w:rPr>
      </w:pPr>
      <w:r w:rsidRPr="00FF521F">
        <w:rPr>
          <w:rFonts w:ascii="Bookman Old Style" w:hAnsi="Bookman Old Style"/>
          <w:b/>
          <w:sz w:val="44"/>
        </w:rPr>
        <w:t>PUGET SOUND ENERGY</w:t>
      </w:r>
    </w:p>
    <w:p w14:paraId="24547ABD" w14:textId="77777777" w:rsidR="00FF521F" w:rsidRPr="00FF521F" w:rsidRDefault="00FF521F" w:rsidP="00FF521F">
      <w:pPr>
        <w:jc w:val="center"/>
        <w:rPr>
          <w:rFonts w:ascii="Bookman Old Style" w:hAnsi="Bookman Old Style"/>
          <w:sz w:val="44"/>
        </w:rPr>
      </w:pPr>
    </w:p>
    <w:p w14:paraId="24547ABE" w14:textId="77777777" w:rsidR="00FF521F" w:rsidRPr="00FF521F" w:rsidRDefault="00FF521F" w:rsidP="00FF521F">
      <w:pPr>
        <w:jc w:val="center"/>
        <w:outlineLvl w:val="0"/>
        <w:rPr>
          <w:rFonts w:ascii="Bookman Old Style" w:hAnsi="Bookman Old Style"/>
          <w:sz w:val="44"/>
        </w:rPr>
      </w:pPr>
      <w:r w:rsidRPr="00FF521F">
        <w:rPr>
          <w:rFonts w:ascii="Bookman Old Style" w:hAnsi="Bookman Old Style"/>
          <w:sz w:val="44"/>
        </w:rPr>
        <w:t>201</w:t>
      </w:r>
      <w:r w:rsidR="0034779A">
        <w:rPr>
          <w:rFonts w:ascii="Bookman Old Style" w:hAnsi="Bookman Old Style"/>
          <w:sz w:val="44"/>
        </w:rPr>
        <w:t>7</w:t>
      </w:r>
      <w:r w:rsidRPr="00FF521F">
        <w:rPr>
          <w:rFonts w:ascii="Bookman Old Style" w:hAnsi="Bookman Old Style"/>
          <w:sz w:val="44"/>
        </w:rPr>
        <w:t xml:space="preserve"> IRP WORK PLAN</w:t>
      </w:r>
    </w:p>
    <w:p w14:paraId="24547ABF" w14:textId="77777777" w:rsidR="00FF521F" w:rsidRPr="00FF521F" w:rsidRDefault="00FF521F" w:rsidP="00FF521F">
      <w:pPr>
        <w:jc w:val="center"/>
        <w:rPr>
          <w:rFonts w:ascii="Bookman Old Style" w:hAnsi="Bookman Old Style"/>
          <w:sz w:val="44"/>
        </w:rPr>
      </w:pPr>
      <w:r>
        <w:rPr>
          <w:noProof/>
        </w:rPr>
        <mc:AlternateContent>
          <mc:Choice Requires="wps">
            <w:drawing>
              <wp:anchor distT="0" distB="0" distL="114300" distR="114300" simplePos="0" relativeHeight="251659776" behindDoc="0" locked="0" layoutInCell="0" allowOverlap="1" wp14:anchorId="24547B28" wp14:editId="24547B29">
                <wp:simplePos x="0" y="0"/>
                <wp:positionH relativeFrom="column">
                  <wp:posOffset>228600</wp:posOffset>
                </wp:positionH>
                <wp:positionV relativeFrom="paragraph">
                  <wp:posOffset>153035</wp:posOffset>
                </wp:positionV>
                <wp:extent cx="5029200" cy="0"/>
                <wp:effectExtent l="28575" t="29210" r="2857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174A"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KI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nRkiiB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14:paraId="24547AC0" w14:textId="77777777" w:rsidR="00FF521F" w:rsidRPr="00FF521F" w:rsidRDefault="00FF521F" w:rsidP="00FF521F">
      <w:pPr>
        <w:jc w:val="center"/>
        <w:rPr>
          <w:rFonts w:ascii="Bookman Old Style" w:hAnsi="Bookman Old Style"/>
          <w:sz w:val="44"/>
        </w:rPr>
      </w:pPr>
    </w:p>
    <w:p w14:paraId="24547AC1" w14:textId="77777777" w:rsidR="00FF521F" w:rsidRPr="00FF521F" w:rsidRDefault="00FF521F" w:rsidP="00FF521F">
      <w:pPr>
        <w:jc w:val="center"/>
        <w:outlineLvl w:val="0"/>
        <w:rPr>
          <w:rFonts w:ascii="Bookman Old Style" w:hAnsi="Bookman Old Style"/>
          <w:sz w:val="44"/>
        </w:rPr>
      </w:pPr>
      <w:r w:rsidRPr="00FF521F">
        <w:rPr>
          <w:rFonts w:ascii="Bookman Old Style" w:hAnsi="Bookman Old Style"/>
          <w:sz w:val="44"/>
        </w:rPr>
        <w:t xml:space="preserve">Appendix </w:t>
      </w:r>
      <w:r w:rsidR="0056133E">
        <w:rPr>
          <w:rFonts w:ascii="Bookman Old Style" w:hAnsi="Bookman Old Style"/>
          <w:sz w:val="44"/>
        </w:rPr>
        <w:t>C</w:t>
      </w:r>
    </w:p>
    <w:p w14:paraId="24547AC2" w14:textId="77777777" w:rsidR="00FF521F" w:rsidRDefault="00DF61CE" w:rsidP="00FF521F">
      <w:pPr>
        <w:jc w:val="center"/>
        <w:outlineLvl w:val="0"/>
        <w:rPr>
          <w:rFonts w:ascii="Bookman Old Style" w:hAnsi="Bookman Old Style"/>
          <w:sz w:val="44"/>
        </w:rPr>
      </w:pPr>
      <w:r>
        <w:rPr>
          <w:rFonts w:ascii="Bookman Old Style" w:hAnsi="Bookman Old Style"/>
          <w:sz w:val="44"/>
        </w:rPr>
        <w:t>Advisory Groups and Committees</w:t>
      </w:r>
    </w:p>
    <w:p w14:paraId="24547AC3" w14:textId="77777777" w:rsidR="0056133E" w:rsidRPr="00FF521F" w:rsidRDefault="0056133E" w:rsidP="00FF521F">
      <w:pPr>
        <w:jc w:val="center"/>
        <w:outlineLvl w:val="0"/>
        <w:rPr>
          <w:rFonts w:ascii="Bookman Old Style" w:hAnsi="Bookman Old Style"/>
          <w:sz w:val="44"/>
        </w:rPr>
      </w:pPr>
    </w:p>
    <w:p w14:paraId="24547AC4" w14:textId="77777777" w:rsidR="004A2544" w:rsidRDefault="004A2544">
      <w:pPr>
        <w:rPr>
          <w:rFonts w:ascii="Bookman Old Style" w:hAnsi="Bookman Old Style"/>
          <w:sz w:val="22"/>
        </w:rPr>
      </w:pPr>
    </w:p>
    <w:p w14:paraId="24547AC5" w14:textId="77777777" w:rsidR="0056133E" w:rsidRDefault="0056133E">
      <w:pPr>
        <w:rPr>
          <w:rFonts w:ascii="Bookman Old Style" w:hAnsi="Bookman Old Style"/>
          <w:sz w:val="22"/>
        </w:rPr>
      </w:pPr>
      <w:r>
        <w:rPr>
          <w:rFonts w:ascii="Bookman Old Style" w:hAnsi="Bookman Old Style"/>
          <w:sz w:val="22"/>
        </w:rPr>
        <w:br w:type="page"/>
      </w:r>
    </w:p>
    <w:p w14:paraId="24547AC6" w14:textId="77777777" w:rsidR="00F74C01" w:rsidRPr="00F74C01" w:rsidRDefault="00CF6E06" w:rsidP="0056133E">
      <w:pPr>
        <w:rPr>
          <w:rFonts w:ascii="Bookman Old Style" w:hAnsi="Bookman Old Style" w:cs="Arial"/>
          <w:b/>
          <w:bCs/>
          <w:sz w:val="32"/>
          <w:szCs w:val="32"/>
        </w:rPr>
      </w:pPr>
      <w:r>
        <w:rPr>
          <w:rFonts w:ascii="Bookman Old Style" w:hAnsi="Bookman Old Style" w:cs="Arial"/>
          <w:b/>
          <w:bCs/>
          <w:sz w:val="32"/>
          <w:szCs w:val="32"/>
        </w:rPr>
        <w:lastRenderedPageBreak/>
        <w:t>Technical Advisory Committees</w:t>
      </w:r>
    </w:p>
    <w:p w14:paraId="24547AC7" w14:textId="77777777" w:rsidR="00F74C01" w:rsidRDefault="00F74C01" w:rsidP="0056133E">
      <w:pPr>
        <w:rPr>
          <w:rFonts w:ascii="Bookman Old Style" w:hAnsi="Bookman Old Style" w:cs="Arial"/>
          <w:b/>
          <w:bCs/>
          <w:u w:val="single"/>
        </w:rPr>
      </w:pPr>
    </w:p>
    <w:p w14:paraId="24547AC8" w14:textId="77777777" w:rsidR="00CF6E06" w:rsidRPr="00CF6E06" w:rsidRDefault="00CF6E06" w:rsidP="0056133E">
      <w:pPr>
        <w:rPr>
          <w:rFonts w:ascii="Bookman Old Style" w:hAnsi="Bookman Old Style" w:cs="Arial"/>
          <w:bCs/>
        </w:rPr>
      </w:pPr>
      <w:r w:rsidRPr="00CF6E06">
        <w:rPr>
          <w:rFonts w:ascii="Bookman Old Style" w:hAnsi="Bookman Old Style" w:cs="Arial"/>
          <w:bCs/>
        </w:rPr>
        <w:t>The following is the initial list of Technical Advisory Committees that correspond to the meeting schedule, included in Appendix A. Additional Technical Advisory Committees may be added during the process, as needed.</w:t>
      </w:r>
    </w:p>
    <w:p w14:paraId="24547AC9" w14:textId="77777777" w:rsidR="00A00705" w:rsidRDefault="00A00705" w:rsidP="0056133E">
      <w:pPr>
        <w:rPr>
          <w:rFonts w:ascii="Bookman Old Style" w:hAnsi="Bookman Old Style" w:cs="Arial"/>
          <w:bCs/>
          <w:i/>
        </w:rPr>
      </w:pPr>
    </w:p>
    <w:p w14:paraId="24547ACA" w14:textId="77777777" w:rsidR="00A00705" w:rsidRDefault="00A00705" w:rsidP="0056133E">
      <w:pPr>
        <w:rPr>
          <w:rFonts w:ascii="Bookman Old Style" w:hAnsi="Bookman Old Style" w:cs="Arial"/>
          <w:bCs/>
          <w:i/>
        </w:rPr>
      </w:pPr>
      <w:r>
        <w:rPr>
          <w:rFonts w:ascii="Bookman Old Style" w:hAnsi="Bookman Old Style" w:cs="Arial"/>
          <w:bCs/>
          <w:i/>
        </w:rPr>
        <w:t>Demand Side Resource-Advisory Committee “DSR-AC”</w:t>
      </w:r>
    </w:p>
    <w:p w14:paraId="24547ACB" w14:textId="77777777" w:rsidR="00A00705" w:rsidRPr="00A00705" w:rsidRDefault="00A00705" w:rsidP="0056133E">
      <w:pPr>
        <w:rPr>
          <w:rFonts w:ascii="Bookman Old Style" w:hAnsi="Bookman Old Style" w:cs="Arial"/>
          <w:bCs/>
        </w:rPr>
      </w:pPr>
    </w:p>
    <w:p w14:paraId="24547ACC" w14:textId="77777777" w:rsidR="00A00705" w:rsidRPr="00A00705" w:rsidRDefault="00A00705" w:rsidP="0056133E">
      <w:pPr>
        <w:rPr>
          <w:rFonts w:ascii="Bookman Old Style" w:hAnsi="Bookman Old Style" w:cs="Arial"/>
          <w:bCs/>
        </w:rPr>
      </w:pPr>
      <w:r>
        <w:rPr>
          <w:rFonts w:ascii="Bookman Old Style" w:hAnsi="Bookman Old Style" w:cs="Arial"/>
          <w:bCs/>
        </w:rPr>
        <w:t xml:space="preserve">Review and discuss the detailed methodology for developing demand-side resource alternatives, along with the cost and performance assumptions of these resources.  This </w:t>
      </w:r>
      <w:r w:rsidR="0034779A">
        <w:rPr>
          <w:rFonts w:ascii="Bookman Old Style" w:hAnsi="Bookman Old Style" w:cs="Arial"/>
          <w:bCs/>
        </w:rPr>
        <w:t xml:space="preserve">TAC </w:t>
      </w:r>
      <w:r>
        <w:rPr>
          <w:rFonts w:ascii="Bookman Old Style" w:hAnsi="Bookman Old Style" w:cs="Arial"/>
          <w:bCs/>
        </w:rPr>
        <w:t xml:space="preserve">will </w:t>
      </w:r>
      <w:r w:rsidR="0034779A">
        <w:rPr>
          <w:rFonts w:ascii="Bookman Old Style" w:hAnsi="Bookman Old Style" w:cs="Arial"/>
          <w:bCs/>
        </w:rPr>
        <w:t>review gas</w:t>
      </w:r>
      <w:r>
        <w:rPr>
          <w:rFonts w:ascii="Bookman Old Style" w:hAnsi="Bookman Old Style" w:cs="Arial"/>
          <w:bCs/>
        </w:rPr>
        <w:t xml:space="preserve"> and electric codes and standard changes, energy efficiency electric demand response</w:t>
      </w:r>
      <w:r w:rsidR="0034779A">
        <w:rPr>
          <w:rFonts w:ascii="Bookman Old Style" w:hAnsi="Bookman Old Style" w:cs="Arial"/>
          <w:bCs/>
        </w:rPr>
        <w:t xml:space="preserve"> and other related items</w:t>
      </w:r>
      <w:r>
        <w:rPr>
          <w:rFonts w:ascii="Bookman Old Style" w:hAnsi="Bookman Old Style" w:cs="Arial"/>
          <w:bCs/>
        </w:rPr>
        <w:t>.</w:t>
      </w:r>
    </w:p>
    <w:p w14:paraId="24547ACD" w14:textId="77777777" w:rsidR="00A00705" w:rsidRDefault="00A00705" w:rsidP="0056133E">
      <w:pPr>
        <w:rPr>
          <w:rFonts w:ascii="Bookman Old Style" w:hAnsi="Bookman Old Style" w:cs="Arial"/>
          <w:bCs/>
          <w:i/>
        </w:rPr>
      </w:pPr>
    </w:p>
    <w:p w14:paraId="24547ACE" w14:textId="77777777" w:rsidR="00CF6E06" w:rsidRPr="00CF6E06" w:rsidRDefault="00CF6E06" w:rsidP="0056133E">
      <w:pPr>
        <w:rPr>
          <w:rFonts w:ascii="Bookman Old Style" w:hAnsi="Bookman Old Style" w:cs="Arial"/>
          <w:bCs/>
          <w:i/>
        </w:rPr>
      </w:pPr>
      <w:r w:rsidRPr="00CF6E06">
        <w:rPr>
          <w:rFonts w:ascii="Bookman Old Style" w:hAnsi="Bookman Old Style" w:cs="Arial"/>
          <w:bCs/>
          <w:i/>
        </w:rPr>
        <w:t xml:space="preserve">Thermal Resource </w:t>
      </w:r>
      <w:r w:rsidR="00A00705">
        <w:rPr>
          <w:rFonts w:ascii="Bookman Old Style" w:hAnsi="Bookman Old Style" w:cs="Arial"/>
          <w:bCs/>
          <w:i/>
        </w:rPr>
        <w:t xml:space="preserve">Technical </w:t>
      </w:r>
      <w:r w:rsidRPr="00CF6E06">
        <w:rPr>
          <w:rFonts w:ascii="Bookman Old Style" w:hAnsi="Bookman Old Style" w:cs="Arial"/>
          <w:bCs/>
          <w:i/>
        </w:rPr>
        <w:t xml:space="preserve">Advisory Committee </w:t>
      </w:r>
      <w:r w:rsidR="00A00705">
        <w:rPr>
          <w:rFonts w:ascii="Bookman Old Style" w:hAnsi="Bookman Old Style" w:cs="Arial"/>
          <w:bCs/>
          <w:i/>
        </w:rPr>
        <w:t>“Thermal TAC”</w:t>
      </w:r>
    </w:p>
    <w:p w14:paraId="24547ACF" w14:textId="77777777" w:rsidR="00CF6E06" w:rsidRDefault="00CF6E06" w:rsidP="00CF6E06">
      <w:pPr>
        <w:rPr>
          <w:rFonts w:ascii="Bookman Old Style" w:hAnsi="Bookman Old Style" w:cs="Arial"/>
          <w:b/>
          <w:bCs/>
          <w:u w:val="single"/>
        </w:rPr>
      </w:pPr>
    </w:p>
    <w:p w14:paraId="24547AD0" w14:textId="77777777" w:rsidR="00CF6E06" w:rsidRDefault="00A00705" w:rsidP="00CF6E06">
      <w:pPr>
        <w:rPr>
          <w:rFonts w:ascii="Bookman Old Style" w:hAnsi="Bookman Old Style" w:cs="Arial"/>
          <w:bCs/>
        </w:rPr>
      </w:pPr>
      <w:r>
        <w:rPr>
          <w:rFonts w:ascii="Bookman Old Style" w:hAnsi="Bookman Old Style" w:cs="Arial"/>
          <w:bCs/>
        </w:rPr>
        <w:t>R</w:t>
      </w:r>
      <w:r w:rsidR="00CF6E06">
        <w:rPr>
          <w:rFonts w:ascii="Bookman Old Style" w:hAnsi="Bookman Old Style" w:cs="Arial"/>
          <w:bCs/>
        </w:rPr>
        <w:t xml:space="preserve">eview and discuss </w:t>
      </w:r>
      <w:r>
        <w:rPr>
          <w:rFonts w:ascii="Bookman Old Style" w:hAnsi="Bookman Old Style" w:cs="Arial"/>
          <w:bCs/>
        </w:rPr>
        <w:t xml:space="preserve">the </w:t>
      </w:r>
      <w:r w:rsidR="00CF6E06">
        <w:rPr>
          <w:rFonts w:ascii="Bookman Old Style" w:hAnsi="Bookman Old Style" w:cs="Arial"/>
          <w:bCs/>
        </w:rPr>
        <w:t xml:space="preserve">detailed assumptions for thermal generation plants used in the electric IRP.  </w:t>
      </w:r>
      <w:r w:rsidR="0034779A">
        <w:rPr>
          <w:rFonts w:ascii="Bookman Old Style" w:hAnsi="Bookman Old Style" w:cs="Arial"/>
          <w:bCs/>
        </w:rPr>
        <w:t>This TAC will f</w:t>
      </w:r>
      <w:r>
        <w:rPr>
          <w:rFonts w:ascii="Bookman Old Style" w:hAnsi="Bookman Old Style" w:cs="Arial"/>
          <w:bCs/>
        </w:rPr>
        <w:t xml:space="preserve">ocus </w:t>
      </w:r>
      <w:r w:rsidR="0018620C">
        <w:rPr>
          <w:rFonts w:ascii="Bookman Old Style" w:hAnsi="Bookman Old Style" w:cs="Arial"/>
          <w:bCs/>
        </w:rPr>
        <w:t>will be</w:t>
      </w:r>
      <w:r>
        <w:rPr>
          <w:rFonts w:ascii="Bookman Old Style" w:hAnsi="Bookman Old Style" w:cs="Arial"/>
          <w:bCs/>
        </w:rPr>
        <w:t xml:space="preserve"> on </w:t>
      </w:r>
      <w:r w:rsidR="00CF6E06">
        <w:rPr>
          <w:rFonts w:ascii="Bookman Old Style" w:hAnsi="Bookman Old Style" w:cs="Arial"/>
          <w:bCs/>
        </w:rPr>
        <w:t>details needed to properly model thermal generation for estimating revenue requirements</w:t>
      </w:r>
      <w:r>
        <w:rPr>
          <w:rFonts w:ascii="Bookman Old Style" w:hAnsi="Bookman Old Style" w:cs="Arial"/>
          <w:bCs/>
        </w:rPr>
        <w:t xml:space="preserve"> including fixed and variable costs and operating parameters</w:t>
      </w:r>
      <w:r w:rsidR="0034779A">
        <w:rPr>
          <w:rFonts w:ascii="Bookman Old Style" w:hAnsi="Bookman Old Style" w:cs="Arial"/>
          <w:bCs/>
        </w:rPr>
        <w:t>. This TAC will</w:t>
      </w:r>
      <w:r w:rsidR="00855016">
        <w:rPr>
          <w:rFonts w:ascii="Bookman Old Style" w:hAnsi="Bookman Old Style" w:cs="Arial"/>
          <w:bCs/>
        </w:rPr>
        <w:t xml:space="preserve"> </w:t>
      </w:r>
      <w:r>
        <w:rPr>
          <w:rFonts w:ascii="Bookman Old Style" w:hAnsi="Bookman Old Style" w:cs="Arial"/>
          <w:bCs/>
        </w:rPr>
        <w:t>not a focus on</w:t>
      </w:r>
      <w:r w:rsidR="00CF6E06">
        <w:rPr>
          <w:rFonts w:ascii="Bookman Old Style" w:hAnsi="Bookman Old Style" w:cs="Arial"/>
          <w:bCs/>
        </w:rPr>
        <w:t xml:space="preserve"> levelized costs.</w:t>
      </w:r>
    </w:p>
    <w:p w14:paraId="24547AD1" w14:textId="77777777" w:rsidR="00CF6E06" w:rsidRDefault="00CF6E06" w:rsidP="00CF6E06">
      <w:pPr>
        <w:rPr>
          <w:rFonts w:ascii="Bookman Old Style" w:hAnsi="Bookman Old Style" w:cs="Arial"/>
          <w:bCs/>
        </w:rPr>
      </w:pPr>
    </w:p>
    <w:p w14:paraId="24547AD2" w14:textId="77777777" w:rsidR="00CF6E06" w:rsidRPr="00A00705" w:rsidRDefault="00A00705" w:rsidP="00CF6E06">
      <w:pPr>
        <w:rPr>
          <w:rFonts w:ascii="Bookman Old Style" w:hAnsi="Bookman Old Style" w:cs="Arial"/>
          <w:bCs/>
          <w:i/>
        </w:rPr>
      </w:pPr>
      <w:r w:rsidRPr="00A00705">
        <w:rPr>
          <w:rFonts w:ascii="Bookman Old Style" w:hAnsi="Bookman Old Style" w:cs="Arial"/>
          <w:bCs/>
          <w:i/>
        </w:rPr>
        <w:t xml:space="preserve">Renewable Resource </w:t>
      </w:r>
      <w:r>
        <w:rPr>
          <w:rFonts w:ascii="Bookman Old Style" w:hAnsi="Bookman Old Style" w:cs="Arial"/>
          <w:bCs/>
          <w:i/>
        </w:rPr>
        <w:t xml:space="preserve">Technical </w:t>
      </w:r>
      <w:r w:rsidRPr="00A00705">
        <w:rPr>
          <w:rFonts w:ascii="Bookman Old Style" w:hAnsi="Bookman Old Style" w:cs="Arial"/>
          <w:bCs/>
          <w:i/>
        </w:rPr>
        <w:t>Advisory Committee</w:t>
      </w:r>
      <w:r>
        <w:rPr>
          <w:rFonts w:ascii="Bookman Old Style" w:hAnsi="Bookman Old Style" w:cs="Arial"/>
          <w:bCs/>
          <w:i/>
        </w:rPr>
        <w:t xml:space="preserve"> “Renew TAC”</w:t>
      </w:r>
    </w:p>
    <w:p w14:paraId="24547AD3" w14:textId="77777777" w:rsidR="00A00705" w:rsidRDefault="00A00705" w:rsidP="00CF6E06">
      <w:pPr>
        <w:rPr>
          <w:rFonts w:ascii="Bookman Old Style" w:hAnsi="Bookman Old Style" w:cs="Arial"/>
          <w:bCs/>
        </w:rPr>
      </w:pPr>
    </w:p>
    <w:p w14:paraId="24547AD4" w14:textId="77777777" w:rsidR="00A00705" w:rsidRPr="00CF6E06" w:rsidRDefault="00A00705" w:rsidP="00CF6E06">
      <w:pPr>
        <w:rPr>
          <w:rFonts w:ascii="Bookman Old Style" w:hAnsi="Bookman Old Style" w:cs="Arial"/>
          <w:bCs/>
        </w:rPr>
      </w:pPr>
      <w:r>
        <w:rPr>
          <w:rFonts w:ascii="Bookman Old Style" w:hAnsi="Bookman Old Style" w:cs="Arial"/>
          <w:bCs/>
        </w:rPr>
        <w:t xml:space="preserve">Review and discuss detailed assumptions for renewable generation plants and energy storage used in the electric IRP.  Focus </w:t>
      </w:r>
      <w:r w:rsidR="0018620C">
        <w:rPr>
          <w:rFonts w:ascii="Bookman Old Style" w:hAnsi="Bookman Old Style" w:cs="Arial"/>
          <w:bCs/>
        </w:rPr>
        <w:t>will be</w:t>
      </w:r>
      <w:r>
        <w:rPr>
          <w:rFonts w:ascii="Bookman Old Style" w:hAnsi="Bookman Old Style" w:cs="Arial"/>
          <w:bCs/>
        </w:rPr>
        <w:t xml:space="preserve"> on details needed to properly model renewable resources and storage for estimating revenue requirements, including fixed and variable costs and operating parameters</w:t>
      </w:r>
      <w:r w:rsidR="0034779A">
        <w:rPr>
          <w:rFonts w:ascii="Bookman Old Style" w:hAnsi="Bookman Old Style" w:cs="Arial"/>
          <w:bCs/>
        </w:rPr>
        <w:t>. This TAC will</w:t>
      </w:r>
      <w:r w:rsidR="00855016">
        <w:rPr>
          <w:rFonts w:ascii="Bookman Old Style" w:hAnsi="Bookman Old Style" w:cs="Arial"/>
          <w:bCs/>
        </w:rPr>
        <w:t xml:space="preserve"> </w:t>
      </w:r>
      <w:r>
        <w:rPr>
          <w:rFonts w:ascii="Bookman Old Style" w:hAnsi="Bookman Old Style" w:cs="Arial"/>
          <w:bCs/>
        </w:rPr>
        <w:t>not a focus on levelized costs.</w:t>
      </w:r>
    </w:p>
    <w:p w14:paraId="24547AD5" w14:textId="77777777" w:rsidR="00A00705" w:rsidRPr="00A00705" w:rsidRDefault="00A00705" w:rsidP="00CF6E06">
      <w:pPr>
        <w:rPr>
          <w:rFonts w:ascii="Bookman Old Style" w:hAnsi="Bookman Old Style" w:cs="Arial"/>
          <w:bCs/>
        </w:rPr>
      </w:pPr>
    </w:p>
    <w:p w14:paraId="24547AD6" w14:textId="77777777" w:rsidR="00A00705" w:rsidRPr="00A00705" w:rsidRDefault="00A00705" w:rsidP="00CF6E06">
      <w:pPr>
        <w:rPr>
          <w:rFonts w:ascii="Bookman Old Style" w:hAnsi="Bookman Old Style" w:cs="Arial"/>
          <w:bCs/>
          <w:i/>
        </w:rPr>
      </w:pPr>
      <w:r w:rsidRPr="00A00705">
        <w:rPr>
          <w:rFonts w:ascii="Bookman Old Style" w:hAnsi="Bookman Old Style" w:cs="Arial"/>
          <w:bCs/>
          <w:i/>
        </w:rPr>
        <w:t xml:space="preserve">Gas Resources Technical Advisory Committee “GRAC” </w:t>
      </w:r>
    </w:p>
    <w:p w14:paraId="24547AD7" w14:textId="77777777" w:rsidR="00A00705" w:rsidRDefault="00A00705" w:rsidP="00CF6E06">
      <w:pPr>
        <w:rPr>
          <w:rFonts w:ascii="Bookman Old Style" w:hAnsi="Bookman Old Style" w:cs="Arial"/>
          <w:bCs/>
        </w:rPr>
      </w:pPr>
    </w:p>
    <w:p w14:paraId="24547AD8" w14:textId="77777777" w:rsidR="00A00705" w:rsidRDefault="00A00705" w:rsidP="00CF6E06">
      <w:pPr>
        <w:rPr>
          <w:rFonts w:ascii="Bookman Old Style" w:hAnsi="Bookman Old Style" w:cs="Arial"/>
          <w:bCs/>
        </w:rPr>
      </w:pPr>
      <w:r>
        <w:rPr>
          <w:rFonts w:ascii="Bookman Old Style" w:hAnsi="Bookman Old Style" w:cs="Arial"/>
          <w:bCs/>
        </w:rPr>
        <w:t xml:space="preserve">Review and discuss detailed assumptions for natural gas supply-side alternatives.  This will include storage alternatives and pipeline alternatives.  </w:t>
      </w:r>
      <w:r w:rsidR="0018620C">
        <w:rPr>
          <w:rFonts w:ascii="Bookman Old Style" w:hAnsi="Bookman Old Style" w:cs="Arial"/>
          <w:bCs/>
        </w:rPr>
        <w:t>Focus will be on the timing, cost, and exogenous factors influencing both timing and cost of alternatives.</w:t>
      </w:r>
    </w:p>
    <w:p w14:paraId="24547AD9" w14:textId="77777777" w:rsidR="0018620C" w:rsidRDefault="0018620C" w:rsidP="00CF6E06">
      <w:pPr>
        <w:rPr>
          <w:rFonts w:ascii="Bookman Old Style" w:hAnsi="Bookman Old Style" w:cs="Arial"/>
          <w:bCs/>
        </w:rPr>
      </w:pPr>
    </w:p>
    <w:p w14:paraId="24547ADA" w14:textId="77777777" w:rsidR="0018620C" w:rsidRPr="00E423FA" w:rsidRDefault="00E423FA" w:rsidP="00CF6E06">
      <w:pPr>
        <w:rPr>
          <w:rFonts w:ascii="Bookman Old Style" w:hAnsi="Bookman Old Style" w:cs="Arial"/>
          <w:bCs/>
          <w:i/>
        </w:rPr>
      </w:pPr>
      <w:r w:rsidRPr="00E423FA">
        <w:rPr>
          <w:rFonts w:ascii="Bookman Old Style" w:hAnsi="Bookman Old Style" w:cs="Arial"/>
          <w:bCs/>
          <w:i/>
        </w:rPr>
        <w:t>Electric Flexibility Technical Advisory Committee “Flex TAC”</w:t>
      </w:r>
    </w:p>
    <w:p w14:paraId="24547ADB" w14:textId="77777777" w:rsidR="00E423FA" w:rsidRDefault="00E423FA" w:rsidP="00CF6E06">
      <w:pPr>
        <w:rPr>
          <w:rFonts w:ascii="Bookman Old Style" w:hAnsi="Bookman Old Style" w:cs="Arial"/>
          <w:bCs/>
        </w:rPr>
      </w:pPr>
    </w:p>
    <w:p w14:paraId="24547ADC" w14:textId="77777777" w:rsidR="00E423FA" w:rsidRPr="00A00705" w:rsidRDefault="00F40E10" w:rsidP="00CF6E06">
      <w:pPr>
        <w:rPr>
          <w:rFonts w:ascii="Bookman Old Style" w:hAnsi="Bookman Old Style" w:cs="Arial"/>
          <w:bCs/>
        </w:rPr>
      </w:pPr>
      <w:r>
        <w:rPr>
          <w:rFonts w:ascii="Bookman Old Style" w:hAnsi="Bookman Old Style" w:cs="Arial"/>
          <w:bCs/>
        </w:rPr>
        <w:t xml:space="preserve">Review and discuss methodologies and frameworks for integrating sub-hourly flexibility modeling into long-term decision making.  </w:t>
      </w:r>
      <w:r w:rsidR="00A87134">
        <w:rPr>
          <w:rFonts w:ascii="Bookman Old Style" w:hAnsi="Bookman Old Style" w:cs="Arial"/>
          <w:bCs/>
        </w:rPr>
        <w:t>This will include a discussion of the models used to examine sub-hourly changes in economic dispatch of electric generation and how to incorporate that information into PSE’s planning models.</w:t>
      </w:r>
    </w:p>
    <w:p w14:paraId="24547ADD" w14:textId="77777777" w:rsidR="00A00705" w:rsidRPr="00A00705" w:rsidRDefault="00A00705" w:rsidP="00CF6E06">
      <w:pPr>
        <w:rPr>
          <w:rFonts w:ascii="Bookman Old Style" w:hAnsi="Bookman Old Style" w:cs="Arial"/>
          <w:bCs/>
        </w:rPr>
      </w:pPr>
    </w:p>
    <w:p w14:paraId="24547ADE" w14:textId="77777777" w:rsidR="0056133E" w:rsidRPr="00FF521F" w:rsidRDefault="0056133E" w:rsidP="00F74C01">
      <w:pPr>
        <w:jc w:val="center"/>
        <w:rPr>
          <w:rFonts w:ascii="Bookman Old Style" w:hAnsi="Bookman Old Style"/>
          <w:b/>
          <w:sz w:val="44"/>
        </w:rPr>
      </w:pPr>
      <w:r w:rsidRPr="00FF521F">
        <w:rPr>
          <w:rFonts w:ascii="Bookman Old Style" w:hAnsi="Bookman Old Style"/>
          <w:b/>
          <w:sz w:val="44"/>
        </w:rPr>
        <w:t>PUGET SOUND ENERGY</w:t>
      </w:r>
    </w:p>
    <w:p w14:paraId="24547ADF" w14:textId="77777777" w:rsidR="0056133E" w:rsidRPr="00FF521F" w:rsidRDefault="0056133E" w:rsidP="0056133E">
      <w:pPr>
        <w:jc w:val="center"/>
        <w:rPr>
          <w:rFonts w:ascii="Bookman Old Style" w:hAnsi="Bookman Old Style"/>
          <w:sz w:val="44"/>
        </w:rPr>
      </w:pPr>
    </w:p>
    <w:p w14:paraId="24547AE0" w14:textId="77777777" w:rsidR="0056133E" w:rsidRPr="00FF521F" w:rsidRDefault="0056133E" w:rsidP="0056133E">
      <w:pPr>
        <w:jc w:val="center"/>
        <w:outlineLvl w:val="0"/>
        <w:rPr>
          <w:rFonts w:ascii="Bookman Old Style" w:hAnsi="Bookman Old Style"/>
          <w:sz w:val="44"/>
        </w:rPr>
      </w:pPr>
      <w:r w:rsidRPr="00FF521F">
        <w:rPr>
          <w:rFonts w:ascii="Bookman Old Style" w:hAnsi="Bookman Old Style"/>
          <w:sz w:val="44"/>
        </w:rPr>
        <w:t>201</w:t>
      </w:r>
      <w:r w:rsidR="0034779A">
        <w:rPr>
          <w:rFonts w:ascii="Bookman Old Style" w:hAnsi="Bookman Old Style"/>
          <w:sz w:val="44"/>
        </w:rPr>
        <w:t>7</w:t>
      </w:r>
      <w:r w:rsidRPr="00FF521F">
        <w:rPr>
          <w:rFonts w:ascii="Bookman Old Style" w:hAnsi="Bookman Old Style"/>
          <w:sz w:val="44"/>
        </w:rPr>
        <w:t xml:space="preserve"> IRP WORK PLAN</w:t>
      </w:r>
    </w:p>
    <w:p w14:paraId="24547AE1" w14:textId="77777777" w:rsidR="0056133E" w:rsidRPr="00FF521F" w:rsidRDefault="0056133E" w:rsidP="0056133E">
      <w:pPr>
        <w:jc w:val="center"/>
        <w:rPr>
          <w:rFonts w:ascii="Bookman Old Style" w:hAnsi="Bookman Old Style"/>
          <w:sz w:val="44"/>
        </w:rPr>
      </w:pPr>
      <w:r>
        <w:rPr>
          <w:noProof/>
        </w:rPr>
        <mc:AlternateContent>
          <mc:Choice Requires="wps">
            <w:drawing>
              <wp:anchor distT="0" distB="0" distL="114300" distR="114300" simplePos="0" relativeHeight="251661824" behindDoc="0" locked="0" layoutInCell="0" allowOverlap="1" wp14:anchorId="24547B2A" wp14:editId="24547B2B">
                <wp:simplePos x="0" y="0"/>
                <wp:positionH relativeFrom="column">
                  <wp:posOffset>228600</wp:posOffset>
                </wp:positionH>
                <wp:positionV relativeFrom="paragraph">
                  <wp:posOffset>153035</wp:posOffset>
                </wp:positionV>
                <wp:extent cx="5029200" cy="0"/>
                <wp:effectExtent l="28575" t="29210" r="2857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0C97"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41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GPHQ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" o:allowincell="f" strokeweight="4.5pt">
                <v:stroke linestyle="thinThick"/>
              </v:line>
            </w:pict>
          </mc:Fallback>
        </mc:AlternateContent>
      </w:r>
    </w:p>
    <w:p w14:paraId="24547AE2" w14:textId="77777777" w:rsidR="0056133E" w:rsidRPr="00FF521F" w:rsidRDefault="0056133E" w:rsidP="0056133E">
      <w:pPr>
        <w:jc w:val="center"/>
        <w:rPr>
          <w:rFonts w:ascii="Bookman Old Style" w:hAnsi="Bookman Old Style"/>
          <w:sz w:val="44"/>
        </w:rPr>
      </w:pPr>
    </w:p>
    <w:p w14:paraId="24547AE3" w14:textId="77777777" w:rsidR="0056133E" w:rsidRPr="00FF521F" w:rsidRDefault="0056133E" w:rsidP="0056133E">
      <w:pPr>
        <w:jc w:val="center"/>
        <w:outlineLvl w:val="0"/>
        <w:rPr>
          <w:rFonts w:ascii="Bookman Old Style" w:hAnsi="Bookman Old Style"/>
          <w:sz w:val="44"/>
        </w:rPr>
      </w:pPr>
      <w:r w:rsidRPr="00FF521F">
        <w:rPr>
          <w:rFonts w:ascii="Bookman Old Style" w:hAnsi="Bookman Old Style"/>
          <w:sz w:val="44"/>
        </w:rPr>
        <w:t xml:space="preserve">Appendix </w:t>
      </w:r>
      <w:r>
        <w:rPr>
          <w:rFonts w:ascii="Bookman Old Style" w:hAnsi="Bookman Old Style"/>
          <w:sz w:val="44"/>
        </w:rPr>
        <w:t>D</w:t>
      </w:r>
    </w:p>
    <w:p w14:paraId="24547AE4" w14:textId="77777777" w:rsidR="0056133E" w:rsidRPr="00FF521F" w:rsidRDefault="0056133E" w:rsidP="0056133E">
      <w:pPr>
        <w:jc w:val="center"/>
        <w:outlineLvl w:val="0"/>
        <w:rPr>
          <w:rFonts w:ascii="Bookman Old Style" w:hAnsi="Bookman Old Style"/>
          <w:sz w:val="44"/>
        </w:rPr>
      </w:pPr>
      <w:r>
        <w:rPr>
          <w:rFonts w:ascii="Bookman Old Style" w:hAnsi="Bookman Old Style"/>
          <w:sz w:val="44"/>
        </w:rPr>
        <w:t>Resource Planning Process</w:t>
      </w:r>
    </w:p>
    <w:p w14:paraId="24547AE5" w14:textId="77777777" w:rsidR="0056133E" w:rsidRDefault="0056133E">
      <w:pPr>
        <w:rPr>
          <w:rFonts w:ascii="Bookman Old Style" w:hAnsi="Bookman Old Style"/>
          <w:sz w:val="22"/>
        </w:rPr>
        <w:sectPr w:rsidR="0056133E" w:rsidSect="00CA1306">
          <w:pgSz w:w="12240" w:h="15840" w:code="1"/>
          <w:pgMar w:top="1440" w:right="1800" w:bottom="1440" w:left="1800" w:header="720" w:footer="720" w:gutter="0"/>
          <w:cols w:space="720"/>
          <w:docGrid w:linePitch="360"/>
        </w:sectPr>
      </w:pPr>
    </w:p>
    <w:p w14:paraId="24547AE6" w14:textId="77777777" w:rsidR="000E1D5E" w:rsidRDefault="00C265C5" w:rsidP="002F3DEC">
      <w:r>
        <w:rPr>
          <w:noProof/>
        </w:rPr>
        <w:lastRenderedPageBreak/>
        <w:drawing>
          <wp:inline distT="0" distB="0" distL="0" distR="0" wp14:anchorId="24547B2C" wp14:editId="24547B2D">
            <wp:extent cx="5928360" cy="536511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srcRect/>
                    <a:stretch>
                      <a:fillRect/>
                    </a:stretch>
                  </pic:blipFill>
                  <pic:spPr bwMode="auto">
                    <a:xfrm>
                      <a:off x="0" y="0"/>
                      <a:ext cx="5928360" cy="5365115"/>
                    </a:xfrm>
                    <a:prstGeom prst="rect">
                      <a:avLst/>
                    </a:prstGeom>
                    <a:noFill/>
                    <a:ln w="9525">
                      <a:noFill/>
                      <a:miter lim="800000"/>
                      <a:headEnd/>
                      <a:tailEnd/>
                    </a:ln>
                    <a:effectLst/>
                  </pic:spPr>
                </pic:pic>
              </a:graphicData>
            </a:graphic>
          </wp:inline>
        </w:drawing>
      </w:r>
    </w:p>
    <w:p w14:paraId="24547AE7" w14:textId="77777777" w:rsidR="000E1D5E" w:rsidRDefault="000E1D5E"/>
    <w:p w14:paraId="24547AE8" w14:textId="77777777" w:rsidR="000E1D5E" w:rsidRDefault="000E1D5E"/>
    <w:p w14:paraId="24547AE9" w14:textId="77777777" w:rsidR="000E1D5E" w:rsidRDefault="000E1D5E">
      <w:r>
        <w:br w:type="page"/>
      </w:r>
    </w:p>
    <w:p w14:paraId="24547AEA" w14:textId="77777777" w:rsidR="000E1D5E" w:rsidRPr="003433EB" w:rsidRDefault="000E1D5E">
      <w:pPr>
        <w:rPr>
          <w:rFonts w:ascii="Bookman Old Style" w:hAnsi="Bookman Old Style"/>
          <w:b/>
          <w:sz w:val="28"/>
          <w:szCs w:val="28"/>
        </w:rPr>
      </w:pPr>
      <w:r w:rsidRPr="003433EB">
        <w:rPr>
          <w:rFonts w:ascii="Bookman Old Style" w:hAnsi="Bookman Old Style"/>
          <w:b/>
          <w:sz w:val="28"/>
          <w:szCs w:val="28"/>
        </w:rPr>
        <w:lastRenderedPageBreak/>
        <w:t>Work Groups Contributing to the Integrated Resource Plan</w:t>
      </w:r>
    </w:p>
    <w:p w14:paraId="24547AEB" w14:textId="77777777" w:rsidR="000E1D5E" w:rsidRDefault="000E1D5E"/>
    <w:tbl>
      <w:tblPr>
        <w:tblStyle w:val="TableGrid"/>
        <w:tblW w:w="0" w:type="auto"/>
        <w:tblLook w:val="04A0" w:firstRow="1" w:lastRow="0" w:firstColumn="1" w:lastColumn="0" w:noHBand="0" w:noVBand="1"/>
      </w:tblPr>
      <w:tblGrid>
        <w:gridCol w:w="3258"/>
        <w:gridCol w:w="5598"/>
      </w:tblGrid>
      <w:tr w:rsidR="000E1D5E" w14:paraId="24547AEE" w14:textId="77777777" w:rsidTr="003433EB">
        <w:tc>
          <w:tcPr>
            <w:tcW w:w="3258" w:type="dxa"/>
          </w:tcPr>
          <w:p w14:paraId="24547AEC" w14:textId="77777777" w:rsidR="000E1D5E" w:rsidRPr="003433EB" w:rsidRDefault="000E1D5E" w:rsidP="003433EB">
            <w:pPr>
              <w:jc w:val="center"/>
              <w:rPr>
                <w:rFonts w:ascii="Bookman Old Style" w:hAnsi="Bookman Old Style"/>
                <w:b/>
              </w:rPr>
            </w:pPr>
            <w:r w:rsidRPr="003433EB">
              <w:rPr>
                <w:rFonts w:ascii="Bookman Old Style" w:hAnsi="Bookman Old Style"/>
                <w:b/>
              </w:rPr>
              <w:t>Work</w:t>
            </w:r>
            <w:r w:rsidR="003433EB" w:rsidRPr="003433EB">
              <w:rPr>
                <w:rFonts w:ascii="Bookman Old Style" w:hAnsi="Bookman Old Style"/>
                <w:b/>
              </w:rPr>
              <w:t xml:space="preserve"> Group</w:t>
            </w:r>
          </w:p>
        </w:tc>
        <w:tc>
          <w:tcPr>
            <w:tcW w:w="5598" w:type="dxa"/>
          </w:tcPr>
          <w:p w14:paraId="24547AED" w14:textId="77777777" w:rsidR="000E1D5E" w:rsidRPr="003433EB" w:rsidRDefault="003433EB" w:rsidP="003433EB">
            <w:pPr>
              <w:jc w:val="center"/>
              <w:rPr>
                <w:rFonts w:ascii="Bookman Old Style" w:hAnsi="Bookman Old Style"/>
                <w:b/>
              </w:rPr>
            </w:pPr>
            <w:r w:rsidRPr="003433EB">
              <w:rPr>
                <w:rFonts w:ascii="Bookman Old Style" w:hAnsi="Bookman Old Style"/>
                <w:b/>
              </w:rPr>
              <w:t>Information Provided</w:t>
            </w:r>
          </w:p>
        </w:tc>
      </w:tr>
      <w:tr w:rsidR="000E1D5E" w14:paraId="24547AF1" w14:textId="77777777" w:rsidTr="003433EB">
        <w:tc>
          <w:tcPr>
            <w:tcW w:w="3258" w:type="dxa"/>
          </w:tcPr>
          <w:p w14:paraId="24547AEF" w14:textId="77777777" w:rsidR="000E1D5E" w:rsidRPr="003433EB" w:rsidRDefault="003433EB" w:rsidP="002F3DEC">
            <w:pPr>
              <w:rPr>
                <w:rFonts w:ascii="Bookman Old Style" w:hAnsi="Bookman Old Style"/>
              </w:rPr>
            </w:pPr>
            <w:r>
              <w:rPr>
                <w:rFonts w:ascii="Bookman Old Style" w:hAnsi="Bookman Old Style"/>
              </w:rPr>
              <w:t>Resource Planning &amp; Analysis</w:t>
            </w:r>
          </w:p>
        </w:tc>
        <w:tc>
          <w:tcPr>
            <w:tcW w:w="5598" w:type="dxa"/>
          </w:tcPr>
          <w:p w14:paraId="24547AF0" w14:textId="77777777" w:rsidR="000E1D5E" w:rsidRPr="003433EB" w:rsidRDefault="003433EB" w:rsidP="003433EB">
            <w:pPr>
              <w:rPr>
                <w:rFonts w:ascii="Bookman Old Style" w:hAnsi="Bookman Old Style"/>
              </w:rPr>
            </w:pPr>
            <w:r>
              <w:rPr>
                <w:rFonts w:ascii="Bookman Old Style" w:hAnsi="Bookman Old Style"/>
              </w:rPr>
              <w:t xml:space="preserve">Resource needs and portfolio analysis to assess costs, cost risks, and least-cost combinations of resources.  </w:t>
            </w:r>
          </w:p>
        </w:tc>
      </w:tr>
      <w:tr w:rsidR="000E1D5E" w14:paraId="24547AF4" w14:textId="77777777" w:rsidTr="003433EB">
        <w:tc>
          <w:tcPr>
            <w:tcW w:w="3258" w:type="dxa"/>
          </w:tcPr>
          <w:p w14:paraId="24547AF2" w14:textId="77777777" w:rsidR="000E1D5E" w:rsidRPr="003433EB" w:rsidRDefault="003433EB" w:rsidP="002F3DEC">
            <w:pPr>
              <w:rPr>
                <w:rFonts w:ascii="Bookman Old Style" w:hAnsi="Bookman Old Style"/>
              </w:rPr>
            </w:pPr>
            <w:r>
              <w:rPr>
                <w:rFonts w:ascii="Bookman Old Style" w:hAnsi="Bookman Old Style"/>
              </w:rPr>
              <w:t>Load Forecasting</w:t>
            </w:r>
          </w:p>
        </w:tc>
        <w:tc>
          <w:tcPr>
            <w:tcW w:w="5598" w:type="dxa"/>
          </w:tcPr>
          <w:p w14:paraId="24547AF3" w14:textId="77777777" w:rsidR="000E1D5E" w:rsidRPr="003433EB" w:rsidRDefault="003433EB" w:rsidP="002F3DEC">
            <w:pPr>
              <w:rPr>
                <w:rFonts w:ascii="Bookman Old Style" w:hAnsi="Bookman Old Style"/>
              </w:rPr>
            </w:pPr>
            <w:r>
              <w:rPr>
                <w:rFonts w:ascii="Bookman Old Style" w:hAnsi="Bookman Old Style"/>
              </w:rPr>
              <w:t>Long-term customer, energy, and peak load forecasts for electric and gas retail customers.</w:t>
            </w:r>
          </w:p>
        </w:tc>
      </w:tr>
      <w:tr w:rsidR="00DC0969" w14:paraId="24547AF7" w14:textId="77777777" w:rsidTr="003433EB">
        <w:tc>
          <w:tcPr>
            <w:tcW w:w="3258" w:type="dxa"/>
          </w:tcPr>
          <w:p w14:paraId="24547AF5" w14:textId="77777777" w:rsidR="00DC0969" w:rsidRDefault="00DC0969" w:rsidP="002F3DEC">
            <w:pPr>
              <w:rPr>
                <w:rFonts w:ascii="Bookman Old Style" w:hAnsi="Bookman Old Style"/>
              </w:rPr>
            </w:pPr>
            <w:r>
              <w:rPr>
                <w:rFonts w:ascii="Bookman Old Style" w:hAnsi="Bookman Old Style"/>
              </w:rPr>
              <w:t>Energy Efficiency</w:t>
            </w:r>
          </w:p>
        </w:tc>
        <w:tc>
          <w:tcPr>
            <w:tcW w:w="5598" w:type="dxa"/>
          </w:tcPr>
          <w:p w14:paraId="24547AF6" w14:textId="77777777" w:rsidR="00DC0969" w:rsidRDefault="00DC0969" w:rsidP="00DC0969">
            <w:pPr>
              <w:rPr>
                <w:rFonts w:ascii="Bookman Old Style" w:hAnsi="Bookman Old Style"/>
              </w:rPr>
            </w:pPr>
            <w:r>
              <w:rPr>
                <w:rFonts w:ascii="Bookman Old Style" w:hAnsi="Bookman Old Style"/>
              </w:rPr>
              <w:t>Review and feedback on electric and gas conservation supply curves, including costs, feasibility, and timing</w:t>
            </w:r>
            <w:r w:rsidR="001B4A06">
              <w:rPr>
                <w:rFonts w:ascii="Bookman Old Style" w:hAnsi="Bookman Old Style"/>
              </w:rPr>
              <w:t xml:space="preserve"> and review and feedback on results</w:t>
            </w:r>
            <w:r>
              <w:rPr>
                <w:rFonts w:ascii="Bookman Old Style" w:hAnsi="Bookman Old Style"/>
              </w:rPr>
              <w:t>.</w:t>
            </w:r>
          </w:p>
        </w:tc>
      </w:tr>
      <w:tr w:rsidR="00DC0969" w14:paraId="24547AFA" w14:textId="77777777" w:rsidTr="003433EB">
        <w:tc>
          <w:tcPr>
            <w:tcW w:w="3258" w:type="dxa"/>
          </w:tcPr>
          <w:p w14:paraId="24547AF8" w14:textId="77777777" w:rsidR="00DC0969" w:rsidRPr="003433EB" w:rsidRDefault="00DC0969" w:rsidP="00607A7A">
            <w:pPr>
              <w:rPr>
                <w:rFonts w:ascii="Bookman Old Style" w:hAnsi="Bookman Old Style"/>
              </w:rPr>
            </w:pPr>
            <w:r>
              <w:rPr>
                <w:rFonts w:ascii="Bookman Old Style" w:hAnsi="Bookman Old Style"/>
              </w:rPr>
              <w:t>Resource Acquisitions and Emerging Resources</w:t>
            </w:r>
          </w:p>
        </w:tc>
        <w:tc>
          <w:tcPr>
            <w:tcW w:w="5598" w:type="dxa"/>
          </w:tcPr>
          <w:p w14:paraId="24547AF9" w14:textId="77777777" w:rsidR="00DC0969" w:rsidRPr="003433EB" w:rsidRDefault="00DC0969" w:rsidP="001B4A06">
            <w:pPr>
              <w:rPr>
                <w:rFonts w:ascii="Bookman Old Style" w:hAnsi="Bookman Old Style"/>
              </w:rPr>
            </w:pPr>
            <w:r>
              <w:rPr>
                <w:rFonts w:ascii="Bookman Old Style" w:hAnsi="Bookman Old Style"/>
              </w:rPr>
              <w:t>Costs, operational characteristics, and commercial availability of supply-side electric resources</w:t>
            </w:r>
            <w:r w:rsidR="001B4A06">
              <w:rPr>
                <w:rFonts w:ascii="Bookman Old Style" w:hAnsi="Bookman Old Style"/>
              </w:rPr>
              <w:t xml:space="preserve"> and review of inputs, outputs, and conclusions</w:t>
            </w:r>
            <w:r>
              <w:rPr>
                <w:rFonts w:ascii="Bookman Old Style" w:hAnsi="Bookman Old Style"/>
              </w:rPr>
              <w:t>.</w:t>
            </w:r>
          </w:p>
        </w:tc>
      </w:tr>
      <w:tr w:rsidR="00DC0969" w14:paraId="24547AFD" w14:textId="77777777" w:rsidTr="003433EB">
        <w:tc>
          <w:tcPr>
            <w:tcW w:w="3258" w:type="dxa"/>
          </w:tcPr>
          <w:p w14:paraId="24547AFB" w14:textId="77777777" w:rsidR="00DC0969" w:rsidRPr="003433EB" w:rsidRDefault="00DC0969" w:rsidP="002F3DEC">
            <w:pPr>
              <w:rPr>
                <w:rFonts w:ascii="Bookman Old Style" w:hAnsi="Bookman Old Style"/>
              </w:rPr>
            </w:pPr>
            <w:r>
              <w:rPr>
                <w:rFonts w:ascii="Bookman Old Style" w:hAnsi="Bookman Old Style"/>
              </w:rPr>
              <w:t>Customer Renewable Energy Programs</w:t>
            </w:r>
          </w:p>
        </w:tc>
        <w:tc>
          <w:tcPr>
            <w:tcW w:w="5598" w:type="dxa"/>
          </w:tcPr>
          <w:p w14:paraId="24547AFC" w14:textId="77777777" w:rsidR="00DC0969" w:rsidRPr="003433EB" w:rsidRDefault="00DC0969" w:rsidP="002F3DEC">
            <w:pPr>
              <w:rPr>
                <w:rFonts w:ascii="Bookman Old Style" w:hAnsi="Bookman Old Style"/>
              </w:rPr>
            </w:pPr>
            <w:r>
              <w:rPr>
                <w:rFonts w:ascii="Bookman Old Style" w:hAnsi="Bookman Old Style"/>
              </w:rPr>
              <w:t>Cost forecasts for customer-owned generation, market penetration forecasts, and green power program information.</w:t>
            </w:r>
          </w:p>
        </w:tc>
      </w:tr>
      <w:tr w:rsidR="00DC0969" w14:paraId="24547B00" w14:textId="77777777" w:rsidTr="003433EB">
        <w:tc>
          <w:tcPr>
            <w:tcW w:w="3258" w:type="dxa"/>
          </w:tcPr>
          <w:p w14:paraId="24547AFE" w14:textId="77777777" w:rsidR="00DC0969" w:rsidRPr="003433EB" w:rsidRDefault="00DC0969" w:rsidP="002F3DEC">
            <w:pPr>
              <w:rPr>
                <w:rFonts w:ascii="Bookman Old Style" w:hAnsi="Bookman Old Style"/>
              </w:rPr>
            </w:pPr>
            <w:r>
              <w:rPr>
                <w:rFonts w:ascii="Bookman Old Style" w:hAnsi="Bookman Old Style"/>
              </w:rPr>
              <w:t>Natural Gas Resources</w:t>
            </w:r>
          </w:p>
        </w:tc>
        <w:tc>
          <w:tcPr>
            <w:tcW w:w="5598" w:type="dxa"/>
          </w:tcPr>
          <w:p w14:paraId="24547AFF" w14:textId="77777777" w:rsidR="00DC0969" w:rsidRPr="003433EB" w:rsidRDefault="00DC0969" w:rsidP="00DC0969">
            <w:pPr>
              <w:rPr>
                <w:rFonts w:ascii="Bookman Old Style" w:hAnsi="Bookman Old Style"/>
              </w:rPr>
            </w:pPr>
            <w:r>
              <w:rPr>
                <w:rFonts w:ascii="Bookman Old Style" w:hAnsi="Bookman Old Style"/>
              </w:rPr>
              <w:t>Costs, operational characteristics, and commercial availability of supply-side gas resources.</w:t>
            </w:r>
          </w:p>
        </w:tc>
      </w:tr>
      <w:tr w:rsidR="00DC0969" w14:paraId="24547B03" w14:textId="77777777" w:rsidTr="003433EB">
        <w:tc>
          <w:tcPr>
            <w:tcW w:w="3258" w:type="dxa"/>
          </w:tcPr>
          <w:p w14:paraId="24547B01" w14:textId="77777777" w:rsidR="00DC0969" w:rsidRPr="003433EB" w:rsidRDefault="00DC0969" w:rsidP="002F3DEC">
            <w:pPr>
              <w:rPr>
                <w:rFonts w:ascii="Bookman Old Style" w:hAnsi="Bookman Old Style"/>
              </w:rPr>
            </w:pPr>
            <w:r>
              <w:rPr>
                <w:rFonts w:ascii="Bookman Old Style" w:hAnsi="Bookman Old Style"/>
              </w:rPr>
              <w:t>System Planning</w:t>
            </w:r>
          </w:p>
        </w:tc>
        <w:tc>
          <w:tcPr>
            <w:tcW w:w="5598" w:type="dxa"/>
          </w:tcPr>
          <w:p w14:paraId="24547B02" w14:textId="77777777" w:rsidR="00DC0969" w:rsidRPr="003433EB" w:rsidRDefault="00DC0969" w:rsidP="00DC0969">
            <w:pPr>
              <w:rPr>
                <w:rFonts w:ascii="Bookman Old Style" w:hAnsi="Bookman Old Style"/>
              </w:rPr>
            </w:pPr>
            <w:r>
              <w:rPr>
                <w:rFonts w:ascii="Bookman Old Style" w:hAnsi="Bookman Old Style"/>
              </w:rPr>
              <w:t>Specific information on electric transmission and gas and electric distribution planning issues.</w:t>
            </w:r>
          </w:p>
        </w:tc>
      </w:tr>
      <w:tr w:rsidR="00DC0969" w14:paraId="24547B06" w14:textId="77777777" w:rsidTr="003433EB">
        <w:tc>
          <w:tcPr>
            <w:tcW w:w="3258" w:type="dxa"/>
          </w:tcPr>
          <w:p w14:paraId="24547B04" w14:textId="77777777" w:rsidR="00DC0969" w:rsidRPr="003433EB" w:rsidRDefault="00C90798" w:rsidP="002F3DEC">
            <w:pPr>
              <w:rPr>
                <w:rFonts w:ascii="Bookman Old Style" w:hAnsi="Bookman Old Style"/>
              </w:rPr>
            </w:pPr>
            <w:r>
              <w:rPr>
                <w:rFonts w:ascii="Bookman Old Style" w:hAnsi="Bookman Old Style"/>
              </w:rPr>
              <w:t>Energy Delivery</w:t>
            </w:r>
          </w:p>
        </w:tc>
        <w:tc>
          <w:tcPr>
            <w:tcW w:w="5598" w:type="dxa"/>
          </w:tcPr>
          <w:p w14:paraId="24547B05" w14:textId="77777777" w:rsidR="00DC0969" w:rsidRPr="003433EB" w:rsidRDefault="00C90798" w:rsidP="002F3DEC">
            <w:pPr>
              <w:rPr>
                <w:rFonts w:ascii="Bookman Old Style" w:hAnsi="Bookman Old Style"/>
              </w:rPr>
            </w:pPr>
            <w:r>
              <w:rPr>
                <w:rFonts w:ascii="Bookman Old Style" w:hAnsi="Bookman Old Style"/>
              </w:rPr>
              <w:t>BPA transmission contract information and intra-hour resource flexibility analysis.</w:t>
            </w:r>
          </w:p>
        </w:tc>
      </w:tr>
      <w:tr w:rsidR="00DC0969" w14:paraId="24547B09" w14:textId="77777777" w:rsidTr="003433EB">
        <w:tc>
          <w:tcPr>
            <w:tcW w:w="3258" w:type="dxa"/>
          </w:tcPr>
          <w:p w14:paraId="24547B07" w14:textId="77777777" w:rsidR="00DC0969" w:rsidRPr="003433EB" w:rsidRDefault="00C90798" w:rsidP="002F3DEC">
            <w:pPr>
              <w:rPr>
                <w:rFonts w:ascii="Bookman Old Style" w:hAnsi="Bookman Old Style"/>
              </w:rPr>
            </w:pPr>
            <w:r>
              <w:rPr>
                <w:rFonts w:ascii="Bookman Old Style" w:hAnsi="Bookman Old Style"/>
              </w:rPr>
              <w:t>Transmission Contracts</w:t>
            </w:r>
          </w:p>
        </w:tc>
        <w:tc>
          <w:tcPr>
            <w:tcW w:w="5598" w:type="dxa"/>
          </w:tcPr>
          <w:p w14:paraId="24547B08" w14:textId="77777777" w:rsidR="00DC0969" w:rsidRPr="003433EB" w:rsidRDefault="00C90798" w:rsidP="002F3DEC">
            <w:pPr>
              <w:rPr>
                <w:rFonts w:ascii="Bookman Old Style" w:hAnsi="Bookman Old Style"/>
              </w:rPr>
            </w:pPr>
            <w:r>
              <w:rPr>
                <w:rFonts w:ascii="Bookman Old Style" w:hAnsi="Bookman Old Style"/>
              </w:rPr>
              <w:t>PSE transmission capacities and constraints and regional transmission issues.</w:t>
            </w:r>
          </w:p>
        </w:tc>
      </w:tr>
      <w:tr w:rsidR="00C90798" w14:paraId="24547B0C" w14:textId="77777777" w:rsidTr="003433EB">
        <w:tc>
          <w:tcPr>
            <w:tcW w:w="3258" w:type="dxa"/>
          </w:tcPr>
          <w:p w14:paraId="24547B0A" w14:textId="77777777" w:rsidR="00C90798" w:rsidRPr="003433EB" w:rsidRDefault="00C90798" w:rsidP="00607A7A">
            <w:pPr>
              <w:rPr>
                <w:rFonts w:ascii="Bookman Old Style" w:hAnsi="Bookman Old Style"/>
              </w:rPr>
            </w:pPr>
            <w:r>
              <w:rPr>
                <w:rFonts w:ascii="Bookman Old Style" w:hAnsi="Bookman Old Style"/>
              </w:rPr>
              <w:t>Power and Gas Supply Operations</w:t>
            </w:r>
          </w:p>
        </w:tc>
        <w:tc>
          <w:tcPr>
            <w:tcW w:w="5598" w:type="dxa"/>
          </w:tcPr>
          <w:p w14:paraId="24547B0B" w14:textId="77777777" w:rsidR="00C90798" w:rsidRPr="003433EB" w:rsidRDefault="00C90798" w:rsidP="00607A7A">
            <w:pPr>
              <w:rPr>
                <w:rFonts w:ascii="Bookman Old Style" w:hAnsi="Bookman Old Style"/>
              </w:rPr>
            </w:pPr>
            <w:r>
              <w:rPr>
                <w:rFonts w:ascii="Bookman Old Style" w:hAnsi="Bookman Old Style"/>
              </w:rPr>
              <w:t>Input on market issues and review of assumptions and results.</w:t>
            </w:r>
          </w:p>
        </w:tc>
      </w:tr>
      <w:tr w:rsidR="00C90798" w14:paraId="24547B0F" w14:textId="77777777" w:rsidTr="003433EB">
        <w:tc>
          <w:tcPr>
            <w:tcW w:w="3258" w:type="dxa"/>
          </w:tcPr>
          <w:p w14:paraId="24547B0D" w14:textId="77777777" w:rsidR="00C90798" w:rsidRPr="003433EB" w:rsidRDefault="00031B3D" w:rsidP="002F3DEC">
            <w:pPr>
              <w:rPr>
                <w:rFonts w:ascii="Bookman Old Style" w:hAnsi="Bookman Old Style"/>
              </w:rPr>
            </w:pPr>
            <w:r>
              <w:rPr>
                <w:rFonts w:ascii="Bookman Old Style" w:hAnsi="Bookman Old Style"/>
              </w:rPr>
              <w:t>Thermal Resources</w:t>
            </w:r>
          </w:p>
        </w:tc>
        <w:tc>
          <w:tcPr>
            <w:tcW w:w="5598" w:type="dxa"/>
          </w:tcPr>
          <w:p w14:paraId="24547B0E" w14:textId="77777777" w:rsidR="00C90798" w:rsidRPr="003433EB" w:rsidRDefault="00031B3D" w:rsidP="002F3DEC">
            <w:pPr>
              <w:rPr>
                <w:rFonts w:ascii="Bookman Old Style" w:hAnsi="Bookman Old Style"/>
              </w:rPr>
            </w:pPr>
            <w:r>
              <w:rPr>
                <w:rFonts w:ascii="Bookman Old Style" w:hAnsi="Bookman Old Style"/>
              </w:rPr>
              <w:t>Operational and performance information on PSE’s existing thermal generation.</w:t>
            </w:r>
          </w:p>
        </w:tc>
      </w:tr>
      <w:tr w:rsidR="00C90798" w14:paraId="24547B12" w14:textId="77777777" w:rsidTr="003433EB">
        <w:tc>
          <w:tcPr>
            <w:tcW w:w="3258" w:type="dxa"/>
          </w:tcPr>
          <w:p w14:paraId="24547B10" w14:textId="77777777" w:rsidR="00C90798" w:rsidRPr="00031B3D" w:rsidRDefault="00031B3D" w:rsidP="002F3DEC">
            <w:pPr>
              <w:rPr>
                <w:rFonts w:ascii="Bookman Old Style" w:hAnsi="Bookman Old Style"/>
              </w:rPr>
            </w:pPr>
            <w:r w:rsidRPr="00031B3D">
              <w:rPr>
                <w:rFonts w:ascii="Bookman Old Style" w:hAnsi="Bookman Old Style"/>
              </w:rPr>
              <w:t>Hydro and Win</w:t>
            </w:r>
            <w:r>
              <w:rPr>
                <w:rFonts w:ascii="Bookman Old Style" w:hAnsi="Bookman Old Style"/>
              </w:rPr>
              <w:t>d Resources</w:t>
            </w:r>
          </w:p>
        </w:tc>
        <w:tc>
          <w:tcPr>
            <w:tcW w:w="5598" w:type="dxa"/>
          </w:tcPr>
          <w:p w14:paraId="24547B11" w14:textId="77777777" w:rsidR="00C90798" w:rsidRPr="00031B3D" w:rsidRDefault="00031B3D" w:rsidP="00031B3D">
            <w:pPr>
              <w:rPr>
                <w:rFonts w:ascii="Bookman Old Style" w:hAnsi="Bookman Old Style"/>
              </w:rPr>
            </w:pPr>
            <w:r>
              <w:rPr>
                <w:rFonts w:ascii="Bookman Old Style" w:hAnsi="Bookman Old Style"/>
              </w:rPr>
              <w:t>Operational and performance information on PSE’s existing hydro and wind generation.</w:t>
            </w:r>
          </w:p>
        </w:tc>
      </w:tr>
      <w:tr w:rsidR="00031B3D" w14:paraId="24547B15" w14:textId="77777777" w:rsidTr="003433EB">
        <w:tc>
          <w:tcPr>
            <w:tcW w:w="3258" w:type="dxa"/>
          </w:tcPr>
          <w:p w14:paraId="24547B13" w14:textId="77777777" w:rsidR="00031B3D" w:rsidRPr="00031B3D" w:rsidRDefault="001B4A06" w:rsidP="002F3DEC">
            <w:pPr>
              <w:rPr>
                <w:rFonts w:ascii="Bookman Old Style" w:hAnsi="Bookman Old Style"/>
              </w:rPr>
            </w:pPr>
            <w:r>
              <w:rPr>
                <w:rFonts w:ascii="Bookman Old Style" w:hAnsi="Bookman Old Style"/>
              </w:rPr>
              <w:t>Government Affairs</w:t>
            </w:r>
          </w:p>
        </w:tc>
        <w:tc>
          <w:tcPr>
            <w:tcW w:w="5598" w:type="dxa"/>
          </w:tcPr>
          <w:p w14:paraId="24547B14" w14:textId="77777777" w:rsidR="00031B3D" w:rsidRPr="00031B3D" w:rsidRDefault="001B4A06" w:rsidP="001B4A06">
            <w:pPr>
              <w:rPr>
                <w:rFonts w:ascii="Bookman Old Style" w:hAnsi="Bookman Old Style"/>
              </w:rPr>
            </w:pPr>
            <w:r>
              <w:rPr>
                <w:rFonts w:ascii="Bookman Old Style" w:hAnsi="Bookman Old Style"/>
              </w:rPr>
              <w:t>State and federal energy policy activity at legislative and executive branches.</w:t>
            </w:r>
          </w:p>
        </w:tc>
      </w:tr>
      <w:tr w:rsidR="00031B3D" w14:paraId="24547B18" w14:textId="77777777" w:rsidTr="003433EB">
        <w:tc>
          <w:tcPr>
            <w:tcW w:w="3258" w:type="dxa"/>
          </w:tcPr>
          <w:p w14:paraId="24547B16" w14:textId="77777777" w:rsidR="00031B3D" w:rsidRPr="00031B3D" w:rsidRDefault="001B4A06" w:rsidP="002F3DEC">
            <w:pPr>
              <w:rPr>
                <w:rFonts w:ascii="Bookman Old Style" w:hAnsi="Bookman Old Style"/>
              </w:rPr>
            </w:pPr>
            <w:r>
              <w:rPr>
                <w:rFonts w:ascii="Bookman Old Style" w:hAnsi="Bookman Old Style"/>
              </w:rPr>
              <w:t>Energy Resource Compliance</w:t>
            </w:r>
          </w:p>
        </w:tc>
        <w:tc>
          <w:tcPr>
            <w:tcW w:w="5598" w:type="dxa"/>
          </w:tcPr>
          <w:p w14:paraId="24547B17" w14:textId="77777777" w:rsidR="00031B3D" w:rsidRPr="00031B3D" w:rsidRDefault="001B4A06" w:rsidP="002F3DEC">
            <w:pPr>
              <w:rPr>
                <w:rFonts w:ascii="Bookman Old Style" w:hAnsi="Bookman Old Style"/>
              </w:rPr>
            </w:pPr>
            <w:r>
              <w:rPr>
                <w:rFonts w:ascii="Bookman Old Style" w:hAnsi="Bookman Old Style"/>
              </w:rPr>
              <w:t>Emission information, emission accounting, and emission related policy trends.</w:t>
            </w:r>
          </w:p>
        </w:tc>
      </w:tr>
      <w:tr w:rsidR="001127CA" w14:paraId="24547B1B" w14:textId="77777777" w:rsidTr="003433EB">
        <w:tc>
          <w:tcPr>
            <w:tcW w:w="3258" w:type="dxa"/>
          </w:tcPr>
          <w:p w14:paraId="24547B19" w14:textId="77777777" w:rsidR="001127CA" w:rsidRPr="003433EB" w:rsidRDefault="001127CA" w:rsidP="00607A7A">
            <w:pPr>
              <w:rPr>
                <w:rFonts w:ascii="Bookman Old Style" w:hAnsi="Bookman Old Style"/>
              </w:rPr>
            </w:pPr>
            <w:r>
              <w:rPr>
                <w:rFonts w:ascii="Bookman Old Style" w:hAnsi="Bookman Old Style"/>
              </w:rPr>
              <w:t>State Regulatory Affairs</w:t>
            </w:r>
          </w:p>
        </w:tc>
        <w:tc>
          <w:tcPr>
            <w:tcW w:w="5598" w:type="dxa"/>
          </w:tcPr>
          <w:p w14:paraId="24547B1A" w14:textId="77777777" w:rsidR="001127CA" w:rsidRPr="003433EB" w:rsidRDefault="001127CA" w:rsidP="00607A7A">
            <w:pPr>
              <w:rPr>
                <w:rFonts w:ascii="Bookman Old Style" w:hAnsi="Bookman Old Style"/>
              </w:rPr>
            </w:pPr>
            <w:r>
              <w:rPr>
                <w:rFonts w:ascii="Bookman Old Style" w:hAnsi="Bookman Old Style"/>
              </w:rPr>
              <w:t>Regulatory compliance guidance.</w:t>
            </w:r>
          </w:p>
        </w:tc>
      </w:tr>
      <w:tr w:rsidR="001127CA" w14:paraId="24547B1E" w14:textId="77777777" w:rsidTr="003433EB">
        <w:tc>
          <w:tcPr>
            <w:tcW w:w="3258" w:type="dxa"/>
          </w:tcPr>
          <w:p w14:paraId="24547B1C" w14:textId="77777777" w:rsidR="001127CA" w:rsidRPr="00031B3D" w:rsidRDefault="001127CA" w:rsidP="00607A7A">
            <w:pPr>
              <w:rPr>
                <w:rFonts w:ascii="Bookman Old Style" w:hAnsi="Bookman Old Style"/>
              </w:rPr>
            </w:pPr>
            <w:r>
              <w:rPr>
                <w:rFonts w:ascii="Bookman Old Style" w:hAnsi="Bookman Old Style"/>
              </w:rPr>
              <w:t>Government Affairs</w:t>
            </w:r>
          </w:p>
        </w:tc>
        <w:tc>
          <w:tcPr>
            <w:tcW w:w="5598" w:type="dxa"/>
          </w:tcPr>
          <w:p w14:paraId="24547B1D" w14:textId="77777777" w:rsidR="001127CA" w:rsidRPr="00031B3D" w:rsidRDefault="001127CA" w:rsidP="00607A7A">
            <w:pPr>
              <w:rPr>
                <w:rFonts w:ascii="Bookman Old Style" w:hAnsi="Bookman Old Style"/>
              </w:rPr>
            </w:pPr>
            <w:r>
              <w:rPr>
                <w:rFonts w:ascii="Bookman Old Style" w:hAnsi="Bookman Old Style"/>
              </w:rPr>
              <w:t>State and federal energy policy activity at legislative and executive branches.</w:t>
            </w:r>
          </w:p>
        </w:tc>
      </w:tr>
    </w:tbl>
    <w:p w14:paraId="24547B1F" w14:textId="77777777" w:rsidR="004A2544" w:rsidRDefault="004A2544" w:rsidP="002F3DEC"/>
    <w:sectPr w:rsidR="004A2544" w:rsidSect="002F3DEC">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47B30" w14:textId="77777777" w:rsidR="00B5680E" w:rsidRDefault="00B5680E">
      <w:r>
        <w:separator/>
      </w:r>
    </w:p>
  </w:endnote>
  <w:endnote w:type="continuationSeparator" w:id="0">
    <w:p w14:paraId="24547B31" w14:textId="77777777" w:rsidR="00B5680E" w:rsidRDefault="00B5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4" w14:textId="77777777" w:rsidR="00444F7E" w:rsidRDefault="00444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5" w14:textId="77777777" w:rsidR="00E86305" w:rsidRDefault="003D459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PSE IRP Work Plan</w:t>
    </w:r>
    <w:r w:rsidR="00E86305">
      <w:rPr>
        <w:rFonts w:asciiTheme="majorHAnsi" w:eastAsiaTheme="majorEastAsia" w:hAnsiTheme="majorHAnsi" w:cstheme="majorBidi"/>
      </w:rPr>
      <w:ptab w:relativeTo="margin" w:alignment="right" w:leader="none"/>
    </w:r>
    <w:r w:rsidR="00E86305">
      <w:rPr>
        <w:rFonts w:asciiTheme="majorHAnsi" w:eastAsiaTheme="majorEastAsia" w:hAnsiTheme="majorHAnsi" w:cstheme="majorBidi"/>
      </w:rPr>
      <w:t xml:space="preserve">Page </w:t>
    </w:r>
    <w:r w:rsidR="00E86305">
      <w:rPr>
        <w:rFonts w:asciiTheme="minorHAnsi" w:eastAsiaTheme="minorEastAsia" w:hAnsiTheme="minorHAnsi" w:cstheme="minorBidi"/>
      </w:rPr>
      <w:fldChar w:fldCharType="begin"/>
    </w:r>
    <w:r w:rsidR="00E86305">
      <w:instrText xml:space="preserve"> PAGE   \* MERGEFORMAT </w:instrText>
    </w:r>
    <w:r w:rsidR="00E86305">
      <w:rPr>
        <w:rFonts w:asciiTheme="minorHAnsi" w:eastAsiaTheme="minorEastAsia" w:hAnsiTheme="minorHAnsi" w:cstheme="minorBidi"/>
      </w:rPr>
      <w:fldChar w:fldCharType="separate"/>
    </w:r>
    <w:r w:rsidR="00FD1D8E" w:rsidRPr="00FD1D8E">
      <w:rPr>
        <w:rFonts w:asciiTheme="majorHAnsi" w:eastAsiaTheme="majorEastAsia" w:hAnsiTheme="majorHAnsi" w:cstheme="majorBidi"/>
        <w:noProof/>
      </w:rPr>
      <w:t>2</w:t>
    </w:r>
    <w:r w:rsidR="00E86305">
      <w:rPr>
        <w:rFonts w:asciiTheme="majorHAnsi" w:eastAsiaTheme="majorEastAsia" w:hAnsiTheme="majorHAnsi" w:cstheme="majorBidi"/>
        <w:noProof/>
      </w:rPr>
      <w:fldChar w:fldCharType="end"/>
    </w:r>
  </w:p>
  <w:p w14:paraId="24547B36" w14:textId="77777777" w:rsidR="0058266B" w:rsidRPr="00093C6E" w:rsidRDefault="0058266B" w:rsidP="00093C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8" w14:textId="77777777" w:rsidR="00444F7E" w:rsidRDefault="00444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47B2E" w14:textId="77777777" w:rsidR="00B5680E" w:rsidRDefault="00B5680E">
      <w:r>
        <w:separator/>
      </w:r>
    </w:p>
  </w:footnote>
  <w:footnote w:type="continuationSeparator" w:id="0">
    <w:p w14:paraId="24547B2F" w14:textId="77777777" w:rsidR="00B5680E" w:rsidRDefault="00B5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2" w14:textId="77777777" w:rsidR="00444F7E" w:rsidRDefault="00444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3" w14:textId="77777777" w:rsidR="0058266B" w:rsidRDefault="0058266B">
    <w:pPr>
      <w:pStyle w:val="Header"/>
      <w:rPr>
        <w:b/>
        <w:i/>
      </w:rPr>
    </w:pPr>
    <w:r>
      <w:rPr>
        <w:b/>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47B37" w14:textId="77777777" w:rsidR="00444F7E" w:rsidRDefault="00444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22C3"/>
    <w:multiLevelType w:val="hybridMultilevel"/>
    <w:tmpl w:val="5E02D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DC2066"/>
    <w:multiLevelType w:val="hybridMultilevel"/>
    <w:tmpl w:val="2A50B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14920"/>
    <w:multiLevelType w:val="hybridMultilevel"/>
    <w:tmpl w:val="3D80A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A50D3"/>
    <w:multiLevelType w:val="hybridMultilevel"/>
    <w:tmpl w:val="06CC0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3C0FBB"/>
    <w:multiLevelType w:val="hybridMultilevel"/>
    <w:tmpl w:val="6B8AE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35E24"/>
    <w:multiLevelType w:val="multilevel"/>
    <w:tmpl w:val="5D96CC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F572CC1"/>
    <w:multiLevelType w:val="hybridMultilevel"/>
    <w:tmpl w:val="4A30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63B12"/>
    <w:multiLevelType w:val="hybridMultilevel"/>
    <w:tmpl w:val="0EECF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4F747E"/>
    <w:multiLevelType w:val="hybridMultilevel"/>
    <w:tmpl w:val="9CDC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A24718"/>
    <w:multiLevelType w:val="hybridMultilevel"/>
    <w:tmpl w:val="28FA7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8F45F3"/>
    <w:multiLevelType w:val="hybridMultilevel"/>
    <w:tmpl w:val="5D96CCC4"/>
    <w:lvl w:ilvl="0" w:tplc="04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85B2761"/>
    <w:multiLevelType w:val="hybridMultilevel"/>
    <w:tmpl w:val="BA7E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445C2A"/>
    <w:multiLevelType w:val="hybridMultilevel"/>
    <w:tmpl w:val="0E622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D92DF1"/>
    <w:multiLevelType w:val="hybridMultilevel"/>
    <w:tmpl w:val="55B6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6C13AB"/>
    <w:multiLevelType w:val="multilevel"/>
    <w:tmpl w:val="12D6F358"/>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91C596E"/>
    <w:multiLevelType w:val="hybridMultilevel"/>
    <w:tmpl w:val="B6243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925350C"/>
    <w:multiLevelType w:val="hybridMultilevel"/>
    <w:tmpl w:val="76D6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4C0A58"/>
    <w:multiLevelType w:val="hybridMultilevel"/>
    <w:tmpl w:val="1BE43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006CA4"/>
    <w:multiLevelType w:val="hybridMultilevel"/>
    <w:tmpl w:val="1D28C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EC56EA"/>
    <w:multiLevelType w:val="hybridMultilevel"/>
    <w:tmpl w:val="37D0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ED3AEA"/>
    <w:multiLevelType w:val="hybridMultilevel"/>
    <w:tmpl w:val="CDDA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4542915"/>
    <w:multiLevelType w:val="hybridMultilevel"/>
    <w:tmpl w:val="976C7B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B1E24DF"/>
    <w:multiLevelType w:val="hybridMultilevel"/>
    <w:tmpl w:val="6726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B50C1"/>
    <w:multiLevelType w:val="hybridMultilevel"/>
    <w:tmpl w:val="D596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27542CC"/>
    <w:multiLevelType w:val="hybridMultilevel"/>
    <w:tmpl w:val="98B0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484915"/>
    <w:multiLevelType w:val="hybridMultilevel"/>
    <w:tmpl w:val="FC62D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AF4E98"/>
    <w:multiLevelType w:val="hybridMultilevel"/>
    <w:tmpl w:val="E50ED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5"/>
  </w:num>
  <w:num w:numId="4">
    <w:abstractNumId w:val="21"/>
  </w:num>
  <w:num w:numId="5">
    <w:abstractNumId w:val="9"/>
  </w:num>
  <w:num w:numId="6">
    <w:abstractNumId w:val="7"/>
  </w:num>
  <w:num w:numId="7">
    <w:abstractNumId w:val="18"/>
  </w:num>
  <w:num w:numId="8">
    <w:abstractNumId w:val="12"/>
  </w:num>
  <w:num w:numId="9">
    <w:abstractNumId w:val="20"/>
  </w:num>
  <w:num w:numId="10">
    <w:abstractNumId w:val="15"/>
  </w:num>
  <w:num w:numId="11">
    <w:abstractNumId w:val="23"/>
  </w:num>
  <w:num w:numId="12">
    <w:abstractNumId w:val="3"/>
  </w:num>
  <w:num w:numId="13">
    <w:abstractNumId w:val="0"/>
  </w:num>
  <w:num w:numId="14">
    <w:abstractNumId w:val="0"/>
  </w:num>
  <w:num w:numId="15">
    <w:abstractNumId w:val="24"/>
  </w:num>
  <w:num w:numId="16">
    <w:abstractNumId w:val="26"/>
  </w:num>
  <w:num w:numId="17">
    <w:abstractNumId w:val="25"/>
  </w:num>
  <w:num w:numId="18">
    <w:abstractNumId w:val="13"/>
  </w:num>
  <w:num w:numId="19">
    <w:abstractNumId w:val="16"/>
  </w:num>
  <w:num w:numId="20">
    <w:abstractNumId w:val="8"/>
  </w:num>
  <w:num w:numId="21">
    <w:abstractNumId w:val="19"/>
  </w:num>
  <w:num w:numId="22">
    <w:abstractNumId w:val="2"/>
  </w:num>
  <w:num w:numId="23">
    <w:abstractNumId w:val="6"/>
  </w:num>
  <w:num w:numId="24">
    <w:abstractNumId w:val="11"/>
  </w:num>
  <w:num w:numId="25">
    <w:abstractNumId w:val="4"/>
  </w:num>
  <w:num w:numId="26">
    <w:abstractNumId w:val="17"/>
  </w:num>
  <w:num w:numId="27">
    <w:abstractNumId w:val="20"/>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01"/>
    <w:rsid w:val="00031B3D"/>
    <w:rsid w:val="000658C5"/>
    <w:rsid w:val="00093C6E"/>
    <w:rsid w:val="000D08D5"/>
    <w:rsid w:val="000D7C86"/>
    <w:rsid w:val="000E1D5E"/>
    <w:rsid w:val="001127CA"/>
    <w:rsid w:val="001174ED"/>
    <w:rsid w:val="0013161E"/>
    <w:rsid w:val="00157701"/>
    <w:rsid w:val="00175454"/>
    <w:rsid w:val="0018620C"/>
    <w:rsid w:val="00191B0F"/>
    <w:rsid w:val="001A7FE6"/>
    <w:rsid w:val="001B4A06"/>
    <w:rsid w:val="001C6AC7"/>
    <w:rsid w:val="0021558C"/>
    <w:rsid w:val="00224150"/>
    <w:rsid w:val="00230F5F"/>
    <w:rsid w:val="0023151C"/>
    <w:rsid w:val="002317EA"/>
    <w:rsid w:val="00232784"/>
    <w:rsid w:val="002A5832"/>
    <w:rsid w:val="002C110C"/>
    <w:rsid w:val="002C17CF"/>
    <w:rsid w:val="002C6F01"/>
    <w:rsid w:val="002E6BB1"/>
    <w:rsid w:val="002F2B20"/>
    <w:rsid w:val="002F3DEC"/>
    <w:rsid w:val="002F7236"/>
    <w:rsid w:val="003202AB"/>
    <w:rsid w:val="003321E7"/>
    <w:rsid w:val="003433EB"/>
    <w:rsid w:val="00346D03"/>
    <w:rsid w:val="0034779A"/>
    <w:rsid w:val="003836FB"/>
    <w:rsid w:val="00395B54"/>
    <w:rsid w:val="003A0790"/>
    <w:rsid w:val="003B5137"/>
    <w:rsid w:val="003D0F7F"/>
    <w:rsid w:val="003D459C"/>
    <w:rsid w:val="003E092B"/>
    <w:rsid w:val="003F7A22"/>
    <w:rsid w:val="00406AC1"/>
    <w:rsid w:val="004208EC"/>
    <w:rsid w:val="004250D9"/>
    <w:rsid w:val="00425163"/>
    <w:rsid w:val="00444F7E"/>
    <w:rsid w:val="00466595"/>
    <w:rsid w:val="0048194C"/>
    <w:rsid w:val="004A191E"/>
    <w:rsid w:val="004A2544"/>
    <w:rsid w:val="004E7E8B"/>
    <w:rsid w:val="004F5A00"/>
    <w:rsid w:val="00503889"/>
    <w:rsid w:val="00512206"/>
    <w:rsid w:val="005145E1"/>
    <w:rsid w:val="00534D59"/>
    <w:rsid w:val="005406D2"/>
    <w:rsid w:val="0054483A"/>
    <w:rsid w:val="005533F5"/>
    <w:rsid w:val="0056133E"/>
    <w:rsid w:val="00563EEF"/>
    <w:rsid w:val="00576108"/>
    <w:rsid w:val="0058266B"/>
    <w:rsid w:val="0058648D"/>
    <w:rsid w:val="00586910"/>
    <w:rsid w:val="005B2503"/>
    <w:rsid w:val="005C7257"/>
    <w:rsid w:val="005D79A8"/>
    <w:rsid w:val="0061230A"/>
    <w:rsid w:val="006326B5"/>
    <w:rsid w:val="00643A51"/>
    <w:rsid w:val="0067388B"/>
    <w:rsid w:val="006878C8"/>
    <w:rsid w:val="006B4886"/>
    <w:rsid w:val="006C749B"/>
    <w:rsid w:val="006D3DA4"/>
    <w:rsid w:val="006E07A1"/>
    <w:rsid w:val="007561CC"/>
    <w:rsid w:val="00777276"/>
    <w:rsid w:val="007C1B9A"/>
    <w:rsid w:val="007D07D1"/>
    <w:rsid w:val="007E277F"/>
    <w:rsid w:val="00802AF2"/>
    <w:rsid w:val="0080691E"/>
    <w:rsid w:val="00855016"/>
    <w:rsid w:val="00861B37"/>
    <w:rsid w:val="0088220E"/>
    <w:rsid w:val="008837FE"/>
    <w:rsid w:val="008A0624"/>
    <w:rsid w:val="008A0F02"/>
    <w:rsid w:val="008A28EF"/>
    <w:rsid w:val="008C0FAB"/>
    <w:rsid w:val="008C663A"/>
    <w:rsid w:val="008F40CF"/>
    <w:rsid w:val="008F5E96"/>
    <w:rsid w:val="009216A3"/>
    <w:rsid w:val="00927B26"/>
    <w:rsid w:val="00935178"/>
    <w:rsid w:val="00950CF6"/>
    <w:rsid w:val="0096093B"/>
    <w:rsid w:val="0097226D"/>
    <w:rsid w:val="00985E3C"/>
    <w:rsid w:val="009A306D"/>
    <w:rsid w:val="009A6EC2"/>
    <w:rsid w:val="009D0435"/>
    <w:rsid w:val="009F3E84"/>
    <w:rsid w:val="00A00705"/>
    <w:rsid w:val="00A20D38"/>
    <w:rsid w:val="00A279E3"/>
    <w:rsid w:val="00A5656E"/>
    <w:rsid w:val="00A70851"/>
    <w:rsid w:val="00A711B6"/>
    <w:rsid w:val="00A71F77"/>
    <w:rsid w:val="00A87134"/>
    <w:rsid w:val="00AB3CA8"/>
    <w:rsid w:val="00AE22FF"/>
    <w:rsid w:val="00AE5DBF"/>
    <w:rsid w:val="00AF6FE3"/>
    <w:rsid w:val="00B40BA8"/>
    <w:rsid w:val="00B4309C"/>
    <w:rsid w:val="00B5680E"/>
    <w:rsid w:val="00B746F7"/>
    <w:rsid w:val="00B93550"/>
    <w:rsid w:val="00C14326"/>
    <w:rsid w:val="00C265C5"/>
    <w:rsid w:val="00C27E75"/>
    <w:rsid w:val="00C50D15"/>
    <w:rsid w:val="00C655F5"/>
    <w:rsid w:val="00C90798"/>
    <w:rsid w:val="00CA1306"/>
    <w:rsid w:val="00CB14DD"/>
    <w:rsid w:val="00CF4EDC"/>
    <w:rsid w:val="00CF6E06"/>
    <w:rsid w:val="00D25DAE"/>
    <w:rsid w:val="00D52C9F"/>
    <w:rsid w:val="00D87187"/>
    <w:rsid w:val="00D90719"/>
    <w:rsid w:val="00DB08A2"/>
    <w:rsid w:val="00DB6706"/>
    <w:rsid w:val="00DC0969"/>
    <w:rsid w:val="00DD09D1"/>
    <w:rsid w:val="00DF0337"/>
    <w:rsid w:val="00DF59C6"/>
    <w:rsid w:val="00DF61CE"/>
    <w:rsid w:val="00E00ECB"/>
    <w:rsid w:val="00E1125D"/>
    <w:rsid w:val="00E177BA"/>
    <w:rsid w:val="00E423FA"/>
    <w:rsid w:val="00E62F22"/>
    <w:rsid w:val="00E86305"/>
    <w:rsid w:val="00E92115"/>
    <w:rsid w:val="00EB352C"/>
    <w:rsid w:val="00EB3A79"/>
    <w:rsid w:val="00ED1C8C"/>
    <w:rsid w:val="00EE3C3E"/>
    <w:rsid w:val="00F12A03"/>
    <w:rsid w:val="00F14F76"/>
    <w:rsid w:val="00F22A67"/>
    <w:rsid w:val="00F25AFB"/>
    <w:rsid w:val="00F2719A"/>
    <w:rsid w:val="00F40E10"/>
    <w:rsid w:val="00F54618"/>
    <w:rsid w:val="00F5656A"/>
    <w:rsid w:val="00F56F67"/>
    <w:rsid w:val="00F74C01"/>
    <w:rsid w:val="00F95D2D"/>
    <w:rsid w:val="00FB101B"/>
    <w:rsid w:val="00FC067D"/>
    <w:rsid w:val="00FD1D8E"/>
    <w:rsid w:val="00FD342F"/>
    <w:rsid w:val="00FE169D"/>
    <w:rsid w:val="00FE2399"/>
    <w:rsid w:val="00FF4E4B"/>
    <w:rsid w:val="00FF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45479A0"/>
  <w15:docId w15:val="{CB57C57F-45F6-470B-9F55-F3DFFD79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9F"/>
    <w:rPr>
      <w:sz w:val="24"/>
      <w:szCs w:val="24"/>
    </w:rPr>
  </w:style>
  <w:style w:type="paragraph" w:styleId="Heading1">
    <w:name w:val="heading 1"/>
    <w:basedOn w:val="Normal"/>
    <w:next w:val="Normal"/>
    <w:qFormat/>
    <w:rsid w:val="00D52C9F"/>
    <w:pPr>
      <w:keepNext/>
      <w:outlineLvl w:val="0"/>
    </w:pPr>
    <w:rPr>
      <w:rFonts w:ascii="Bookman Old Style" w:hAnsi="Bookman Old Style"/>
      <w:b/>
      <w:sz w:val="22"/>
    </w:rPr>
  </w:style>
  <w:style w:type="paragraph" w:styleId="Heading2">
    <w:name w:val="heading 2"/>
    <w:basedOn w:val="Normal"/>
    <w:next w:val="Normal"/>
    <w:qFormat/>
    <w:rsid w:val="00D52C9F"/>
    <w:pPr>
      <w:keepNext/>
      <w:outlineLvl w:val="1"/>
    </w:pPr>
    <w:rPr>
      <w:rFonts w:ascii="Bookman Old Style" w:hAnsi="Bookman Old Style"/>
      <w:sz w:val="22"/>
      <w:u w:val="single"/>
    </w:rPr>
  </w:style>
  <w:style w:type="paragraph" w:styleId="Heading3">
    <w:name w:val="heading 3"/>
    <w:basedOn w:val="Normal"/>
    <w:next w:val="Normal"/>
    <w:qFormat/>
    <w:rsid w:val="00D52C9F"/>
    <w:pPr>
      <w:keepNext/>
      <w:jc w:val="center"/>
      <w:outlineLvl w:val="2"/>
    </w:pPr>
    <w:rPr>
      <w:rFonts w:ascii="Bookman Old Style" w:hAnsi="Bookman Old Style"/>
      <w:i/>
      <w:sz w:val="22"/>
    </w:rPr>
  </w:style>
  <w:style w:type="paragraph" w:styleId="Heading4">
    <w:name w:val="heading 4"/>
    <w:basedOn w:val="Normal"/>
    <w:next w:val="Normal"/>
    <w:qFormat/>
    <w:rsid w:val="00D52C9F"/>
    <w:pPr>
      <w:keepNext/>
      <w:outlineLvl w:val="3"/>
    </w:pPr>
    <w:rPr>
      <w:rFonts w:ascii="Bookman Old Style" w:hAnsi="Bookman Old Style"/>
      <w:b/>
      <w:i/>
    </w:rPr>
  </w:style>
  <w:style w:type="paragraph" w:styleId="Heading5">
    <w:name w:val="heading 5"/>
    <w:basedOn w:val="Normal"/>
    <w:next w:val="Normal"/>
    <w:qFormat/>
    <w:rsid w:val="00D52C9F"/>
    <w:pPr>
      <w:keepNext/>
      <w:outlineLvl w:val="4"/>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52C9F"/>
    <w:rPr>
      <w:sz w:val="20"/>
      <w:szCs w:val="20"/>
    </w:rPr>
  </w:style>
  <w:style w:type="character" w:styleId="FootnoteReference">
    <w:name w:val="footnote reference"/>
    <w:basedOn w:val="DefaultParagraphFont"/>
    <w:semiHidden/>
    <w:rsid w:val="00D52C9F"/>
    <w:rPr>
      <w:vertAlign w:val="superscript"/>
    </w:rPr>
  </w:style>
  <w:style w:type="paragraph" w:styleId="Header">
    <w:name w:val="header"/>
    <w:basedOn w:val="Normal"/>
    <w:rsid w:val="00D52C9F"/>
    <w:pPr>
      <w:tabs>
        <w:tab w:val="center" w:pos="4320"/>
        <w:tab w:val="right" w:pos="8640"/>
      </w:tabs>
    </w:pPr>
  </w:style>
  <w:style w:type="paragraph" w:styleId="Footer">
    <w:name w:val="footer"/>
    <w:basedOn w:val="Normal"/>
    <w:link w:val="FooterChar"/>
    <w:uiPriority w:val="99"/>
    <w:rsid w:val="00D52C9F"/>
    <w:pPr>
      <w:tabs>
        <w:tab w:val="center" w:pos="4320"/>
        <w:tab w:val="right" w:pos="8640"/>
      </w:tabs>
    </w:pPr>
  </w:style>
  <w:style w:type="paragraph" w:styleId="BodyTextIndent">
    <w:name w:val="Body Text Indent"/>
    <w:basedOn w:val="Normal"/>
    <w:rsid w:val="00D52C9F"/>
    <w:pPr>
      <w:ind w:left="360"/>
    </w:pPr>
    <w:rPr>
      <w:rFonts w:ascii="Bookman Old Style" w:hAnsi="Bookman Old Style"/>
      <w:sz w:val="22"/>
    </w:rPr>
  </w:style>
  <w:style w:type="paragraph" w:styleId="DocumentMap">
    <w:name w:val="Document Map"/>
    <w:basedOn w:val="Normal"/>
    <w:semiHidden/>
    <w:rsid w:val="00D52C9F"/>
    <w:pPr>
      <w:shd w:val="clear" w:color="auto" w:fill="000080"/>
    </w:pPr>
    <w:rPr>
      <w:rFonts w:ascii="Tahoma" w:hAnsi="Tahoma"/>
    </w:rPr>
  </w:style>
  <w:style w:type="character" w:styleId="PageNumber">
    <w:name w:val="page number"/>
    <w:basedOn w:val="DefaultParagraphFont"/>
    <w:rsid w:val="00D52C9F"/>
  </w:style>
  <w:style w:type="paragraph" w:styleId="BalloonText">
    <w:name w:val="Balloon Text"/>
    <w:basedOn w:val="Normal"/>
    <w:semiHidden/>
    <w:rsid w:val="00D52C9F"/>
    <w:rPr>
      <w:rFonts w:ascii="Tahoma" w:hAnsi="Tahoma" w:cs="Tahoma"/>
      <w:sz w:val="16"/>
      <w:szCs w:val="16"/>
    </w:rPr>
  </w:style>
  <w:style w:type="table" w:styleId="TableGrid">
    <w:name w:val="Table Grid"/>
    <w:basedOn w:val="TableNormal"/>
    <w:rsid w:val="00A71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AE"/>
    <w:pPr>
      <w:ind w:left="720"/>
      <w:contextualSpacing/>
    </w:pPr>
  </w:style>
  <w:style w:type="character" w:customStyle="1" w:styleId="FooterChar">
    <w:name w:val="Footer Char"/>
    <w:basedOn w:val="DefaultParagraphFont"/>
    <w:link w:val="Footer"/>
    <w:uiPriority w:val="99"/>
    <w:rsid w:val="00E86305"/>
    <w:rPr>
      <w:sz w:val="24"/>
      <w:szCs w:val="24"/>
    </w:rPr>
  </w:style>
  <w:style w:type="character" w:styleId="CommentReference">
    <w:name w:val="annotation reference"/>
    <w:basedOn w:val="DefaultParagraphFont"/>
    <w:rsid w:val="003D459C"/>
    <w:rPr>
      <w:sz w:val="16"/>
      <w:szCs w:val="16"/>
    </w:rPr>
  </w:style>
  <w:style w:type="paragraph" w:styleId="CommentText">
    <w:name w:val="annotation text"/>
    <w:basedOn w:val="Normal"/>
    <w:link w:val="CommentTextChar"/>
    <w:rsid w:val="003D459C"/>
    <w:rPr>
      <w:sz w:val="20"/>
      <w:szCs w:val="20"/>
    </w:rPr>
  </w:style>
  <w:style w:type="character" w:customStyle="1" w:styleId="CommentTextChar">
    <w:name w:val="Comment Text Char"/>
    <w:basedOn w:val="DefaultParagraphFont"/>
    <w:link w:val="CommentText"/>
    <w:rsid w:val="003D459C"/>
  </w:style>
  <w:style w:type="paragraph" w:styleId="CommentSubject">
    <w:name w:val="annotation subject"/>
    <w:basedOn w:val="CommentText"/>
    <w:next w:val="CommentText"/>
    <w:link w:val="CommentSubjectChar"/>
    <w:rsid w:val="003D459C"/>
    <w:rPr>
      <w:b/>
      <w:bCs/>
    </w:rPr>
  </w:style>
  <w:style w:type="character" w:customStyle="1" w:styleId="CommentSubjectChar">
    <w:name w:val="Comment Subject Char"/>
    <w:basedOn w:val="CommentTextChar"/>
    <w:link w:val="CommentSubject"/>
    <w:rsid w:val="003D4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902">
      <w:bodyDiv w:val="1"/>
      <w:marLeft w:val="0"/>
      <w:marRight w:val="0"/>
      <w:marTop w:val="0"/>
      <w:marBottom w:val="0"/>
      <w:divBdr>
        <w:top w:val="none" w:sz="0" w:space="0" w:color="auto"/>
        <w:left w:val="none" w:sz="0" w:space="0" w:color="auto"/>
        <w:bottom w:val="none" w:sz="0" w:space="0" w:color="auto"/>
        <w:right w:val="none" w:sz="0" w:space="0" w:color="auto"/>
      </w:divBdr>
    </w:div>
    <w:div w:id="556087331">
      <w:bodyDiv w:val="1"/>
      <w:marLeft w:val="0"/>
      <w:marRight w:val="0"/>
      <w:marTop w:val="0"/>
      <w:marBottom w:val="0"/>
      <w:divBdr>
        <w:top w:val="none" w:sz="0" w:space="0" w:color="auto"/>
        <w:left w:val="none" w:sz="0" w:space="0" w:color="auto"/>
        <w:bottom w:val="none" w:sz="0" w:space="0" w:color="auto"/>
        <w:right w:val="none" w:sz="0" w:space="0" w:color="auto"/>
      </w:divBdr>
    </w:div>
    <w:div w:id="6330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803BED17F92143B869836E24D49956" ma:contentTypeVersion="104" ma:contentTypeDescription="" ma:contentTypeScope="" ma:versionID="bce2ca54c96dfac71b4b1c5cdec43f2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2016-07-14T07:00:00+00:00</OpenedDate>
    <Date1 xmlns="dc463f71-b30c-4ab2-9473-d307f9d35888">2016-07-14T07:00:00+00:00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44039-1CAA-4247-B6AE-7AEB22B4897D}"/>
</file>

<file path=customXml/itemProps2.xml><?xml version="1.0" encoding="utf-8"?>
<ds:datastoreItem xmlns:ds="http://schemas.openxmlformats.org/officeDocument/2006/customXml" ds:itemID="{F1BD0FA8-4C52-44C4-817C-93BD840E10E2}"/>
</file>

<file path=customXml/itemProps3.xml><?xml version="1.0" encoding="utf-8"?>
<ds:datastoreItem xmlns:ds="http://schemas.openxmlformats.org/officeDocument/2006/customXml" ds:itemID="{6A12AFDE-8017-44E2-8CBE-9FD29204C50F}"/>
</file>

<file path=customXml/itemProps4.xml><?xml version="1.0" encoding="utf-8"?>
<ds:datastoreItem xmlns:ds="http://schemas.openxmlformats.org/officeDocument/2006/customXml" ds:itemID="{1D58FBEC-2E15-4F69-A095-1A0BE0B0405C}"/>
</file>

<file path=customXml/itemProps5.xml><?xml version="1.0" encoding="utf-8"?>
<ds:datastoreItem xmlns:ds="http://schemas.openxmlformats.org/officeDocument/2006/customXml" ds:itemID="{B46EF11B-6333-44D9-A879-39E9D2AEF23D}"/>
</file>

<file path=docProps/app.xml><?xml version="1.0" encoding="utf-8"?>
<Properties xmlns="http://schemas.openxmlformats.org/officeDocument/2006/extended-properties" xmlns:vt="http://schemas.openxmlformats.org/officeDocument/2006/docPropsVTypes">
  <Template>Normal</Template>
  <TotalTime>0</TotalTime>
  <Pages>18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Not later than twelve months prior to the due date of a plan, the utility must provide a work plan for informal commission rev</vt:lpstr>
    </vt:vector>
  </TitlesOfParts>
  <Company>Puget Sound Energy</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later than twelve months prior to the due date of a plan, the utility must provide a work plan for informal commission rev</dc:title>
  <dc:creator>Phillip</dc:creator>
  <cp:lastModifiedBy>Kredel, Ashley (UTC)</cp:lastModifiedBy>
  <cp:revision>2</cp:revision>
  <cp:lastPrinted>2016-07-14T19:51:00Z</cp:lastPrinted>
  <dcterms:created xsi:type="dcterms:W3CDTF">2016-07-15T16:11:00Z</dcterms:created>
  <dcterms:modified xsi:type="dcterms:W3CDTF">2016-07-15T16:11:00Z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0x0101006E56B4D1795A2E4DB2F0B01679ED314A00B3803BED17F92143B869836E24D49956</vt:lpwstr>
  </property>
  <property fmtid="{D5CDD505-2E9C-101B-9397-08002B2CF9AE}" pid="3" name="_docset_NoMedatataSyncRequired">
    <vt:lpwstr>False</vt:lpwstr>
  </property>
</Properties>
</file>