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theme/theme1.xml" ContentType="application/vnd.openxmlformats-officedocument.theme+xml"/>
  <Override PartName="/word/charts/colors2.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E2" w:rsidRDefault="004767E2" w:rsidP="004767E2">
      <w:pPr>
        <w:jc w:val="center"/>
      </w:pPr>
      <w:r>
        <w:rPr>
          <w:b/>
        </w:rPr>
        <w:t>BEFORE THE WASHINGTON UTILITIES AND TRANSPORTATION COMMISSION</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270"/>
        <w:gridCol w:w="3996"/>
      </w:tblGrid>
      <w:tr w:rsidR="004767E2" w:rsidRPr="00667748" w:rsidTr="00DA1DCD">
        <w:trPr>
          <w:cantSplit/>
        </w:trPr>
        <w:tc>
          <w:tcPr>
            <w:tcW w:w="4680" w:type="dxa"/>
            <w:tcBorders>
              <w:top w:val="nil"/>
              <w:left w:val="nil"/>
              <w:bottom w:val="nil"/>
              <w:right w:val="nil"/>
            </w:tcBorders>
          </w:tcPr>
          <w:p w:rsidR="004767E2" w:rsidRPr="00667748" w:rsidRDefault="004767E2" w:rsidP="00DA1DCD">
            <w:pPr>
              <w:spacing w:before="144"/>
            </w:pPr>
            <w:bookmarkStart w:id="0" w:name="BM1"/>
            <w:bookmarkEnd w:id="0"/>
          </w:p>
          <w:p w:rsidR="004767E2" w:rsidRPr="00667748" w:rsidRDefault="004767E2" w:rsidP="00DA1DCD">
            <w:pPr>
              <w:spacing w:before="144"/>
            </w:pPr>
          </w:p>
          <w:p w:rsidR="004767E2" w:rsidRDefault="004767E2" w:rsidP="00DA1DCD">
            <w:pPr>
              <w:spacing w:before="144"/>
              <w:rPr>
                <w:bCs/>
              </w:rPr>
            </w:pPr>
            <w:r w:rsidRPr="00667748">
              <w:t xml:space="preserve">In the Matter of Avista’s </w:t>
            </w:r>
            <w:r>
              <w:t>Energy and Emissions Intensity Report in</w:t>
            </w:r>
            <w:r w:rsidRPr="00667748">
              <w:t xml:space="preserve"> Compliance with WAC 480-</w:t>
            </w:r>
            <w:r w:rsidRPr="00667748">
              <w:rPr>
                <w:bCs/>
              </w:rPr>
              <w:t>109</w:t>
            </w:r>
            <w:r>
              <w:rPr>
                <w:bCs/>
              </w:rPr>
              <w:t>-300</w:t>
            </w:r>
          </w:p>
          <w:p w:rsidR="004767E2" w:rsidRPr="00E81AF6" w:rsidRDefault="004767E2" w:rsidP="00DA1DCD">
            <w:pPr>
              <w:spacing w:before="144"/>
              <w:rPr>
                <w:bCs/>
              </w:rPr>
            </w:pPr>
            <w:r w:rsidRPr="00667748">
              <w:rPr>
                <w:bCs/>
              </w:rPr>
              <w:t>____________________________________</w:t>
            </w:r>
          </w:p>
        </w:tc>
        <w:tc>
          <w:tcPr>
            <w:tcW w:w="270" w:type="dxa"/>
            <w:tcBorders>
              <w:top w:val="nil"/>
              <w:left w:val="nil"/>
              <w:bottom w:val="nil"/>
              <w:right w:val="nil"/>
            </w:tcBorders>
          </w:tcPr>
          <w:p w:rsidR="004767E2" w:rsidRPr="00667748" w:rsidRDefault="004767E2" w:rsidP="00DA1DCD">
            <w:pPr>
              <w:spacing w:before="144"/>
            </w:pPr>
            <w:r w:rsidRPr="00667748">
              <w:t>)</w:t>
            </w:r>
          </w:p>
          <w:p w:rsidR="004767E2" w:rsidRPr="00667748" w:rsidRDefault="004767E2" w:rsidP="00DA1DCD">
            <w:r w:rsidRPr="00667748">
              <w:t>)</w:t>
            </w:r>
          </w:p>
          <w:p w:rsidR="004767E2" w:rsidRPr="00667748" w:rsidRDefault="004767E2" w:rsidP="00DA1DCD">
            <w:r w:rsidRPr="00667748">
              <w:t>)</w:t>
            </w:r>
          </w:p>
          <w:p w:rsidR="004767E2" w:rsidRPr="00667748" w:rsidRDefault="004767E2" w:rsidP="00DA1DCD">
            <w:r w:rsidRPr="00667748">
              <w:t>)</w:t>
            </w:r>
          </w:p>
          <w:p w:rsidR="004767E2" w:rsidRPr="00667748" w:rsidRDefault="004767E2" w:rsidP="00DA1DCD">
            <w:r w:rsidRPr="00667748">
              <w:t>)</w:t>
            </w:r>
          </w:p>
          <w:p w:rsidR="004767E2" w:rsidRPr="00667748" w:rsidRDefault="004767E2" w:rsidP="00DA1DCD">
            <w:r w:rsidRPr="00667748">
              <w:t>)</w:t>
            </w:r>
          </w:p>
          <w:p w:rsidR="004767E2" w:rsidRPr="00667748" w:rsidRDefault="004767E2" w:rsidP="00DA1DCD">
            <w:r w:rsidRPr="00667748">
              <w:t>)</w:t>
            </w:r>
          </w:p>
          <w:p w:rsidR="004767E2" w:rsidRPr="00667748" w:rsidRDefault="004767E2" w:rsidP="00DA1DCD">
            <w:r w:rsidRPr="00667748">
              <w:t>)</w:t>
            </w:r>
          </w:p>
          <w:p w:rsidR="004767E2" w:rsidRPr="00667748" w:rsidRDefault="004767E2" w:rsidP="00DA1DCD"/>
        </w:tc>
        <w:tc>
          <w:tcPr>
            <w:tcW w:w="3996" w:type="dxa"/>
            <w:tcBorders>
              <w:top w:val="nil"/>
              <w:left w:val="nil"/>
              <w:bottom w:val="nil"/>
              <w:right w:val="nil"/>
            </w:tcBorders>
          </w:tcPr>
          <w:p w:rsidR="004767E2" w:rsidRPr="00667748" w:rsidRDefault="004767E2" w:rsidP="00DA1DCD">
            <w:pPr>
              <w:spacing w:before="144"/>
            </w:pPr>
          </w:p>
          <w:p w:rsidR="004767E2" w:rsidRPr="00667748" w:rsidRDefault="004767E2" w:rsidP="00DA1DCD">
            <w:bookmarkStart w:id="1" w:name="BM5"/>
            <w:bookmarkEnd w:id="1"/>
            <w:r w:rsidRPr="00667748">
              <w:t>DOCKET NO. UE-</w:t>
            </w:r>
            <w:r w:rsidR="00980E35">
              <w:t>______</w:t>
            </w:r>
            <w:bookmarkStart w:id="2" w:name="_GoBack"/>
            <w:bookmarkEnd w:id="2"/>
          </w:p>
          <w:p w:rsidR="004767E2" w:rsidRPr="00667748" w:rsidRDefault="004767E2" w:rsidP="00DA1DCD"/>
          <w:p w:rsidR="004767E2" w:rsidRPr="00667748" w:rsidRDefault="004767E2" w:rsidP="00DA1DCD">
            <w:bookmarkStart w:id="3" w:name="BM7"/>
            <w:bookmarkEnd w:id="3"/>
          </w:p>
          <w:p w:rsidR="004767E2" w:rsidRPr="00667748" w:rsidRDefault="004767E2" w:rsidP="00DA1DCD">
            <w:r>
              <w:t>COMPLIANCE REPORT</w:t>
            </w:r>
            <w:r w:rsidRPr="00667748">
              <w:t xml:space="preserve"> OF AVISTA CORPORATION</w:t>
            </w:r>
          </w:p>
        </w:tc>
      </w:tr>
      <w:tr w:rsidR="004767E2" w:rsidRPr="00667748" w:rsidTr="00DA1DCD">
        <w:trPr>
          <w:cantSplit/>
        </w:trPr>
        <w:tc>
          <w:tcPr>
            <w:tcW w:w="4680" w:type="dxa"/>
            <w:tcBorders>
              <w:top w:val="nil"/>
              <w:left w:val="nil"/>
              <w:bottom w:val="nil"/>
              <w:right w:val="nil"/>
            </w:tcBorders>
          </w:tcPr>
          <w:p w:rsidR="004767E2" w:rsidRPr="00667748" w:rsidRDefault="004767E2" w:rsidP="00DA1DCD">
            <w:pPr>
              <w:spacing w:before="144"/>
            </w:pPr>
          </w:p>
        </w:tc>
        <w:tc>
          <w:tcPr>
            <w:tcW w:w="270" w:type="dxa"/>
            <w:tcBorders>
              <w:top w:val="nil"/>
              <w:left w:val="nil"/>
              <w:bottom w:val="nil"/>
              <w:right w:val="nil"/>
            </w:tcBorders>
          </w:tcPr>
          <w:p w:rsidR="004767E2" w:rsidRPr="00667748" w:rsidRDefault="004767E2" w:rsidP="00DA1DCD">
            <w:pPr>
              <w:spacing w:before="144"/>
            </w:pPr>
          </w:p>
        </w:tc>
        <w:tc>
          <w:tcPr>
            <w:tcW w:w="3996" w:type="dxa"/>
            <w:tcBorders>
              <w:top w:val="nil"/>
              <w:left w:val="nil"/>
              <w:bottom w:val="nil"/>
              <w:right w:val="nil"/>
            </w:tcBorders>
          </w:tcPr>
          <w:p w:rsidR="004767E2" w:rsidRPr="00667748" w:rsidRDefault="004767E2" w:rsidP="00DA1DCD">
            <w:pPr>
              <w:spacing w:before="144"/>
            </w:pPr>
          </w:p>
        </w:tc>
      </w:tr>
    </w:tbl>
    <w:p w:rsidR="004767E2" w:rsidRDefault="004767E2" w:rsidP="00016958">
      <w:pPr>
        <w:spacing w:line="480" w:lineRule="auto"/>
        <w:jc w:val="both"/>
      </w:pPr>
      <w:r w:rsidRPr="00E5223B">
        <w:t xml:space="preserve">In compliance </w:t>
      </w:r>
      <w:r>
        <w:t>with WAC 480-109-</w:t>
      </w:r>
      <w:r w:rsidR="00FB793D">
        <w:t>30</w:t>
      </w:r>
      <w:r>
        <w:t>0</w:t>
      </w:r>
      <w:r w:rsidRPr="00E5223B">
        <w:t>, Avista Corporation (here</w:t>
      </w:r>
      <w:r>
        <w:t>inafter Avista</w:t>
      </w:r>
      <w:r w:rsidRPr="00E5223B">
        <w:t xml:space="preserve"> or Company) respectfu</w:t>
      </w:r>
      <w:r>
        <w:t>l</w:t>
      </w:r>
      <w:r w:rsidRPr="00E5223B">
        <w:t xml:space="preserve">ly submits </w:t>
      </w:r>
      <w:r>
        <w:t>its</w:t>
      </w:r>
      <w:r w:rsidRPr="00E5223B">
        <w:t xml:space="preserve"> </w:t>
      </w:r>
      <w:r w:rsidR="00FB793D">
        <w:t xml:space="preserve">2015 energy and emissions intensity </w:t>
      </w:r>
      <w:r w:rsidRPr="00041B42">
        <w:t>report</w:t>
      </w:r>
      <w:r w:rsidR="00FB793D">
        <w:t>.</w:t>
      </w:r>
    </w:p>
    <w:p w:rsidR="00D36801" w:rsidRDefault="00D36801" w:rsidP="004767E2"/>
    <w:p w:rsidR="00D36801" w:rsidRDefault="00D36801" w:rsidP="00E042B8">
      <w:pPr>
        <w:pStyle w:val="Heading1"/>
        <w:numPr>
          <w:ilvl w:val="0"/>
          <w:numId w:val="1"/>
        </w:numPr>
      </w:pPr>
      <w:r>
        <w:t>EXECUTIVE SUMMARY</w:t>
      </w:r>
    </w:p>
    <w:p w:rsidR="00DD42BA" w:rsidRPr="00DD42BA" w:rsidRDefault="00DD42BA" w:rsidP="00DD42BA"/>
    <w:p w:rsidR="00E042B8" w:rsidRDefault="00E042B8" w:rsidP="00E042B8">
      <w:pPr>
        <w:ind w:firstLine="720"/>
      </w:pPr>
    </w:p>
    <w:p w:rsidR="00496898" w:rsidRDefault="00E042B8" w:rsidP="00016958">
      <w:pPr>
        <w:spacing w:line="480" w:lineRule="auto"/>
        <w:ind w:firstLine="720"/>
        <w:jc w:val="both"/>
      </w:pPr>
      <w:r>
        <w:t xml:space="preserve">Table 1 </w:t>
      </w:r>
      <w:r w:rsidR="00DD42BA">
        <w:t>s</w:t>
      </w:r>
      <w:r>
        <w:t>hows the summary of data collected and calculated for the Energy and Emissions Intensity Report for the Washington share of Avista’s customers</w:t>
      </w:r>
      <w:r w:rsidR="00DD42BA">
        <w:t xml:space="preserve"> in 2015</w:t>
      </w:r>
      <w:r>
        <w:t xml:space="preserve">. </w:t>
      </w:r>
      <w:r w:rsidR="00496898">
        <w:t>The follow</w:t>
      </w:r>
      <w:r w:rsidR="00F315EA">
        <w:t>ing</w:t>
      </w:r>
      <w:r w:rsidR="00496898">
        <w:t xml:space="preserve"> sections show the prior 10-year annual metrics for all generating resources serving Washington customers, the trend analysis narrative and graphics, and a list of the appendices included with this filing. </w:t>
      </w:r>
    </w:p>
    <w:p w:rsidR="00293E70" w:rsidRDefault="00293E70" w:rsidP="00E042B8">
      <w:pPr>
        <w:ind w:firstLine="720"/>
        <w:jc w:val="center"/>
        <w:rPr>
          <w:b/>
        </w:rPr>
      </w:pPr>
    </w:p>
    <w:p w:rsidR="00E042B8" w:rsidRPr="00E042B8" w:rsidRDefault="00E042B8" w:rsidP="00E042B8">
      <w:pPr>
        <w:ind w:firstLine="720"/>
        <w:jc w:val="center"/>
        <w:rPr>
          <w:b/>
        </w:rPr>
      </w:pPr>
      <w:r w:rsidRPr="00E042B8">
        <w:rPr>
          <w:b/>
        </w:rPr>
        <w:t>Table 1: 2015 Summary Energy and Emissions Intensity Report</w:t>
      </w:r>
    </w:p>
    <w:tbl>
      <w:tblPr>
        <w:tblpPr w:leftFromText="180" w:rightFromText="180" w:vertAnchor="text" w:horzAnchor="margin" w:tblpY="134"/>
        <w:tblW w:w="10288" w:type="dxa"/>
        <w:tblLook w:val="04A0" w:firstRow="1" w:lastRow="0" w:firstColumn="1" w:lastColumn="0" w:noHBand="0" w:noVBand="1"/>
      </w:tblPr>
      <w:tblGrid>
        <w:gridCol w:w="291"/>
        <w:gridCol w:w="1551"/>
        <w:gridCol w:w="1302"/>
        <w:gridCol w:w="2026"/>
        <w:gridCol w:w="1884"/>
        <w:gridCol w:w="1831"/>
        <w:gridCol w:w="1403"/>
      </w:tblGrid>
      <w:tr w:rsidR="00E042B8" w:rsidRPr="004B7C08" w:rsidTr="00E042B8">
        <w:trPr>
          <w:trHeight w:val="302"/>
        </w:trPr>
        <w:tc>
          <w:tcPr>
            <w:tcW w:w="291" w:type="dxa"/>
            <w:tcBorders>
              <w:top w:val="single" w:sz="8" w:space="0" w:color="auto"/>
              <w:left w:val="single" w:sz="8" w:space="0" w:color="auto"/>
              <w:bottom w:val="single" w:sz="4"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551" w:type="dxa"/>
            <w:tcBorders>
              <w:top w:val="single" w:sz="8" w:space="0" w:color="auto"/>
              <w:left w:val="nil"/>
              <w:bottom w:val="single" w:sz="4" w:space="0" w:color="auto"/>
              <w:right w:val="single" w:sz="4" w:space="0" w:color="auto"/>
            </w:tcBorders>
            <w:shd w:val="clear" w:color="auto" w:fill="auto"/>
            <w:noWrap/>
            <w:vAlign w:val="bottom"/>
            <w:hideMark/>
          </w:tcPr>
          <w:p w:rsidR="00E042B8" w:rsidRPr="004B7C08" w:rsidRDefault="00E042B8" w:rsidP="00E042B8">
            <w:pPr>
              <w:rPr>
                <w:color w:val="000000"/>
              </w:rPr>
            </w:pPr>
            <w:r w:rsidRPr="004B7C08">
              <w:rPr>
                <w:color w:val="000000"/>
              </w:rPr>
              <w:t>Utility :</w:t>
            </w:r>
          </w:p>
        </w:tc>
        <w:tc>
          <w:tcPr>
            <w:tcW w:w="3328" w:type="dxa"/>
            <w:gridSpan w:val="2"/>
            <w:tcBorders>
              <w:top w:val="single" w:sz="8" w:space="0" w:color="auto"/>
              <w:left w:val="single" w:sz="4" w:space="0" w:color="auto"/>
              <w:bottom w:val="single" w:sz="4" w:space="0" w:color="auto"/>
              <w:right w:val="single" w:sz="8" w:space="0" w:color="000000"/>
            </w:tcBorders>
            <w:shd w:val="clear" w:color="000000" w:fill="DDEBF7"/>
            <w:noWrap/>
            <w:vAlign w:val="bottom"/>
            <w:hideMark/>
          </w:tcPr>
          <w:p w:rsidR="00E042B8" w:rsidRPr="004B7C08" w:rsidRDefault="00E042B8" w:rsidP="00016958">
            <w:pPr>
              <w:rPr>
                <w:color w:val="000000"/>
              </w:rPr>
            </w:pPr>
            <w:r w:rsidRPr="004B7C08">
              <w:rPr>
                <w:color w:val="000000"/>
              </w:rPr>
              <w:t>Avista</w:t>
            </w:r>
          </w:p>
        </w:tc>
        <w:tc>
          <w:tcPr>
            <w:tcW w:w="1884" w:type="dxa"/>
            <w:tcBorders>
              <w:top w:val="nil"/>
              <w:left w:val="nil"/>
              <w:bottom w:val="nil"/>
              <w:right w:val="nil"/>
            </w:tcBorders>
            <w:shd w:val="clear" w:color="auto" w:fill="auto"/>
            <w:noWrap/>
            <w:vAlign w:val="bottom"/>
            <w:hideMark/>
          </w:tcPr>
          <w:p w:rsidR="00E042B8" w:rsidRPr="004B7C08" w:rsidRDefault="00E042B8" w:rsidP="00E042B8">
            <w:pPr>
              <w:rPr>
                <w:color w:val="000000"/>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jc w:val="center"/>
              <w:rPr>
                <w:sz w:val="20"/>
                <w:szCs w:val="20"/>
              </w:rPr>
            </w:pPr>
          </w:p>
        </w:tc>
        <w:tc>
          <w:tcPr>
            <w:tcW w:w="1403"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r>
      <w:tr w:rsidR="00E042B8" w:rsidRPr="004B7C08" w:rsidTr="00E042B8">
        <w:trPr>
          <w:trHeight w:val="302"/>
        </w:trPr>
        <w:tc>
          <w:tcPr>
            <w:tcW w:w="184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042B8" w:rsidRPr="004B7C08" w:rsidRDefault="00E042B8" w:rsidP="00E042B8">
            <w:pPr>
              <w:jc w:val="center"/>
              <w:rPr>
                <w:color w:val="000000"/>
              </w:rPr>
            </w:pPr>
            <w:r w:rsidRPr="004B7C08">
              <w:rPr>
                <w:color w:val="000000"/>
              </w:rPr>
              <w:t>Reporting for year :</w:t>
            </w:r>
          </w:p>
        </w:tc>
        <w:tc>
          <w:tcPr>
            <w:tcW w:w="1302" w:type="dxa"/>
            <w:tcBorders>
              <w:top w:val="nil"/>
              <w:left w:val="nil"/>
              <w:bottom w:val="single" w:sz="4" w:space="0" w:color="auto"/>
              <w:right w:val="single" w:sz="4" w:space="0" w:color="auto"/>
            </w:tcBorders>
            <w:shd w:val="clear" w:color="000000" w:fill="DDEBF7"/>
            <w:noWrap/>
            <w:vAlign w:val="bottom"/>
            <w:hideMark/>
          </w:tcPr>
          <w:p w:rsidR="00E042B8" w:rsidRPr="004B7C08" w:rsidRDefault="00E042B8" w:rsidP="00E042B8">
            <w:pPr>
              <w:jc w:val="center"/>
              <w:rPr>
                <w:color w:val="000000"/>
              </w:rPr>
            </w:pPr>
            <w:r w:rsidRPr="004B7C08">
              <w:rPr>
                <w:color w:val="000000"/>
              </w:rPr>
              <w:t>2015</w:t>
            </w:r>
          </w:p>
        </w:tc>
        <w:tc>
          <w:tcPr>
            <w:tcW w:w="2026" w:type="dxa"/>
            <w:tcBorders>
              <w:top w:val="nil"/>
              <w:left w:val="nil"/>
              <w:bottom w:val="nil"/>
              <w:right w:val="single" w:sz="8" w:space="0" w:color="auto"/>
            </w:tcBorders>
            <w:shd w:val="clear" w:color="auto" w:fill="auto"/>
            <w:noWrap/>
            <w:vAlign w:val="bottom"/>
            <w:hideMark/>
          </w:tcPr>
          <w:p w:rsidR="00E042B8" w:rsidRPr="004B7C08" w:rsidRDefault="00E042B8" w:rsidP="00E042B8">
            <w:pPr>
              <w:jc w:val="center"/>
              <w:rPr>
                <w:b/>
                <w:bCs/>
                <w:color w:val="000000"/>
              </w:rPr>
            </w:pPr>
            <w:proofErr w:type="spellStart"/>
            <w:r w:rsidRPr="004B7C08">
              <w:rPr>
                <w:b/>
                <w:bCs/>
                <w:color w:val="000000"/>
              </w:rPr>
              <w:t>MWh</w:t>
            </w:r>
            <w:proofErr w:type="spellEnd"/>
            <w:r w:rsidRPr="004B7C08">
              <w:rPr>
                <w:b/>
                <w:bCs/>
                <w:color w:val="000000"/>
              </w:rPr>
              <w:t xml:space="preserve"> per Capita</w:t>
            </w:r>
          </w:p>
        </w:tc>
        <w:tc>
          <w:tcPr>
            <w:tcW w:w="1884" w:type="dxa"/>
            <w:tcBorders>
              <w:top w:val="nil"/>
              <w:left w:val="nil"/>
              <w:bottom w:val="nil"/>
              <w:right w:val="nil"/>
            </w:tcBorders>
            <w:shd w:val="clear" w:color="auto" w:fill="auto"/>
            <w:noWrap/>
            <w:vAlign w:val="bottom"/>
            <w:hideMark/>
          </w:tcPr>
          <w:p w:rsidR="00E042B8" w:rsidRPr="004B7C08" w:rsidRDefault="00E042B8" w:rsidP="00E042B8">
            <w:pPr>
              <w:jc w:val="center"/>
              <w:rPr>
                <w:b/>
                <w:bCs/>
                <w:color w:val="000000"/>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jc w:val="center"/>
              <w:rPr>
                <w:sz w:val="20"/>
                <w:szCs w:val="20"/>
              </w:rPr>
            </w:pPr>
          </w:p>
        </w:tc>
        <w:tc>
          <w:tcPr>
            <w:tcW w:w="1403"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r>
      <w:tr w:rsidR="00E042B8" w:rsidRPr="004B7C08" w:rsidTr="00E042B8">
        <w:trPr>
          <w:trHeight w:val="317"/>
        </w:trPr>
        <w:tc>
          <w:tcPr>
            <w:tcW w:w="1842"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E042B8" w:rsidRPr="004B7C08" w:rsidRDefault="00E042B8" w:rsidP="00E042B8">
            <w:pPr>
              <w:jc w:val="center"/>
              <w:rPr>
                <w:color w:val="000000"/>
              </w:rPr>
            </w:pPr>
            <w:r w:rsidRPr="004B7C08">
              <w:rPr>
                <w:color w:val="000000"/>
              </w:rPr>
              <w:t>Population Served :</w:t>
            </w:r>
          </w:p>
        </w:tc>
        <w:tc>
          <w:tcPr>
            <w:tcW w:w="1302" w:type="dxa"/>
            <w:tcBorders>
              <w:top w:val="nil"/>
              <w:left w:val="nil"/>
              <w:bottom w:val="single" w:sz="8" w:space="0" w:color="auto"/>
              <w:right w:val="single" w:sz="4" w:space="0" w:color="auto"/>
            </w:tcBorders>
            <w:shd w:val="clear" w:color="000000" w:fill="DDEBF7"/>
            <w:noWrap/>
            <w:vAlign w:val="bottom"/>
            <w:hideMark/>
          </w:tcPr>
          <w:p w:rsidR="00E042B8" w:rsidRPr="004B7C08" w:rsidRDefault="00E042B8" w:rsidP="00E042B8">
            <w:pPr>
              <w:jc w:val="center"/>
              <w:rPr>
                <w:color w:val="000000"/>
              </w:rPr>
            </w:pPr>
            <w:r w:rsidRPr="004B7C08">
              <w:rPr>
                <w:color w:val="000000"/>
              </w:rPr>
              <w:t xml:space="preserve">   528,665</w:t>
            </w:r>
          </w:p>
        </w:tc>
        <w:tc>
          <w:tcPr>
            <w:tcW w:w="2026" w:type="dxa"/>
            <w:tcBorders>
              <w:top w:val="single" w:sz="4" w:space="0" w:color="auto"/>
              <w:left w:val="nil"/>
              <w:bottom w:val="single" w:sz="8" w:space="0" w:color="auto"/>
              <w:right w:val="single" w:sz="8" w:space="0" w:color="auto"/>
            </w:tcBorders>
            <w:shd w:val="clear" w:color="auto" w:fill="auto"/>
            <w:noWrap/>
            <w:vAlign w:val="center"/>
            <w:hideMark/>
          </w:tcPr>
          <w:p w:rsidR="00E042B8" w:rsidRPr="004B7C08" w:rsidRDefault="00E042B8" w:rsidP="00E042B8">
            <w:pPr>
              <w:rPr>
                <w:b/>
                <w:bCs/>
                <w:color w:val="000000"/>
              </w:rPr>
            </w:pPr>
            <w:r w:rsidRPr="004B7C08">
              <w:rPr>
                <w:b/>
                <w:bCs/>
                <w:color w:val="000000"/>
              </w:rPr>
              <w:t xml:space="preserve">      </w:t>
            </w:r>
          </w:p>
          <w:p w:rsidR="00E042B8" w:rsidRPr="004B7C08" w:rsidRDefault="00E042B8" w:rsidP="00E042B8">
            <w:pPr>
              <w:jc w:val="center"/>
              <w:rPr>
                <w:b/>
                <w:bCs/>
                <w:color w:val="000000"/>
              </w:rPr>
            </w:pPr>
            <w:r w:rsidRPr="004B7C08">
              <w:rPr>
                <w:b/>
                <w:bCs/>
                <w:color w:val="000000"/>
              </w:rPr>
              <w:t>10.85</w:t>
            </w:r>
          </w:p>
        </w:tc>
        <w:tc>
          <w:tcPr>
            <w:tcW w:w="1884" w:type="dxa"/>
            <w:tcBorders>
              <w:top w:val="nil"/>
              <w:left w:val="nil"/>
              <w:bottom w:val="nil"/>
              <w:right w:val="nil"/>
            </w:tcBorders>
            <w:shd w:val="clear" w:color="auto" w:fill="auto"/>
            <w:noWrap/>
            <w:vAlign w:val="bottom"/>
            <w:hideMark/>
          </w:tcPr>
          <w:p w:rsidR="00E042B8" w:rsidRPr="004B7C08" w:rsidRDefault="00E042B8" w:rsidP="00E042B8">
            <w:pPr>
              <w:rPr>
                <w:b/>
                <w:bCs/>
                <w:color w:val="000000"/>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403"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r>
      <w:tr w:rsidR="00E042B8" w:rsidRPr="004B7C08" w:rsidTr="00E042B8">
        <w:trPr>
          <w:trHeight w:val="302"/>
        </w:trPr>
        <w:tc>
          <w:tcPr>
            <w:tcW w:w="29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55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302"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2026"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884"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jc w:val="center"/>
              <w:rPr>
                <w:sz w:val="20"/>
                <w:szCs w:val="20"/>
              </w:rPr>
            </w:pPr>
          </w:p>
        </w:tc>
        <w:tc>
          <w:tcPr>
            <w:tcW w:w="1403"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r>
      <w:tr w:rsidR="00E042B8" w:rsidRPr="004B7C08" w:rsidTr="00E042B8">
        <w:trPr>
          <w:trHeight w:val="392"/>
        </w:trPr>
        <w:tc>
          <w:tcPr>
            <w:tcW w:w="29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4879" w:type="dxa"/>
            <w:gridSpan w:val="3"/>
            <w:tcBorders>
              <w:top w:val="nil"/>
              <w:left w:val="nil"/>
              <w:bottom w:val="nil"/>
              <w:right w:val="nil"/>
            </w:tcBorders>
            <w:shd w:val="clear" w:color="auto" w:fill="auto"/>
            <w:noWrap/>
            <w:vAlign w:val="bottom"/>
            <w:hideMark/>
          </w:tcPr>
          <w:p w:rsidR="00E042B8" w:rsidRPr="004B7C08" w:rsidRDefault="00E042B8" w:rsidP="00E042B8">
            <w:pPr>
              <w:rPr>
                <w:i/>
                <w:iCs/>
                <w:color w:val="000000"/>
                <w:sz w:val="28"/>
                <w:szCs w:val="28"/>
              </w:rPr>
            </w:pPr>
            <w:r w:rsidRPr="004B7C08">
              <w:rPr>
                <w:i/>
                <w:iCs/>
                <w:color w:val="000000"/>
                <w:sz w:val="28"/>
                <w:szCs w:val="28"/>
              </w:rPr>
              <w:t>Energy Intensity Metrics</w:t>
            </w:r>
          </w:p>
        </w:tc>
        <w:tc>
          <w:tcPr>
            <w:tcW w:w="1884" w:type="dxa"/>
            <w:tcBorders>
              <w:top w:val="nil"/>
              <w:left w:val="nil"/>
              <w:bottom w:val="nil"/>
              <w:right w:val="nil"/>
            </w:tcBorders>
            <w:shd w:val="clear" w:color="auto" w:fill="auto"/>
            <w:noWrap/>
            <w:vAlign w:val="bottom"/>
            <w:hideMark/>
          </w:tcPr>
          <w:p w:rsidR="00E042B8" w:rsidRPr="004B7C08" w:rsidRDefault="00E042B8" w:rsidP="00E042B8">
            <w:pPr>
              <w:rPr>
                <w:i/>
                <w:iCs/>
                <w:color w:val="000000"/>
                <w:sz w:val="28"/>
                <w:szCs w:val="28"/>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jc w:val="center"/>
              <w:rPr>
                <w:sz w:val="20"/>
                <w:szCs w:val="20"/>
              </w:rPr>
            </w:pPr>
          </w:p>
        </w:tc>
        <w:tc>
          <w:tcPr>
            <w:tcW w:w="1403"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r>
      <w:tr w:rsidR="00E042B8" w:rsidRPr="004B7C08" w:rsidTr="00E042B8">
        <w:trPr>
          <w:trHeight w:val="302"/>
        </w:trPr>
        <w:tc>
          <w:tcPr>
            <w:tcW w:w="291" w:type="dxa"/>
            <w:tcBorders>
              <w:top w:val="single" w:sz="8" w:space="0" w:color="auto"/>
              <w:left w:val="single" w:sz="8" w:space="0" w:color="auto"/>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551" w:type="dxa"/>
            <w:tcBorders>
              <w:top w:val="single" w:sz="8" w:space="0" w:color="auto"/>
              <w:left w:val="nil"/>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302" w:type="dxa"/>
            <w:tcBorders>
              <w:top w:val="single" w:sz="8" w:space="0" w:color="auto"/>
              <w:left w:val="nil"/>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2026" w:type="dxa"/>
            <w:tcBorders>
              <w:top w:val="single" w:sz="8" w:space="0" w:color="auto"/>
              <w:left w:val="nil"/>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884" w:type="dxa"/>
            <w:tcBorders>
              <w:top w:val="single" w:sz="8" w:space="0" w:color="auto"/>
              <w:left w:val="nil"/>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831" w:type="dxa"/>
            <w:tcBorders>
              <w:top w:val="single" w:sz="8" w:space="0" w:color="auto"/>
              <w:left w:val="single" w:sz="4" w:space="0" w:color="auto"/>
              <w:bottom w:val="nil"/>
              <w:right w:val="single" w:sz="4" w:space="0" w:color="auto"/>
            </w:tcBorders>
            <w:shd w:val="clear" w:color="auto" w:fill="auto"/>
            <w:noWrap/>
            <w:vAlign w:val="bottom"/>
            <w:hideMark/>
          </w:tcPr>
          <w:p w:rsidR="00E042B8" w:rsidRPr="004B7C08" w:rsidRDefault="00E042B8" w:rsidP="00E042B8">
            <w:pPr>
              <w:jc w:val="center"/>
              <w:rPr>
                <w:color w:val="000000"/>
              </w:rPr>
            </w:pPr>
            <w:r w:rsidRPr="004B7C08">
              <w:rPr>
                <w:color w:val="000000"/>
              </w:rPr>
              <w:t>Customer</w:t>
            </w:r>
          </w:p>
        </w:tc>
        <w:tc>
          <w:tcPr>
            <w:tcW w:w="1403" w:type="dxa"/>
            <w:tcBorders>
              <w:top w:val="single" w:sz="8" w:space="0" w:color="auto"/>
              <w:left w:val="nil"/>
              <w:bottom w:val="nil"/>
              <w:right w:val="single" w:sz="8"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MWH per</w:t>
            </w:r>
          </w:p>
        </w:tc>
      </w:tr>
      <w:tr w:rsidR="00E042B8" w:rsidRPr="004B7C08" w:rsidTr="00E042B8">
        <w:trPr>
          <w:trHeight w:val="302"/>
        </w:trPr>
        <w:tc>
          <w:tcPr>
            <w:tcW w:w="291" w:type="dxa"/>
            <w:tcBorders>
              <w:top w:val="nil"/>
              <w:left w:val="single" w:sz="8" w:space="0" w:color="auto"/>
              <w:bottom w:val="single" w:sz="4"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551" w:type="dxa"/>
            <w:tcBorders>
              <w:top w:val="nil"/>
              <w:left w:val="nil"/>
              <w:bottom w:val="single" w:sz="4"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302" w:type="dxa"/>
            <w:tcBorders>
              <w:top w:val="nil"/>
              <w:left w:val="nil"/>
              <w:bottom w:val="single" w:sz="4"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2B8" w:rsidRPr="004B7C08" w:rsidRDefault="00E042B8" w:rsidP="00E042B8">
            <w:pPr>
              <w:jc w:val="center"/>
              <w:rPr>
                <w:color w:val="000000"/>
              </w:rPr>
            </w:pPr>
            <w:proofErr w:type="spellStart"/>
            <w:r w:rsidRPr="004B7C08">
              <w:rPr>
                <w:color w:val="000000"/>
              </w:rPr>
              <w:t>MWh</w:t>
            </w:r>
            <w:proofErr w:type="spellEnd"/>
            <w:r w:rsidRPr="004B7C08">
              <w:rPr>
                <w:color w:val="000000"/>
              </w:rPr>
              <w:t xml:space="preserve"> at Meter</w:t>
            </w:r>
          </w:p>
        </w:tc>
        <w:tc>
          <w:tcPr>
            <w:tcW w:w="1884" w:type="dxa"/>
            <w:tcBorders>
              <w:top w:val="single" w:sz="4" w:space="0" w:color="auto"/>
              <w:left w:val="nil"/>
              <w:bottom w:val="single" w:sz="4" w:space="0" w:color="auto"/>
              <w:right w:val="nil"/>
            </w:tcBorders>
            <w:shd w:val="clear" w:color="auto" w:fill="auto"/>
            <w:noWrap/>
            <w:vAlign w:val="bottom"/>
            <w:hideMark/>
          </w:tcPr>
          <w:p w:rsidR="00E042B8" w:rsidRPr="004B7C08" w:rsidRDefault="00E042B8" w:rsidP="00E042B8">
            <w:pPr>
              <w:jc w:val="center"/>
              <w:rPr>
                <w:color w:val="000000"/>
              </w:rPr>
            </w:pPr>
            <w:proofErr w:type="spellStart"/>
            <w:r w:rsidRPr="004B7C08">
              <w:rPr>
                <w:color w:val="000000"/>
              </w:rPr>
              <w:t>MWh</w:t>
            </w:r>
            <w:proofErr w:type="spellEnd"/>
            <w:r w:rsidRPr="004B7C08">
              <w:rPr>
                <w:color w:val="000000"/>
              </w:rPr>
              <w:t xml:space="preserve"> Proportion</w:t>
            </w:r>
          </w:p>
        </w:tc>
        <w:tc>
          <w:tcPr>
            <w:tcW w:w="1831" w:type="dxa"/>
            <w:tcBorders>
              <w:top w:val="nil"/>
              <w:left w:val="single" w:sz="4" w:space="0" w:color="auto"/>
              <w:bottom w:val="single" w:sz="4" w:space="0" w:color="auto"/>
              <w:right w:val="single" w:sz="4" w:space="0" w:color="auto"/>
            </w:tcBorders>
            <w:shd w:val="clear" w:color="auto" w:fill="auto"/>
            <w:noWrap/>
            <w:vAlign w:val="bottom"/>
            <w:hideMark/>
          </w:tcPr>
          <w:p w:rsidR="00E042B8" w:rsidRPr="004B7C08" w:rsidRDefault="00E042B8" w:rsidP="00E042B8">
            <w:pPr>
              <w:jc w:val="center"/>
              <w:rPr>
                <w:color w:val="000000"/>
              </w:rPr>
            </w:pPr>
            <w:r w:rsidRPr="004B7C08">
              <w:rPr>
                <w:color w:val="000000"/>
              </w:rPr>
              <w:t>Count</w:t>
            </w:r>
          </w:p>
        </w:tc>
        <w:tc>
          <w:tcPr>
            <w:tcW w:w="1403" w:type="dxa"/>
            <w:tcBorders>
              <w:top w:val="nil"/>
              <w:left w:val="nil"/>
              <w:bottom w:val="single" w:sz="4" w:space="0" w:color="auto"/>
              <w:right w:val="single" w:sz="8"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Customer</w:t>
            </w:r>
          </w:p>
        </w:tc>
      </w:tr>
      <w:tr w:rsidR="00E042B8" w:rsidRPr="004B7C08" w:rsidTr="00E042B8">
        <w:trPr>
          <w:trHeight w:val="233"/>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042B8" w:rsidRPr="004B7C08" w:rsidRDefault="00E042B8" w:rsidP="00E042B8">
            <w:pPr>
              <w:jc w:val="center"/>
              <w:rPr>
                <w:color w:val="000000"/>
              </w:rPr>
            </w:pPr>
            <w:r w:rsidRPr="004B7C08">
              <w:rPr>
                <w:color w:val="000000"/>
              </w:rPr>
              <w:t>Residential Customers</w:t>
            </w:r>
          </w:p>
        </w:tc>
        <w:tc>
          <w:tcPr>
            <w:tcW w:w="2026" w:type="dxa"/>
            <w:tcBorders>
              <w:top w:val="nil"/>
              <w:left w:val="nil"/>
              <w:bottom w:val="single" w:sz="4" w:space="0" w:color="auto"/>
              <w:right w:val="single" w:sz="4" w:space="0" w:color="auto"/>
            </w:tcBorders>
            <w:shd w:val="clear" w:color="000000" w:fill="DDEBF7"/>
            <w:noWrap/>
            <w:vAlign w:val="bottom"/>
            <w:hideMark/>
          </w:tcPr>
          <w:p w:rsidR="00E042B8" w:rsidRPr="004B7C08" w:rsidRDefault="00E042B8" w:rsidP="00E042B8">
            <w:pPr>
              <w:jc w:val="center"/>
              <w:rPr>
                <w:color w:val="000000"/>
              </w:rPr>
            </w:pPr>
            <w:r w:rsidRPr="004B7C08">
              <w:rPr>
                <w:color w:val="000000"/>
              </w:rPr>
              <w:t>2,458,224</w:t>
            </w:r>
          </w:p>
        </w:tc>
        <w:tc>
          <w:tcPr>
            <w:tcW w:w="1884"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jc w:val="center"/>
              <w:rPr>
                <w:color w:val="000000"/>
              </w:rPr>
            </w:pPr>
            <w:r w:rsidRPr="004B7C08">
              <w:rPr>
                <w:color w:val="000000"/>
              </w:rPr>
              <w:t>42.8%</w:t>
            </w:r>
          </w:p>
        </w:tc>
        <w:tc>
          <w:tcPr>
            <w:tcW w:w="1831" w:type="dxa"/>
            <w:tcBorders>
              <w:top w:val="nil"/>
              <w:left w:val="nil"/>
              <w:bottom w:val="single" w:sz="4" w:space="0" w:color="auto"/>
              <w:right w:val="single" w:sz="4" w:space="0" w:color="auto"/>
            </w:tcBorders>
            <w:shd w:val="clear" w:color="000000" w:fill="DDEBF7"/>
            <w:noWrap/>
            <w:vAlign w:val="bottom"/>
            <w:hideMark/>
          </w:tcPr>
          <w:p w:rsidR="00E042B8" w:rsidRPr="004B7C08" w:rsidRDefault="00E042B8" w:rsidP="00E042B8">
            <w:pPr>
              <w:jc w:val="center"/>
              <w:rPr>
                <w:color w:val="000000"/>
              </w:rPr>
            </w:pPr>
            <w:r w:rsidRPr="004B7C08">
              <w:rPr>
                <w:color w:val="000000"/>
              </w:rPr>
              <w:t>201,275</w:t>
            </w:r>
          </w:p>
        </w:tc>
        <w:tc>
          <w:tcPr>
            <w:tcW w:w="1403" w:type="dxa"/>
            <w:tcBorders>
              <w:top w:val="nil"/>
              <w:left w:val="nil"/>
              <w:bottom w:val="single" w:sz="4" w:space="0" w:color="auto"/>
              <w:right w:val="single" w:sz="8"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12.2</w:t>
            </w:r>
          </w:p>
        </w:tc>
      </w:tr>
      <w:tr w:rsidR="00E042B8" w:rsidRPr="004B7C08" w:rsidTr="00E042B8">
        <w:trPr>
          <w:trHeight w:val="305"/>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042B8" w:rsidRPr="004B7C08" w:rsidRDefault="00E042B8" w:rsidP="00E042B8">
            <w:pPr>
              <w:jc w:val="center"/>
              <w:rPr>
                <w:color w:val="000000"/>
              </w:rPr>
            </w:pPr>
            <w:r w:rsidRPr="004B7C08">
              <w:rPr>
                <w:color w:val="000000"/>
              </w:rPr>
              <w:t xml:space="preserve">Commercial Customers </w:t>
            </w:r>
          </w:p>
        </w:tc>
        <w:tc>
          <w:tcPr>
            <w:tcW w:w="2026" w:type="dxa"/>
            <w:tcBorders>
              <w:top w:val="nil"/>
              <w:left w:val="nil"/>
              <w:bottom w:val="single" w:sz="4" w:space="0" w:color="auto"/>
              <w:right w:val="single" w:sz="4" w:space="0" w:color="auto"/>
            </w:tcBorders>
            <w:shd w:val="clear" w:color="000000" w:fill="DDEBF7"/>
            <w:noWrap/>
            <w:vAlign w:val="bottom"/>
          </w:tcPr>
          <w:p w:rsidR="00E042B8" w:rsidRPr="004B7C08" w:rsidRDefault="00E042B8" w:rsidP="00E042B8">
            <w:pPr>
              <w:jc w:val="center"/>
              <w:rPr>
                <w:color w:val="000000"/>
              </w:rPr>
            </w:pPr>
            <w:r w:rsidRPr="004B7C08">
              <w:rPr>
                <w:color w:val="000000"/>
              </w:rPr>
              <w:t>2,223,888</w:t>
            </w:r>
          </w:p>
        </w:tc>
        <w:tc>
          <w:tcPr>
            <w:tcW w:w="1884"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jc w:val="center"/>
              <w:rPr>
                <w:color w:val="000000"/>
              </w:rPr>
            </w:pPr>
            <w:r w:rsidRPr="004B7C08">
              <w:rPr>
                <w:color w:val="000000"/>
              </w:rPr>
              <w:t>38.8%</w:t>
            </w:r>
          </w:p>
        </w:tc>
        <w:tc>
          <w:tcPr>
            <w:tcW w:w="1831" w:type="dxa"/>
            <w:tcBorders>
              <w:top w:val="nil"/>
              <w:left w:val="nil"/>
              <w:bottom w:val="single" w:sz="4" w:space="0" w:color="auto"/>
              <w:right w:val="single" w:sz="4" w:space="0" w:color="auto"/>
            </w:tcBorders>
            <w:shd w:val="clear" w:color="000000" w:fill="DDEBF7"/>
            <w:noWrap/>
            <w:vAlign w:val="bottom"/>
            <w:hideMark/>
          </w:tcPr>
          <w:p w:rsidR="00E042B8" w:rsidRPr="004B7C08" w:rsidRDefault="00E042B8" w:rsidP="00E042B8">
            <w:pPr>
              <w:jc w:val="center"/>
              <w:rPr>
                <w:color w:val="000000"/>
              </w:rPr>
            </w:pPr>
            <w:r w:rsidRPr="004B7C08">
              <w:rPr>
                <w:color w:val="000000"/>
              </w:rPr>
              <w:t>22,158</w:t>
            </w:r>
          </w:p>
        </w:tc>
        <w:tc>
          <w:tcPr>
            <w:tcW w:w="1403" w:type="dxa"/>
            <w:tcBorders>
              <w:top w:val="nil"/>
              <w:left w:val="nil"/>
              <w:bottom w:val="single" w:sz="4" w:space="0" w:color="auto"/>
              <w:right w:val="single" w:sz="8"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100.4</w:t>
            </w:r>
          </w:p>
        </w:tc>
      </w:tr>
      <w:tr w:rsidR="00E042B8" w:rsidRPr="004B7C08" w:rsidTr="00E042B8">
        <w:trPr>
          <w:trHeight w:val="302"/>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042B8" w:rsidRPr="004B7C08" w:rsidRDefault="00E042B8" w:rsidP="00E042B8">
            <w:pPr>
              <w:jc w:val="center"/>
              <w:rPr>
                <w:color w:val="000000"/>
              </w:rPr>
            </w:pPr>
            <w:r w:rsidRPr="004B7C08">
              <w:rPr>
                <w:color w:val="000000"/>
              </w:rPr>
              <w:t xml:space="preserve">Industrial Customers </w:t>
            </w:r>
          </w:p>
        </w:tc>
        <w:tc>
          <w:tcPr>
            <w:tcW w:w="2026" w:type="dxa"/>
            <w:tcBorders>
              <w:top w:val="nil"/>
              <w:left w:val="nil"/>
              <w:bottom w:val="single" w:sz="4" w:space="0" w:color="auto"/>
              <w:right w:val="single" w:sz="4" w:space="0" w:color="auto"/>
            </w:tcBorders>
            <w:shd w:val="clear" w:color="000000" w:fill="DDEBF7"/>
            <w:noWrap/>
            <w:vAlign w:val="bottom"/>
          </w:tcPr>
          <w:p w:rsidR="00E042B8" w:rsidRPr="004B7C08" w:rsidRDefault="00E042B8" w:rsidP="00E042B8">
            <w:pPr>
              <w:jc w:val="center"/>
              <w:rPr>
                <w:color w:val="000000"/>
              </w:rPr>
            </w:pPr>
            <w:r w:rsidRPr="004B7C08">
              <w:rPr>
                <w:color w:val="000000"/>
              </w:rPr>
              <w:t>1,055,963</w:t>
            </w:r>
          </w:p>
        </w:tc>
        <w:tc>
          <w:tcPr>
            <w:tcW w:w="1884"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jc w:val="center"/>
              <w:rPr>
                <w:color w:val="000000"/>
              </w:rPr>
            </w:pPr>
            <w:r w:rsidRPr="004B7C08">
              <w:rPr>
                <w:color w:val="000000"/>
              </w:rPr>
              <w:t>18.4%</w:t>
            </w:r>
          </w:p>
        </w:tc>
        <w:tc>
          <w:tcPr>
            <w:tcW w:w="1831" w:type="dxa"/>
            <w:tcBorders>
              <w:top w:val="nil"/>
              <w:left w:val="nil"/>
              <w:bottom w:val="nil"/>
              <w:right w:val="nil"/>
            </w:tcBorders>
            <w:shd w:val="clear" w:color="auto" w:fill="auto"/>
            <w:noWrap/>
            <w:vAlign w:val="bottom"/>
            <w:hideMark/>
          </w:tcPr>
          <w:p w:rsidR="00E042B8" w:rsidRPr="004B7C08" w:rsidRDefault="00E042B8" w:rsidP="00E042B8">
            <w:pPr>
              <w:jc w:val="center"/>
              <w:rPr>
                <w:color w:val="000000"/>
              </w:rPr>
            </w:pPr>
          </w:p>
        </w:tc>
        <w:tc>
          <w:tcPr>
            <w:tcW w:w="1403" w:type="dxa"/>
            <w:tcBorders>
              <w:top w:val="nil"/>
              <w:left w:val="nil"/>
              <w:bottom w:val="nil"/>
              <w:right w:val="single" w:sz="8" w:space="0" w:color="auto"/>
            </w:tcBorders>
            <w:shd w:val="clear" w:color="auto" w:fill="auto"/>
            <w:noWrap/>
            <w:vAlign w:val="bottom"/>
            <w:hideMark/>
          </w:tcPr>
          <w:p w:rsidR="00E042B8" w:rsidRPr="004B7C08" w:rsidRDefault="00E042B8" w:rsidP="00E042B8">
            <w:pPr>
              <w:rPr>
                <w:color w:val="000000"/>
              </w:rPr>
            </w:pPr>
            <w:r w:rsidRPr="004B7C08">
              <w:rPr>
                <w:color w:val="000000"/>
              </w:rPr>
              <w:t> </w:t>
            </w:r>
          </w:p>
        </w:tc>
      </w:tr>
      <w:tr w:rsidR="00E042B8" w:rsidRPr="004B7C08" w:rsidTr="00E042B8">
        <w:trPr>
          <w:trHeight w:val="317"/>
        </w:trPr>
        <w:tc>
          <w:tcPr>
            <w:tcW w:w="291" w:type="dxa"/>
            <w:tcBorders>
              <w:top w:val="nil"/>
              <w:left w:val="single" w:sz="8" w:space="0" w:color="auto"/>
              <w:bottom w:val="single" w:sz="8"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2853"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E042B8" w:rsidRPr="004B7C08" w:rsidRDefault="00E042B8" w:rsidP="00E042B8">
            <w:pPr>
              <w:jc w:val="center"/>
              <w:rPr>
                <w:color w:val="000000"/>
              </w:rPr>
            </w:pPr>
            <w:r w:rsidRPr="004B7C08">
              <w:rPr>
                <w:color w:val="000000"/>
              </w:rPr>
              <w:t>Total Load Served</w:t>
            </w:r>
          </w:p>
        </w:tc>
        <w:tc>
          <w:tcPr>
            <w:tcW w:w="2026" w:type="dxa"/>
            <w:tcBorders>
              <w:top w:val="nil"/>
              <w:left w:val="nil"/>
              <w:bottom w:val="single" w:sz="8" w:space="0" w:color="auto"/>
              <w:right w:val="single" w:sz="4" w:space="0" w:color="auto"/>
            </w:tcBorders>
            <w:shd w:val="clear" w:color="auto" w:fill="auto"/>
            <w:noWrap/>
            <w:vAlign w:val="bottom"/>
          </w:tcPr>
          <w:p w:rsidR="00E042B8" w:rsidRPr="004B7C08" w:rsidRDefault="00E042B8" w:rsidP="00E042B8">
            <w:pPr>
              <w:jc w:val="center"/>
              <w:rPr>
                <w:color w:val="000000"/>
              </w:rPr>
            </w:pPr>
            <w:r w:rsidRPr="004B7C08">
              <w:rPr>
                <w:color w:val="000000"/>
              </w:rPr>
              <w:t>5,738,075</w:t>
            </w:r>
          </w:p>
        </w:tc>
        <w:tc>
          <w:tcPr>
            <w:tcW w:w="1884" w:type="dxa"/>
            <w:tcBorders>
              <w:top w:val="nil"/>
              <w:left w:val="nil"/>
              <w:bottom w:val="single" w:sz="8"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831" w:type="dxa"/>
            <w:tcBorders>
              <w:top w:val="nil"/>
              <w:left w:val="nil"/>
              <w:bottom w:val="single" w:sz="8"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403" w:type="dxa"/>
            <w:tcBorders>
              <w:top w:val="nil"/>
              <w:left w:val="nil"/>
              <w:bottom w:val="single" w:sz="8" w:space="0" w:color="auto"/>
              <w:right w:val="single" w:sz="8" w:space="0" w:color="auto"/>
            </w:tcBorders>
            <w:shd w:val="clear" w:color="auto" w:fill="auto"/>
            <w:noWrap/>
            <w:vAlign w:val="bottom"/>
            <w:hideMark/>
          </w:tcPr>
          <w:p w:rsidR="00E042B8" w:rsidRPr="004B7C08" w:rsidRDefault="00E042B8" w:rsidP="00E042B8">
            <w:pPr>
              <w:rPr>
                <w:color w:val="000000"/>
              </w:rPr>
            </w:pPr>
            <w:r w:rsidRPr="004B7C08">
              <w:rPr>
                <w:color w:val="000000"/>
              </w:rPr>
              <w:t> </w:t>
            </w:r>
          </w:p>
        </w:tc>
      </w:tr>
      <w:tr w:rsidR="00E042B8" w:rsidRPr="004B7C08" w:rsidTr="00E042B8">
        <w:trPr>
          <w:trHeight w:val="302"/>
        </w:trPr>
        <w:tc>
          <w:tcPr>
            <w:tcW w:w="291" w:type="dxa"/>
            <w:tcBorders>
              <w:top w:val="nil"/>
              <w:left w:val="nil"/>
              <w:bottom w:val="nil"/>
              <w:right w:val="nil"/>
            </w:tcBorders>
            <w:shd w:val="clear" w:color="auto" w:fill="auto"/>
            <w:noWrap/>
            <w:vAlign w:val="bottom"/>
            <w:hideMark/>
          </w:tcPr>
          <w:p w:rsidR="00E042B8" w:rsidRPr="004B7C08" w:rsidRDefault="00E042B8" w:rsidP="00E042B8">
            <w:pPr>
              <w:rPr>
                <w:color w:val="000000"/>
              </w:rPr>
            </w:pPr>
          </w:p>
        </w:tc>
        <w:tc>
          <w:tcPr>
            <w:tcW w:w="155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302"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2026"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884"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403"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r>
      <w:tr w:rsidR="00E042B8" w:rsidRPr="004B7C08" w:rsidTr="00E042B8">
        <w:trPr>
          <w:trHeight w:val="392"/>
        </w:trPr>
        <w:tc>
          <w:tcPr>
            <w:tcW w:w="29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4879" w:type="dxa"/>
            <w:gridSpan w:val="3"/>
            <w:tcBorders>
              <w:top w:val="nil"/>
              <w:left w:val="nil"/>
              <w:bottom w:val="nil"/>
              <w:right w:val="nil"/>
            </w:tcBorders>
            <w:shd w:val="clear" w:color="auto" w:fill="auto"/>
            <w:noWrap/>
            <w:vAlign w:val="bottom"/>
            <w:hideMark/>
          </w:tcPr>
          <w:p w:rsidR="00016958" w:rsidRDefault="00016958" w:rsidP="00E042B8">
            <w:pPr>
              <w:rPr>
                <w:i/>
                <w:iCs/>
                <w:color w:val="000000"/>
                <w:sz w:val="28"/>
                <w:szCs w:val="28"/>
              </w:rPr>
            </w:pPr>
          </w:p>
          <w:p w:rsidR="00E042B8" w:rsidRPr="004B7C08" w:rsidRDefault="00E042B8" w:rsidP="00E042B8">
            <w:pPr>
              <w:rPr>
                <w:i/>
                <w:iCs/>
                <w:color w:val="000000"/>
                <w:sz w:val="28"/>
                <w:szCs w:val="28"/>
              </w:rPr>
            </w:pPr>
            <w:r w:rsidRPr="004B7C08">
              <w:rPr>
                <w:i/>
                <w:iCs/>
                <w:color w:val="000000"/>
                <w:sz w:val="28"/>
                <w:szCs w:val="28"/>
              </w:rPr>
              <w:t>Emissions Intensity Metrics</w:t>
            </w:r>
          </w:p>
        </w:tc>
        <w:tc>
          <w:tcPr>
            <w:tcW w:w="1884" w:type="dxa"/>
            <w:tcBorders>
              <w:top w:val="nil"/>
              <w:left w:val="nil"/>
              <w:bottom w:val="nil"/>
              <w:right w:val="nil"/>
            </w:tcBorders>
            <w:shd w:val="clear" w:color="auto" w:fill="auto"/>
            <w:noWrap/>
            <w:vAlign w:val="bottom"/>
            <w:hideMark/>
          </w:tcPr>
          <w:p w:rsidR="00E042B8" w:rsidRPr="004B7C08" w:rsidRDefault="00E042B8" w:rsidP="00E042B8">
            <w:pPr>
              <w:rPr>
                <w:i/>
                <w:iCs/>
                <w:color w:val="000000"/>
                <w:sz w:val="28"/>
                <w:szCs w:val="28"/>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403"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r>
      <w:tr w:rsidR="00E042B8" w:rsidRPr="004B7C08" w:rsidTr="00E042B8">
        <w:trPr>
          <w:trHeight w:val="302"/>
        </w:trPr>
        <w:tc>
          <w:tcPr>
            <w:tcW w:w="291" w:type="dxa"/>
            <w:tcBorders>
              <w:top w:val="single" w:sz="8" w:space="0" w:color="auto"/>
              <w:left w:val="single" w:sz="8" w:space="0" w:color="auto"/>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551" w:type="dxa"/>
            <w:tcBorders>
              <w:top w:val="single" w:sz="8" w:space="0" w:color="auto"/>
              <w:left w:val="nil"/>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302" w:type="dxa"/>
            <w:tcBorders>
              <w:top w:val="single" w:sz="8" w:space="0" w:color="auto"/>
              <w:left w:val="nil"/>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2026" w:type="dxa"/>
            <w:tcBorders>
              <w:top w:val="single" w:sz="8" w:space="0" w:color="auto"/>
              <w:left w:val="nil"/>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884" w:type="dxa"/>
            <w:tcBorders>
              <w:top w:val="single" w:sz="8" w:space="0" w:color="auto"/>
              <w:left w:val="single" w:sz="4" w:space="0" w:color="auto"/>
              <w:bottom w:val="nil"/>
              <w:right w:val="single" w:sz="4" w:space="0" w:color="auto"/>
            </w:tcBorders>
            <w:shd w:val="clear" w:color="auto" w:fill="auto"/>
            <w:noWrap/>
            <w:vAlign w:val="bottom"/>
            <w:hideMark/>
          </w:tcPr>
          <w:p w:rsidR="00E042B8" w:rsidRPr="004B7C08" w:rsidRDefault="00E042B8" w:rsidP="00E042B8">
            <w:pPr>
              <w:jc w:val="center"/>
              <w:rPr>
                <w:color w:val="000000"/>
              </w:rPr>
            </w:pPr>
            <w:r w:rsidRPr="004B7C08">
              <w:rPr>
                <w:color w:val="000000"/>
              </w:rPr>
              <w:t>Percent of</w:t>
            </w:r>
          </w:p>
        </w:tc>
        <w:tc>
          <w:tcPr>
            <w:tcW w:w="1831" w:type="dxa"/>
            <w:tcBorders>
              <w:top w:val="single" w:sz="8" w:space="0" w:color="auto"/>
              <w:left w:val="nil"/>
              <w:bottom w:val="nil"/>
              <w:right w:val="single" w:sz="4"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 xml:space="preserve">Short </w:t>
            </w:r>
          </w:p>
        </w:tc>
        <w:tc>
          <w:tcPr>
            <w:tcW w:w="1403" w:type="dxa"/>
            <w:tcBorders>
              <w:top w:val="single" w:sz="8" w:space="0" w:color="auto"/>
              <w:left w:val="nil"/>
              <w:bottom w:val="nil"/>
              <w:right w:val="single" w:sz="8" w:space="0" w:color="auto"/>
            </w:tcBorders>
            <w:shd w:val="clear" w:color="auto" w:fill="auto"/>
            <w:noWrap/>
            <w:vAlign w:val="bottom"/>
            <w:hideMark/>
          </w:tcPr>
          <w:p w:rsidR="00E042B8" w:rsidRPr="004B7C08" w:rsidRDefault="00E042B8" w:rsidP="00E042B8">
            <w:pPr>
              <w:rPr>
                <w:color w:val="000000"/>
              </w:rPr>
            </w:pPr>
            <w:r w:rsidRPr="004B7C08">
              <w:rPr>
                <w:color w:val="000000"/>
              </w:rPr>
              <w:t> </w:t>
            </w:r>
          </w:p>
        </w:tc>
      </w:tr>
      <w:tr w:rsidR="00E042B8" w:rsidRPr="004B7C08" w:rsidTr="00E042B8">
        <w:trPr>
          <w:trHeight w:val="362"/>
        </w:trPr>
        <w:tc>
          <w:tcPr>
            <w:tcW w:w="291" w:type="dxa"/>
            <w:tcBorders>
              <w:top w:val="nil"/>
              <w:left w:val="single" w:sz="8" w:space="0" w:color="auto"/>
              <w:bottom w:val="nil"/>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551" w:type="dxa"/>
            <w:tcBorders>
              <w:top w:val="nil"/>
              <w:left w:val="nil"/>
              <w:bottom w:val="nil"/>
              <w:right w:val="nil"/>
            </w:tcBorders>
            <w:shd w:val="clear" w:color="auto" w:fill="auto"/>
            <w:noWrap/>
            <w:vAlign w:val="bottom"/>
            <w:hideMark/>
          </w:tcPr>
          <w:p w:rsidR="00E042B8" w:rsidRPr="004B7C08" w:rsidRDefault="00E042B8" w:rsidP="00E042B8">
            <w:pPr>
              <w:rPr>
                <w:color w:val="000000"/>
              </w:rPr>
            </w:pPr>
          </w:p>
        </w:tc>
        <w:tc>
          <w:tcPr>
            <w:tcW w:w="1302"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2026" w:type="dxa"/>
            <w:tcBorders>
              <w:top w:val="single" w:sz="4" w:space="0" w:color="auto"/>
              <w:left w:val="single" w:sz="4" w:space="0" w:color="auto"/>
              <w:bottom w:val="single" w:sz="4" w:space="0" w:color="auto"/>
              <w:right w:val="nil"/>
            </w:tcBorders>
            <w:shd w:val="clear" w:color="auto" w:fill="auto"/>
            <w:noWrap/>
            <w:vAlign w:val="bottom"/>
            <w:hideMark/>
          </w:tcPr>
          <w:p w:rsidR="00E042B8" w:rsidRPr="004B7C08" w:rsidRDefault="00E042B8" w:rsidP="00E042B8">
            <w:pPr>
              <w:jc w:val="center"/>
              <w:rPr>
                <w:color w:val="000000"/>
              </w:rPr>
            </w:pPr>
            <w:proofErr w:type="spellStart"/>
            <w:r w:rsidRPr="004B7C08">
              <w:rPr>
                <w:color w:val="000000"/>
              </w:rPr>
              <w:t>Busbar</w:t>
            </w:r>
            <w:proofErr w:type="spellEnd"/>
            <w:r w:rsidRPr="004B7C08">
              <w:rPr>
                <w:color w:val="000000"/>
              </w:rPr>
              <w:t xml:space="preserve"> </w:t>
            </w:r>
            <w:proofErr w:type="spellStart"/>
            <w:r w:rsidRPr="004B7C08">
              <w:rPr>
                <w:color w:val="000000"/>
              </w:rPr>
              <w:t>MWh</w:t>
            </w:r>
            <w:proofErr w:type="spellEnd"/>
          </w:p>
        </w:tc>
        <w:tc>
          <w:tcPr>
            <w:tcW w:w="1884" w:type="dxa"/>
            <w:tcBorders>
              <w:top w:val="nil"/>
              <w:left w:val="single" w:sz="4" w:space="0" w:color="auto"/>
              <w:bottom w:val="single" w:sz="4" w:space="0" w:color="auto"/>
              <w:right w:val="single" w:sz="4" w:space="0" w:color="auto"/>
            </w:tcBorders>
            <w:shd w:val="clear" w:color="auto" w:fill="auto"/>
            <w:noWrap/>
            <w:vAlign w:val="bottom"/>
            <w:hideMark/>
          </w:tcPr>
          <w:p w:rsidR="00E042B8" w:rsidRPr="004B7C08" w:rsidRDefault="00E042B8" w:rsidP="00E042B8">
            <w:pPr>
              <w:jc w:val="center"/>
              <w:rPr>
                <w:color w:val="000000"/>
              </w:rPr>
            </w:pPr>
            <w:r w:rsidRPr="004B7C08">
              <w:rPr>
                <w:color w:val="000000"/>
              </w:rPr>
              <w:t>Total Load</w:t>
            </w:r>
          </w:p>
        </w:tc>
        <w:tc>
          <w:tcPr>
            <w:tcW w:w="1831"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Tons CO</w:t>
            </w:r>
            <w:r w:rsidRPr="004B7C08">
              <w:rPr>
                <w:b/>
                <w:bCs/>
                <w:color w:val="000000"/>
                <w:vertAlign w:val="subscript"/>
              </w:rPr>
              <w:t>2</w:t>
            </w:r>
          </w:p>
        </w:tc>
        <w:tc>
          <w:tcPr>
            <w:tcW w:w="1403" w:type="dxa"/>
            <w:tcBorders>
              <w:top w:val="nil"/>
              <w:left w:val="nil"/>
              <w:bottom w:val="nil"/>
              <w:right w:val="single" w:sz="8" w:space="0" w:color="auto"/>
            </w:tcBorders>
            <w:shd w:val="clear" w:color="auto" w:fill="auto"/>
            <w:noWrap/>
            <w:vAlign w:val="bottom"/>
            <w:hideMark/>
          </w:tcPr>
          <w:p w:rsidR="00E042B8" w:rsidRPr="004B7C08" w:rsidRDefault="00E042B8" w:rsidP="00E042B8">
            <w:pPr>
              <w:rPr>
                <w:color w:val="000000"/>
              </w:rPr>
            </w:pPr>
            <w:r w:rsidRPr="004B7C08">
              <w:rPr>
                <w:color w:val="000000"/>
              </w:rPr>
              <w:t> </w:t>
            </w:r>
          </w:p>
        </w:tc>
      </w:tr>
      <w:tr w:rsidR="00E042B8" w:rsidRPr="004B7C08" w:rsidTr="00E042B8">
        <w:trPr>
          <w:trHeight w:val="317"/>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042B8" w:rsidRPr="004B7C08" w:rsidRDefault="00E042B8" w:rsidP="00E042B8">
            <w:pPr>
              <w:jc w:val="center"/>
              <w:rPr>
                <w:color w:val="000000"/>
              </w:rPr>
            </w:pPr>
            <w:r w:rsidRPr="004B7C08">
              <w:rPr>
                <w:color w:val="000000"/>
              </w:rPr>
              <w:t>Known Resources Serving WA</w:t>
            </w:r>
          </w:p>
        </w:tc>
        <w:tc>
          <w:tcPr>
            <w:tcW w:w="2026"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rPr>
                <w:color w:val="000000"/>
              </w:rPr>
            </w:pPr>
            <w:r w:rsidRPr="004B7C08">
              <w:rPr>
                <w:color w:val="000000"/>
              </w:rPr>
              <w:t>2,458,224</w:t>
            </w:r>
          </w:p>
        </w:tc>
        <w:tc>
          <w:tcPr>
            <w:tcW w:w="1884"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jc w:val="center"/>
              <w:rPr>
                <w:color w:val="000000"/>
              </w:rPr>
            </w:pPr>
            <w:r w:rsidRPr="004B7C08">
              <w:rPr>
                <w:color w:val="000000"/>
              </w:rPr>
              <w:t>120.1%</w:t>
            </w:r>
          </w:p>
        </w:tc>
        <w:tc>
          <w:tcPr>
            <w:tcW w:w="1831"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rPr>
                <w:color w:val="000000"/>
              </w:rPr>
            </w:pPr>
            <w:r w:rsidRPr="004B7C08">
              <w:rPr>
                <w:color w:val="000000"/>
              </w:rPr>
              <w:t xml:space="preserve">        2,164,022</w:t>
            </w:r>
          </w:p>
        </w:tc>
        <w:tc>
          <w:tcPr>
            <w:tcW w:w="1403" w:type="dxa"/>
            <w:tcBorders>
              <w:top w:val="nil"/>
              <w:left w:val="nil"/>
              <w:bottom w:val="nil"/>
              <w:right w:val="single" w:sz="8" w:space="0" w:color="auto"/>
            </w:tcBorders>
            <w:shd w:val="clear" w:color="auto" w:fill="auto"/>
            <w:noWrap/>
            <w:vAlign w:val="bottom"/>
            <w:hideMark/>
          </w:tcPr>
          <w:p w:rsidR="00E042B8" w:rsidRPr="004B7C08" w:rsidRDefault="00E042B8" w:rsidP="00E042B8">
            <w:pPr>
              <w:rPr>
                <w:color w:val="000000"/>
              </w:rPr>
            </w:pPr>
            <w:r w:rsidRPr="004B7C08">
              <w:rPr>
                <w:color w:val="000000"/>
              </w:rPr>
              <w:t> </w:t>
            </w:r>
          </w:p>
        </w:tc>
      </w:tr>
      <w:tr w:rsidR="00E042B8" w:rsidRPr="004B7C08" w:rsidTr="00E042B8">
        <w:trPr>
          <w:trHeight w:val="362"/>
        </w:trPr>
        <w:tc>
          <w:tcPr>
            <w:tcW w:w="314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042B8" w:rsidRPr="004B7C08" w:rsidRDefault="00E042B8" w:rsidP="00E042B8">
            <w:pPr>
              <w:jc w:val="center"/>
              <w:rPr>
                <w:color w:val="000000"/>
              </w:rPr>
            </w:pPr>
            <w:r w:rsidRPr="004B7C08">
              <w:rPr>
                <w:color w:val="000000"/>
              </w:rPr>
              <w:t>Unknown Resources Serving WA</w:t>
            </w:r>
          </w:p>
        </w:tc>
        <w:tc>
          <w:tcPr>
            <w:tcW w:w="2026"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rPr>
                <w:b/>
                <w:bCs/>
                <w:color w:val="000000"/>
              </w:rPr>
            </w:pPr>
            <w:r w:rsidRPr="004B7C08">
              <w:rPr>
                <w:b/>
                <w:bCs/>
                <w:color w:val="000000"/>
              </w:rPr>
              <w:t xml:space="preserve">                  (1,194,623) </w:t>
            </w:r>
          </w:p>
        </w:tc>
        <w:tc>
          <w:tcPr>
            <w:tcW w:w="1884" w:type="dxa"/>
            <w:tcBorders>
              <w:top w:val="nil"/>
              <w:left w:val="nil"/>
              <w:bottom w:val="single" w:sz="4" w:space="0" w:color="auto"/>
              <w:right w:val="single" w:sz="4"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-20.1%</w:t>
            </w:r>
          </w:p>
        </w:tc>
        <w:tc>
          <w:tcPr>
            <w:tcW w:w="1831" w:type="dxa"/>
            <w:tcBorders>
              <w:top w:val="nil"/>
              <w:left w:val="nil"/>
              <w:bottom w:val="single" w:sz="4" w:space="0" w:color="auto"/>
              <w:right w:val="nil"/>
            </w:tcBorders>
            <w:shd w:val="clear" w:color="auto" w:fill="auto"/>
            <w:noWrap/>
            <w:vAlign w:val="bottom"/>
            <w:hideMark/>
          </w:tcPr>
          <w:p w:rsidR="00E042B8" w:rsidRPr="004B7C08" w:rsidRDefault="00E042B8" w:rsidP="00E042B8">
            <w:pPr>
              <w:rPr>
                <w:b/>
                <w:bCs/>
                <w:color w:val="000000"/>
              </w:rPr>
            </w:pPr>
            <w:r w:rsidRPr="004B7C08">
              <w:rPr>
                <w:b/>
                <w:bCs/>
                <w:color w:val="000000"/>
              </w:rPr>
              <w:t xml:space="preserve">        (624,668)</w:t>
            </w:r>
          </w:p>
        </w:tc>
        <w:tc>
          <w:tcPr>
            <w:tcW w:w="140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 of 1990 CO</w:t>
            </w:r>
            <w:r w:rsidRPr="004B7C08">
              <w:rPr>
                <w:b/>
                <w:bCs/>
                <w:color w:val="000000"/>
                <w:vertAlign w:val="subscript"/>
              </w:rPr>
              <w:t>2</w:t>
            </w:r>
          </w:p>
        </w:tc>
      </w:tr>
      <w:tr w:rsidR="00E042B8" w:rsidRPr="004B7C08" w:rsidTr="00E042B8">
        <w:trPr>
          <w:trHeight w:val="377"/>
        </w:trPr>
        <w:tc>
          <w:tcPr>
            <w:tcW w:w="291" w:type="dxa"/>
            <w:tcBorders>
              <w:top w:val="nil"/>
              <w:left w:val="single" w:sz="8" w:space="0" w:color="auto"/>
              <w:bottom w:val="single" w:sz="8"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551" w:type="dxa"/>
            <w:tcBorders>
              <w:top w:val="nil"/>
              <w:left w:val="nil"/>
              <w:bottom w:val="single" w:sz="8"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1302" w:type="dxa"/>
            <w:tcBorders>
              <w:top w:val="nil"/>
              <w:left w:val="nil"/>
              <w:bottom w:val="single" w:sz="8"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 </w:t>
            </w:r>
          </w:p>
        </w:tc>
        <w:tc>
          <w:tcPr>
            <w:tcW w:w="2026" w:type="dxa"/>
            <w:tcBorders>
              <w:top w:val="nil"/>
              <w:left w:val="single" w:sz="4" w:space="0" w:color="auto"/>
              <w:bottom w:val="single" w:sz="8" w:space="0" w:color="auto"/>
              <w:right w:val="nil"/>
            </w:tcBorders>
            <w:shd w:val="clear" w:color="auto" w:fill="auto"/>
            <w:noWrap/>
            <w:vAlign w:val="bottom"/>
            <w:hideMark/>
          </w:tcPr>
          <w:p w:rsidR="00E042B8" w:rsidRPr="004B7C08" w:rsidRDefault="00E042B8" w:rsidP="00E042B8">
            <w:pPr>
              <w:jc w:val="right"/>
              <w:rPr>
                <w:color w:val="000000"/>
              </w:rPr>
            </w:pPr>
            <w:r w:rsidRPr="004B7C08">
              <w:rPr>
                <w:color w:val="000000"/>
              </w:rPr>
              <w:t>2015</w:t>
            </w:r>
          </w:p>
        </w:tc>
        <w:tc>
          <w:tcPr>
            <w:tcW w:w="1884" w:type="dxa"/>
            <w:tcBorders>
              <w:top w:val="nil"/>
              <w:left w:val="nil"/>
              <w:bottom w:val="single" w:sz="8" w:space="0" w:color="auto"/>
              <w:right w:val="nil"/>
            </w:tcBorders>
            <w:shd w:val="clear" w:color="auto" w:fill="auto"/>
            <w:noWrap/>
            <w:vAlign w:val="bottom"/>
            <w:hideMark/>
          </w:tcPr>
          <w:p w:rsidR="00E042B8" w:rsidRPr="004B7C08" w:rsidRDefault="00E042B8" w:rsidP="00E042B8">
            <w:pPr>
              <w:rPr>
                <w:color w:val="000000"/>
              </w:rPr>
            </w:pPr>
            <w:r w:rsidRPr="004B7C08">
              <w:rPr>
                <w:color w:val="000000"/>
              </w:rPr>
              <w:t>Tons CO</w:t>
            </w:r>
            <w:r w:rsidRPr="004B7C08">
              <w:rPr>
                <w:color w:val="000000"/>
                <w:vertAlign w:val="subscript"/>
              </w:rPr>
              <w:t>2</w:t>
            </w:r>
          </w:p>
        </w:tc>
        <w:tc>
          <w:tcPr>
            <w:tcW w:w="1831" w:type="dxa"/>
            <w:tcBorders>
              <w:top w:val="nil"/>
              <w:left w:val="single" w:sz="4" w:space="0" w:color="auto"/>
              <w:bottom w:val="single" w:sz="8" w:space="0" w:color="auto"/>
              <w:right w:val="nil"/>
            </w:tcBorders>
            <w:shd w:val="clear" w:color="auto" w:fill="auto"/>
            <w:noWrap/>
            <w:vAlign w:val="bottom"/>
            <w:hideMark/>
          </w:tcPr>
          <w:p w:rsidR="00E042B8" w:rsidRPr="004B7C08" w:rsidRDefault="00E042B8" w:rsidP="00E042B8">
            <w:pPr>
              <w:rPr>
                <w:b/>
                <w:bCs/>
                <w:color w:val="000000"/>
              </w:rPr>
            </w:pPr>
            <w:r w:rsidRPr="004B7C08">
              <w:rPr>
                <w:b/>
                <w:bCs/>
                <w:color w:val="000000"/>
              </w:rPr>
              <w:t xml:space="preserve">        1,539,354</w:t>
            </w:r>
          </w:p>
        </w:tc>
        <w:tc>
          <w:tcPr>
            <w:tcW w:w="1403" w:type="dxa"/>
            <w:tcBorders>
              <w:top w:val="nil"/>
              <w:left w:val="single" w:sz="8" w:space="0" w:color="auto"/>
              <w:bottom w:val="single" w:sz="8" w:space="0" w:color="auto"/>
              <w:right w:val="single" w:sz="8" w:space="0" w:color="auto"/>
            </w:tcBorders>
            <w:shd w:val="clear" w:color="auto" w:fill="auto"/>
            <w:noWrap/>
            <w:vAlign w:val="bottom"/>
            <w:hideMark/>
          </w:tcPr>
          <w:p w:rsidR="00E042B8" w:rsidRPr="004B7C08" w:rsidRDefault="00E042B8" w:rsidP="00E042B8">
            <w:pPr>
              <w:jc w:val="center"/>
              <w:rPr>
                <w:b/>
                <w:bCs/>
                <w:color w:val="000000"/>
              </w:rPr>
            </w:pPr>
            <w:r w:rsidRPr="004B7C08">
              <w:rPr>
                <w:b/>
                <w:bCs/>
                <w:color w:val="000000"/>
              </w:rPr>
              <w:t>136.0%</w:t>
            </w:r>
          </w:p>
        </w:tc>
      </w:tr>
      <w:tr w:rsidR="00E042B8" w:rsidRPr="004B7C08" w:rsidTr="00E042B8">
        <w:trPr>
          <w:trHeight w:val="302"/>
        </w:trPr>
        <w:tc>
          <w:tcPr>
            <w:tcW w:w="291" w:type="dxa"/>
            <w:tcBorders>
              <w:top w:val="nil"/>
              <w:left w:val="nil"/>
              <w:bottom w:val="nil"/>
              <w:right w:val="nil"/>
            </w:tcBorders>
            <w:shd w:val="clear" w:color="auto" w:fill="auto"/>
            <w:noWrap/>
            <w:vAlign w:val="bottom"/>
            <w:hideMark/>
          </w:tcPr>
          <w:p w:rsidR="00E042B8" w:rsidRPr="004B7C08" w:rsidRDefault="00E042B8" w:rsidP="00E042B8">
            <w:pPr>
              <w:jc w:val="center"/>
              <w:rPr>
                <w:b/>
                <w:bCs/>
                <w:color w:val="000000"/>
              </w:rPr>
            </w:pPr>
          </w:p>
        </w:tc>
        <w:tc>
          <w:tcPr>
            <w:tcW w:w="155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302"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2026"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884"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403"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r>
      <w:tr w:rsidR="00E042B8" w:rsidRPr="004B7C08" w:rsidTr="00E042B8">
        <w:trPr>
          <w:trHeight w:val="362"/>
        </w:trPr>
        <w:tc>
          <w:tcPr>
            <w:tcW w:w="29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551"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302"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2026"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884" w:type="dxa"/>
            <w:tcBorders>
              <w:top w:val="nil"/>
              <w:left w:val="nil"/>
              <w:bottom w:val="nil"/>
              <w:right w:val="nil"/>
            </w:tcBorders>
            <w:shd w:val="clear" w:color="auto" w:fill="auto"/>
            <w:noWrap/>
            <w:vAlign w:val="bottom"/>
            <w:hideMark/>
          </w:tcPr>
          <w:p w:rsidR="00E042B8" w:rsidRPr="004B7C08" w:rsidRDefault="00E042B8" w:rsidP="00E042B8">
            <w:pPr>
              <w:rPr>
                <w:sz w:val="20"/>
                <w:szCs w:val="20"/>
              </w:rPr>
            </w:pPr>
          </w:p>
        </w:tc>
        <w:tc>
          <w:tcPr>
            <w:tcW w:w="1831" w:type="dxa"/>
            <w:tcBorders>
              <w:top w:val="nil"/>
              <w:left w:val="nil"/>
              <w:bottom w:val="nil"/>
              <w:right w:val="nil"/>
            </w:tcBorders>
            <w:shd w:val="clear" w:color="auto" w:fill="auto"/>
            <w:noWrap/>
            <w:vAlign w:val="bottom"/>
            <w:hideMark/>
          </w:tcPr>
          <w:p w:rsidR="00E042B8" w:rsidRPr="004B7C08" w:rsidRDefault="00E042B8" w:rsidP="00E042B8">
            <w:pPr>
              <w:jc w:val="right"/>
              <w:rPr>
                <w:color w:val="000000"/>
              </w:rPr>
            </w:pPr>
            <w:r w:rsidRPr="004B7C08">
              <w:rPr>
                <w:color w:val="000000"/>
              </w:rPr>
              <w:t>1990 Short Tons CO</w:t>
            </w:r>
            <w:r w:rsidRPr="004B7C08">
              <w:rPr>
                <w:color w:val="000000"/>
                <w:vertAlign w:val="subscript"/>
              </w:rPr>
              <w:t>2</w:t>
            </w:r>
          </w:p>
        </w:tc>
        <w:tc>
          <w:tcPr>
            <w:tcW w:w="140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E042B8" w:rsidRPr="004B7C08" w:rsidRDefault="00E042B8" w:rsidP="00E042B8">
            <w:pPr>
              <w:rPr>
                <w:color w:val="000000"/>
              </w:rPr>
            </w:pPr>
            <w:r w:rsidRPr="004B7C08">
              <w:rPr>
                <w:color w:val="000000"/>
              </w:rPr>
              <w:t xml:space="preserve">      </w:t>
            </w:r>
            <w:r w:rsidR="005F125B" w:rsidRPr="004B7C08">
              <w:rPr>
                <w:color w:val="000000"/>
              </w:rPr>
              <w:t>1,131,957</w:t>
            </w:r>
            <w:r w:rsidRPr="004B7C08">
              <w:rPr>
                <w:color w:val="000000"/>
              </w:rPr>
              <w:t xml:space="preserve">    </w:t>
            </w:r>
          </w:p>
        </w:tc>
      </w:tr>
    </w:tbl>
    <w:p w:rsidR="00D36801" w:rsidRDefault="00D36801" w:rsidP="00D36801"/>
    <w:p w:rsidR="00D36801" w:rsidRDefault="00D36801" w:rsidP="00D36801"/>
    <w:p w:rsidR="00D36801" w:rsidRDefault="00D36801" w:rsidP="00D36801">
      <w:pPr>
        <w:pStyle w:val="Heading1"/>
      </w:pPr>
      <w:bookmarkStart w:id="4" w:name="_Toc307915603"/>
      <w:r>
        <w:t xml:space="preserve">II.    </w:t>
      </w:r>
      <w:bookmarkEnd w:id="4"/>
      <w:r>
        <w:t>PRIOR 10-YEAR ANNUAL METRICS</w:t>
      </w:r>
    </w:p>
    <w:p w:rsidR="00D36801" w:rsidRDefault="00D36801" w:rsidP="00D36801">
      <w:r>
        <w:tab/>
      </w:r>
    </w:p>
    <w:p w:rsidR="00D36801" w:rsidRDefault="00D36801" w:rsidP="00016958">
      <w:pPr>
        <w:spacing w:line="480" w:lineRule="auto"/>
        <w:jc w:val="both"/>
      </w:pPr>
      <w:r>
        <w:tab/>
        <w:t>WAC 480-109-300 requires reporting of ten years of annual metrics for all generating resources serving Washington customers. Required data includes:</w:t>
      </w:r>
    </w:p>
    <w:p w:rsidR="00D36801" w:rsidRDefault="00D36801" w:rsidP="00016958">
      <w:pPr>
        <w:pStyle w:val="ListParagraph"/>
        <w:numPr>
          <w:ilvl w:val="0"/>
          <w:numId w:val="2"/>
        </w:numPr>
        <w:jc w:val="both"/>
      </w:pPr>
      <w:r>
        <w:t xml:space="preserve">Average </w:t>
      </w:r>
      <w:proofErr w:type="spellStart"/>
      <w:r>
        <w:t>MWh</w:t>
      </w:r>
      <w:proofErr w:type="spellEnd"/>
      <w:r>
        <w:t xml:space="preserve"> per residential customer</w:t>
      </w:r>
      <w:r w:rsidR="00E042B8">
        <w:t>;</w:t>
      </w:r>
    </w:p>
    <w:p w:rsidR="00D36801" w:rsidRDefault="00D36801" w:rsidP="00016958">
      <w:pPr>
        <w:pStyle w:val="ListParagraph"/>
        <w:numPr>
          <w:ilvl w:val="0"/>
          <w:numId w:val="2"/>
        </w:numPr>
        <w:jc w:val="both"/>
      </w:pPr>
      <w:r>
        <w:t xml:space="preserve">Average </w:t>
      </w:r>
      <w:proofErr w:type="spellStart"/>
      <w:r>
        <w:t>MWh</w:t>
      </w:r>
      <w:proofErr w:type="spellEnd"/>
      <w:r>
        <w:t xml:space="preserve"> per commercial customer</w:t>
      </w:r>
      <w:r w:rsidR="00E042B8">
        <w:t>;</w:t>
      </w:r>
    </w:p>
    <w:p w:rsidR="00D36801" w:rsidRDefault="00D36801" w:rsidP="00016958">
      <w:pPr>
        <w:pStyle w:val="ListParagraph"/>
        <w:numPr>
          <w:ilvl w:val="0"/>
          <w:numId w:val="2"/>
        </w:numPr>
        <w:jc w:val="both"/>
      </w:pPr>
      <w:proofErr w:type="spellStart"/>
      <w:r>
        <w:t>MWh</w:t>
      </w:r>
      <w:proofErr w:type="spellEnd"/>
      <w:r>
        <w:t xml:space="preserve"> per capita</w:t>
      </w:r>
      <w:r w:rsidR="00E042B8">
        <w:t>;</w:t>
      </w:r>
    </w:p>
    <w:p w:rsidR="00D36801" w:rsidRDefault="00D36801" w:rsidP="00016958">
      <w:pPr>
        <w:pStyle w:val="ListParagraph"/>
        <w:numPr>
          <w:ilvl w:val="0"/>
          <w:numId w:val="2"/>
        </w:numPr>
        <w:jc w:val="both"/>
      </w:pPr>
      <w:r>
        <w:t>Annual CO</w:t>
      </w:r>
      <w:r w:rsidRPr="00E042B8">
        <w:rPr>
          <w:vertAlign w:val="subscript"/>
        </w:rPr>
        <w:t>2</w:t>
      </w:r>
      <w:r>
        <w:t xml:space="preserve"> emissions in short tons</w:t>
      </w:r>
      <w:r w:rsidR="00E042B8">
        <w:t>;</w:t>
      </w:r>
    </w:p>
    <w:p w:rsidR="00D36801" w:rsidRDefault="00D36801" w:rsidP="00016958">
      <w:pPr>
        <w:pStyle w:val="ListParagraph"/>
        <w:numPr>
          <w:ilvl w:val="0"/>
          <w:numId w:val="2"/>
        </w:numPr>
        <w:jc w:val="both"/>
      </w:pPr>
      <w:r>
        <w:t>Ratios of annual CO</w:t>
      </w:r>
      <w:r w:rsidRPr="00E042B8">
        <w:rPr>
          <w:vertAlign w:val="subscript"/>
        </w:rPr>
        <w:t>2</w:t>
      </w:r>
      <w:r>
        <w:t xml:space="preserve"> emissions to </w:t>
      </w:r>
      <w:r w:rsidR="00496898">
        <w:t>CO</w:t>
      </w:r>
      <w:r w:rsidR="00496898" w:rsidRPr="00E042B8">
        <w:rPr>
          <w:vertAlign w:val="subscript"/>
        </w:rPr>
        <w:t>2</w:t>
      </w:r>
      <w:r>
        <w:t xml:space="preserve"> emissions in 1990</w:t>
      </w:r>
    </w:p>
    <w:p w:rsidR="00D36801" w:rsidRDefault="002B7D24" w:rsidP="00016958">
      <w:pPr>
        <w:pStyle w:val="ListParagraph"/>
        <w:numPr>
          <w:ilvl w:val="0"/>
          <w:numId w:val="2"/>
        </w:numPr>
        <w:jc w:val="both"/>
      </w:pPr>
      <w:r>
        <w:t>Subtotal metrics – Energy and emissions from unknown generation sources</w:t>
      </w:r>
    </w:p>
    <w:p w:rsidR="002B7D24" w:rsidRDefault="002B7D24" w:rsidP="00016958">
      <w:pPr>
        <w:pStyle w:val="ListParagraph"/>
        <w:numPr>
          <w:ilvl w:val="1"/>
          <w:numId w:val="2"/>
        </w:numPr>
        <w:jc w:val="both"/>
      </w:pPr>
      <w:r>
        <w:t>Annual CO</w:t>
      </w:r>
      <w:r w:rsidRPr="00E042B8">
        <w:rPr>
          <w:vertAlign w:val="subscript"/>
        </w:rPr>
        <w:t>2</w:t>
      </w:r>
      <w:r>
        <w:t xml:space="preserve"> emissions in short tons from unknown generation sources</w:t>
      </w:r>
    </w:p>
    <w:p w:rsidR="002B7D24" w:rsidRDefault="002B7D24" w:rsidP="00016958">
      <w:pPr>
        <w:pStyle w:val="ListParagraph"/>
        <w:numPr>
          <w:ilvl w:val="1"/>
          <w:numId w:val="2"/>
        </w:numPr>
        <w:jc w:val="both"/>
      </w:pPr>
      <w:r>
        <w:t xml:space="preserve">Annual </w:t>
      </w:r>
      <w:proofErr w:type="spellStart"/>
      <w:r>
        <w:t>MWh</w:t>
      </w:r>
      <w:proofErr w:type="spellEnd"/>
      <w:r>
        <w:t xml:space="preserve"> delivered to retail customers from unknown generation sources</w:t>
      </w:r>
    </w:p>
    <w:p w:rsidR="002B7D24" w:rsidRPr="00D36801" w:rsidRDefault="002B7D24" w:rsidP="00016958">
      <w:pPr>
        <w:pStyle w:val="ListParagraph"/>
        <w:numPr>
          <w:ilvl w:val="1"/>
          <w:numId w:val="2"/>
        </w:numPr>
        <w:jc w:val="both"/>
      </w:pPr>
      <w:r>
        <w:t>Percentage of load served by unknown generation source</w:t>
      </w:r>
    </w:p>
    <w:p w:rsidR="00D36801" w:rsidRDefault="00D36801" w:rsidP="00016958">
      <w:pPr>
        <w:pStyle w:val="Heading1"/>
        <w:jc w:val="both"/>
      </w:pPr>
    </w:p>
    <w:p w:rsidR="001C78AD" w:rsidRDefault="001C78AD" w:rsidP="00016958">
      <w:pPr>
        <w:spacing w:line="480" w:lineRule="auto"/>
        <w:ind w:firstLine="720"/>
        <w:jc w:val="both"/>
      </w:pPr>
    </w:p>
    <w:p w:rsidR="00D36801" w:rsidRDefault="005F125B" w:rsidP="00016958">
      <w:pPr>
        <w:spacing w:line="480" w:lineRule="auto"/>
        <w:ind w:firstLine="720"/>
        <w:jc w:val="both"/>
      </w:pPr>
      <w:r>
        <w:t xml:space="preserve">The first </w:t>
      </w:r>
      <w:r w:rsidR="00394193">
        <w:t xml:space="preserve">and second </w:t>
      </w:r>
      <w:r>
        <w:t>annual metric</w:t>
      </w:r>
      <w:r w:rsidR="00394193">
        <w:t>s</w:t>
      </w:r>
      <w:r>
        <w:t xml:space="preserve"> cover the </w:t>
      </w:r>
      <w:r w:rsidR="00056DBC">
        <w:t xml:space="preserve">average </w:t>
      </w:r>
      <w:proofErr w:type="spellStart"/>
      <w:r w:rsidR="00056DBC">
        <w:t>MWh</w:t>
      </w:r>
      <w:proofErr w:type="spellEnd"/>
      <w:r w:rsidR="00056DBC">
        <w:t xml:space="preserve"> per residential</w:t>
      </w:r>
      <w:r w:rsidR="00394193">
        <w:t xml:space="preserve"> and commercial</w:t>
      </w:r>
      <w:r w:rsidR="00056DBC">
        <w:t xml:space="preserve"> customer over the past 10 years. </w:t>
      </w:r>
      <w:r w:rsidR="00496898">
        <w:t>The results are shown in Table 2.</w:t>
      </w:r>
      <w:r w:rsidR="00394193">
        <w:t xml:space="preserve"> The values per year for both have been fair</w:t>
      </w:r>
      <w:r w:rsidR="00881927">
        <w:t>ly consistent from year-to-year, with a slight upward trend in commercial use per customer</w:t>
      </w:r>
      <w:r w:rsidR="00D67F4A">
        <w:t xml:space="preserve"> over the last three years</w:t>
      </w:r>
      <w:r w:rsidR="00881927">
        <w:t>. The trends are discussed in section III of this filing.</w:t>
      </w:r>
    </w:p>
    <w:p w:rsidR="00394193" w:rsidRDefault="00394193" w:rsidP="00496898">
      <w:pPr>
        <w:spacing w:line="480" w:lineRule="auto"/>
        <w:ind w:firstLine="720"/>
      </w:pPr>
    </w:p>
    <w:p w:rsidR="00016958" w:rsidRDefault="00016958" w:rsidP="00496898">
      <w:pPr>
        <w:spacing w:line="480" w:lineRule="auto"/>
        <w:ind w:firstLine="720"/>
      </w:pPr>
    </w:p>
    <w:p w:rsidR="00496898" w:rsidRDefault="00496898" w:rsidP="00394193">
      <w:pPr>
        <w:spacing w:line="480" w:lineRule="auto"/>
        <w:jc w:val="center"/>
        <w:rPr>
          <w:b/>
        </w:rPr>
      </w:pPr>
      <w:r w:rsidRPr="00E042B8">
        <w:rPr>
          <w:b/>
        </w:rPr>
        <w:lastRenderedPageBreak/>
        <w:t xml:space="preserve">Table </w:t>
      </w:r>
      <w:r>
        <w:rPr>
          <w:b/>
        </w:rPr>
        <w:t>2</w:t>
      </w:r>
      <w:r w:rsidRPr="00E042B8">
        <w:rPr>
          <w:b/>
        </w:rPr>
        <w:t>:</w:t>
      </w:r>
      <w:r>
        <w:rPr>
          <w:b/>
        </w:rPr>
        <w:t xml:space="preserve"> Average </w:t>
      </w:r>
      <w:proofErr w:type="spellStart"/>
      <w:r>
        <w:rPr>
          <w:b/>
        </w:rPr>
        <w:t>MWh</w:t>
      </w:r>
      <w:proofErr w:type="spellEnd"/>
      <w:r>
        <w:rPr>
          <w:b/>
        </w:rPr>
        <w:t xml:space="preserve"> per Residential </w:t>
      </w:r>
      <w:r w:rsidR="00394193">
        <w:rPr>
          <w:b/>
        </w:rPr>
        <w:t xml:space="preserve">and Commercial </w:t>
      </w:r>
      <w:r>
        <w:rPr>
          <w:b/>
        </w:rPr>
        <w:t>Customer 2006 – 2015</w:t>
      </w:r>
    </w:p>
    <w:tbl>
      <w:tblPr>
        <w:tblW w:w="5640" w:type="dxa"/>
        <w:jc w:val="center"/>
        <w:tblLook w:val="04A0" w:firstRow="1" w:lastRow="0" w:firstColumn="1" w:lastColumn="0" w:noHBand="0" w:noVBand="1"/>
      </w:tblPr>
      <w:tblGrid>
        <w:gridCol w:w="960"/>
        <w:gridCol w:w="2300"/>
        <w:gridCol w:w="2380"/>
      </w:tblGrid>
      <w:tr w:rsidR="0079545E" w:rsidRPr="0079545E" w:rsidTr="0079545E">
        <w:trPr>
          <w:trHeight w:val="84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rPr>
                <w:color w:val="000000"/>
                <w:sz w:val="22"/>
                <w:szCs w:val="22"/>
              </w:rPr>
            </w:pPr>
            <w:r w:rsidRPr="0079545E">
              <w:rPr>
                <w:color w:val="000000"/>
                <w:sz w:val="22"/>
                <w:szCs w:val="22"/>
              </w:rPr>
              <w:t> </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rsidR="0079545E" w:rsidRPr="0079545E" w:rsidRDefault="0079545E" w:rsidP="0079545E">
            <w:pPr>
              <w:rPr>
                <w:b/>
                <w:bCs/>
                <w:color w:val="000000"/>
                <w:sz w:val="22"/>
                <w:szCs w:val="22"/>
              </w:rPr>
            </w:pPr>
            <w:r w:rsidRPr="0079545E">
              <w:rPr>
                <w:b/>
                <w:bCs/>
                <w:color w:val="000000"/>
                <w:sz w:val="22"/>
                <w:szCs w:val="22"/>
              </w:rPr>
              <w:t xml:space="preserve">Average </w:t>
            </w:r>
            <w:proofErr w:type="spellStart"/>
            <w:r w:rsidRPr="0079545E">
              <w:rPr>
                <w:b/>
                <w:bCs/>
                <w:color w:val="000000"/>
                <w:sz w:val="22"/>
                <w:szCs w:val="22"/>
              </w:rPr>
              <w:t>MWh</w:t>
            </w:r>
            <w:proofErr w:type="spellEnd"/>
            <w:r w:rsidRPr="0079545E">
              <w:rPr>
                <w:b/>
                <w:bCs/>
                <w:color w:val="000000"/>
                <w:sz w:val="22"/>
                <w:szCs w:val="22"/>
              </w:rPr>
              <w:t xml:space="preserve"> per Residential Customer</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79545E" w:rsidRPr="0079545E" w:rsidRDefault="0079545E" w:rsidP="0079545E">
            <w:pPr>
              <w:rPr>
                <w:b/>
                <w:bCs/>
                <w:color w:val="000000"/>
                <w:sz w:val="22"/>
                <w:szCs w:val="22"/>
              </w:rPr>
            </w:pPr>
            <w:r w:rsidRPr="0079545E">
              <w:rPr>
                <w:b/>
                <w:bCs/>
                <w:color w:val="000000"/>
                <w:sz w:val="22"/>
                <w:szCs w:val="22"/>
              </w:rPr>
              <w:t xml:space="preserve">Average </w:t>
            </w:r>
            <w:proofErr w:type="spellStart"/>
            <w:r w:rsidRPr="0079545E">
              <w:rPr>
                <w:b/>
                <w:bCs/>
                <w:color w:val="000000"/>
                <w:sz w:val="22"/>
                <w:szCs w:val="22"/>
              </w:rPr>
              <w:t>MWh</w:t>
            </w:r>
            <w:proofErr w:type="spellEnd"/>
            <w:r w:rsidRPr="0079545E">
              <w:rPr>
                <w:b/>
                <w:bCs/>
                <w:color w:val="000000"/>
                <w:sz w:val="22"/>
                <w:szCs w:val="22"/>
              </w:rPr>
              <w:t xml:space="preserve"> per Commercial Customer</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2006</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12.0</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96.7</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2007</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12.3</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96.8</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2008</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12.3</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96.7</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2009</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12.7</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97.0</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2010</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12.7</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97.0</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2011</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12.6</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96.2</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2012</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12.2</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96.1</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2013</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12.7</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97.3</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2014</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12.4</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97.8</w:t>
            </w:r>
          </w:p>
        </w:tc>
      </w:tr>
      <w:tr w:rsidR="0079545E" w:rsidRPr="0079545E" w:rsidTr="0079545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9545E" w:rsidRPr="0079545E" w:rsidRDefault="0079545E" w:rsidP="0079545E">
            <w:pPr>
              <w:jc w:val="right"/>
              <w:rPr>
                <w:b/>
                <w:bCs/>
                <w:color w:val="000000"/>
                <w:sz w:val="22"/>
                <w:szCs w:val="22"/>
              </w:rPr>
            </w:pPr>
            <w:r w:rsidRPr="0079545E">
              <w:rPr>
                <w:b/>
                <w:bCs/>
                <w:color w:val="000000"/>
                <w:sz w:val="22"/>
                <w:szCs w:val="22"/>
              </w:rPr>
              <w:t>2015</w:t>
            </w:r>
          </w:p>
        </w:tc>
        <w:tc>
          <w:tcPr>
            <w:tcW w:w="230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12.2</w:t>
            </w:r>
          </w:p>
        </w:tc>
        <w:tc>
          <w:tcPr>
            <w:tcW w:w="2380" w:type="dxa"/>
            <w:tcBorders>
              <w:top w:val="nil"/>
              <w:left w:val="nil"/>
              <w:bottom w:val="single" w:sz="4" w:space="0" w:color="auto"/>
              <w:right w:val="single" w:sz="4" w:space="0" w:color="auto"/>
            </w:tcBorders>
            <w:shd w:val="clear" w:color="auto" w:fill="auto"/>
            <w:noWrap/>
            <w:vAlign w:val="bottom"/>
            <w:hideMark/>
          </w:tcPr>
          <w:p w:rsidR="0079545E" w:rsidRPr="0079545E" w:rsidRDefault="0079545E" w:rsidP="0079545E">
            <w:pPr>
              <w:jc w:val="center"/>
              <w:rPr>
                <w:color w:val="000000"/>
                <w:sz w:val="22"/>
                <w:szCs w:val="22"/>
              </w:rPr>
            </w:pPr>
            <w:r w:rsidRPr="0079545E">
              <w:rPr>
                <w:color w:val="000000"/>
                <w:sz w:val="22"/>
                <w:szCs w:val="22"/>
              </w:rPr>
              <w:t>100.4</w:t>
            </w:r>
          </w:p>
        </w:tc>
      </w:tr>
    </w:tbl>
    <w:p w:rsidR="00496898" w:rsidRDefault="00496898" w:rsidP="00016958">
      <w:pPr>
        <w:spacing w:line="480" w:lineRule="auto"/>
        <w:ind w:firstLine="720"/>
        <w:jc w:val="both"/>
        <w:rPr>
          <w:b/>
        </w:rPr>
      </w:pPr>
    </w:p>
    <w:p w:rsidR="00496898" w:rsidRDefault="00881927" w:rsidP="00016958">
      <w:pPr>
        <w:spacing w:line="480" w:lineRule="auto"/>
        <w:ind w:firstLine="720"/>
        <w:jc w:val="both"/>
      </w:pPr>
      <w:r>
        <w:t xml:space="preserve">The third annual metric covers the </w:t>
      </w:r>
      <w:proofErr w:type="spellStart"/>
      <w:r>
        <w:t>MWh</w:t>
      </w:r>
      <w:proofErr w:type="spellEnd"/>
      <w:r>
        <w:t xml:space="preserve"> per capita over the past 10 years. The results are shown in Table 3 and the results are discussed in Section III and shown in Chart 2.</w:t>
      </w:r>
      <w:r w:rsidR="00867BD4">
        <w:t xml:space="preserve"> The trend shows decreasing </w:t>
      </w:r>
      <w:proofErr w:type="spellStart"/>
      <w:r w:rsidR="00867BD4">
        <w:t>MWh</w:t>
      </w:r>
      <w:proofErr w:type="spellEnd"/>
      <w:r w:rsidR="00867BD4">
        <w:t xml:space="preserve"> per capita, which is expected based on the acquisition of all cost effective energy efficiency under the Energy Independence Act. </w:t>
      </w:r>
    </w:p>
    <w:p w:rsidR="00496898" w:rsidRDefault="00496898" w:rsidP="00881927">
      <w:pPr>
        <w:spacing w:line="480" w:lineRule="auto"/>
        <w:jc w:val="center"/>
        <w:rPr>
          <w:b/>
        </w:rPr>
      </w:pPr>
      <w:r w:rsidRPr="00E042B8">
        <w:rPr>
          <w:b/>
        </w:rPr>
        <w:t xml:space="preserve">Table </w:t>
      </w:r>
      <w:r w:rsidR="00881927">
        <w:rPr>
          <w:b/>
        </w:rPr>
        <w:t>3</w:t>
      </w:r>
      <w:r w:rsidRPr="00E042B8">
        <w:rPr>
          <w:b/>
        </w:rPr>
        <w:t>:</w:t>
      </w:r>
      <w:r>
        <w:rPr>
          <w:b/>
        </w:rPr>
        <w:t xml:space="preserve"> </w:t>
      </w:r>
      <w:proofErr w:type="spellStart"/>
      <w:r>
        <w:rPr>
          <w:b/>
        </w:rPr>
        <w:t>MWh</w:t>
      </w:r>
      <w:proofErr w:type="spellEnd"/>
      <w:r>
        <w:rPr>
          <w:b/>
        </w:rPr>
        <w:t xml:space="preserve"> per Capita 2006 – 2015</w:t>
      </w:r>
    </w:p>
    <w:tbl>
      <w:tblPr>
        <w:tblW w:w="2900" w:type="dxa"/>
        <w:jc w:val="center"/>
        <w:tblLook w:val="04A0" w:firstRow="1" w:lastRow="0" w:firstColumn="1" w:lastColumn="0" w:noHBand="0" w:noVBand="1"/>
      </w:tblPr>
      <w:tblGrid>
        <w:gridCol w:w="960"/>
        <w:gridCol w:w="1940"/>
      </w:tblGrid>
      <w:tr w:rsidR="00867BD4" w:rsidRPr="00867BD4" w:rsidTr="001C78AD">
        <w:trPr>
          <w:trHeight w:val="40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rPr>
                <w:color w:val="000000"/>
                <w:sz w:val="22"/>
                <w:szCs w:val="22"/>
              </w:rPr>
            </w:pPr>
            <w:r w:rsidRPr="00867BD4">
              <w:rPr>
                <w:color w:val="000000"/>
                <w:sz w:val="22"/>
                <w:szCs w:val="22"/>
              </w:rPr>
              <w:t> </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867BD4" w:rsidRPr="00867BD4" w:rsidRDefault="00867BD4" w:rsidP="00867BD4">
            <w:pPr>
              <w:rPr>
                <w:b/>
                <w:bCs/>
                <w:color w:val="000000"/>
                <w:sz w:val="22"/>
                <w:szCs w:val="22"/>
              </w:rPr>
            </w:pPr>
            <w:proofErr w:type="spellStart"/>
            <w:r w:rsidRPr="00867BD4">
              <w:rPr>
                <w:b/>
                <w:bCs/>
                <w:color w:val="000000"/>
                <w:sz w:val="22"/>
                <w:szCs w:val="22"/>
              </w:rPr>
              <w:t>MWh</w:t>
            </w:r>
            <w:proofErr w:type="spellEnd"/>
            <w:r w:rsidRPr="00867BD4">
              <w:rPr>
                <w:b/>
                <w:bCs/>
                <w:color w:val="000000"/>
                <w:sz w:val="22"/>
                <w:szCs w:val="22"/>
              </w:rPr>
              <w:t xml:space="preserve"> per Capita</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2006</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11.03</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2007</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10.97</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2008</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10.80</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2009</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10.71</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2010</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10.68</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2011</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10.93</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2012</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10.68</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2013</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10.95</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2014</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10.84</w:t>
            </w:r>
          </w:p>
        </w:tc>
      </w:tr>
      <w:tr w:rsidR="00867BD4" w:rsidRPr="00867BD4"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67BD4" w:rsidRPr="00867BD4" w:rsidRDefault="00867BD4" w:rsidP="00867BD4">
            <w:pPr>
              <w:jc w:val="center"/>
              <w:rPr>
                <w:b/>
                <w:bCs/>
                <w:color w:val="000000"/>
                <w:sz w:val="22"/>
                <w:szCs w:val="22"/>
              </w:rPr>
            </w:pPr>
            <w:r w:rsidRPr="00867BD4">
              <w:rPr>
                <w:b/>
                <w:bCs/>
                <w:color w:val="000000"/>
                <w:sz w:val="22"/>
                <w:szCs w:val="22"/>
              </w:rPr>
              <w:t>2015</w:t>
            </w:r>
          </w:p>
        </w:tc>
        <w:tc>
          <w:tcPr>
            <w:tcW w:w="1940" w:type="dxa"/>
            <w:tcBorders>
              <w:top w:val="nil"/>
              <w:left w:val="nil"/>
              <w:bottom w:val="single" w:sz="4" w:space="0" w:color="auto"/>
              <w:right w:val="single" w:sz="4" w:space="0" w:color="auto"/>
            </w:tcBorders>
            <w:shd w:val="clear" w:color="auto" w:fill="auto"/>
            <w:noWrap/>
            <w:vAlign w:val="bottom"/>
            <w:hideMark/>
          </w:tcPr>
          <w:p w:rsidR="00867BD4" w:rsidRPr="00867BD4" w:rsidRDefault="00867BD4" w:rsidP="00867BD4">
            <w:pPr>
              <w:jc w:val="center"/>
              <w:rPr>
                <w:color w:val="000000"/>
                <w:sz w:val="22"/>
                <w:szCs w:val="22"/>
              </w:rPr>
            </w:pPr>
            <w:r w:rsidRPr="00867BD4">
              <w:rPr>
                <w:color w:val="000000"/>
                <w:sz w:val="22"/>
                <w:szCs w:val="22"/>
              </w:rPr>
              <w:t>10.85</w:t>
            </w:r>
          </w:p>
        </w:tc>
      </w:tr>
    </w:tbl>
    <w:p w:rsidR="00496898" w:rsidRDefault="00496898" w:rsidP="00881927">
      <w:pPr>
        <w:spacing w:line="480" w:lineRule="auto"/>
        <w:ind w:firstLine="720"/>
        <w:jc w:val="center"/>
        <w:rPr>
          <w:b/>
        </w:rPr>
      </w:pPr>
    </w:p>
    <w:p w:rsidR="0073076A" w:rsidRDefault="0073076A" w:rsidP="00016958">
      <w:pPr>
        <w:spacing w:line="480" w:lineRule="auto"/>
        <w:jc w:val="both"/>
      </w:pPr>
      <w:r>
        <w:tab/>
        <w:t>The last two annual metrics show the amount of CO2 emissions per year from 2006 through 2015 and the comparison of those annual emissions with Avista’s 1990 emissions.</w:t>
      </w:r>
      <w:r w:rsidR="004B7C08">
        <w:t xml:space="preserve"> Emissions have </w:t>
      </w:r>
      <w:r w:rsidR="004B7C08">
        <w:lastRenderedPageBreak/>
        <w:t>increased over the past two years of the report, but the overall trend is downward as discussed in section III of this report</w:t>
      </w:r>
      <w:r w:rsidR="001C78AD">
        <w:t xml:space="preserve"> and shown graphically in Chart 3</w:t>
      </w:r>
      <w:r w:rsidR="004B7C08">
        <w:t xml:space="preserve">. </w:t>
      </w:r>
    </w:p>
    <w:p w:rsidR="00496898" w:rsidRDefault="00496898" w:rsidP="0073076A">
      <w:pPr>
        <w:spacing w:line="480" w:lineRule="auto"/>
        <w:jc w:val="center"/>
        <w:rPr>
          <w:b/>
        </w:rPr>
      </w:pPr>
      <w:r w:rsidRPr="00E042B8">
        <w:rPr>
          <w:b/>
        </w:rPr>
        <w:t xml:space="preserve">Table </w:t>
      </w:r>
      <w:r w:rsidR="00881927">
        <w:rPr>
          <w:b/>
        </w:rPr>
        <w:t>4</w:t>
      </w:r>
      <w:r w:rsidRPr="00E042B8">
        <w:rPr>
          <w:b/>
        </w:rPr>
        <w:t>:</w:t>
      </w:r>
      <w:r>
        <w:rPr>
          <w:b/>
        </w:rPr>
        <w:t xml:space="preserve"> Annual CO</w:t>
      </w:r>
      <w:r w:rsidRPr="00496898">
        <w:rPr>
          <w:b/>
          <w:vertAlign w:val="subscript"/>
        </w:rPr>
        <w:t>2</w:t>
      </w:r>
      <w:r>
        <w:rPr>
          <w:b/>
        </w:rPr>
        <w:t xml:space="preserve"> Emissions in Short Tons</w:t>
      </w:r>
      <w:r w:rsidR="004B7C08">
        <w:rPr>
          <w:b/>
        </w:rPr>
        <w:t xml:space="preserve"> 1990 and</w:t>
      </w:r>
      <w:r>
        <w:rPr>
          <w:b/>
        </w:rPr>
        <w:t xml:space="preserve"> 2006 – 2015</w:t>
      </w:r>
    </w:p>
    <w:tbl>
      <w:tblPr>
        <w:tblW w:w="6395" w:type="dxa"/>
        <w:jc w:val="center"/>
        <w:tblLook w:val="04A0" w:firstRow="1" w:lastRow="0" w:firstColumn="1" w:lastColumn="0" w:noHBand="0" w:noVBand="1"/>
      </w:tblPr>
      <w:tblGrid>
        <w:gridCol w:w="960"/>
        <w:gridCol w:w="2040"/>
        <w:gridCol w:w="1660"/>
        <w:gridCol w:w="1735"/>
      </w:tblGrid>
      <w:tr w:rsidR="004B7C08" w:rsidRPr="004B7C08" w:rsidTr="001C78AD">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rPr>
                <w:color w:val="000000"/>
                <w:sz w:val="22"/>
                <w:szCs w:val="22"/>
              </w:rPr>
            </w:pPr>
            <w:r w:rsidRPr="004B7C08">
              <w:rPr>
                <w:color w:val="000000"/>
                <w:sz w:val="22"/>
                <w:szCs w:val="22"/>
              </w:rPr>
              <w:t>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4B7C08" w:rsidRPr="004B7C08" w:rsidRDefault="004B7C08" w:rsidP="004B7C08">
            <w:pPr>
              <w:rPr>
                <w:b/>
                <w:bCs/>
                <w:color w:val="000000"/>
                <w:sz w:val="22"/>
                <w:szCs w:val="22"/>
              </w:rPr>
            </w:pPr>
            <w:r w:rsidRPr="004B7C08">
              <w:rPr>
                <w:b/>
                <w:bCs/>
                <w:color w:val="000000"/>
                <w:sz w:val="22"/>
                <w:szCs w:val="22"/>
              </w:rPr>
              <w:t>Annual Emissions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B7C08" w:rsidRPr="004B7C08" w:rsidRDefault="004B7C08" w:rsidP="004B7C08">
            <w:pPr>
              <w:rPr>
                <w:b/>
                <w:bCs/>
                <w:color w:val="000000"/>
                <w:sz w:val="22"/>
                <w:szCs w:val="22"/>
              </w:rPr>
            </w:pPr>
            <w:r w:rsidRPr="004B7C08">
              <w:rPr>
                <w:b/>
                <w:bCs/>
                <w:color w:val="000000"/>
                <w:sz w:val="22"/>
                <w:szCs w:val="22"/>
              </w:rPr>
              <w:t>1990 Emissions</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rsidR="004B7C08" w:rsidRPr="004B7C08" w:rsidRDefault="004B7C08" w:rsidP="004B7C08">
            <w:pPr>
              <w:rPr>
                <w:b/>
                <w:bCs/>
                <w:color w:val="000000"/>
                <w:sz w:val="22"/>
                <w:szCs w:val="22"/>
              </w:rPr>
            </w:pPr>
            <w:r w:rsidRPr="004B7C08">
              <w:rPr>
                <w:b/>
                <w:bCs/>
                <w:color w:val="000000"/>
                <w:sz w:val="22"/>
                <w:szCs w:val="22"/>
              </w:rPr>
              <w:t>% of 1990 CO</w:t>
            </w:r>
            <w:r w:rsidRPr="004B7C08">
              <w:rPr>
                <w:b/>
                <w:bCs/>
                <w:color w:val="000000"/>
                <w:sz w:val="22"/>
                <w:szCs w:val="22"/>
                <w:vertAlign w:val="subscript"/>
              </w:rPr>
              <w:t>2</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2006</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1,196,410</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105.7</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2007</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1,657,990</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146.5</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2008</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1,700,580</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150.2</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2009</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1,489,752</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131.6</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2010</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1,554,245</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137.3</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2011</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1,249,754</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110.4</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2012</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1,403,194</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124.0</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2013</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1,350,353</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119.3</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2014</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1,382,871</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122.2</w:t>
            </w:r>
          </w:p>
        </w:tc>
      </w:tr>
      <w:tr w:rsidR="004B7C08" w:rsidRPr="004B7C08" w:rsidTr="001C78A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7C08" w:rsidRPr="004B7C08" w:rsidRDefault="004B7C08" w:rsidP="004B7C08">
            <w:pPr>
              <w:jc w:val="right"/>
              <w:rPr>
                <w:b/>
                <w:bCs/>
                <w:color w:val="000000"/>
                <w:sz w:val="22"/>
                <w:szCs w:val="22"/>
              </w:rPr>
            </w:pPr>
            <w:r w:rsidRPr="004B7C08">
              <w:rPr>
                <w:b/>
                <w:bCs/>
                <w:color w:val="000000"/>
                <w:sz w:val="22"/>
                <w:szCs w:val="22"/>
              </w:rPr>
              <w:t>2015</w:t>
            </w:r>
          </w:p>
        </w:tc>
        <w:tc>
          <w:tcPr>
            <w:tcW w:w="204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1,539,354</w:t>
            </w:r>
          </w:p>
        </w:tc>
        <w:tc>
          <w:tcPr>
            <w:tcW w:w="1660"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1,131,957</w:t>
            </w:r>
          </w:p>
        </w:tc>
        <w:tc>
          <w:tcPr>
            <w:tcW w:w="1735" w:type="dxa"/>
            <w:tcBorders>
              <w:top w:val="nil"/>
              <w:left w:val="nil"/>
              <w:bottom w:val="single" w:sz="4" w:space="0" w:color="auto"/>
              <w:right w:val="single" w:sz="4" w:space="0" w:color="auto"/>
            </w:tcBorders>
            <w:shd w:val="clear" w:color="auto" w:fill="auto"/>
            <w:noWrap/>
            <w:vAlign w:val="bottom"/>
            <w:hideMark/>
          </w:tcPr>
          <w:p w:rsidR="004B7C08" w:rsidRPr="004B7C08" w:rsidRDefault="004B7C08" w:rsidP="004B7C08">
            <w:pPr>
              <w:jc w:val="center"/>
              <w:rPr>
                <w:color w:val="000000"/>
                <w:sz w:val="22"/>
                <w:szCs w:val="22"/>
              </w:rPr>
            </w:pPr>
            <w:r w:rsidRPr="004B7C08">
              <w:rPr>
                <w:color w:val="000000"/>
                <w:sz w:val="22"/>
                <w:szCs w:val="22"/>
              </w:rPr>
              <w:t>136.0</w:t>
            </w:r>
          </w:p>
        </w:tc>
      </w:tr>
    </w:tbl>
    <w:p w:rsidR="00496898" w:rsidRDefault="00496898" w:rsidP="004B7C08">
      <w:pPr>
        <w:spacing w:line="480" w:lineRule="auto"/>
        <w:ind w:firstLine="720"/>
        <w:rPr>
          <w:b/>
        </w:rPr>
      </w:pPr>
    </w:p>
    <w:p w:rsidR="004B7C08" w:rsidRDefault="00DB7F15" w:rsidP="00293E70">
      <w:pPr>
        <w:spacing w:line="480" w:lineRule="auto"/>
        <w:ind w:firstLine="720"/>
        <w:contextualSpacing/>
        <w:jc w:val="both"/>
      </w:pPr>
      <w:r>
        <w:t xml:space="preserve">The calculations for energy and emissions </w:t>
      </w:r>
      <w:r w:rsidR="00016958">
        <w:t>for each year</w:t>
      </w:r>
      <w:r>
        <w:t xml:space="preserve"> are included in the </w:t>
      </w:r>
      <w:r w:rsidR="00016958">
        <w:t>workpapers filed with this report</w:t>
      </w:r>
      <w:r>
        <w:t xml:space="preserve">. </w:t>
      </w:r>
      <w:r w:rsidR="00016958">
        <w:t>The workpapers for each year</w:t>
      </w:r>
      <w:r>
        <w:t xml:space="preserve"> includes the annual CO</w:t>
      </w:r>
      <w:r w:rsidRPr="00E042B8">
        <w:rPr>
          <w:vertAlign w:val="subscript"/>
        </w:rPr>
        <w:t>2</w:t>
      </w:r>
      <w:r>
        <w:t xml:space="preserve"> emissions in short tons from unknown generation sources, the annual </w:t>
      </w:r>
      <w:proofErr w:type="spellStart"/>
      <w:r>
        <w:t>MWh</w:t>
      </w:r>
      <w:proofErr w:type="spellEnd"/>
      <w:r>
        <w:t xml:space="preserve"> delivered to retail customers from unknown generation sources, and a calculation of the percentage of load served by unknown generation sources. </w:t>
      </w:r>
      <w:r w:rsidR="001C78AD">
        <w:t>The a</w:t>
      </w:r>
      <w:r>
        <w:t>djustments made to the data for this report</w:t>
      </w:r>
      <w:r w:rsidR="001C78AD">
        <w:t xml:space="preserve"> are described below</w:t>
      </w:r>
      <w:r>
        <w:t xml:space="preserve">. </w:t>
      </w:r>
    </w:p>
    <w:p w:rsidR="00293E70" w:rsidRDefault="00293E70" w:rsidP="00293E70">
      <w:pPr>
        <w:spacing w:line="480" w:lineRule="auto"/>
        <w:contextualSpacing/>
        <w:jc w:val="both"/>
      </w:pPr>
    </w:p>
    <w:p w:rsidR="00DB7F15" w:rsidRDefault="00DB7F15" w:rsidP="00293E70">
      <w:pPr>
        <w:spacing w:line="480" w:lineRule="auto"/>
        <w:ind w:firstLine="720"/>
        <w:contextualSpacing/>
        <w:jc w:val="both"/>
      </w:pPr>
      <w:r>
        <w:t xml:space="preserve">Known resources include all of Avista’s owned generation and contracts from known sources, such as purchases of a percentage of specified Mid-Columbia hydro projects and the power purchase agreement for the Lancaster combined cycle combustion turbine. Purchases from the Bonneville Power Administration (BPA) were assigned as known or unknown percentages based on the fuel mix disclosure on the BPA web site for 2012 through 2014. The remaining years were assigned based on an average of the three years of available fuel mix for BPA purchases. The percentage of assigned BPA purchases were zero emitting resources including </w:t>
      </w:r>
      <w:r w:rsidR="0079545E">
        <w:t xml:space="preserve">biomass and waste, </w:t>
      </w:r>
      <w:r w:rsidR="0079545E">
        <w:lastRenderedPageBreak/>
        <w:t xml:space="preserve">small and large hydroelectric, nuclear and wind resources. The remaining, or unknown, BPA percentage of purchases were assigned the default regional </w:t>
      </w:r>
      <w:r w:rsidR="001C78AD">
        <w:t>emissions factor</w:t>
      </w:r>
      <w:r w:rsidR="0079545E">
        <w:t xml:space="preserve"> calculated and provided by the Department of Commerce for each year</w:t>
      </w:r>
      <w:r w:rsidR="004B7C08">
        <w:t xml:space="preserve"> from 2006 through 2014</w:t>
      </w:r>
      <w:r w:rsidR="0079545E">
        <w:t>.</w:t>
      </w:r>
      <w:r w:rsidR="004B7C08">
        <w:t xml:space="preserve"> An average of the previous nine years emissions was used for 2015, because the data was not available for the Department of Commerce to calculate an emissions factor for unknown resources. Resource specifically assigned to serve Idaho load were not included in the emissions calculations. </w:t>
      </w:r>
      <w:r w:rsidR="001C78AD">
        <w:t>Total sales to non-Avista customers were netted from the emissions calculation in the unknown resources</w:t>
      </w:r>
      <w:r w:rsidR="00A41772">
        <w:t xml:space="preserve"> section of the workpapers</w:t>
      </w:r>
      <w:r w:rsidR="001C78AD">
        <w:t xml:space="preserve">. The </w:t>
      </w:r>
      <w:proofErr w:type="spellStart"/>
      <w:r w:rsidR="001C78AD">
        <w:t>busbar</w:t>
      </w:r>
      <w:proofErr w:type="spellEnd"/>
      <w:r w:rsidR="001C78AD">
        <w:t xml:space="preserve"> </w:t>
      </w:r>
      <w:proofErr w:type="spellStart"/>
      <w:r w:rsidR="001C78AD">
        <w:t>MWh</w:t>
      </w:r>
      <w:proofErr w:type="spellEnd"/>
      <w:r w:rsidR="001C78AD">
        <w:t xml:space="preserve"> and short tons of CO</w:t>
      </w:r>
      <w:r w:rsidR="001C78AD" w:rsidRPr="001C78AD">
        <w:rPr>
          <w:vertAlign w:val="subscript"/>
        </w:rPr>
        <w:t>2</w:t>
      </w:r>
      <w:r w:rsidR="001C78AD">
        <w:t xml:space="preserve"> of the Energy and Emissions Annual Report spreadsheets were multiplied by 65 percent to only show the Washington share of customers.  </w:t>
      </w:r>
      <w:r w:rsidR="0079545E">
        <w:t xml:space="preserve">  </w:t>
      </w:r>
    </w:p>
    <w:p w:rsidR="00016958" w:rsidRDefault="00016958" w:rsidP="00D36801">
      <w:pPr>
        <w:pStyle w:val="Heading1"/>
      </w:pPr>
    </w:p>
    <w:p w:rsidR="00D36801" w:rsidRDefault="00D36801" w:rsidP="00D36801">
      <w:pPr>
        <w:pStyle w:val="Heading1"/>
      </w:pPr>
      <w:r>
        <w:t>I</w:t>
      </w:r>
      <w:r w:rsidR="002B7D24">
        <w:t>II</w:t>
      </w:r>
      <w:r>
        <w:t xml:space="preserve">.    </w:t>
      </w:r>
      <w:r w:rsidR="002B7D24">
        <w:t>TREND ANALYSIS NARRATIVE AND GRAPHICS</w:t>
      </w:r>
    </w:p>
    <w:p w:rsidR="00D36801" w:rsidRDefault="00D36801" w:rsidP="005F125B">
      <w:pPr>
        <w:spacing w:line="480" w:lineRule="auto"/>
      </w:pPr>
    </w:p>
    <w:p w:rsidR="002B08B5" w:rsidRDefault="002B7D24" w:rsidP="00016958">
      <w:pPr>
        <w:spacing w:line="480" w:lineRule="auto"/>
        <w:jc w:val="both"/>
      </w:pPr>
      <w:r>
        <w:tab/>
      </w:r>
      <w:r w:rsidR="00394193">
        <w:t xml:space="preserve">The average </w:t>
      </w:r>
      <w:proofErr w:type="spellStart"/>
      <w:r w:rsidR="00394193">
        <w:t>MWh</w:t>
      </w:r>
      <w:proofErr w:type="spellEnd"/>
      <w:r w:rsidR="00394193">
        <w:t xml:space="preserve"> use per customer has experienced fairly minor variation from year-to-year. There is a slight increasing trend for commercial customers over the last three years, which may be normal variation or the beginning of a trend for increasing commercial use. The scope of commercial customers is wide enough to make detailed analysis difficult, if not impossible to identify the </w:t>
      </w:r>
      <w:r w:rsidR="002B08B5">
        <w:t xml:space="preserve">specific cause. </w:t>
      </w:r>
      <w:r w:rsidR="00D67F4A">
        <w:t>This is based on actual load data and is not normalized for weather.</w:t>
      </w:r>
    </w:p>
    <w:p w:rsidR="00D67F4A" w:rsidRDefault="00D67F4A" w:rsidP="00016958">
      <w:pPr>
        <w:spacing w:line="480" w:lineRule="auto"/>
        <w:jc w:val="both"/>
      </w:pPr>
    </w:p>
    <w:p w:rsidR="00016958" w:rsidRDefault="00016958" w:rsidP="002B08B5">
      <w:pPr>
        <w:spacing w:line="480" w:lineRule="auto"/>
        <w:jc w:val="center"/>
        <w:rPr>
          <w:b/>
        </w:rPr>
      </w:pPr>
    </w:p>
    <w:p w:rsidR="00016958" w:rsidRDefault="00016958" w:rsidP="002B08B5">
      <w:pPr>
        <w:spacing w:line="480" w:lineRule="auto"/>
        <w:jc w:val="center"/>
        <w:rPr>
          <w:b/>
        </w:rPr>
      </w:pPr>
    </w:p>
    <w:p w:rsidR="00016958" w:rsidRDefault="00016958" w:rsidP="002B08B5">
      <w:pPr>
        <w:spacing w:line="480" w:lineRule="auto"/>
        <w:jc w:val="center"/>
        <w:rPr>
          <w:b/>
        </w:rPr>
      </w:pPr>
    </w:p>
    <w:p w:rsidR="00293E70" w:rsidRDefault="00293E70" w:rsidP="002B08B5">
      <w:pPr>
        <w:spacing w:line="480" w:lineRule="auto"/>
        <w:jc w:val="center"/>
        <w:rPr>
          <w:b/>
        </w:rPr>
      </w:pPr>
    </w:p>
    <w:p w:rsidR="00293E70" w:rsidRDefault="00293E70" w:rsidP="002B08B5">
      <w:pPr>
        <w:spacing w:line="480" w:lineRule="auto"/>
        <w:jc w:val="center"/>
        <w:rPr>
          <w:b/>
        </w:rPr>
      </w:pPr>
    </w:p>
    <w:p w:rsidR="00394193" w:rsidRDefault="00394193" w:rsidP="002B08B5">
      <w:pPr>
        <w:spacing w:line="480" w:lineRule="auto"/>
        <w:jc w:val="center"/>
        <w:rPr>
          <w:b/>
        </w:rPr>
      </w:pPr>
      <w:r>
        <w:rPr>
          <w:b/>
        </w:rPr>
        <w:lastRenderedPageBreak/>
        <w:t>Chart</w:t>
      </w:r>
      <w:r w:rsidRPr="00E042B8">
        <w:rPr>
          <w:b/>
        </w:rPr>
        <w:t xml:space="preserve"> </w:t>
      </w:r>
      <w:r w:rsidR="002B08B5">
        <w:rPr>
          <w:b/>
        </w:rPr>
        <w:t>1</w:t>
      </w:r>
      <w:r w:rsidRPr="00E042B8">
        <w:rPr>
          <w:b/>
        </w:rPr>
        <w:t>:</w:t>
      </w:r>
      <w:r>
        <w:rPr>
          <w:b/>
        </w:rPr>
        <w:t xml:space="preserve"> Average </w:t>
      </w:r>
      <w:proofErr w:type="spellStart"/>
      <w:r>
        <w:rPr>
          <w:b/>
        </w:rPr>
        <w:t>MWh</w:t>
      </w:r>
      <w:proofErr w:type="spellEnd"/>
      <w:r>
        <w:rPr>
          <w:b/>
        </w:rPr>
        <w:t xml:space="preserve"> per Commercial Customer 2006 – 2015</w:t>
      </w:r>
    </w:p>
    <w:p w:rsidR="00394193" w:rsidRDefault="00394193" w:rsidP="00394193">
      <w:pPr>
        <w:spacing w:line="480" w:lineRule="auto"/>
        <w:jc w:val="center"/>
      </w:pPr>
      <w:r>
        <w:rPr>
          <w:noProof/>
        </w:rPr>
        <w:drawing>
          <wp:inline distT="0" distB="0" distL="0" distR="0" wp14:anchorId="17B95DD3" wp14:editId="6D3C9F2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6801" w:rsidRDefault="00D36801" w:rsidP="00016958">
      <w:pPr>
        <w:pStyle w:val="Heading1"/>
        <w:jc w:val="both"/>
      </w:pPr>
    </w:p>
    <w:p w:rsidR="00016958" w:rsidRDefault="00881927" w:rsidP="00293E70">
      <w:pPr>
        <w:spacing w:line="480" w:lineRule="auto"/>
        <w:ind w:firstLine="720"/>
        <w:jc w:val="both"/>
        <w:rPr>
          <w:b/>
        </w:rPr>
      </w:pPr>
      <w:r>
        <w:t xml:space="preserve">The next metric covers the amount of </w:t>
      </w:r>
      <w:proofErr w:type="spellStart"/>
      <w:r>
        <w:t>MWh</w:t>
      </w:r>
      <w:proofErr w:type="spellEnd"/>
      <w:r>
        <w:t xml:space="preserve"> per capita from 2006 through 2015. The specifics underlying the calculation of the population for Avista’s service territory can be found in Appendix B – Population Methodology.</w:t>
      </w:r>
      <w:r w:rsidR="00867BD4">
        <w:t xml:space="preserve"> The trend line shows</w:t>
      </w:r>
      <w:r w:rsidR="00D67F4A">
        <w:t xml:space="preserve"> a slight </w:t>
      </w:r>
      <w:r w:rsidR="00867BD4">
        <w:t xml:space="preserve">decreasing </w:t>
      </w:r>
      <w:proofErr w:type="spellStart"/>
      <w:r w:rsidR="00867BD4">
        <w:t>MWh</w:t>
      </w:r>
      <w:proofErr w:type="spellEnd"/>
      <w:r w:rsidR="00867BD4">
        <w:t xml:space="preserve"> per capita</w:t>
      </w:r>
      <w:r w:rsidR="00D67F4A">
        <w:t xml:space="preserve"> trend</w:t>
      </w:r>
      <w:r w:rsidR="00867BD4">
        <w:t xml:space="preserve">, which is </w:t>
      </w:r>
      <w:r w:rsidR="00D67F4A">
        <w:t>less than one tenth of a megawatt-hour per capita. This is a small enough trend to make it difficult, if not impossible, to determine the root cause.</w:t>
      </w:r>
      <w:r w:rsidR="00867BD4">
        <w:t xml:space="preserve"> </w:t>
      </w:r>
    </w:p>
    <w:p w:rsidR="00881927" w:rsidRDefault="00881927" w:rsidP="00016958">
      <w:pPr>
        <w:spacing w:line="480" w:lineRule="auto"/>
        <w:jc w:val="center"/>
      </w:pPr>
      <w:r>
        <w:rPr>
          <w:b/>
        </w:rPr>
        <w:lastRenderedPageBreak/>
        <w:t>Chart</w:t>
      </w:r>
      <w:r w:rsidRPr="00E042B8">
        <w:rPr>
          <w:b/>
        </w:rPr>
        <w:t xml:space="preserve"> </w:t>
      </w:r>
      <w:r>
        <w:rPr>
          <w:b/>
        </w:rPr>
        <w:t>2</w:t>
      </w:r>
      <w:r w:rsidRPr="00E042B8">
        <w:rPr>
          <w:b/>
        </w:rPr>
        <w:t>:</w:t>
      </w:r>
      <w:r>
        <w:rPr>
          <w:b/>
        </w:rPr>
        <w:t xml:space="preserve"> </w:t>
      </w:r>
      <w:proofErr w:type="spellStart"/>
      <w:r>
        <w:rPr>
          <w:b/>
        </w:rPr>
        <w:t>MWh</w:t>
      </w:r>
      <w:proofErr w:type="spellEnd"/>
      <w:r>
        <w:rPr>
          <w:b/>
        </w:rPr>
        <w:t xml:space="preserve"> per Capita 2006 – 2015</w:t>
      </w:r>
      <w:r w:rsidR="00867BD4">
        <w:rPr>
          <w:noProof/>
        </w:rPr>
        <w:drawing>
          <wp:inline distT="0" distB="0" distL="0" distR="0" wp14:anchorId="37835831" wp14:editId="44DB2F42">
            <wp:extent cx="4572000" cy="28860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67BD4" w:rsidRDefault="00867BD4" w:rsidP="00881927">
      <w:pPr>
        <w:spacing w:line="480" w:lineRule="auto"/>
        <w:jc w:val="center"/>
        <w:rPr>
          <w:b/>
        </w:rPr>
      </w:pPr>
    </w:p>
    <w:p w:rsidR="00867BD4" w:rsidRPr="00D62097" w:rsidRDefault="00D62097" w:rsidP="00016958">
      <w:pPr>
        <w:spacing w:line="480" w:lineRule="auto"/>
        <w:jc w:val="both"/>
      </w:pPr>
      <w:r w:rsidRPr="00D62097">
        <w:tab/>
        <w:t>The last two metrics include the</w:t>
      </w:r>
      <w:r>
        <w:t xml:space="preserve"> annual CO</w:t>
      </w:r>
      <w:r w:rsidRPr="0073076A">
        <w:rPr>
          <w:vertAlign w:val="subscript"/>
        </w:rPr>
        <w:t>2</w:t>
      </w:r>
      <w:r>
        <w:t xml:space="preserve"> emissions in short tons from 2006 through 2015 and comparison of those emissions with the 1990 emissions data. Chart 3 shows the emissions data for this report.</w:t>
      </w:r>
      <w:r w:rsidRPr="00D62097">
        <w:t xml:space="preserve"> </w:t>
      </w:r>
      <w:r w:rsidR="0073076A">
        <w:t xml:space="preserve">Emissions have increased over the past two years covered in this report, but the overall trend is downward as shown by the trend line of annual emissions. There is an expectation that emissions will decrease over time as a higher percentage of zero emitting resources are added to the regional mix under the Energy Independence Act. This trend </w:t>
      </w:r>
      <w:r w:rsidR="001C78AD">
        <w:t>is</w:t>
      </w:r>
      <w:r w:rsidR="0073076A">
        <w:t xml:space="preserve"> expected to accelerate after final resolution of the Clean Power Plan. However, CO</w:t>
      </w:r>
      <w:r w:rsidR="0073076A" w:rsidRPr="0073076A">
        <w:rPr>
          <w:vertAlign w:val="subscript"/>
        </w:rPr>
        <w:t>2</w:t>
      </w:r>
      <w:r w:rsidR="0073076A">
        <w:t xml:space="preserve"> emissions from year-to-year may still increase in any given year because the regional generation system is based on reliably serving load while keeping costs at minimum reasonable levels. The addition of any formal CO</w:t>
      </w:r>
      <w:r w:rsidR="0073076A" w:rsidRPr="0073076A">
        <w:rPr>
          <w:vertAlign w:val="subscript"/>
        </w:rPr>
        <w:t>2</w:t>
      </w:r>
      <w:r w:rsidR="0073076A">
        <w:t xml:space="preserve"> emissions cost will drive </w:t>
      </w:r>
      <w:r w:rsidR="001C78AD">
        <w:t xml:space="preserve">future </w:t>
      </w:r>
      <w:r w:rsidR="0073076A">
        <w:t>emissions down. Also, regional emissions will be affected by the variable amount of hydroelectric and wind generation in any given year.</w:t>
      </w:r>
    </w:p>
    <w:p w:rsidR="001C78AD" w:rsidRDefault="001C78AD" w:rsidP="00881927">
      <w:pPr>
        <w:spacing w:line="480" w:lineRule="auto"/>
        <w:jc w:val="center"/>
        <w:rPr>
          <w:b/>
        </w:rPr>
      </w:pPr>
    </w:p>
    <w:p w:rsidR="001C78AD" w:rsidRDefault="001C78AD" w:rsidP="00881927">
      <w:pPr>
        <w:spacing w:line="480" w:lineRule="auto"/>
        <w:jc w:val="center"/>
        <w:rPr>
          <w:b/>
        </w:rPr>
      </w:pPr>
    </w:p>
    <w:p w:rsidR="00881927" w:rsidRDefault="00881927" w:rsidP="00881927">
      <w:pPr>
        <w:spacing w:line="480" w:lineRule="auto"/>
        <w:jc w:val="center"/>
        <w:rPr>
          <w:b/>
        </w:rPr>
      </w:pPr>
      <w:r>
        <w:rPr>
          <w:b/>
        </w:rPr>
        <w:lastRenderedPageBreak/>
        <w:t>Chart</w:t>
      </w:r>
      <w:r w:rsidRPr="00E042B8">
        <w:rPr>
          <w:b/>
        </w:rPr>
        <w:t xml:space="preserve"> </w:t>
      </w:r>
      <w:r>
        <w:rPr>
          <w:b/>
        </w:rPr>
        <w:t>3</w:t>
      </w:r>
      <w:r w:rsidRPr="00E042B8">
        <w:rPr>
          <w:b/>
        </w:rPr>
        <w:t>:</w:t>
      </w:r>
      <w:r>
        <w:rPr>
          <w:b/>
        </w:rPr>
        <w:t xml:space="preserve"> Annual CO</w:t>
      </w:r>
      <w:r w:rsidRPr="00881927">
        <w:rPr>
          <w:b/>
          <w:vertAlign w:val="subscript"/>
        </w:rPr>
        <w:t>2</w:t>
      </w:r>
      <w:r>
        <w:rPr>
          <w:b/>
        </w:rPr>
        <w:t xml:space="preserve"> Emissions in Short Tons </w:t>
      </w:r>
      <w:r w:rsidR="0073076A">
        <w:rPr>
          <w:b/>
        </w:rPr>
        <w:t xml:space="preserve">and </w:t>
      </w:r>
      <w:r>
        <w:rPr>
          <w:b/>
        </w:rPr>
        <w:t>2006 – 2015</w:t>
      </w:r>
    </w:p>
    <w:p w:rsidR="00881927" w:rsidRDefault="00D62097" w:rsidP="00881927">
      <w:pPr>
        <w:spacing w:line="480" w:lineRule="auto"/>
        <w:jc w:val="center"/>
        <w:rPr>
          <w:b/>
        </w:rPr>
      </w:pPr>
      <w:r>
        <w:rPr>
          <w:noProof/>
        </w:rPr>
        <w:drawing>
          <wp:inline distT="0" distB="0" distL="0" distR="0" wp14:anchorId="690D439C" wp14:editId="19E0E316">
            <wp:extent cx="4729163" cy="2743200"/>
            <wp:effectExtent l="0" t="0" r="1460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1927" w:rsidRPr="00881927" w:rsidRDefault="00881927" w:rsidP="00881927"/>
    <w:p w:rsidR="00D36801" w:rsidRDefault="00D36801" w:rsidP="00D36801">
      <w:pPr>
        <w:pStyle w:val="Heading1"/>
      </w:pPr>
      <w:r>
        <w:t>I</w:t>
      </w:r>
      <w:r w:rsidR="002B7D24">
        <w:t>V</w:t>
      </w:r>
      <w:r>
        <w:t>.    A</w:t>
      </w:r>
      <w:r w:rsidR="002B7D24">
        <w:t>PPENDICES</w:t>
      </w:r>
    </w:p>
    <w:p w:rsidR="005F125B" w:rsidRDefault="005F125B" w:rsidP="005F125B">
      <w:pPr>
        <w:spacing w:line="480" w:lineRule="auto"/>
        <w:ind w:firstLine="720"/>
        <w:jc w:val="both"/>
      </w:pPr>
    </w:p>
    <w:p w:rsidR="005F125B" w:rsidRDefault="005F125B" w:rsidP="00016958">
      <w:pPr>
        <w:spacing w:line="480" w:lineRule="auto"/>
        <w:ind w:firstLine="720"/>
        <w:jc w:val="both"/>
      </w:pPr>
      <w:r>
        <w:t xml:space="preserve">The following appendices provide details about Avista’s 2016 Energy and Emissions Intensity Report. The spreadsheets with the raw data are included in the workpapers for this filing. </w:t>
      </w:r>
    </w:p>
    <w:p w:rsidR="005F125B" w:rsidRDefault="005F125B" w:rsidP="00016958">
      <w:pPr>
        <w:jc w:val="both"/>
      </w:pPr>
      <w:r w:rsidRPr="00317AB7">
        <w:rPr>
          <w:b/>
        </w:rPr>
        <w:t>Appendix A</w:t>
      </w:r>
      <w:r>
        <w:rPr>
          <w:b/>
        </w:rPr>
        <w:t>:</w:t>
      </w:r>
      <w:r>
        <w:t xml:space="preserve"> Summary Energy and Emissions Intensity Reports for 2006 – 2015 </w:t>
      </w:r>
    </w:p>
    <w:p w:rsidR="005F125B" w:rsidRDefault="005F125B" w:rsidP="00016958">
      <w:pPr>
        <w:jc w:val="both"/>
      </w:pPr>
      <w:r w:rsidRPr="00317AB7">
        <w:rPr>
          <w:b/>
        </w:rPr>
        <w:t>Appendix B:</w:t>
      </w:r>
      <w:r>
        <w:t xml:space="preserve"> </w:t>
      </w:r>
      <w:r w:rsidR="00881927">
        <w:t xml:space="preserve">Population </w:t>
      </w:r>
      <w:r w:rsidR="00F15C03">
        <w:t>Methodology</w:t>
      </w:r>
    </w:p>
    <w:p w:rsidR="00F15C03" w:rsidRDefault="00F15C03" w:rsidP="00016958">
      <w:pPr>
        <w:jc w:val="both"/>
      </w:pPr>
    </w:p>
    <w:p w:rsidR="00F15C03" w:rsidRDefault="00F15C03" w:rsidP="00016958">
      <w:pPr>
        <w:jc w:val="both"/>
      </w:pPr>
    </w:p>
    <w:p w:rsidR="00F15C03" w:rsidRDefault="00F15C03" w:rsidP="00016958">
      <w:pPr>
        <w:spacing w:line="480" w:lineRule="auto"/>
        <w:jc w:val="both"/>
      </w:pPr>
      <w:r>
        <w:t>RESPECTFULLY SUBMITTED this 1</w:t>
      </w:r>
      <w:r>
        <w:rPr>
          <w:vertAlign w:val="superscript"/>
        </w:rPr>
        <w:t>st</w:t>
      </w:r>
      <w:r>
        <w:t xml:space="preserve"> day of June 2016.</w:t>
      </w:r>
    </w:p>
    <w:p w:rsidR="00F15C03" w:rsidRDefault="00F15C03" w:rsidP="00016958">
      <w:pPr>
        <w:jc w:val="both"/>
      </w:pPr>
    </w:p>
    <w:p w:rsidR="00F15C03" w:rsidRDefault="00F15C03" w:rsidP="00016958">
      <w:pPr>
        <w:jc w:val="both"/>
      </w:pPr>
      <w:r>
        <w:tab/>
      </w:r>
      <w:r>
        <w:tab/>
      </w:r>
      <w:r>
        <w:tab/>
      </w:r>
      <w:r>
        <w:tab/>
      </w:r>
      <w:r>
        <w:tab/>
      </w:r>
      <w:r>
        <w:tab/>
        <w:t>AVISTA CORPORATION</w:t>
      </w:r>
    </w:p>
    <w:p w:rsidR="00F15C03" w:rsidRDefault="00F15C03" w:rsidP="00016958">
      <w:pPr>
        <w:jc w:val="both"/>
      </w:pPr>
    </w:p>
    <w:p w:rsidR="00F15C03" w:rsidRDefault="00F15C03" w:rsidP="00016958">
      <w:pPr>
        <w:jc w:val="both"/>
      </w:pPr>
    </w:p>
    <w:p w:rsidR="00F15C03" w:rsidRDefault="00F15C03" w:rsidP="00016958">
      <w:pPr>
        <w:jc w:val="both"/>
      </w:pP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rsidR="00F15C03" w:rsidRDefault="00F15C03" w:rsidP="00016958">
      <w:pPr>
        <w:jc w:val="both"/>
      </w:pPr>
      <w:r>
        <w:tab/>
      </w:r>
      <w:r>
        <w:tab/>
      </w:r>
      <w:r>
        <w:tab/>
      </w:r>
      <w:r>
        <w:tab/>
      </w:r>
      <w:r>
        <w:tab/>
      </w:r>
      <w:r>
        <w:tab/>
      </w:r>
      <w:r>
        <w:tab/>
        <w:t>Kelly O. Norwood</w:t>
      </w:r>
    </w:p>
    <w:p w:rsidR="00C87236" w:rsidRDefault="00F15C03" w:rsidP="005859AD">
      <w:r>
        <w:tab/>
      </w:r>
      <w:r>
        <w:tab/>
      </w:r>
      <w:r>
        <w:tab/>
      </w:r>
      <w:r>
        <w:tab/>
      </w:r>
      <w:r>
        <w:tab/>
      </w:r>
      <w:r>
        <w:tab/>
      </w:r>
      <w:r>
        <w:tab/>
        <w:t>Vice President, State and Federal Regulation</w:t>
      </w:r>
    </w:p>
    <w:sectPr w:rsidR="00C8723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CE" w:rsidRDefault="00432ECE" w:rsidP="00432ECE">
      <w:r>
        <w:separator/>
      </w:r>
    </w:p>
  </w:endnote>
  <w:endnote w:type="continuationSeparator" w:id="0">
    <w:p w:rsidR="00432ECE" w:rsidRDefault="00432ECE" w:rsidP="0043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933048"/>
      <w:docPartObj>
        <w:docPartGallery w:val="Page Numbers (Bottom of Page)"/>
        <w:docPartUnique/>
      </w:docPartObj>
    </w:sdtPr>
    <w:sdtEndPr>
      <w:rPr>
        <w:noProof/>
      </w:rPr>
    </w:sdtEndPr>
    <w:sdtContent>
      <w:p w:rsidR="00432ECE" w:rsidRDefault="00432ECE">
        <w:pPr>
          <w:pStyle w:val="Footer"/>
          <w:jc w:val="right"/>
        </w:pPr>
        <w:r>
          <w:fldChar w:fldCharType="begin"/>
        </w:r>
        <w:r>
          <w:instrText xml:space="preserve"> PAGE   \* MERGEFORMAT </w:instrText>
        </w:r>
        <w:r>
          <w:fldChar w:fldCharType="separate"/>
        </w:r>
        <w:r w:rsidR="00980E35">
          <w:rPr>
            <w:noProof/>
          </w:rPr>
          <w:t>8</w:t>
        </w:r>
        <w:r>
          <w:rPr>
            <w:noProof/>
          </w:rPr>
          <w:fldChar w:fldCharType="end"/>
        </w:r>
      </w:p>
    </w:sdtContent>
  </w:sdt>
  <w:p w:rsidR="00432ECE" w:rsidRDefault="00432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CE" w:rsidRDefault="00432ECE" w:rsidP="00432ECE">
      <w:r>
        <w:separator/>
      </w:r>
    </w:p>
  </w:footnote>
  <w:footnote w:type="continuationSeparator" w:id="0">
    <w:p w:rsidR="00432ECE" w:rsidRDefault="00432ECE" w:rsidP="00432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464A2"/>
    <w:multiLevelType w:val="hybridMultilevel"/>
    <w:tmpl w:val="EFDE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54720"/>
    <w:multiLevelType w:val="hybridMultilevel"/>
    <w:tmpl w:val="FD346246"/>
    <w:lvl w:ilvl="0" w:tplc="84AC1B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E2"/>
    <w:rsid w:val="00016958"/>
    <w:rsid w:val="00056DBC"/>
    <w:rsid w:val="001C78AD"/>
    <w:rsid w:val="001F68CB"/>
    <w:rsid w:val="00293E70"/>
    <w:rsid w:val="002B08B5"/>
    <w:rsid w:val="002B7D24"/>
    <w:rsid w:val="00394193"/>
    <w:rsid w:val="003F7F6A"/>
    <w:rsid w:val="00432ECE"/>
    <w:rsid w:val="004767E2"/>
    <w:rsid w:val="00496898"/>
    <w:rsid w:val="004B7C08"/>
    <w:rsid w:val="005859AD"/>
    <w:rsid w:val="005F125B"/>
    <w:rsid w:val="00601839"/>
    <w:rsid w:val="006068AC"/>
    <w:rsid w:val="0073076A"/>
    <w:rsid w:val="0079545E"/>
    <w:rsid w:val="00867BD4"/>
    <w:rsid w:val="00881927"/>
    <w:rsid w:val="008C4918"/>
    <w:rsid w:val="00980E35"/>
    <w:rsid w:val="00A41772"/>
    <w:rsid w:val="00AB480C"/>
    <w:rsid w:val="00C779C8"/>
    <w:rsid w:val="00D36801"/>
    <w:rsid w:val="00D62097"/>
    <w:rsid w:val="00D67F4A"/>
    <w:rsid w:val="00DB7F15"/>
    <w:rsid w:val="00DD42BA"/>
    <w:rsid w:val="00E042B8"/>
    <w:rsid w:val="00F15C03"/>
    <w:rsid w:val="00F315EA"/>
    <w:rsid w:val="00FB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6D777-EEE3-4CA4-87C6-DBA3318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6801"/>
    <w:pPr>
      <w:keepNext/>
      <w:ind w:left="1440" w:hanging="7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801"/>
    <w:rPr>
      <w:rFonts w:ascii="Times New Roman" w:eastAsia="Times New Roman" w:hAnsi="Times New Roman" w:cs="Times New Roman"/>
      <w:b/>
      <w:sz w:val="24"/>
      <w:szCs w:val="24"/>
    </w:rPr>
  </w:style>
  <w:style w:type="paragraph" w:styleId="ListParagraph">
    <w:name w:val="List Paragraph"/>
    <w:basedOn w:val="Normal"/>
    <w:uiPriority w:val="34"/>
    <w:qFormat/>
    <w:rsid w:val="00D36801"/>
    <w:pPr>
      <w:ind w:left="720"/>
      <w:contextualSpacing/>
    </w:pPr>
  </w:style>
  <w:style w:type="paragraph" w:styleId="BalloonText">
    <w:name w:val="Balloon Text"/>
    <w:basedOn w:val="Normal"/>
    <w:link w:val="BalloonTextChar"/>
    <w:uiPriority w:val="99"/>
    <w:semiHidden/>
    <w:unhideWhenUsed/>
    <w:rsid w:val="00F31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EA"/>
    <w:rPr>
      <w:rFonts w:ascii="Segoe UI" w:eastAsia="Times New Roman" w:hAnsi="Segoe UI" w:cs="Segoe UI"/>
      <w:sz w:val="18"/>
      <w:szCs w:val="18"/>
    </w:rPr>
  </w:style>
  <w:style w:type="paragraph" w:styleId="Header">
    <w:name w:val="header"/>
    <w:basedOn w:val="Normal"/>
    <w:link w:val="HeaderChar"/>
    <w:uiPriority w:val="99"/>
    <w:unhideWhenUsed/>
    <w:rsid w:val="00432ECE"/>
    <w:pPr>
      <w:tabs>
        <w:tab w:val="center" w:pos="4680"/>
        <w:tab w:val="right" w:pos="9360"/>
      </w:tabs>
    </w:pPr>
  </w:style>
  <w:style w:type="character" w:customStyle="1" w:styleId="HeaderChar">
    <w:name w:val="Header Char"/>
    <w:basedOn w:val="DefaultParagraphFont"/>
    <w:link w:val="Header"/>
    <w:uiPriority w:val="99"/>
    <w:rsid w:val="00432E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2ECE"/>
    <w:pPr>
      <w:tabs>
        <w:tab w:val="center" w:pos="4680"/>
        <w:tab w:val="right" w:pos="9360"/>
      </w:tabs>
    </w:pPr>
  </w:style>
  <w:style w:type="character" w:customStyle="1" w:styleId="FooterChar">
    <w:name w:val="Footer Char"/>
    <w:basedOn w:val="DefaultParagraphFont"/>
    <w:link w:val="Footer"/>
    <w:uiPriority w:val="99"/>
    <w:rsid w:val="00432E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96150">
      <w:bodyDiv w:val="1"/>
      <w:marLeft w:val="0"/>
      <w:marRight w:val="0"/>
      <w:marTop w:val="0"/>
      <w:marBottom w:val="0"/>
      <w:divBdr>
        <w:top w:val="none" w:sz="0" w:space="0" w:color="auto"/>
        <w:left w:val="none" w:sz="0" w:space="0" w:color="auto"/>
        <w:bottom w:val="none" w:sz="0" w:space="0" w:color="auto"/>
        <w:right w:val="none" w:sz="0" w:space="0" w:color="auto"/>
      </w:divBdr>
    </w:div>
    <w:div w:id="856309217">
      <w:bodyDiv w:val="1"/>
      <w:marLeft w:val="0"/>
      <w:marRight w:val="0"/>
      <w:marTop w:val="0"/>
      <w:marBottom w:val="0"/>
      <w:divBdr>
        <w:top w:val="none" w:sz="0" w:space="0" w:color="auto"/>
        <w:left w:val="none" w:sz="0" w:space="0" w:color="auto"/>
        <w:bottom w:val="none" w:sz="0" w:space="0" w:color="auto"/>
        <w:right w:val="none" w:sz="0" w:space="0" w:color="auto"/>
      </w:divBdr>
    </w:div>
    <w:div w:id="1450123958">
      <w:bodyDiv w:val="1"/>
      <w:marLeft w:val="0"/>
      <w:marRight w:val="0"/>
      <w:marTop w:val="0"/>
      <w:marBottom w:val="0"/>
      <w:divBdr>
        <w:top w:val="none" w:sz="0" w:space="0" w:color="auto"/>
        <w:left w:val="none" w:sz="0" w:space="0" w:color="auto"/>
        <w:bottom w:val="none" w:sz="0" w:space="0" w:color="auto"/>
        <w:right w:val="none" w:sz="0" w:space="0" w:color="auto"/>
      </w:divBdr>
    </w:div>
    <w:div w:id="1638299896">
      <w:bodyDiv w:val="1"/>
      <w:marLeft w:val="0"/>
      <w:marRight w:val="0"/>
      <w:marTop w:val="0"/>
      <w:marBottom w:val="0"/>
      <w:divBdr>
        <w:top w:val="none" w:sz="0" w:space="0" w:color="auto"/>
        <w:left w:val="none" w:sz="0" w:space="0" w:color="auto"/>
        <w:bottom w:val="none" w:sz="0" w:space="0" w:color="auto"/>
        <w:right w:val="none" w:sz="0" w:space="0" w:color="auto"/>
      </w:divBdr>
    </w:div>
    <w:div w:id="20234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3" Type="http://schemas.openxmlformats.org/officeDocument/2006/relationships/oleObject" Target="file:///\\c01m317\c01m317\2016%20Regulatory%20Filings\Energy%20Independence%20Act\2016%20Emission%20Intensity%20Report\Emissions%20Intensity%20Report%20Draft\Avista%202016%20Energy%20and%20Emissions%20Annual%20Report%20Tables%20and%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 2'!$B$2</c:f>
              <c:strCache>
                <c:ptCount val="1"/>
                <c:pt idx="0">
                  <c:v>Average MWh per Residential Customer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'Table 2'!$A$3:$A$12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2'!$B$3:$B$12</c:f>
              <c:numCache>
                <c:formatCode>0.0</c:formatCode>
                <c:ptCount val="10"/>
                <c:pt idx="0">
                  <c:v>12</c:v>
                </c:pt>
                <c:pt idx="1">
                  <c:v>12.3</c:v>
                </c:pt>
                <c:pt idx="2">
                  <c:v>12.3</c:v>
                </c:pt>
                <c:pt idx="3">
                  <c:v>12.7</c:v>
                </c:pt>
                <c:pt idx="4">
                  <c:v>12.7</c:v>
                </c:pt>
                <c:pt idx="5">
                  <c:v>12.6</c:v>
                </c:pt>
                <c:pt idx="6">
                  <c:v>12.2</c:v>
                </c:pt>
                <c:pt idx="7">
                  <c:v>12.7</c:v>
                </c:pt>
                <c:pt idx="8">
                  <c:v>12.4</c:v>
                </c:pt>
                <c:pt idx="9">
                  <c:v>12.2</c:v>
                </c:pt>
              </c:numCache>
            </c:numRef>
          </c:val>
          <c:smooth val="0"/>
        </c:ser>
        <c:ser>
          <c:idx val="1"/>
          <c:order val="1"/>
          <c:tx>
            <c:strRef>
              <c:f>'Table 2'!$C$2</c:f>
              <c:strCache>
                <c:ptCount val="1"/>
                <c:pt idx="0">
                  <c:v>Average MWh per Commercial Customer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'Table 2'!$A$3:$A$12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2'!$C$3:$C$12</c:f>
              <c:numCache>
                <c:formatCode>0.0</c:formatCode>
                <c:ptCount val="10"/>
                <c:pt idx="0">
                  <c:v>96.7</c:v>
                </c:pt>
                <c:pt idx="1">
                  <c:v>96.8</c:v>
                </c:pt>
                <c:pt idx="2">
                  <c:v>96.7</c:v>
                </c:pt>
                <c:pt idx="3">
                  <c:v>97</c:v>
                </c:pt>
                <c:pt idx="4">
                  <c:v>97</c:v>
                </c:pt>
                <c:pt idx="5">
                  <c:v>96.2</c:v>
                </c:pt>
                <c:pt idx="6">
                  <c:v>96.1</c:v>
                </c:pt>
                <c:pt idx="7">
                  <c:v>97.3</c:v>
                </c:pt>
                <c:pt idx="8">
                  <c:v>97.8</c:v>
                </c:pt>
                <c:pt idx="9">
                  <c:v>100.4</c:v>
                </c:pt>
              </c:numCache>
            </c:numRef>
          </c:val>
          <c:smooth val="0"/>
        </c:ser>
        <c:dLbls>
          <c:showLegendKey val="0"/>
          <c:showVal val="0"/>
          <c:showCatName val="0"/>
          <c:showSerName val="0"/>
          <c:showPercent val="0"/>
          <c:showBubbleSize val="0"/>
        </c:dLbls>
        <c:marker val="1"/>
        <c:smooth val="0"/>
        <c:axId val="5510312"/>
        <c:axId val="5510696"/>
      </c:lineChart>
      <c:catAx>
        <c:axId val="551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10696"/>
        <c:crosses val="autoZero"/>
        <c:auto val="1"/>
        <c:lblAlgn val="ctr"/>
        <c:lblOffset val="100"/>
        <c:noMultiLvlLbl val="0"/>
      </c:catAx>
      <c:valAx>
        <c:axId val="55106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10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 3'!$C$2</c:f>
              <c:strCache>
                <c:ptCount val="1"/>
                <c:pt idx="0">
                  <c:v>MWh per Capita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'Table 3'!$B$3:$B$12</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3'!$C$3:$C$12</c:f>
              <c:numCache>
                <c:formatCode>0.00</c:formatCode>
                <c:ptCount val="10"/>
                <c:pt idx="0">
                  <c:v>11.03</c:v>
                </c:pt>
                <c:pt idx="1">
                  <c:v>10.97</c:v>
                </c:pt>
                <c:pt idx="2">
                  <c:v>10.8</c:v>
                </c:pt>
                <c:pt idx="3">
                  <c:v>10.71</c:v>
                </c:pt>
                <c:pt idx="4">
                  <c:v>10.68</c:v>
                </c:pt>
                <c:pt idx="5">
                  <c:v>10.93</c:v>
                </c:pt>
                <c:pt idx="6">
                  <c:v>10.68</c:v>
                </c:pt>
                <c:pt idx="7">
                  <c:v>10.95</c:v>
                </c:pt>
                <c:pt idx="8">
                  <c:v>10.84</c:v>
                </c:pt>
                <c:pt idx="9">
                  <c:v>10.85</c:v>
                </c:pt>
              </c:numCache>
            </c:numRef>
          </c:val>
          <c:smooth val="0"/>
        </c:ser>
        <c:dLbls>
          <c:showLegendKey val="0"/>
          <c:showVal val="0"/>
          <c:showCatName val="0"/>
          <c:showSerName val="0"/>
          <c:showPercent val="0"/>
          <c:showBubbleSize val="0"/>
        </c:dLbls>
        <c:marker val="1"/>
        <c:smooth val="0"/>
        <c:axId val="115784232"/>
        <c:axId val="115896024"/>
      </c:lineChart>
      <c:catAx>
        <c:axId val="115784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896024"/>
        <c:crosses val="autoZero"/>
        <c:auto val="1"/>
        <c:lblAlgn val="ctr"/>
        <c:lblOffset val="100"/>
        <c:noMultiLvlLbl val="0"/>
      </c:catAx>
      <c:valAx>
        <c:axId val="115896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MWh per Capita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5784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'Table 4'!$C$4</c:f>
              <c:strCache>
                <c:ptCount val="1"/>
                <c:pt idx="0">
                  <c:v>Annual Emissions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'Table 4'!$B$5:$B$14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4'!$C$5:$C$14</c:f>
              <c:numCache>
                <c:formatCode>#,##0</c:formatCode>
                <c:ptCount val="10"/>
                <c:pt idx="0">
                  <c:v>1196410</c:v>
                </c:pt>
                <c:pt idx="1">
                  <c:v>1657990</c:v>
                </c:pt>
                <c:pt idx="2">
                  <c:v>1700580</c:v>
                </c:pt>
                <c:pt idx="3">
                  <c:v>1489752</c:v>
                </c:pt>
                <c:pt idx="4">
                  <c:v>1554245</c:v>
                </c:pt>
                <c:pt idx="5">
                  <c:v>1249754</c:v>
                </c:pt>
                <c:pt idx="6">
                  <c:v>1403194</c:v>
                </c:pt>
                <c:pt idx="7">
                  <c:v>1350353</c:v>
                </c:pt>
                <c:pt idx="8">
                  <c:v>1382871</c:v>
                </c:pt>
                <c:pt idx="9">
                  <c:v>1539354</c:v>
                </c:pt>
              </c:numCache>
            </c:numRef>
          </c:val>
          <c:smooth val="0"/>
        </c:ser>
        <c:ser>
          <c:idx val="1"/>
          <c:order val="1"/>
          <c:tx>
            <c:strRef>
              <c:f>'Table 4'!$D$4</c:f>
              <c:strCache>
                <c:ptCount val="1"/>
                <c:pt idx="0">
                  <c:v>1990 Emissions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'Table 4'!$B$5:$B$14</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'Table 4'!$D$5:$D$14</c:f>
              <c:numCache>
                <c:formatCode>#,##0</c:formatCode>
                <c:ptCount val="10"/>
                <c:pt idx="0">
                  <c:v>1131957</c:v>
                </c:pt>
                <c:pt idx="1">
                  <c:v>1131957</c:v>
                </c:pt>
                <c:pt idx="2">
                  <c:v>1131957</c:v>
                </c:pt>
                <c:pt idx="3">
                  <c:v>1131957</c:v>
                </c:pt>
                <c:pt idx="4">
                  <c:v>1131957</c:v>
                </c:pt>
                <c:pt idx="5">
                  <c:v>1131957</c:v>
                </c:pt>
                <c:pt idx="6">
                  <c:v>1131957</c:v>
                </c:pt>
                <c:pt idx="7">
                  <c:v>1131957</c:v>
                </c:pt>
                <c:pt idx="8">
                  <c:v>1131957</c:v>
                </c:pt>
                <c:pt idx="9">
                  <c:v>1131957</c:v>
                </c:pt>
              </c:numCache>
            </c:numRef>
          </c:val>
          <c:smooth val="0"/>
        </c:ser>
        <c:dLbls>
          <c:showLegendKey val="0"/>
          <c:showVal val="0"/>
          <c:showCatName val="0"/>
          <c:showSerName val="0"/>
          <c:showPercent val="0"/>
          <c:showBubbleSize val="0"/>
        </c:dLbls>
        <c:marker val="1"/>
        <c:smooth val="0"/>
        <c:axId val="114390552"/>
        <c:axId val="114390160"/>
      </c:lineChart>
      <c:catAx>
        <c:axId val="114390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390160"/>
        <c:crosses val="autoZero"/>
        <c:auto val="1"/>
        <c:lblAlgn val="ctr"/>
        <c:lblOffset val="100"/>
        <c:noMultiLvlLbl val="0"/>
      </c:catAx>
      <c:valAx>
        <c:axId val="114390160"/>
        <c:scaling>
          <c:orientation val="minMax"/>
          <c:min val="1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390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4A336F26EE4544BD0BCEAC58AD0EF4" ma:contentTypeVersion="104" ma:contentTypeDescription="" ma:contentTypeScope="" ma:versionID="19a100d0e4530c1deb1b753d25e09d1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2016-06-01T07:00:00+00:00</OpenedDate>
    <Date1 xmlns="dc463f71-b30c-4ab2-9473-d307f9d35888">2016-06-01T07:00:00+00:00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160773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9A66A95-E03E-408E-B27E-B977273AC0B7}"/>
</file>

<file path=customXml/itemProps2.xml><?xml version="1.0" encoding="utf-8"?>
<ds:datastoreItem xmlns:ds="http://schemas.openxmlformats.org/officeDocument/2006/customXml" ds:itemID="{282EB585-74C9-4822-9D59-E58F23C2568D}"/>
</file>

<file path=customXml/itemProps3.xml><?xml version="1.0" encoding="utf-8"?>
<ds:datastoreItem xmlns:ds="http://schemas.openxmlformats.org/officeDocument/2006/customXml" ds:itemID="{017E00B7-2C9F-47D3-B586-904264D7ED97}"/>
</file>

<file path=customXml/itemProps4.xml><?xml version="1.0" encoding="utf-8"?>
<ds:datastoreItem xmlns:ds="http://schemas.openxmlformats.org/officeDocument/2006/customXml" ds:itemID="{700227DF-75DE-41C6-995F-5391565373E4}"/>
</file>

<file path=docProps/app.xml><?xml version="1.0" encoding="utf-8"?>
<Properties xmlns="http://schemas.openxmlformats.org/officeDocument/2006/extended-properties" xmlns:vt="http://schemas.openxmlformats.org/officeDocument/2006/docPropsVTypes">
  <Template>Normal</Template>
  <TotalTime>7</TotalTime>
  <Pages>8</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John</dc:creator>
  <cp:keywords/>
  <dc:description/>
  <cp:lastModifiedBy>Bonfield, Shawn</cp:lastModifiedBy>
  <cp:revision>7</cp:revision>
  <dcterms:created xsi:type="dcterms:W3CDTF">2016-05-31T20:19:00Z</dcterms:created>
  <dcterms:modified xsi:type="dcterms:W3CDTF">2016-06-01T17:23:00Z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0x0101006E56B4D1795A2E4DB2F0B01679ED314A00284A336F26EE4544BD0BCEAC58AD0EF4</vt:lpwstr>
  </property>
  <property fmtid="{D5CDD505-2E9C-101B-9397-08002B2CF9AE}" pid="3" name="_docset_NoMedatataSyncRequired">
    <vt:lpwstr>False</vt:lpwstr>
  </property>
</Properties>
</file>