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0B403238" w:rsidR="000D273E" w:rsidRDefault="000D273E" w:rsidP="000D273E">
      <w:r>
        <w:t>Docket No.: TR-1</w:t>
      </w:r>
      <w:r w:rsidR="00EF5097">
        <w:t>60</w:t>
      </w:r>
      <w:r w:rsidR="0045762B">
        <w:t>394</w:t>
      </w:r>
    </w:p>
    <w:p w14:paraId="56B56875" w14:textId="05A5EE48" w:rsidR="000D273E" w:rsidRDefault="000D273E" w:rsidP="000D273E">
      <w:r>
        <w:t xml:space="preserve">Commission Approval Date: </w:t>
      </w:r>
      <w:r w:rsidR="008B5834">
        <w:t xml:space="preserve">April </w:t>
      </w:r>
      <w:r w:rsidR="00C82C6D">
        <w:t>2</w:t>
      </w:r>
      <w:r w:rsidR="00E47FE7">
        <w:t>6</w:t>
      </w:r>
      <w:r>
        <w:t>, 201</w:t>
      </w:r>
      <w:r w:rsidR="00EF5097">
        <w:t>6</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7CD0D6A9"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EF5097">
        <w:t>Central Washington Railroad</w:t>
      </w:r>
      <w:r w:rsidR="00F64130">
        <w:t xml:space="preserve"> (C</w:t>
      </w:r>
      <w:r w:rsidR="00EF5097">
        <w:t>WR</w:t>
      </w:r>
      <w:r w:rsidR="00F64130">
        <w:t>)</w:t>
      </w:r>
      <w:r>
        <w:t>, 111 University Parkway Suite 200, Yakima, WA</w:t>
      </w:r>
      <w:r w:rsidR="002C5C34">
        <w:t>,</w:t>
      </w:r>
      <w:r>
        <w:t xml:space="preserve"> 98901,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399EB8B7" w:rsidR="000D273E" w:rsidRDefault="000D273E" w:rsidP="000D273E">
      <w:pPr>
        <w:ind w:left="360"/>
      </w:pPr>
      <w:r>
        <w:t>This agreement sets out the terms and conditions by which grants are made from the Grade Crossing Protective Fund. These grants are administered by the UTC to the grantee for Docket No. TR-1</w:t>
      </w:r>
      <w:r w:rsidR="00EF5097">
        <w:t>60</w:t>
      </w:r>
      <w:r w:rsidR="008B5834">
        <w:t>39</w:t>
      </w:r>
      <w:r w:rsidR="00001D1F">
        <w:t>4</w:t>
      </w:r>
      <w:r>
        <w:t>, 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0F6213F8" w:rsidR="000D273E" w:rsidRDefault="000D273E" w:rsidP="000D273E">
      <w:pPr>
        <w:tabs>
          <w:tab w:val="left" w:pos="0"/>
        </w:tabs>
        <w:ind w:left="360" w:hanging="360"/>
      </w:pPr>
      <w:r>
        <w:tab/>
        <w:t>TR-1</w:t>
      </w:r>
      <w:r w:rsidR="00EF5097">
        <w:t>60</w:t>
      </w:r>
      <w:r w:rsidR="008B5834">
        <w:t>39</w:t>
      </w:r>
      <w:r w:rsidR="00001D1F">
        <w:t>4</w:t>
      </w:r>
      <w:r>
        <w:t xml:space="preserve"> involves </w:t>
      </w:r>
      <w:r w:rsidR="008B5834">
        <w:rPr>
          <w:iCs/>
        </w:rPr>
        <w:t>upgrading the existing incandescent flashing lights to LEDs and replacing batteries and battery chargers</w:t>
      </w:r>
      <w:r w:rsidR="008B5834">
        <w:t xml:space="preserve"> at the </w:t>
      </w:r>
      <w:r w:rsidR="00001D1F">
        <w:rPr>
          <w:iCs/>
        </w:rPr>
        <w:t>East Lincoln Avenue</w:t>
      </w:r>
      <w:r w:rsidR="008B5834" w:rsidRPr="00FB5F03">
        <w:rPr>
          <w:iCs/>
        </w:rPr>
        <w:t xml:space="preserve"> </w:t>
      </w:r>
      <w:r>
        <w:t xml:space="preserve">crossing in </w:t>
      </w:r>
      <w:r w:rsidR="00001D1F">
        <w:t>Sunnyside</w:t>
      </w:r>
      <w:r>
        <w:rPr>
          <w:iCs/>
        </w:rPr>
        <w:t>.</w:t>
      </w:r>
      <w:r>
        <w:t xml:space="preserve"> The crossing is identified as USDOT </w:t>
      </w:r>
      <w:r w:rsidR="00001D1F">
        <w:t>098594Y</w:t>
      </w:r>
      <w:r>
        <w:t xml:space="preserve">. Specific information about the project is contained in </w:t>
      </w:r>
      <w:r w:rsidR="00F64130">
        <w:t>C</w:t>
      </w:r>
      <w:r w:rsidR="00EF5097">
        <w:t>W</w:t>
      </w:r>
      <w:r w:rsidR="00F64130">
        <w:t>R</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706788F6" w:rsidR="000D273E" w:rsidRDefault="000D273E" w:rsidP="000D273E">
      <w:pPr>
        <w:tabs>
          <w:tab w:val="left" w:pos="0"/>
        </w:tabs>
        <w:ind w:left="360" w:hanging="360"/>
      </w:pPr>
      <w:r>
        <w:tab/>
        <w:t xml:space="preserve">The project reimbursement period shall begin on </w:t>
      </w:r>
      <w:r w:rsidR="008B5834">
        <w:t xml:space="preserve">April </w:t>
      </w:r>
      <w:r w:rsidR="00C82C6D">
        <w:t>2</w:t>
      </w:r>
      <w:r w:rsidR="00E47FE7">
        <w:t>6</w:t>
      </w:r>
      <w:bookmarkStart w:id="2" w:name="_GoBack"/>
      <w:bookmarkEnd w:id="2"/>
      <w:r w:rsidR="00EF5097">
        <w:t>, 2016</w:t>
      </w:r>
      <w:r>
        <w:t xml:space="preserve">, and end </w:t>
      </w:r>
      <w:r w:rsidR="008B5834">
        <w:t>April</w:t>
      </w:r>
      <w:r w:rsidR="00AC2DE1">
        <w:t xml:space="preserve"> 1, 201</w:t>
      </w:r>
      <w:r w:rsidR="00EF5097">
        <w:t>7</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55CC8AA3" w:rsidR="000D273E" w:rsidRDefault="000D273E" w:rsidP="000D273E">
      <w:pPr>
        <w:tabs>
          <w:tab w:val="left" w:pos="0"/>
        </w:tabs>
        <w:ind w:left="360" w:hanging="360"/>
      </w:pPr>
      <w:r>
        <w:tab/>
        <w:t xml:space="preserve">Total grant funding awarded by the UTC for this project shall not </w:t>
      </w:r>
      <w:r w:rsidR="00AC2DE1">
        <w:t>exceed $</w:t>
      </w:r>
      <w:r w:rsidR="00001D1F">
        <w:rPr>
          <w:bCs/>
        </w:rPr>
        <w:t>10,700</w:t>
      </w:r>
      <w:r w:rsidR="008B5834">
        <w:rPr>
          <w:bCs/>
        </w:rPr>
        <w:t>.</w:t>
      </w:r>
      <w:r>
        <w:t xml:space="preserve"> The total approximate cost of the project is </w:t>
      </w:r>
      <w:r w:rsidRPr="009A0357">
        <w:rPr>
          <w:bCs/>
        </w:rPr>
        <w:t>$</w:t>
      </w:r>
      <w:r w:rsidR="00001D1F">
        <w:rPr>
          <w:bCs/>
        </w:rPr>
        <w:t>10,700</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4940392" w14:textId="77777777" w:rsidR="000D273E" w:rsidRDefault="000D273E" w:rsidP="000D273E">
      <w:pPr>
        <w:tabs>
          <w:tab w:val="left" w:pos="0"/>
        </w:tabs>
        <w:ind w:left="360" w:hanging="360"/>
      </w:pP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7B95E23B" w14:textId="77777777" w:rsidR="000D273E" w:rsidRDefault="000D273E"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62F6B668" w14:textId="77777777" w:rsidR="00EF5097" w:rsidRDefault="00EF5097" w:rsidP="000D273E">
      <w:pPr>
        <w:tabs>
          <w:tab w:val="left" w:pos="0"/>
        </w:tabs>
        <w:ind w:left="360" w:hanging="360"/>
      </w:pPr>
    </w:p>
    <w:p w14:paraId="2DC0A4A0" w14:textId="77777777" w:rsidR="00EF5097" w:rsidRDefault="00EF5097" w:rsidP="000D273E">
      <w:pPr>
        <w:tabs>
          <w:tab w:val="left" w:pos="0"/>
        </w:tabs>
        <w:ind w:left="360" w:hanging="360"/>
      </w:pPr>
    </w:p>
    <w:p w14:paraId="7FDFBC70" w14:textId="77777777" w:rsidR="000D273E" w:rsidRDefault="000D273E" w:rsidP="000D273E">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C6779E8" w14:textId="4C2565F4" w:rsidR="00FA5ACB" w:rsidRDefault="00EF5097" w:rsidP="00BD7518">
            <w:pPr>
              <w:tabs>
                <w:tab w:val="left" w:pos="0"/>
              </w:tabs>
            </w:pPr>
            <w:r>
              <w:t>Central Washington</w:t>
            </w:r>
            <w:r w:rsidR="000D273E">
              <w:t xml:space="preserve"> Railroad</w:t>
            </w:r>
          </w:p>
          <w:p w14:paraId="2356D59A" w14:textId="554D4139" w:rsidR="00FA5ACB" w:rsidRDefault="00FA5ACB" w:rsidP="00BD7518">
            <w:pPr>
              <w:tabs>
                <w:tab w:val="left" w:pos="0"/>
              </w:tabs>
            </w:pPr>
            <w:r>
              <w:t>David Cyr</w:t>
            </w:r>
          </w:p>
          <w:p w14:paraId="6D2B2E69" w14:textId="3B91307C" w:rsidR="000D273E" w:rsidRDefault="000D273E" w:rsidP="00FA5ACB">
            <w:pPr>
              <w:tabs>
                <w:tab w:val="left" w:pos="0"/>
              </w:tabs>
            </w:pPr>
            <w:r>
              <w:t>111 University Parkway</w:t>
            </w:r>
            <w:r w:rsidR="00FA5ACB">
              <w:t>,</w:t>
            </w:r>
            <w:r>
              <w:t xml:space="preserve"> Suite 200 Yakima, WA 98901</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6675E614" w:rsidR="000D273E" w:rsidRDefault="00EF5097" w:rsidP="000D273E">
      <w:pPr>
        <w:tabs>
          <w:tab w:val="left" w:pos="0"/>
        </w:tabs>
        <w:ind w:left="360" w:hanging="360"/>
      </w:pPr>
      <w:r>
        <w:t>Central Washington</w:t>
      </w:r>
      <w:r w:rsidR="000D273E">
        <w:t xml:space="preserve"> Railroad</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E47FE7"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E7D" w14:textId="77777777" w:rsidR="001044D4" w:rsidRDefault="00E47F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A29" w14:textId="77777777" w:rsidR="001044D4" w:rsidRDefault="00E47F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E47FE7">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70" w14:textId="77777777" w:rsidR="001044D4" w:rsidRDefault="00E47F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BBA8" w14:textId="77777777" w:rsidR="001044D4" w:rsidRDefault="00E47F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936F" w14:textId="77777777" w:rsidR="001044D4" w:rsidRDefault="00E47F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01D1F"/>
    <w:rsid w:val="00026A0E"/>
    <w:rsid w:val="000D273E"/>
    <w:rsid w:val="00290610"/>
    <w:rsid w:val="002C5C34"/>
    <w:rsid w:val="0045762B"/>
    <w:rsid w:val="005A2E47"/>
    <w:rsid w:val="005C2189"/>
    <w:rsid w:val="00616309"/>
    <w:rsid w:val="007840A2"/>
    <w:rsid w:val="008B5834"/>
    <w:rsid w:val="009C5C30"/>
    <w:rsid w:val="00AC2DE1"/>
    <w:rsid w:val="00BA3CFB"/>
    <w:rsid w:val="00C82C6D"/>
    <w:rsid w:val="00E36081"/>
    <w:rsid w:val="00E47FE7"/>
    <w:rsid w:val="00E501B3"/>
    <w:rsid w:val="00EF5097"/>
    <w:rsid w:val="00F64130"/>
    <w:rsid w:val="00FA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766706"/>
  <w15:chartTrackingRefBased/>
  <w15:docId w15:val="{97B0E1B8-B056-415B-8257-A7B7C4FE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55F30FB1423149AF458E90F4C35A31" ma:contentTypeVersion="104" ma:contentTypeDescription="" ma:contentTypeScope="" ma:versionID="e23ab0cb9e0702372481a91463be3b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2016-04-26T07:00:00+00:00</Date1>
    <IsDocumentOrder xmlns="dc463f71-b30c-4ab2-9473-d307f9d35888">true</IsDocumentOrder>
    <IsHighlyConfidential xmlns="dc463f71-b30c-4ab2-9473-d307f9d35888">false</IsHighlyConfidential>
    <CaseCompanyNames xmlns="dc463f71-b30c-4ab2-9473-d307f9d35888">Central Washington Railroad Company;City of Sunnyside</CaseCompanyNames>
    <DocketNumber xmlns="dc463f71-b30c-4ab2-9473-d307f9d35888">160394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6FBEE03-1388-4879-A8F8-88CDB78D1362}"/>
</file>

<file path=customXml/itemProps2.xml><?xml version="1.0" encoding="utf-8"?>
<ds:datastoreItem xmlns:ds="http://schemas.openxmlformats.org/officeDocument/2006/customXml" ds:itemID="{471989B8-E0E2-409D-A0AD-A9E2509665FA}"/>
</file>

<file path=customXml/itemProps3.xml><?xml version="1.0" encoding="utf-8"?>
<ds:datastoreItem xmlns:ds="http://schemas.openxmlformats.org/officeDocument/2006/customXml" ds:itemID="{3569AC73-AADC-4F29-A7F8-6AF672CCF02E}"/>
</file>

<file path=customXml/itemProps4.xml><?xml version="1.0" encoding="utf-8"?>
<ds:datastoreItem xmlns:ds="http://schemas.openxmlformats.org/officeDocument/2006/customXml" ds:itemID="{09DA6483-D577-4B63-93E8-0335C0858B18}"/>
</file>

<file path=docProps/app.xml><?xml version="1.0" encoding="utf-8"?>
<Properties xmlns="http://schemas.openxmlformats.org/officeDocument/2006/extended-properties" xmlns:vt="http://schemas.openxmlformats.org/officeDocument/2006/docPropsVTypes">
  <Template>Normal</Template>
  <TotalTime>39</TotalTime>
  <Pages>11</Pages>
  <Words>3863</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Betty (UTC)</dc:creator>
  <cp:keywords/>
  <dc:description/>
  <cp:lastModifiedBy>Young, Betty (UTC)</cp:lastModifiedBy>
  <cp:revision>6</cp:revision>
  <dcterms:created xsi:type="dcterms:W3CDTF">2016-04-12T20:32:00Z</dcterms:created>
  <dcterms:modified xsi:type="dcterms:W3CDTF">2016-04-22T17:49:00Z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0x0101006E56B4D1795A2E4DB2F0B01679ED314A004B55F30FB1423149AF458E90F4C35A31</vt:lpwstr>
  </property>
  <property fmtid="{D5CDD505-2E9C-101B-9397-08002B2CF9AE}" pid="3" name="_docset_NoMedatataSyncRequired">
    <vt:lpwstr>False</vt:lpwstr>
  </property>
</Properties>
</file>