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B78A0" w14:textId="77777777" w:rsidR="00C854D2" w:rsidRPr="003A538E" w:rsidRDefault="00C854D2" w:rsidP="00A5023A">
      <w:pPr>
        <w:pStyle w:val="BodyText"/>
        <w:spacing w:line="264" w:lineRule="auto"/>
        <w:rPr>
          <w:b/>
          <w:bCs/>
          <w:szCs w:val="24"/>
        </w:rPr>
      </w:pPr>
      <w:bookmarkStart w:id="0" w:name="_GoBack"/>
      <w:bookmarkEnd w:id="0"/>
      <w:r w:rsidRPr="003A538E">
        <w:rPr>
          <w:b/>
          <w:bCs/>
          <w:szCs w:val="24"/>
        </w:rPr>
        <w:t>BEFORE THE WASHINGTON</w:t>
      </w:r>
    </w:p>
    <w:p w14:paraId="1D0B78A1" w14:textId="0A4C63D6" w:rsidR="00C854D2" w:rsidRPr="003A538E" w:rsidRDefault="00C854D2" w:rsidP="00A5023A">
      <w:pPr>
        <w:pStyle w:val="BodyText"/>
        <w:spacing w:line="264" w:lineRule="auto"/>
        <w:rPr>
          <w:b/>
          <w:bCs/>
          <w:szCs w:val="24"/>
        </w:rPr>
      </w:pPr>
      <w:r w:rsidRPr="003A538E">
        <w:rPr>
          <w:b/>
          <w:bCs/>
          <w:szCs w:val="24"/>
        </w:rPr>
        <w:t xml:space="preserve">UTILITIES AND TRANSPORTATION </w:t>
      </w:r>
      <w:r w:rsidR="005E7D4C">
        <w:rPr>
          <w:b/>
          <w:bCs/>
          <w:szCs w:val="24"/>
        </w:rPr>
        <w:t>COMMISSION</w:t>
      </w:r>
    </w:p>
    <w:p w14:paraId="1D0B78A2" w14:textId="77777777" w:rsidR="00C854D2" w:rsidRPr="003A538E" w:rsidRDefault="00C854D2" w:rsidP="00A5023A">
      <w:pPr>
        <w:spacing w:line="264" w:lineRule="auto"/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05"/>
        <w:gridCol w:w="335"/>
        <w:gridCol w:w="4134"/>
      </w:tblGrid>
      <w:tr w:rsidR="00C854D2" w:rsidRPr="003A538E" w14:paraId="1D0B78B9" w14:textId="77777777" w:rsidTr="00A5023A">
        <w:tc>
          <w:tcPr>
            <w:tcW w:w="3805" w:type="dxa"/>
          </w:tcPr>
          <w:p w14:paraId="1D0B78A3" w14:textId="3F31F3E0" w:rsidR="00C854D2" w:rsidRPr="003A538E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Cs w:val="24"/>
              </w:rPr>
            </w:pPr>
            <w:r w:rsidRPr="003A538E">
              <w:rPr>
                <w:szCs w:val="24"/>
              </w:rPr>
              <w:t xml:space="preserve">In the Matter of the </w:t>
            </w:r>
            <w:r w:rsidR="00B953CB">
              <w:rPr>
                <w:szCs w:val="24"/>
              </w:rPr>
              <w:t xml:space="preserve">Removal from </w:t>
            </w:r>
            <w:r w:rsidR="005E7D4C">
              <w:rPr>
                <w:szCs w:val="24"/>
              </w:rPr>
              <w:t>Commission</w:t>
            </w:r>
            <w:r w:rsidR="00B953CB">
              <w:rPr>
                <w:szCs w:val="24"/>
              </w:rPr>
              <w:t xml:space="preserve"> Regulation </w:t>
            </w:r>
            <w:r w:rsidRPr="003A538E">
              <w:rPr>
                <w:szCs w:val="24"/>
              </w:rPr>
              <w:t>of</w:t>
            </w:r>
            <w:r w:rsidR="00A5023A">
              <w:rPr>
                <w:szCs w:val="24"/>
              </w:rPr>
              <w:t>:</w:t>
            </w:r>
          </w:p>
          <w:p w14:paraId="1D0B78A4" w14:textId="77777777" w:rsidR="00C854D2" w:rsidRPr="003A538E" w:rsidRDefault="00C854D2" w:rsidP="00A5023A">
            <w:pPr>
              <w:spacing w:line="264" w:lineRule="auto"/>
              <w:rPr>
                <w:szCs w:val="24"/>
              </w:rPr>
            </w:pPr>
          </w:p>
          <w:p w14:paraId="1D0B78A5" w14:textId="7AAA9A9E" w:rsidR="00C854D2" w:rsidRPr="003A538E" w:rsidRDefault="00090BD5" w:rsidP="00A5023A">
            <w:pPr>
              <w:spacing w:line="264" w:lineRule="auto"/>
              <w:rPr>
                <w:szCs w:val="24"/>
              </w:rPr>
            </w:pPr>
            <w:r>
              <w:rPr>
                <w:szCs w:val="24"/>
              </w:rPr>
              <w:t>FRAGARIA LANDING</w:t>
            </w:r>
            <w:r w:rsidR="000F62CF">
              <w:rPr>
                <w:szCs w:val="24"/>
              </w:rPr>
              <w:t xml:space="preserve"> </w:t>
            </w:r>
            <w:r w:rsidR="000F62CF">
              <w:t xml:space="preserve">WATER </w:t>
            </w:r>
            <w:r w:rsidR="000F62CF" w:rsidRPr="00674F64">
              <w:t>CO</w:t>
            </w:r>
            <w:r w:rsidR="000F62CF">
              <w:t>MPANY; LOWPER, INCORPORATED DBA LOWPER WATER COMPANY; MARBELLO WATER CO., INC. AND SJM WATER SERVICE, INC.</w:t>
            </w:r>
          </w:p>
          <w:p w14:paraId="1D0B78A6" w14:textId="77777777" w:rsidR="00C854D2" w:rsidRPr="003A538E" w:rsidRDefault="00C854D2" w:rsidP="00A5023A">
            <w:pPr>
              <w:spacing w:line="264" w:lineRule="auto"/>
              <w:rPr>
                <w:szCs w:val="24"/>
              </w:rPr>
            </w:pPr>
          </w:p>
          <w:p w14:paraId="1D0B78A9" w14:textId="6389285F" w:rsidR="00C854D2" w:rsidRDefault="00C854D2" w:rsidP="00A5023A">
            <w:pPr>
              <w:spacing w:line="264" w:lineRule="auto"/>
              <w:rPr>
                <w:szCs w:val="24"/>
              </w:rPr>
            </w:pPr>
            <w:r w:rsidRPr="003A538E">
              <w:rPr>
                <w:szCs w:val="24"/>
              </w:rPr>
              <w:t xml:space="preserve">Requesting </w:t>
            </w:r>
            <w:r w:rsidR="00CE4DDF">
              <w:rPr>
                <w:szCs w:val="24"/>
              </w:rPr>
              <w:t>cancellation of Tariffs</w:t>
            </w:r>
          </w:p>
          <w:p w14:paraId="1D0B78AA" w14:textId="77777777" w:rsidR="00C854D2" w:rsidRPr="003A538E" w:rsidRDefault="00C854D2" w:rsidP="00A5023A">
            <w:pPr>
              <w:spacing w:line="264" w:lineRule="auto"/>
              <w:rPr>
                <w:szCs w:val="24"/>
              </w:rPr>
            </w:pPr>
            <w:r w:rsidRPr="003A538E">
              <w:rPr>
                <w:szCs w:val="24"/>
              </w:rPr>
              <w:t xml:space="preserve">. . . . . . . . . . . . . . . . . . . . . . . . . . . . . </w:t>
            </w:r>
            <w:r w:rsidR="00036C27">
              <w:rPr>
                <w:szCs w:val="24"/>
              </w:rPr>
              <w:t xml:space="preserve">. </w:t>
            </w:r>
          </w:p>
        </w:tc>
        <w:tc>
          <w:tcPr>
            <w:tcW w:w="335" w:type="dxa"/>
          </w:tcPr>
          <w:p w14:paraId="6F0A7948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36E2CB4C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4C7AD537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71F62DF1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362ECD4A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3E99FC8A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5D948A6E" w14:textId="77777777" w:rsidR="00A5023A" w:rsidRDefault="00A5023A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1D0B78AB" w14:textId="268F8058" w:rsidR="00C854D2" w:rsidRPr="003A538E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063A1D5F" w14:textId="77777777" w:rsidR="00A5023A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1D0B78AC" w14:textId="7E8571B7" w:rsidR="00C854D2" w:rsidRDefault="00C854D2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</w:p>
          <w:p w14:paraId="1D0B78AD" w14:textId="77777777" w:rsidR="0096060D" w:rsidRDefault="0096060D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1D0B78AE" w14:textId="77777777" w:rsidR="00036C27" w:rsidRDefault="00036C27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1D0B78B1" w14:textId="714489A9" w:rsidR="00036C27" w:rsidRPr="003A538E" w:rsidRDefault="00036C27" w:rsidP="00A50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4134" w:type="dxa"/>
          </w:tcPr>
          <w:p w14:paraId="1D0B78B2" w14:textId="664AF067" w:rsidR="00C854D2" w:rsidRPr="003A538E" w:rsidRDefault="00C854D2" w:rsidP="00A5023A">
            <w:pPr>
              <w:spacing w:line="264" w:lineRule="auto"/>
              <w:rPr>
                <w:szCs w:val="24"/>
              </w:rPr>
            </w:pPr>
            <w:r w:rsidRPr="003A538E">
              <w:rPr>
                <w:szCs w:val="24"/>
              </w:rPr>
              <w:t xml:space="preserve">DOCKET </w:t>
            </w:r>
            <w:r w:rsidR="00090BD5">
              <w:rPr>
                <w:szCs w:val="24"/>
              </w:rPr>
              <w:t>UW-151639</w:t>
            </w:r>
          </w:p>
          <w:p w14:paraId="1D0B78B3" w14:textId="77777777" w:rsidR="00C854D2" w:rsidRPr="003A538E" w:rsidRDefault="00C854D2" w:rsidP="00A5023A">
            <w:pPr>
              <w:spacing w:line="264" w:lineRule="auto"/>
              <w:rPr>
                <w:szCs w:val="24"/>
              </w:rPr>
            </w:pPr>
          </w:p>
          <w:p w14:paraId="1D0B78B4" w14:textId="5FF31D83" w:rsidR="00C854D2" w:rsidRPr="003A538E" w:rsidRDefault="00C854D2" w:rsidP="00A5023A">
            <w:pPr>
              <w:spacing w:line="264" w:lineRule="auto"/>
              <w:rPr>
                <w:b/>
                <w:bCs/>
                <w:szCs w:val="24"/>
              </w:rPr>
            </w:pPr>
            <w:r w:rsidRPr="003A538E">
              <w:rPr>
                <w:szCs w:val="24"/>
              </w:rPr>
              <w:t xml:space="preserve">ORDER </w:t>
            </w:r>
            <w:r w:rsidR="00090BD5">
              <w:rPr>
                <w:szCs w:val="24"/>
              </w:rPr>
              <w:t>01</w:t>
            </w:r>
          </w:p>
          <w:p w14:paraId="1D0B78B5" w14:textId="77777777" w:rsidR="00C854D2" w:rsidRDefault="00C854D2" w:rsidP="00A5023A">
            <w:pPr>
              <w:spacing w:line="264" w:lineRule="auto"/>
              <w:rPr>
                <w:szCs w:val="24"/>
              </w:rPr>
            </w:pPr>
          </w:p>
          <w:p w14:paraId="1D0B78B8" w14:textId="45F31674" w:rsidR="00C854D2" w:rsidRPr="003A538E" w:rsidRDefault="00673BD0" w:rsidP="00136805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Cs w:val="24"/>
              </w:rPr>
            </w:pPr>
            <w:r>
              <w:rPr>
                <w:szCs w:val="24"/>
              </w:rPr>
              <w:t>ORDER REMOVING COMPANIES</w:t>
            </w:r>
            <w:r w:rsidR="00C854D2" w:rsidRPr="003A538E">
              <w:rPr>
                <w:szCs w:val="24"/>
              </w:rPr>
              <w:t xml:space="preserve"> FROM REGULATION</w:t>
            </w:r>
            <w:r w:rsidR="00836D97">
              <w:rPr>
                <w:szCs w:val="24"/>
              </w:rPr>
              <w:t xml:space="preserve"> </w:t>
            </w:r>
            <w:r w:rsidR="00136805">
              <w:rPr>
                <w:szCs w:val="24"/>
              </w:rPr>
              <w:t>AND</w:t>
            </w:r>
            <w:r w:rsidR="00836D97">
              <w:rPr>
                <w:szCs w:val="24"/>
              </w:rPr>
              <w:t xml:space="preserve"> </w:t>
            </w:r>
            <w:r w:rsidR="00C854D2" w:rsidRPr="003A538E">
              <w:rPr>
                <w:szCs w:val="24"/>
              </w:rPr>
              <w:t>CANCEL</w:t>
            </w:r>
            <w:r w:rsidR="007C2AE2">
              <w:rPr>
                <w:szCs w:val="24"/>
              </w:rPr>
              <w:t>L</w:t>
            </w:r>
            <w:r w:rsidR="00C854D2" w:rsidRPr="003A538E">
              <w:rPr>
                <w:szCs w:val="24"/>
              </w:rPr>
              <w:t>ING TARIFF</w:t>
            </w:r>
            <w:r w:rsidR="00836D97">
              <w:rPr>
                <w:szCs w:val="24"/>
              </w:rPr>
              <w:t>S</w:t>
            </w:r>
            <w:r w:rsidR="00C854D2" w:rsidRPr="003A538E">
              <w:rPr>
                <w:szCs w:val="24"/>
              </w:rPr>
              <w:t xml:space="preserve"> AFTER </w:t>
            </w:r>
            <w:r w:rsidR="00836D97">
              <w:rPr>
                <w:szCs w:val="24"/>
              </w:rPr>
              <w:t xml:space="preserve">SALE AND </w:t>
            </w:r>
            <w:r w:rsidR="00C854D2" w:rsidRPr="003A538E">
              <w:rPr>
                <w:szCs w:val="24"/>
              </w:rPr>
              <w:t>TRANSFER</w:t>
            </w:r>
            <w:r w:rsidR="005F2609">
              <w:rPr>
                <w:szCs w:val="24"/>
              </w:rPr>
              <w:t xml:space="preserve"> OF STOCK AND MERGER</w:t>
            </w:r>
          </w:p>
        </w:tc>
      </w:tr>
    </w:tbl>
    <w:p w14:paraId="1D0B78BA" w14:textId="77777777" w:rsidR="00C854D2" w:rsidRPr="003A538E" w:rsidRDefault="00C854D2" w:rsidP="00A5023A">
      <w:pPr>
        <w:spacing w:line="264" w:lineRule="auto"/>
        <w:jc w:val="center"/>
        <w:rPr>
          <w:szCs w:val="24"/>
        </w:rPr>
      </w:pPr>
    </w:p>
    <w:p w14:paraId="1D0B78BB" w14:textId="77777777" w:rsidR="00C854D2" w:rsidRPr="003A538E" w:rsidRDefault="00C854D2" w:rsidP="00A5023A">
      <w:pPr>
        <w:pStyle w:val="Heading1"/>
        <w:spacing w:line="264" w:lineRule="auto"/>
        <w:rPr>
          <w:szCs w:val="24"/>
        </w:rPr>
      </w:pPr>
      <w:r w:rsidRPr="003A538E">
        <w:rPr>
          <w:szCs w:val="24"/>
        </w:rPr>
        <w:t>BACKGROUND</w:t>
      </w:r>
    </w:p>
    <w:p w14:paraId="1D0B78BC" w14:textId="77777777" w:rsidR="00C854D2" w:rsidRPr="003A538E" w:rsidRDefault="00C854D2" w:rsidP="00A5023A">
      <w:pPr>
        <w:spacing w:line="264" w:lineRule="auto"/>
        <w:rPr>
          <w:szCs w:val="24"/>
        </w:rPr>
      </w:pPr>
    </w:p>
    <w:p w14:paraId="1D0B78BD" w14:textId="23BF4E36" w:rsidR="00856D70" w:rsidRDefault="00C854D2" w:rsidP="00136805">
      <w:pPr>
        <w:numPr>
          <w:ilvl w:val="0"/>
          <w:numId w:val="1"/>
        </w:numPr>
        <w:spacing w:line="264" w:lineRule="auto"/>
        <w:rPr>
          <w:szCs w:val="24"/>
        </w:rPr>
      </w:pPr>
      <w:r w:rsidRPr="003A538E">
        <w:rPr>
          <w:szCs w:val="24"/>
        </w:rPr>
        <w:t xml:space="preserve">On </w:t>
      </w:r>
      <w:r w:rsidR="00090BD5">
        <w:rPr>
          <w:szCs w:val="24"/>
        </w:rPr>
        <w:t>August 7, 2015</w:t>
      </w:r>
      <w:r w:rsidRPr="003A538E">
        <w:rPr>
          <w:szCs w:val="24"/>
        </w:rPr>
        <w:t xml:space="preserve">, </w:t>
      </w:r>
      <w:r w:rsidR="00055DFC" w:rsidRPr="00095EB9">
        <w:t>Fragaria Landing Water Company</w:t>
      </w:r>
      <w:r w:rsidR="00055DFC">
        <w:t xml:space="preserve"> (Fragaria)</w:t>
      </w:r>
      <w:r w:rsidR="00022D9D">
        <w:t>;</w:t>
      </w:r>
      <w:r w:rsidR="00055DFC" w:rsidRPr="00095EB9">
        <w:t xml:space="preserve"> Lowper, Incorporated </w:t>
      </w:r>
      <w:r w:rsidR="00055DFC">
        <w:t>dba</w:t>
      </w:r>
      <w:r w:rsidR="00055DFC" w:rsidRPr="00095EB9">
        <w:t xml:space="preserve"> Lowper Water Company</w:t>
      </w:r>
      <w:r w:rsidR="00055DFC">
        <w:t xml:space="preserve"> (Lowper)</w:t>
      </w:r>
      <w:r w:rsidR="00022D9D">
        <w:t>;</w:t>
      </w:r>
      <w:r w:rsidR="00055DFC" w:rsidRPr="00095EB9">
        <w:t xml:space="preserve"> Marbello Water Co., Inc.</w:t>
      </w:r>
      <w:r w:rsidR="00055DFC">
        <w:t xml:space="preserve"> (Marbello)</w:t>
      </w:r>
      <w:r w:rsidR="00022D9D">
        <w:t>;</w:t>
      </w:r>
      <w:r w:rsidR="00055DFC" w:rsidRPr="00095EB9">
        <w:t xml:space="preserve"> and SJM Water Service, Inc.</w:t>
      </w:r>
      <w:r w:rsidR="00055DFC">
        <w:t xml:space="preserve"> (SJM) </w:t>
      </w:r>
      <w:r w:rsidR="00EC17EF">
        <w:rPr>
          <w:szCs w:val="24"/>
        </w:rPr>
        <w:t xml:space="preserve">located </w:t>
      </w:r>
      <w:r w:rsidR="004173E4">
        <w:rPr>
          <w:bCs/>
          <w:szCs w:val="24"/>
        </w:rPr>
        <w:t xml:space="preserve">in </w:t>
      </w:r>
      <w:r w:rsidR="00136805" w:rsidRPr="00136805">
        <w:rPr>
          <w:bCs/>
          <w:szCs w:val="24"/>
        </w:rPr>
        <w:t xml:space="preserve">Snohomish </w:t>
      </w:r>
      <w:r w:rsidR="004173E4">
        <w:rPr>
          <w:bCs/>
          <w:szCs w:val="24"/>
        </w:rPr>
        <w:t>County</w:t>
      </w:r>
      <w:r w:rsidR="00836D97">
        <w:rPr>
          <w:bCs/>
          <w:szCs w:val="24"/>
        </w:rPr>
        <w:t xml:space="preserve">, </w:t>
      </w:r>
      <w:r w:rsidR="00116773">
        <w:rPr>
          <w:bCs/>
          <w:szCs w:val="24"/>
        </w:rPr>
        <w:t xml:space="preserve">(collectively “Companies”) </w:t>
      </w:r>
      <w:r w:rsidR="00836D97">
        <w:rPr>
          <w:bCs/>
          <w:szCs w:val="24"/>
        </w:rPr>
        <w:t>filed to</w:t>
      </w:r>
      <w:r w:rsidRPr="003A538E">
        <w:rPr>
          <w:b/>
          <w:bCs/>
          <w:szCs w:val="24"/>
        </w:rPr>
        <w:t xml:space="preserve"> </w:t>
      </w:r>
      <w:r w:rsidR="005F2609">
        <w:t>be removed from the list of regulated companies and that their respective tariffs be cancelled</w:t>
      </w:r>
      <w:r w:rsidR="00055DFC">
        <w:t>.</w:t>
      </w:r>
      <w:r w:rsidR="00A5023A">
        <w:t xml:space="preserve"> </w:t>
      </w:r>
      <w:r w:rsidR="00856D70">
        <w:t xml:space="preserve">On </w:t>
      </w:r>
      <w:r w:rsidR="005F2609">
        <w:t>July 30, 2015</w:t>
      </w:r>
      <w:r w:rsidR="00673BD0">
        <w:t>,</w:t>
      </w:r>
      <w:r w:rsidR="00116773">
        <w:t xml:space="preserve"> in Docket UW-150688,</w:t>
      </w:r>
      <w:r w:rsidR="00673BD0">
        <w:t xml:space="preserve"> t</w:t>
      </w:r>
      <w:r w:rsidR="006B190C">
        <w:t xml:space="preserve">he </w:t>
      </w:r>
      <w:r w:rsidR="00D97677">
        <w:rPr>
          <w:szCs w:val="24"/>
        </w:rPr>
        <w:t xml:space="preserve">Washington Utilities and Transportation </w:t>
      </w:r>
      <w:r w:rsidR="005E7D4C">
        <w:rPr>
          <w:szCs w:val="24"/>
        </w:rPr>
        <w:t>Commission</w:t>
      </w:r>
      <w:r w:rsidR="00D97677">
        <w:rPr>
          <w:szCs w:val="24"/>
        </w:rPr>
        <w:t xml:space="preserve"> (</w:t>
      </w:r>
      <w:r w:rsidR="005E7D4C">
        <w:rPr>
          <w:szCs w:val="24"/>
        </w:rPr>
        <w:t>Commission</w:t>
      </w:r>
      <w:r w:rsidR="00D97677">
        <w:rPr>
          <w:szCs w:val="24"/>
        </w:rPr>
        <w:t xml:space="preserve">) </w:t>
      </w:r>
      <w:r w:rsidR="0041612D">
        <w:t xml:space="preserve">approved the sale and transfer </w:t>
      </w:r>
      <w:r w:rsidR="00856D70" w:rsidRPr="00B6675B">
        <w:t xml:space="preserve">of </w:t>
      </w:r>
      <w:r w:rsidR="00116773">
        <w:t>stock</w:t>
      </w:r>
      <w:r w:rsidR="00856D70" w:rsidRPr="00B6675B">
        <w:t xml:space="preserve"> </w:t>
      </w:r>
      <w:r w:rsidR="00116773">
        <w:t>and merger of Com</w:t>
      </w:r>
      <w:r w:rsidR="002030C5">
        <w:t>panies into Iliad Water Service</w:t>
      </w:r>
      <w:r w:rsidR="00F909EB">
        <w:t xml:space="preserve">, Inc. </w:t>
      </w:r>
      <w:r w:rsidR="00116773">
        <w:t xml:space="preserve">(Iliad), a regulated water company. </w:t>
      </w:r>
    </w:p>
    <w:p w14:paraId="1D0B78BE" w14:textId="77777777" w:rsidR="0041612D" w:rsidRDefault="0041612D" w:rsidP="00A5023A">
      <w:pPr>
        <w:spacing w:line="264" w:lineRule="auto"/>
        <w:ind w:left="-360"/>
        <w:rPr>
          <w:szCs w:val="24"/>
        </w:rPr>
      </w:pPr>
    </w:p>
    <w:p w14:paraId="1D0B78BF" w14:textId="7410F90F" w:rsidR="009B5C2C" w:rsidRDefault="00F909EB" w:rsidP="00A5023A">
      <w:pPr>
        <w:numPr>
          <w:ilvl w:val="0"/>
          <w:numId w:val="1"/>
        </w:numPr>
        <w:tabs>
          <w:tab w:val="clear" w:pos="0"/>
        </w:tabs>
        <w:spacing w:line="264" w:lineRule="auto"/>
        <w:rPr>
          <w:szCs w:val="24"/>
        </w:rPr>
      </w:pPr>
      <w:r w:rsidRPr="004F4527">
        <w:rPr>
          <w:szCs w:val="24"/>
        </w:rPr>
        <w:t xml:space="preserve">On August </w:t>
      </w:r>
      <w:r w:rsidR="00CE4DDF">
        <w:rPr>
          <w:szCs w:val="24"/>
        </w:rPr>
        <w:t>3</w:t>
      </w:r>
      <w:r w:rsidRPr="004F4527">
        <w:rPr>
          <w:szCs w:val="24"/>
        </w:rPr>
        <w:t>, 2015</w:t>
      </w:r>
      <w:r w:rsidR="00CE4DDF">
        <w:rPr>
          <w:szCs w:val="24"/>
        </w:rPr>
        <w:t xml:space="preserve"> in Docket 150688</w:t>
      </w:r>
      <w:r w:rsidRPr="004F4527">
        <w:rPr>
          <w:szCs w:val="24"/>
        </w:rPr>
        <w:t xml:space="preserve">, </w:t>
      </w:r>
      <w:r w:rsidR="00CE4DDF">
        <w:rPr>
          <w:szCs w:val="24"/>
        </w:rPr>
        <w:t xml:space="preserve">and again on August 7, 2015, in this docket, </w:t>
      </w:r>
      <w:r w:rsidRPr="004F4527">
        <w:rPr>
          <w:szCs w:val="24"/>
        </w:rPr>
        <w:t xml:space="preserve">the Commission received notice that </w:t>
      </w:r>
      <w:r w:rsidR="00090BD5" w:rsidRPr="004F4527">
        <w:rPr>
          <w:szCs w:val="24"/>
        </w:rPr>
        <w:t>Fragaria</w:t>
      </w:r>
      <w:r w:rsidR="000B31D8" w:rsidRPr="004F4527">
        <w:rPr>
          <w:szCs w:val="24"/>
        </w:rPr>
        <w:t>, Lowper, Marbello and SJM</w:t>
      </w:r>
      <w:r w:rsidR="0041612D" w:rsidRPr="004F4527">
        <w:rPr>
          <w:szCs w:val="24"/>
        </w:rPr>
        <w:t xml:space="preserve"> </w:t>
      </w:r>
      <w:r w:rsidR="00CE4DDF">
        <w:rPr>
          <w:szCs w:val="24"/>
        </w:rPr>
        <w:t>had been</w:t>
      </w:r>
      <w:r w:rsidRPr="004F4527">
        <w:rPr>
          <w:szCs w:val="24"/>
        </w:rPr>
        <w:t xml:space="preserve"> merged into Iliad, consistent with Order </w:t>
      </w:r>
      <w:r w:rsidR="00136805">
        <w:rPr>
          <w:szCs w:val="24"/>
        </w:rPr>
        <w:t>0</w:t>
      </w:r>
      <w:r w:rsidRPr="004F4527">
        <w:rPr>
          <w:szCs w:val="24"/>
        </w:rPr>
        <w:t>1</w:t>
      </w:r>
      <w:r w:rsidR="00136805">
        <w:rPr>
          <w:szCs w:val="24"/>
        </w:rPr>
        <w:t xml:space="preserve"> in</w:t>
      </w:r>
      <w:r w:rsidRPr="004F4527">
        <w:rPr>
          <w:szCs w:val="24"/>
        </w:rPr>
        <w:t xml:space="preserve"> Docket UW-1</w:t>
      </w:r>
      <w:r w:rsidR="00CE4DDF">
        <w:rPr>
          <w:szCs w:val="24"/>
        </w:rPr>
        <w:t>50</w:t>
      </w:r>
      <w:r w:rsidRPr="004F4527">
        <w:rPr>
          <w:szCs w:val="24"/>
        </w:rPr>
        <w:t>688</w:t>
      </w:r>
      <w:r w:rsidR="00CE4DDF">
        <w:rPr>
          <w:szCs w:val="24"/>
        </w:rPr>
        <w:t>, and that</w:t>
      </w:r>
      <w:r w:rsidRPr="004F4527">
        <w:rPr>
          <w:szCs w:val="24"/>
        </w:rPr>
        <w:t xml:space="preserve"> </w:t>
      </w:r>
      <w:r w:rsidR="00CE4DDF">
        <w:rPr>
          <w:szCs w:val="24"/>
        </w:rPr>
        <w:t>Iliad</w:t>
      </w:r>
      <w:r w:rsidRPr="004F4527">
        <w:rPr>
          <w:szCs w:val="24"/>
        </w:rPr>
        <w:t xml:space="preserve"> </w:t>
      </w:r>
      <w:r w:rsidR="00CE4DDF">
        <w:rPr>
          <w:szCs w:val="24"/>
        </w:rPr>
        <w:t xml:space="preserve">had filed the applicable tariff sheets adopting the Companies tariffs as its own.  Iliad </w:t>
      </w:r>
      <w:r w:rsidR="00D97677" w:rsidRPr="004F4527">
        <w:rPr>
          <w:szCs w:val="24"/>
        </w:rPr>
        <w:t xml:space="preserve">now </w:t>
      </w:r>
      <w:r w:rsidR="0041612D" w:rsidRPr="004F4527">
        <w:rPr>
          <w:szCs w:val="24"/>
        </w:rPr>
        <w:t>seek</w:t>
      </w:r>
      <w:r w:rsidR="00CE4DDF">
        <w:rPr>
          <w:szCs w:val="24"/>
        </w:rPr>
        <w:t>s</w:t>
      </w:r>
      <w:r w:rsidR="0041612D" w:rsidRPr="004F4527">
        <w:rPr>
          <w:szCs w:val="24"/>
        </w:rPr>
        <w:t xml:space="preserve"> to cancel the </w:t>
      </w:r>
      <w:r w:rsidR="005F4C35" w:rsidRPr="004F4527">
        <w:rPr>
          <w:szCs w:val="24"/>
        </w:rPr>
        <w:t xml:space="preserve">corresponding </w:t>
      </w:r>
      <w:r w:rsidR="0034390A">
        <w:rPr>
          <w:szCs w:val="24"/>
        </w:rPr>
        <w:t xml:space="preserve">Companies’ </w:t>
      </w:r>
      <w:r w:rsidR="0041612D" w:rsidRPr="004F4527">
        <w:rPr>
          <w:szCs w:val="24"/>
        </w:rPr>
        <w:t>tariffs</w:t>
      </w:r>
      <w:r w:rsidRPr="004F4527">
        <w:rPr>
          <w:szCs w:val="24"/>
        </w:rPr>
        <w:t xml:space="preserve">. </w:t>
      </w:r>
    </w:p>
    <w:p w14:paraId="5751A0EF" w14:textId="77777777" w:rsidR="00A5023A" w:rsidRPr="004F4527" w:rsidRDefault="00A5023A" w:rsidP="00A5023A">
      <w:pPr>
        <w:spacing w:line="264" w:lineRule="auto"/>
        <w:rPr>
          <w:szCs w:val="24"/>
        </w:rPr>
      </w:pPr>
    </w:p>
    <w:p w14:paraId="0C4914C6" w14:textId="05559458" w:rsidR="004F4527" w:rsidRDefault="0034390A" w:rsidP="00A5023A">
      <w:pPr>
        <w:numPr>
          <w:ilvl w:val="0"/>
          <w:numId w:val="1"/>
        </w:numPr>
        <w:tabs>
          <w:tab w:val="clear" w:pos="0"/>
        </w:tabs>
        <w:spacing w:line="264" w:lineRule="auto"/>
        <w:rPr>
          <w:szCs w:val="24"/>
        </w:rPr>
      </w:pPr>
      <w:r>
        <w:rPr>
          <w:szCs w:val="24"/>
        </w:rPr>
        <w:t>A s</w:t>
      </w:r>
      <w:r w:rsidR="005E7D4C" w:rsidRPr="004F4527">
        <w:rPr>
          <w:szCs w:val="24"/>
        </w:rPr>
        <w:t>taff</w:t>
      </w:r>
      <w:r w:rsidR="009B5C2C" w:rsidRPr="004F4527">
        <w:rPr>
          <w:szCs w:val="24"/>
        </w:rPr>
        <w:t xml:space="preserve"> investigation</w:t>
      </w:r>
      <w:r>
        <w:rPr>
          <w:szCs w:val="24"/>
        </w:rPr>
        <w:t xml:space="preserve"> confirmed</w:t>
      </w:r>
      <w:r w:rsidR="009B5C2C" w:rsidRPr="004F4527">
        <w:rPr>
          <w:szCs w:val="24"/>
        </w:rPr>
        <w:t xml:space="preserve"> </w:t>
      </w:r>
      <w:r w:rsidR="00090BD5" w:rsidRPr="004F4527">
        <w:rPr>
          <w:szCs w:val="24"/>
        </w:rPr>
        <w:t>Fragaria</w:t>
      </w:r>
      <w:r w:rsidR="009B5C2C" w:rsidRPr="004F4527">
        <w:rPr>
          <w:szCs w:val="24"/>
        </w:rPr>
        <w:t xml:space="preserve">, Lowper, Marbello and SJM </w:t>
      </w:r>
      <w:r w:rsidR="00F909EB" w:rsidRPr="004F4527">
        <w:rPr>
          <w:szCs w:val="24"/>
        </w:rPr>
        <w:t>no longer exist as separate legal entities</w:t>
      </w:r>
      <w:r w:rsidR="00136805">
        <w:rPr>
          <w:szCs w:val="24"/>
        </w:rPr>
        <w:t>.</w:t>
      </w:r>
      <w:r w:rsidR="00F909EB" w:rsidRPr="004F4527">
        <w:rPr>
          <w:szCs w:val="24"/>
        </w:rPr>
        <w:t xml:space="preserve"> </w:t>
      </w:r>
      <w:r w:rsidR="00136805">
        <w:rPr>
          <w:szCs w:val="24"/>
        </w:rPr>
        <w:t>E</w:t>
      </w:r>
      <w:r w:rsidR="00F909EB" w:rsidRPr="004F4527">
        <w:rPr>
          <w:szCs w:val="24"/>
        </w:rPr>
        <w:t>ach</w:t>
      </w:r>
      <w:r w:rsidR="009B5C2C" w:rsidRPr="004F4527">
        <w:rPr>
          <w:szCs w:val="24"/>
        </w:rPr>
        <w:t xml:space="preserve"> water </w:t>
      </w:r>
      <w:r>
        <w:rPr>
          <w:szCs w:val="24"/>
        </w:rPr>
        <w:t>company</w:t>
      </w:r>
      <w:r w:rsidR="009B5C2C" w:rsidRPr="004F4527">
        <w:rPr>
          <w:szCs w:val="24"/>
        </w:rPr>
        <w:t xml:space="preserve"> </w:t>
      </w:r>
      <w:r w:rsidR="00F909EB" w:rsidRPr="004F4527">
        <w:rPr>
          <w:szCs w:val="24"/>
        </w:rPr>
        <w:t>has been</w:t>
      </w:r>
      <w:r w:rsidR="009B5C2C" w:rsidRPr="004F4527">
        <w:rPr>
          <w:szCs w:val="24"/>
        </w:rPr>
        <w:t xml:space="preserve"> </w:t>
      </w:r>
      <w:r w:rsidR="00F909EB" w:rsidRPr="004F4527">
        <w:rPr>
          <w:szCs w:val="24"/>
        </w:rPr>
        <w:t xml:space="preserve">transferred and merged into </w:t>
      </w:r>
      <w:r w:rsidR="00090BD5" w:rsidRPr="004F4527">
        <w:rPr>
          <w:szCs w:val="24"/>
        </w:rPr>
        <w:t>Iliad</w:t>
      </w:r>
      <w:r w:rsidR="009B5C2C" w:rsidRPr="004F4527">
        <w:rPr>
          <w:szCs w:val="24"/>
        </w:rPr>
        <w:t xml:space="preserve">, </w:t>
      </w:r>
      <w:r>
        <w:rPr>
          <w:szCs w:val="24"/>
        </w:rPr>
        <w:t xml:space="preserve">each system remaining </w:t>
      </w:r>
      <w:r w:rsidR="009B5C2C" w:rsidRPr="004F4527">
        <w:rPr>
          <w:szCs w:val="24"/>
        </w:rPr>
        <w:t xml:space="preserve">subject to </w:t>
      </w:r>
      <w:r w:rsidR="005E7D4C" w:rsidRPr="004F4527">
        <w:rPr>
          <w:szCs w:val="24"/>
        </w:rPr>
        <w:t>Commission</w:t>
      </w:r>
      <w:r w:rsidR="009B5C2C" w:rsidRPr="004F4527">
        <w:rPr>
          <w:szCs w:val="24"/>
        </w:rPr>
        <w:t xml:space="preserve"> jurisdiction</w:t>
      </w:r>
      <w:r>
        <w:rPr>
          <w:szCs w:val="24"/>
        </w:rPr>
        <w:t xml:space="preserve"> through Iliad</w:t>
      </w:r>
      <w:r w:rsidR="009B5C2C" w:rsidRPr="004F4527">
        <w:rPr>
          <w:szCs w:val="24"/>
        </w:rPr>
        <w:t>.</w:t>
      </w:r>
    </w:p>
    <w:p w14:paraId="4B632010" w14:textId="77777777" w:rsidR="004F4527" w:rsidRDefault="004F4527" w:rsidP="00A5023A">
      <w:pPr>
        <w:spacing w:line="264" w:lineRule="auto"/>
        <w:rPr>
          <w:szCs w:val="24"/>
        </w:rPr>
      </w:pPr>
      <w:r>
        <w:rPr>
          <w:szCs w:val="24"/>
        </w:rPr>
        <w:br w:type="page"/>
      </w:r>
    </w:p>
    <w:p w14:paraId="1D0B78C2" w14:textId="0917A66E" w:rsidR="004173E4" w:rsidRPr="004F4527" w:rsidRDefault="004173E4" w:rsidP="00A5023A">
      <w:pPr>
        <w:numPr>
          <w:ilvl w:val="0"/>
          <w:numId w:val="1"/>
        </w:numPr>
        <w:tabs>
          <w:tab w:val="clear" w:pos="0"/>
        </w:tabs>
        <w:spacing w:line="264" w:lineRule="auto"/>
        <w:rPr>
          <w:szCs w:val="24"/>
        </w:rPr>
      </w:pPr>
      <w:r w:rsidRPr="004F4527">
        <w:rPr>
          <w:szCs w:val="24"/>
        </w:rPr>
        <w:lastRenderedPageBreak/>
        <w:t xml:space="preserve">The </w:t>
      </w:r>
      <w:r w:rsidR="004F4527">
        <w:rPr>
          <w:szCs w:val="24"/>
        </w:rPr>
        <w:t>table</w:t>
      </w:r>
      <w:r w:rsidRPr="004F4527">
        <w:rPr>
          <w:szCs w:val="24"/>
        </w:rPr>
        <w:t xml:space="preserve"> below shows the </w:t>
      </w:r>
      <w:r w:rsidR="00CA36AA">
        <w:rPr>
          <w:szCs w:val="24"/>
        </w:rPr>
        <w:t>pre-</w:t>
      </w:r>
      <w:r w:rsidR="004F4527">
        <w:rPr>
          <w:szCs w:val="24"/>
        </w:rPr>
        <w:t>merg</w:t>
      </w:r>
      <w:r w:rsidR="00CA36AA">
        <w:rPr>
          <w:szCs w:val="24"/>
        </w:rPr>
        <w:t>er</w:t>
      </w:r>
      <w:r w:rsidR="004F4527">
        <w:rPr>
          <w:szCs w:val="24"/>
        </w:rPr>
        <w:t xml:space="preserve"> companies and </w:t>
      </w:r>
      <w:r w:rsidRPr="004F4527">
        <w:rPr>
          <w:szCs w:val="24"/>
        </w:rPr>
        <w:t>respective water systems</w:t>
      </w:r>
      <w:r w:rsidR="004F4527">
        <w:rPr>
          <w:szCs w:val="24"/>
        </w:rPr>
        <w:t xml:space="preserve"> and the surviving company, Iliad and its respective </w:t>
      </w:r>
      <w:r w:rsidR="0034390A">
        <w:rPr>
          <w:szCs w:val="24"/>
        </w:rPr>
        <w:t xml:space="preserve">pre-merger </w:t>
      </w:r>
      <w:r w:rsidR="004F4527">
        <w:rPr>
          <w:szCs w:val="24"/>
        </w:rPr>
        <w:t>water systems</w:t>
      </w:r>
      <w:r w:rsidRPr="004F4527">
        <w:rPr>
          <w:szCs w:val="24"/>
        </w:rPr>
        <w:t>.</w:t>
      </w:r>
    </w:p>
    <w:p w14:paraId="1D0B78C3" w14:textId="77777777" w:rsidR="004173E4" w:rsidRPr="00605ADF" w:rsidRDefault="004173E4" w:rsidP="00A5023A">
      <w:pPr>
        <w:spacing w:line="264" w:lineRule="auto"/>
      </w:pPr>
    </w:p>
    <w:tbl>
      <w:tblPr>
        <w:tblStyle w:val="ListTable4-Accent5"/>
        <w:tblW w:w="8672" w:type="dxa"/>
        <w:tblLook w:val="04A0" w:firstRow="1" w:lastRow="0" w:firstColumn="1" w:lastColumn="0" w:noHBand="0" w:noVBand="1"/>
      </w:tblPr>
      <w:tblGrid>
        <w:gridCol w:w="2752"/>
        <w:gridCol w:w="1125"/>
        <w:gridCol w:w="1236"/>
        <w:gridCol w:w="1842"/>
        <w:gridCol w:w="1717"/>
      </w:tblGrid>
      <w:tr w:rsidR="004F4527" w:rsidRPr="00605ADF" w14:paraId="1D0B78C9" w14:textId="77777777" w:rsidTr="00A50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C4" w14:textId="6C191987" w:rsidR="004173E4" w:rsidRPr="001111D7" w:rsidRDefault="00F909EB" w:rsidP="00A5023A">
            <w:pPr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Company</w:t>
            </w:r>
            <w:r w:rsidR="004173E4" w:rsidRPr="001111D7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S</w:t>
            </w:r>
            <w:r w:rsidR="004173E4" w:rsidRPr="001111D7">
              <w:rPr>
                <w:rFonts w:eastAsia="Calibri"/>
              </w:rPr>
              <w:t>ystem</w:t>
            </w:r>
          </w:p>
        </w:tc>
        <w:tc>
          <w:tcPr>
            <w:tcW w:w="1125" w:type="dxa"/>
          </w:tcPr>
          <w:p w14:paraId="1D0B78C5" w14:textId="77777777" w:rsidR="004173E4" w:rsidRPr="001111D7" w:rsidRDefault="004173E4" w:rsidP="00A5023A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1111D7">
              <w:rPr>
                <w:rFonts w:eastAsia="Calibri"/>
              </w:rPr>
              <w:t>DOH  ID#</w:t>
            </w:r>
          </w:p>
        </w:tc>
        <w:tc>
          <w:tcPr>
            <w:tcW w:w="1236" w:type="dxa"/>
          </w:tcPr>
          <w:p w14:paraId="1D0B78C6" w14:textId="77777777" w:rsidR="004173E4" w:rsidRPr="001111D7" w:rsidRDefault="004173E4" w:rsidP="00A5023A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1111D7">
              <w:rPr>
                <w:rFonts w:eastAsia="Calibri"/>
              </w:rPr>
              <w:t>Customer Count</w:t>
            </w:r>
          </w:p>
        </w:tc>
        <w:tc>
          <w:tcPr>
            <w:tcW w:w="1842" w:type="dxa"/>
          </w:tcPr>
          <w:p w14:paraId="1D0B78C7" w14:textId="77777777" w:rsidR="004173E4" w:rsidRPr="001111D7" w:rsidRDefault="004173E4" w:rsidP="00A5023A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1111D7">
              <w:rPr>
                <w:rFonts w:eastAsia="Calibri"/>
              </w:rPr>
              <w:t>Location</w:t>
            </w:r>
          </w:p>
        </w:tc>
        <w:tc>
          <w:tcPr>
            <w:tcW w:w="1717" w:type="dxa"/>
          </w:tcPr>
          <w:p w14:paraId="1D0B78C8" w14:textId="77777777" w:rsidR="004173E4" w:rsidRPr="001111D7" w:rsidRDefault="004173E4" w:rsidP="00A5023A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1111D7">
              <w:rPr>
                <w:rFonts w:eastAsia="Calibri"/>
              </w:rPr>
              <w:t>County</w:t>
            </w:r>
          </w:p>
        </w:tc>
      </w:tr>
      <w:tr w:rsidR="004F4527" w:rsidRPr="004F4527" w14:paraId="1D0B78CF" w14:textId="77777777" w:rsidTr="00A5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CA" w14:textId="77777777" w:rsidR="004173E4" w:rsidRPr="004F4527" w:rsidRDefault="004173E4" w:rsidP="00A5023A">
            <w:pPr>
              <w:spacing w:line="264" w:lineRule="auto"/>
              <w:rPr>
                <w:rFonts w:eastAsia="Calibri"/>
                <w:b w:val="0"/>
                <w:sz w:val="22"/>
              </w:rPr>
            </w:pPr>
            <w:r w:rsidRPr="004F4527">
              <w:rPr>
                <w:rFonts w:eastAsia="Calibri"/>
                <w:b w:val="0"/>
                <w:sz w:val="22"/>
              </w:rPr>
              <w:t>Fragaria</w:t>
            </w:r>
          </w:p>
        </w:tc>
        <w:tc>
          <w:tcPr>
            <w:tcW w:w="1125" w:type="dxa"/>
          </w:tcPr>
          <w:p w14:paraId="1D0B78CB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236" w:type="dxa"/>
          </w:tcPr>
          <w:p w14:paraId="1D0B78CC" w14:textId="77777777" w:rsidR="004173E4" w:rsidRPr="004F4527" w:rsidRDefault="004173E4" w:rsidP="00A502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842" w:type="dxa"/>
          </w:tcPr>
          <w:p w14:paraId="1D0B78CD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717" w:type="dxa"/>
          </w:tcPr>
          <w:p w14:paraId="1D0B78CE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</w:tr>
      <w:tr w:rsidR="004F4527" w:rsidRPr="004F4527" w14:paraId="1D0B78D5" w14:textId="77777777" w:rsidTr="00A5023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D0" w14:textId="36A5D96E" w:rsidR="004173E4" w:rsidRPr="004F4527" w:rsidRDefault="004F4527" w:rsidP="00A5023A">
            <w:pPr>
              <w:tabs>
                <w:tab w:val="left" w:pos="787"/>
              </w:tabs>
              <w:spacing w:line="264" w:lineRule="auto"/>
              <w:rPr>
                <w:rFonts w:eastAsia="Calibri"/>
                <w:b w:val="0"/>
                <w:i/>
                <w:sz w:val="22"/>
              </w:rPr>
            </w:pPr>
            <w:r w:rsidRPr="004F4527">
              <w:rPr>
                <w:rFonts w:eastAsia="Calibri"/>
                <w:b w:val="0"/>
                <w:i/>
                <w:sz w:val="22"/>
              </w:rPr>
              <w:tab/>
            </w:r>
            <w:r w:rsidR="004173E4" w:rsidRPr="004F4527">
              <w:rPr>
                <w:rFonts w:eastAsia="Calibri"/>
                <w:b w:val="0"/>
                <w:i/>
                <w:sz w:val="22"/>
              </w:rPr>
              <w:t>Fragaria Landing</w:t>
            </w:r>
          </w:p>
        </w:tc>
        <w:tc>
          <w:tcPr>
            <w:tcW w:w="1125" w:type="dxa"/>
          </w:tcPr>
          <w:p w14:paraId="1D0B78D1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266519</w:t>
            </w:r>
          </w:p>
        </w:tc>
        <w:tc>
          <w:tcPr>
            <w:tcW w:w="1236" w:type="dxa"/>
          </w:tcPr>
          <w:p w14:paraId="1D0B78D2" w14:textId="77777777" w:rsidR="004173E4" w:rsidRPr="004F4527" w:rsidRDefault="004173E4" w:rsidP="00A5023A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85</w:t>
            </w:r>
          </w:p>
        </w:tc>
        <w:tc>
          <w:tcPr>
            <w:tcW w:w="1842" w:type="dxa"/>
          </w:tcPr>
          <w:p w14:paraId="1D0B78D3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Port Orchard</w:t>
            </w:r>
          </w:p>
        </w:tc>
        <w:tc>
          <w:tcPr>
            <w:tcW w:w="1717" w:type="dxa"/>
          </w:tcPr>
          <w:p w14:paraId="1D0B78D4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Kitsap</w:t>
            </w:r>
          </w:p>
        </w:tc>
      </w:tr>
      <w:tr w:rsidR="004F4527" w:rsidRPr="004F4527" w14:paraId="1D0B78DB" w14:textId="77777777" w:rsidTr="00A5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D6" w14:textId="2F36391D" w:rsidR="004173E4" w:rsidRPr="004F4527" w:rsidRDefault="004F4527" w:rsidP="00A5023A">
            <w:pPr>
              <w:tabs>
                <w:tab w:val="left" w:pos="787"/>
              </w:tabs>
              <w:spacing w:line="264" w:lineRule="auto"/>
              <w:rPr>
                <w:rFonts w:eastAsia="Calibri"/>
                <w:b w:val="0"/>
                <w:i/>
                <w:sz w:val="22"/>
              </w:rPr>
            </w:pPr>
            <w:r w:rsidRPr="004F4527">
              <w:rPr>
                <w:rFonts w:eastAsia="Calibri"/>
                <w:b w:val="0"/>
                <w:i/>
                <w:sz w:val="22"/>
              </w:rPr>
              <w:tab/>
            </w:r>
            <w:r w:rsidR="004173E4" w:rsidRPr="004F4527">
              <w:rPr>
                <w:rFonts w:eastAsia="Calibri"/>
                <w:b w:val="0"/>
                <w:i/>
                <w:sz w:val="22"/>
              </w:rPr>
              <w:t>Hunt I &amp; II</w:t>
            </w:r>
          </w:p>
        </w:tc>
        <w:tc>
          <w:tcPr>
            <w:tcW w:w="1125" w:type="dxa"/>
          </w:tcPr>
          <w:p w14:paraId="1D0B78D7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00567T</w:t>
            </w:r>
          </w:p>
        </w:tc>
        <w:tc>
          <w:tcPr>
            <w:tcW w:w="1236" w:type="dxa"/>
          </w:tcPr>
          <w:p w14:paraId="1D0B78D8" w14:textId="77777777" w:rsidR="004173E4" w:rsidRPr="004F4527" w:rsidRDefault="004173E4" w:rsidP="00A502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24</w:t>
            </w:r>
          </w:p>
        </w:tc>
        <w:tc>
          <w:tcPr>
            <w:tcW w:w="1842" w:type="dxa"/>
          </w:tcPr>
          <w:p w14:paraId="1D0B78D9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Port Orchard</w:t>
            </w:r>
          </w:p>
        </w:tc>
        <w:tc>
          <w:tcPr>
            <w:tcW w:w="1717" w:type="dxa"/>
          </w:tcPr>
          <w:p w14:paraId="1D0B78DA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Kitsap</w:t>
            </w:r>
          </w:p>
        </w:tc>
      </w:tr>
      <w:tr w:rsidR="004F4527" w:rsidRPr="004F4527" w14:paraId="1D0B78E1" w14:textId="77777777" w:rsidTr="00A502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DC" w14:textId="77777777" w:rsidR="004173E4" w:rsidRPr="004F4527" w:rsidRDefault="004173E4" w:rsidP="00A5023A">
            <w:pPr>
              <w:spacing w:line="264" w:lineRule="auto"/>
              <w:rPr>
                <w:rFonts w:eastAsia="Calibri"/>
                <w:b w:val="0"/>
                <w:sz w:val="22"/>
              </w:rPr>
            </w:pPr>
            <w:r w:rsidRPr="004F4527">
              <w:rPr>
                <w:rFonts w:eastAsia="Calibri"/>
                <w:b w:val="0"/>
                <w:sz w:val="22"/>
              </w:rPr>
              <w:t>Lowper</w:t>
            </w:r>
          </w:p>
        </w:tc>
        <w:tc>
          <w:tcPr>
            <w:tcW w:w="1125" w:type="dxa"/>
          </w:tcPr>
          <w:p w14:paraId="1D0B78DD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019595</w:t>
            </w:r>
          </w:p>
        </w:tc>
        <w:tc>
          <w:tcPr>
            <w:tcW w:w="1236" w:type="dxa"/>
          </w:tcPr>
          <w:p w14:paraId="1D0B78DE" w14:textId="77777777" w:rsidR="004173E4" w:rsidRPr="004F4527" w:rsidRDefault="004173E4" w:rsidP="00A5023A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7</w:t>
            </w:r>
          </w:p>
        </w:tc>
        <w:tc>
          <w:tcPr>
            <w:tcW w:w="1842" w:type="dxa"/>
          </w:tcPr>
          <w:p w14:paraId="1D0B78DF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Sequim</w:t>
            </w:r>
          </w:p>
        </w:tc>
        <w:tc>
          <w:tcPr>
            <w:tcW w:w="1717" w:type="dxa"/>
          </w:tcPr>
          <w:p w14:paraId="1D0B78E0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Clallam</w:t>
            </w:r>
          </w:p>
        </w:tc>
      </w:tr>
      <w:tr w:rsidR="004F4527" w:rsidRPr="004F4527" w14:paraId="1D0B78E7" w14:textId="77777777" w:rsidTr="00A5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E2" w14:textId="77777777" w:rsidR="004173E4" w:rsidRPr="004F4527" w:rsidRDefault="004173E4" w:rsidP="00A5023A">
            <w:pPr>
              <w:spacing w:line="264" w:lineRule="auto"/>
              <w:rPr>
                <w:rFonts w:eastAsia="Calibri"/>
                <w:b w:val="0"/>
                <w:sz w:val="22"/>
              </w:rPr>
            </w:pPr>
            <w:r w:rsidRPr="004F4527">
              <w:rPr>
                <w:rFonts w:eastAsia="Calibri"/>
                <w:b w:val="0"/>
                <w:sz w:val="22"/>
              </w:rPr>
              <w:t>Marbello</w:t>
            </w:r>
          </w:p>
        </w:tc>
        <w:tc>
          <w:tcPr>
            <w:tcW w:w="1125" w:type="dxa"/>
          </w:tcPr>
          <w:p w14:paraId="1D0B78E3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51530M</w:t>
            </w:r>
          </w:p>
        </w:tc>
        <w:tc>
          <w:tcPr>
            <w:tcW w:w="1236" w:type="dxa"/>
          </w:tcPr>
          <w:p w14:paraId="1D0B78E4" w14:textId="77777777" w:rsidR="004173E4" w:rsidRPr="004F4527" w:rsidRDefault="004173E4" w:rsidP="00A502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98</w:t>
            </w:r>
          </w:p>
        </w:tc>
        <w:tc>
          <w:tcPr>
            <w:tcW w:w="1842" w:type="dxa"/>
          </w:tcPr>
          <w:p w14:paraId="1D0B78E5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Monroe</w:t>
            </w:r>
          </w:p>
        </w:tc>
        <w:tc>
          <w:tcPr>
            <w:tcW w:w="1717" w:type="dxa"/>
          </w:tcPr>
          <w:p w14:paraId="1D0B78E6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Snohomish</w:t>
            </w:r>
          </w:p>
        </w:tc>
      </w:tr>
      <w:tr w:rsidR="004F4527" w:rsidRPr="004F4527" w14:paraId="0314A0F2" w14:textId="77777777" w:rsidTr="00A502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33C2DB97" w14:textId="588F9690" w:rsidR="004F4527" w:rsidRPr="004F4527" w:rsidRDefault="004F4527" w:rsidP="00A5023A">
            <w:pPr>
              <w:spacing w:line="264" w:lineRule="auto"/>
              <w:rPr>
                <w:rFonts w:eastAsia="Calibri"/>
                <w:b w:val="0"/>
                <w:sz w:val="22"/>
              </w:rPr>
            </w:pPr>
            <w:r w:rsidRPr="004F4527">
              <w:rPr>
                <w:rFonts w:eastAsia="Calibri"/>
                <w:b w:val="0"/>
                <w:sz w:val="22"/>
              </w:rPr>
              <w:t>SJM</w:t>
            </w:r>
          </w:p>
        </w:tc>
        <w:tc>
          <w:tcPr>
            <w:tcW w:w="1125" w:type="dxa"/>
          </w:tcPr>
          <w:p w14:paraId="556EF1B7" w14:textId="77777777" w:rsidR="004F4527" w:rsidRPr="004F4527" w:rsidRDefault="004F4527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236" w:type="dxa"/>
          </w:tcPr>
          <w:p w14:paraId="1C3BECB9" w14:textId="77777777" w:rsidR="004F4527" w:rsidRPr="004F4527" w:rsidRDefault="004F4527" w:rsidP="00A5023A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842" w:type="dxa"/>
          </w:tcPr>
          <w:p w14:paraId="41F5369F" w14:textId="77777777" w:rsidR="004F4527" w:rsidRPr="004F4527" w:rsidRDefault="004F4527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717" w:type="dxa"/>
          </w:tcPr>
          <w:p w14:paraId="773D3B30" w14:textId="77777777" w:rsidR="004F4527" w:rsidRPr="004F4527" w:rsidRDefault="004F4527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</w:tr>
      <w:tr w:rsidR="004F4527" w:rsidRPr="004F4527" w14:paraId="1D0B78ED" w14:textId="77777777" w:rsidTr="00A5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E8" w14:textId="6BE5CBB8" w:rsidR="004173E4" w:rsidRPr="004F4527" w:rsidRDefault="004F4527" w:rsidP="00A5023A">
            <w:pPr>
              <w:tabs>
                <w:tab w:val="left" w:pos="787"/>
              </w:tabs>
              <w:spacing w:line="264" w:lineRule="auto"/>
              <w:rPr>
                <w:rFonts w:eastAsia="Calibri"/>
                <w:b w:val="0"/>
                <w:sz w:val="22"/>
              </w:rPr>
            </w:pPr>
            <w:r w:rsidRPr="004F4527">
              <w:rPr>
                <w:rFonts w:eastAsia="Calibri"/>
                <w:b w:val="0"/>
                <w:sz w:val="22"/>
              </w:rPr>
              <w:tab/>
            </w:r>
            <w:r w:rsidR="004173E4" w:rsidRPr="004F4527">
              <w:rPr>
                <w:rFonts w:eastAsia="Calibri"/>
                <w:b w:val="0"/>
                <w:i/>
                <w:sz w:val="22"/>
              </w:rPr>
              <w:t>Cherry Creek</w:t>
            </w:r>
          </w:p>
        </w:tc>
        <w:tc>
          <w:tcPr>
            <w:tcW w:w="1125" w:type="dxa"/>
          </w:tcPr>
          <w:p w14:paraId="1D0B78E9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23101W</w:t>
            </w:r>
          </w:p>
        </w:tc>
        <w:tc>
          <w:tcPr>
            <w:tcW w:w="1236" w:type="dxa"/>
          </w:tcPr>
          <w:p w14:paraId="1D0B78EA" w14:textId="77777777" w:rsidR="004173E4" w:rsidRPr="004F4527" w:rsidRDefault="004173E4" w:rsidP="00A502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54</w:t>
            </w:r>
          </w:p>
        </w:tc>
        <w:tc>
          <w:tcPr>
            <w:tcW w:w="1842" w:type="dxa"/>
          </w:tcPr>
          <w:p w14:paraId="1D0B78EB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Duvall</w:t>
            </w:r>
          </w:p>
        </w:tc>
        <w:tc>
          <w:tcPr>
            <w:tcW w:w="1717" w:type="dxa"/>
          </w:tcPr>
          <w:p w14:paraId="1D0B78EC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Snohomish</w:t>
            </w:r>
          </w:p>
        </w:tc>
      </w:tr>
      <w:tr w:rsidR="004F4527" w:rsidRPr="004F4527" w14:paraId="1D0B78F3" w14:textId="77777777" w:rsidTr="00A502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EE" w14:textId="77777777" w:rsidR="004173E4" w:rsidRPr="004F4527" w:rsidRDefault="004173E4" w:rsidP="00A5023A">
            <w:pPr>
              <w:spacing w:line="264" w:lineRule="auto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Iliad Water Services</w:t>
            </w:r>
          </w:p>
        </w:tc>
        <w:tc>
          <w:tcPr>
            <w:tcW w:w="1125" w:type="dxa"/>
          </w:tcPr>
          <w:p w14:paraId="1D0B78EF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236" w:type="dxa"/>
          </w:tcPr>
          <w:p w14:paraId="1D0B78F0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842" w:type="dxa"/>
          </w:tcPr>
          <w:p w14:paraId="1D0B78F1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  <w:tc>
          <w:tcPr>
            <w:tcW w:w="1717" w:type="dxa"/>
          </w:tcPr>
          <w:p w14:paraId="1D0B78F2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</w:p>
        </w:tc>
      </w:tr>
      <w:tr w:rsidR="004F4527" w:rsidRPr="004F4527" w14:paraId="1D0B78F9" w14:textId="77777777" w:rsidTr="00A50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F4" w14:textId="0E993A40" w:rsidR="004173E4" w:rsidRPr="004F4527" w:rsidRDefault="004F4527" w:rsidP="00A5023A">
            <w:pPr>
              <w:tabs>
                <w:tab w:val="left" w:pos="787"/>
              </w:tabs>
              <w:spacing w:line="264" w:lineRule="auto"/>
              <w:rPr>
                <w:rFonts w:eastAsia="Calibri"/>
                <w:b w:val="0"/>
                <w:i/>
                <w:sz w:val="22"/>
              </w:rPr>
            </w:pPr>
            <w:r w:rsidRPr="004F4527">
              <w:rPr>
                <w:rFonts w:eastAsia="Calibri"/>
                <w:b w:val="0"/>
                <w:i/>
                <w:sz w:val="22"/>
              </w:rPr>
              <w:tab/>
            </w:r>
            <w:r w:rsidR="004173E4" w:rsidRPr="004F4527">
              <w:rPr>
                <w:rFonts w:eastAsia="Calibri"/>
                <w:b w:val="0"/>
                <w:i/>
                <w:sz w:val="22"/>
              </w:rPr>
              <w:t>Alder Lake</w:t>
            </w:r>
          </w:p>
        </w:tc>
        <w:tc>
          <w:tcPr>
            <w:tcW w:w="1125" w:type="dxa"/>
          </w:tcPr>
          <w:p w14:paraId="1D0B78F5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221957</w:t>
            </w:r>
          </w:p>
        </w:tc>
        <w:tc>
          <w:tcPr>
            <w:tcW w:w="1236" w:type="dxa"/>
          </w:tcPr>
          <w:p w14:paraId="1D0B78F6" w14:textId="77777777" w:rsidR="004173E4" w:rsidRPr="004F4527" w:rsidRDefault="004173E4" w:rsidP="00A5023A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35</w:t>
            </w:r>
          </w:p>
        </w:tc>
        <w:tc>
          <w:tcPr>
            <w:tcW w:w="1842" w:type="dxa"/>
          </w:tcPr>
          <w:p w14:paraId="1D0B78F7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Eatonville</w:t>
            </w:r>
          </w:p>
        </w:tc>
        <w:tc>
          <w:tcPr>
            <w:tcW w:w="1717" w:type="dxa"/>
          </w:tcPr>
          <w:p w14:paraId="1D0B78F8" w14:textId="77777777" w:rsidR="004173E4" w:rsidRPr="004F4527" w:rsidRDefault="004173E4" w:rsidP="00A5023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Pierce</w:t>
            </w:r>
          </w:p>
        </w:tc>
      </w:tr>
      <w:tr w:rsidR="004F4527" w:rsidRPr="004F4527" w14:paraId="1D0B78FF" w14:textId="77777777" w:rsidTr="00A502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1D0B78FA" w14:textId="4C807AE5" w:rsidR="004173E4" w:rsidRPr="004F4527" w:rsidRDefault="004F4527" w:rsidP="00A5023A">
            <w:pPr>
              <w:tabs>
                <w:tab w:val="left" w:pos="787"/>
              </w:tabs>
              <w:spacing w:line="264" w:lineRule="auto"/>
              <w:rPr>
                <w:rFonts w:eastAsia="Calibri"/>
                <w:b w:val="0"/>
                <w:i/>
                <w:sz w:val="22"/>
              </w:rPr>
            </w:pPr>
            <w:r w:rsidRPr="004F4527">
              <w:rPr>
                <w:rFonts w:eastAsia="Calibri"/>
                <w:b w:val="0"/>
                <w:i/>
                <w:sz w:val="22"/>
              </w:rPr>
              <w:tab/>
            </w:r>
            <w:r w:rsidR="004173E4" w:rsidRPr="004F4527">
              <w:rPr>
                <w:rFonts w:eastAsia="Calibri"/>
                <w:b w:val="0"/>
                <w:i/>
                <w:sz w:val="22"/>
              </w:rPr>
              <w:t>Cascade Creek</w:t>
            </w:r>
          </w:p>
        </w:tc>
        <w:tc>
          <w:tcPr>
            <w:tcW w:w="1125" w:type="dxa"/>
          </w:tcPr>
          <w:p w14:paraId="1D0B78FB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31203Y</w:t>
            </w:r>
          </w:p>
        </w:tc>
        <w:tc>
          <w:tcPr>
            <w:tcW w:w="1236" w:type="dxa"/>
          </w:tcPr>
          <w:p w14:paraId="1D0B78FC" w14:textId="77777777" w:rsidR="004173E4" w:rsidRPr="004F4527" w:rsidRDefault="004173E4" w:rsidP="00A5023A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46</w:t>
            </w:r>
          </w:p>
        </w:tc>
        <w:tc>
          <w:tcPr>
            <w:tcW w:w="1842" w:type="dxa"/>
          </w:tcPr>
          <w:p w14:paraId="1D0B78FD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Lake Stevens</w:t>
            </w:r>
          </w:p>
        </w:tc>
        <w:tc>
          <w:tcPr>
            <w:tcW w:w="1717" w:type="dxa"/>
          </w:tcPr>
          <w:p w14:paraId="1D0B78FE" w14:textId="77777777" w:rsidR="004173E4" w:rsidRPr="004F4527" w:rsidRDefault="004173E4" w:rsidP="00A5023A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</w:rPr>
            </w:pPr>
            <w:r w:rsidRPr="004F4527">
              <w:rPr>
                <w:rFonts w:eastAsia="Calibri"/>
                <w:sz w:val="22"/>
              </w:rPr>
              <w:t>Snohomish</w:t>
            </w:r>
          </w:p>
        </w:tc>
      </w:tr>
    </w:tbl>
    <w:p w14:paraId="1D0B7907" w14:textId="77777777" w:rsidR="009B5C2C" w:rsidRDefault="009B5C2C" w:rsidP="00A5023A">
      <w:pPr>
        <w:pStyle w:val="Heading2"/>
        <w:spacing w:line="264" w:lineRule="auto"/>
        <w:rPr>
          <w:sz w:val="24"/>
          <w:szCs w:val="24"/>
        </w:rPr>
      </w:pPr>
    </w:p>
    <w:p w14:paraId="1D0B7908" w14:textId="77777777" w:rsidR="00D97677" w:rsidRDefault="00D97677" w:rsidP="00A5023A">
      <w:pPr>
        <w:pStyle w:val="Heading2"/>
        <w:spacing w:line="264" w:lineRule="auto"/>
        <w:rPr>
          <w:sz w:val="24"/>
          <w:szCs w:val="24"/>
        </w:rPr>
      </w:pPr>
      <w:r w:rsidRPr="003A538E">
        <w:rPr>
          <w:sz w:val="24"/>
          <w:szCs w:val="24"/>
        </w:rPr>
        <w:t>FINDINGS AND CONCLUSIONS</w:t>
      </w:r>
    </w:p>
    <w:p w14:paraId="1D0B7909" w14:textId="77777777" w:rsidR="00D97677" w:rsidRDefault="00D97677" w:rsidP="00A5023A">
      <w:pPr>
        <w:spacing w:line="264" w:lineRule="auto"/>
        <w:ind w:left="-360"/>
        <w:rPr>
          <w:szCs w:val="24"/>
        </w:rPr>
      </w:pPr>
    </w:p>
    <w:p w14:paraId="1D0B790A" w14:textId="23B52B2F" w:rsidR="00314F7D" w:rsidRPr="004F4527" w:rsidRDefault="00C854D2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D97677">
        <w:t>(1)</w:t>
      </w:r>
      <w:r w:rsidRPr="00D97677">
        <w:tab/>
      </w:r>
      <w:r w:rsidR="00314F7D" w:rsidRPr="004F4527">
        <w:t xml:space="preserve">The Washington Utilities and Transportation </w:t>
      </w:r>
      <w:r w:rsidR="005E7D4C" w:rsidRPr="004F4527">
        <w:t>Commission</w:t>
      </w:r>
      <w:r w:rsidR="00314F7D" w:rsidRPr="004F4527">
        <w:t xml:space="preserve"> is an agency of the </w:t>
      </w:r>
      <w:r w:rsidR="00AD08BF" w:rsidRPr="004F4527">
        <w:t>S</w:t>
      </w:r>
      <w:r w:rsidR="00314F7D" w:rsidRPr="004F4527">
        <w:t xml:space="preserve">tate of Washington vested by statute with the authority to regulate the rates, rules, regulations, practices, accounts, </w:t>
      </w:r>
      <w:r w:rsidR="00836D97" w:rsidRPr="004F4527">
        <w:t>and securities</w:t>
      </w:r>
      <w:r w:rsidR="00314F7D" w:rsidRPr="004F4527">
        <w:t xml:space="preserve">, transfers of property and affiliated interests of public service companies, including water companies. </w:t>
      </w:r>
      <w:r w:rsidR="00927867" w:rsidRPr="004F4527">
        <w:t>RCW 80.01.040, RCW 80.04, RCW 80.08, RCW 80.12, RCW 80.16 and RCW 80.28</w:t>
      </w:r>
      <w:r w:rsidR="00314F7D" w:rsidRPr="004F4527">
        <w:rPr>
          <w:iCs/>
        </w:rPr>
        <w:t>.</w:t>
      </w:r>
    </w:p>
    <w:p w14:paraId="1D0B790B" w14:textId="77777777" w:rsidR="00314F7D" w:rsidRPr="004F4527" w:rsidRDefault="00314F7D" w:rsidP="00A5023A">
      <w:pPr>
        <w:tabs>
          <w:tab w:val="left" w:pos="0"/>
        </w:tabs>
        <w:spacing w:line="264" w:lineRule="auto"/>
        <w:ind w:left="720" w:hanging="1440"/>
        <w:rPr>
          <w:sz w:val="32"/>
          <w:szCs w:val="24"/>
        </w:rPr>
      </w:pPr>
    </w:p>
    <w:p w14:paraId="1D0B790C" w14:textId="41311477" w:rsidR="00C854D2" w:rsidRPr="004F4527" w:rsidRDefault="00C854D2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4F4527">
        <w:t>(2)</w:t>
      </w:r>
      <w:r w:rsidRPr="004F4527">
        <w:tab/>
      </w:r>
      <w:r w:rsidR="00090BD5" w:rsidRPr="004F4527">
        <w:t>Fragaria</w:t>
      </w:r>
      <w:r w:rsidR="000B31D8" w:rsidRPr="004F4527">
        <w:t>, Lowper, Marbello and SJM</w:t>
      </w:r>
      <w:r w:rsidR="004173E4" w:rsidRPr="004F4527">
        <w:t xml:space="preserve"> </w:t>
      </w:r>
      <w:r w:rsidR="0034390A">
        <w:t>were</w:t>
      </w:r>
      <w:r w:rsidRPr="004F4527">
        <w:t xml:space="preserve"> investor-owned water compan</w:t>
      </w:r>
      <w:r w:rsidR="004173E4" w:rsidRPr="004F4527">
        <w:t>ies</w:t>
      </w:r>
      <w:r w:rsidRPr="004F4527">
        <w:t xml:space="preserve"> and public service compan</w:t>
      </w:r>
      <w:r w:rsidR="004173E4" w:rsidRPr="004F4527">
        <w:t>ies</w:t>
      </w:r>
      <w:r w:rsidRPr="004F4527">
        <w:t xml:space="preserve"> subject to </w:t>
      </w:r>
      <w:r w:rsidR="005E7D4C" w:rsidRPr="004F4527">
        <w:t>Commission</w:t>
      </w:r>
      <w:r w:rsidR="00CD481F" w:rsidRPr="004F4527">
        <w:t xml:space="preserve"> </w:t>
      </w:r>
      <w:r w:rsidRPr="004F4527">
        <w:t>jurisdiction</w:t>
      </w:r>
      <w:r w:rsidR="009500AB">
        <w:t xml:space="preserve">. </w:t>
      </w:r>
      <w:r w:rsidR="000F2036">
        <w:t xml:space="preserve"> </w:t>
      </w:r>
      <w:r w:rsidR="009500AB">
        <w:t>T</w:t>
      </w:r>
      <w:r w:rsidR="0034390A">
        <w:t xml:space="preserve">he stock of </w:t>
      </w:r>
      <w:r w:rsidR="009500AB">
        <w:t>each were</w:t>
      </w:r>
      <w:r w:rsidR="0034390A">
        <w:t xml:space="preserve"> sold, transferred and merged into Iliad, also an investor-owned water company and public service company subject to Commission jurisdiction.</w:t>
      </w:r>
      <w:r w:rsidRPr="004F4527">
        <w:t>.</w:t>
      </w:r>
    </w:p>
    <w:p w14:paraId="1D0B790D" w14:textId="77777777" w:rsidR="00C854D2" w:rsidRPr="004F4527" w:rsidRDefault="00C854D2" w:rsidP="00A5023A">
      <w:pPr>
        <w:tabs>
          <w:tab w:val="left" w:pos="0"/>
        </w:tabs>
        <w:spacing w:line="264" w:lineRule="auto"/>
        <w:ind w:left="720" w:hanging="1440"/>
        <w:rPr>
          <w:sz w:val="32"/>
          <w:szCs w:val="24"/>
        </w:rPr>
      </w:pPr>
    </w:p>
    <w:p w14:paraId="00633BA9" w14:textId="5C197518" w:rsidR="000C744E" w:rsidRDefault="00C854D2" w:rsidP="003A5E9F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4F4527">
        <w:t>(3)</w:t>
      </w:r>
      <w:r w:rsidRPr="004F4527">
        <w:tab/>
      </w:r>
      <w:r w:rsidR="009500AB">
        <w:t xml:space="preserve">The </w:t>
      </w:r>
      <w:r w:rsidR="00136805">
        <w:t>Commission approved the s</w:t>
      </w:r>
      <w:r w:rsidR="009500AB">
        <w:t xml:space="preserve">ale and </w:t>
      </w:r>
      <w:r w:rsidR="00136805">
        <w:t>t</w:t>
      </w:r>
      <w:r w:rsidR="009500AB">
        <w:t xml:space="preserve">ransfer of the stock and merger of </w:t>
      </w:r>
      <w:r w:rsidR="009500AB" w:rsidRPr="004F4527">
        <w:t xml:space="preserve">Fragaria, Lowper, Marbello and SJM </w:t>
      </w:r>
      <w:r w:rsidR="009500AB">
        <w:t>in</w:t>
      </w:r>
      <w:r w:rsidR="009500AB" w:rsidRPr="004F4527">
        <w:t xml:space="preserve">to </w:t>
      </w:r>
      <w:r w:rsidR="009500AB" w:rsidRPr="009500AB">
        <w:rPr>
          <w:bCs/>
        </w:rPr>
        <w:t>Iliad</w:t>
      </w:r>
      <w:r w:rsidR="009500AB" w:rsidRPr="004F4527">
        <w:t xml:space="preserve"> </w:t>
      </w:r>
      <w:r w:rsidR="009500AB">
        <w:t xml:space="preserve">in </w:t>
      </w:r>
      <w:r w:rsidR="009500AB" w:rsidRPr="004F4527">
        <w:t>Docket UW-150688</w:t>
      </w:r>
      <w:r w:rsidR="00136805">
        <w:t xml:space="preserve"> on </w:t>
      </w:r>
      <w:r w:rsidR="00136805">
        <w:br/>
        <w:t>July 31, 2015</w:t>
      </w:r>
      <w:r w:rsidR="009500AB" w:rsidRPr="004F4527">
        <w:t xml:space="preserve">.  </w:t>
      </w:r>
    </w:p>
    <w:p w14:paraId="323B1F1C" w14:textId="77777777" w:rsidR="000C744E" w:rsidRDefault="000C744E" w:rsidP="000C744E">
      <w:pPr>
        <w:pStyle w:val="ListParagraph"/>
      </w:pPr>
    </w:p>
    <w:p w14:paraId="74C07523" w14:textId="51EBBDF7" w:rsidR="0034390A" w:rsidRDefault="000C744E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>
        <w:t xml:space="preserve">(4) </w:t>
      </w:r>
      <w:r>
        <w:tab/>
      </w:r>
      <w:r w:rsidR="009500AB" w:rsidRPr="004F4527">
        <w:t>Fragaria, Lowper, Marbello and SJM</w:t>
      </w:r>
      <w:r w:rsidR="009500AB">
        <w:t xml:space="preserve"> merged into, and are now a part of, Iliad</w:t>
      </w:r>
      <w:r>
        <w:t>.</w:t>
      </w:r>
    </w:p>
    <w:p w14:paraId="43523957" w14:textId="77777777" w:rsidR="009500AB" w:rsidRDefault="009500AB" w:rsidP="009500AB">
      <w:pPr>
        <w:pStyle w:val="ListParagraph"/>
      </w:pPr>
    </w:p>
    <w:p w14:paraId="5BE38AD7" w14:textId="5B209157" w:rsidR="009500AB" w:rsidRDefault="009500AB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>
        <w:t>(5)</w:t>
      </w:r>
      <w:r>
        <w:tab/>
        <w:t>Iliad is the only surviving entity of the merger.</w:t>
      </w:r>
    </w:p>
    <w:p w14:paraId="32BAE988" w14:textId="77777777" w:rsidR="0034390A" w:rsidRDefault="0034390A" w:rsidP="0034390A">
      <w:pPr>
        <w:pStyle w:val="ListParagraph"/>
      </w:pPr>
    </w:p>
    <w:p w14:paraId="1D0B790E" w14:textId="647C8B3A" w:rsidR="00C854D2" w:rsidRPr="004F4527" w:rsidRDefault="0034390A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>
        <w:t>(4)</w:t>
      </w:r>
      <w:r>
        <w:tab/>
      </w:r>
      <w:r w:rsidR="009500AB">
        <w:t xml:space="preserve">The tariffs of </w:t>
      </w:r>
      <w:r w:rsidR="009500AB" w:rsidRPr="004F4527">
        <w:t>Fragaria, Lowper, Marbello and SJM</w:t>
      </w:r>
      <w:r w:rsidR="009500AB">
        <w:t xml:space="preserve"> are adopted and combined with Iliad’s effective tariff in compliance with Order 01 in Docket UW-150688.</w:t>
      </w:r>
      <w:r w:rsidR="00B953CB" w:rsidRPr="004F4527">
        <w:t xml:space="preserve">  </w:t>
      </w:r>
    </w:p>
    <w:p w14:paraId="1D0B790F" w14:textId="77777777" w:rsidR="00C854D2" w:rsidRPr="004F4527" w:rsidRDefault="00C854D2" w:rsidP="00A5023A">
      <w:pPr>
        <w:spacing w:line="264" w:lineRule="auto"/>
        <w:rPr>
          <w:sz w:val="32"/>
          <w:szCs w:val="24"/>
        </w:rPr>
      </w:pPr>
    </w:p>
    <w:p w14:paraId="1D0B7910" w14:textId="724A2247" w:rsidR="00C854D2" w:rsidRPr="004F4527" w:rsidRDefault="00C854D2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A5023A">
        <w:rPr>
          <w:snapToGrid/>
        </w:rPr>
        <w:t>(4)</w:t>
      </w:r>
      <w:r w:rsidRPr="00A5023A">
        <w:rPr>
          <w:snapToGrid/>
        </w:rPr>
        <w:tab/>
        <w:t xml:space="preserve">This matter </w:t>
      </w:r>
      <w:r w:rsidR="007F2A98" w:rsidRPr="00A5023A">
        <w:rPr>
          <w:snapToGrid/>
        </w:rPr>
        <w:t>came</w:t>
      </w:r>
      <w:r w:rsidRPr="00A5023A">
        <w:rPr>
          <w:snapToGrid/>
        </w:rPr>
        <w:t xml:space="preserve"> before the </w:t>
      </w:r>
      <w:r w:rsidR="005E7D4C" w:rsidRPr="00A5023A">
        <w:rPr>
          <w:snapToGrid/>
        </w:rPr>
        <w:t>Commission</w:t>
      </w:r>
      <w:r w:rsidR="000E4EE3" w:rsidRPr="00A5023A">
        <w:rPr>
          <w:snapToGrid/>
        </w:rPr>
        <w:t xml:space="preserve"> at its regularly scheduled </w:t>
      </w:r>
      <w:r w:rsidRPr="00A5023A">
        <w:rPr>
          <w:snapToGrid/>
        </w:rPr>
        <w:t>meeting on</w:t>
      </w:r>
      <w:r w:rsidR="00AE44FA" w:rsidRPr="004F4527">
        <w:t xml:space="preserve"> </w:t>
      </w:r>
      <w:r w:rsidR="00090BD5" w:rsidRPr="004F4527">
        <w:t>August 27, 2015</w:t>
      </w:r>
      <w:r w:rsidR="00927867" w:rsidRPr="004F4527">
        <w:t>.</w:t>
      </w:r>
    </w:p>
    <w:p w14:paraId="7AC2A3EB" w14:textId="77777777" w:rsidR="00C854D2" w:rsidRPr="003A538E" w:rsidRDefault="00C854D2" w:rsidP="00A5023A">
      <w:pPr>
        <w:tabs>
          <w:tab w:val="left" w:pos="0"/>
        </w:tabs>
        <w:spacing w:line="264" w:lineRule="auto"/>
        <w:ind w:left="720" w:hanging="1440"/>
        <w:rPr>
          <w:szCs w:val="24"/>
        </w:rPr>
      </w:pPr>
    </w:p>
    <w:p w14:paraId="1D0B7912" w14:textId="24E7F23B" w:rsidR="00C854D2" w:rsidRPr="004F4527" w:rsidRDefault="00C854D2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3A538E">
        <w:t>(5)</w:t>
      </w:r>
      <w:r w:rsidRPr="003A538E">
        <w:tab/>
      </w:r>
      <w:r w:rsidR="007F2A98" w:rsidRPr="004F4527">
        <w:t>After reviewing</w:t>
      </w:r>
      <w:r w:rsidR="00CD481F" w:rsidRPr="004F4527">
        <w:t xml:space="preserve"> the information gathered in the </w:t>
      </w:r>
      <w:r w:rsidR="000F2036">
        <w:t>S</w:t>
      </w:r>
      <w:r w:rsidR="007069E2">
        <w:t xml:space="preserve">taff’s </w:t>
      </w:r>
      <w:r w:rsidR="00CD481F" w:rsidRPr="004F4527">
        <w:t>investigation</w:t>
      </w:r>
      <w:r w:rsidRPr="004F4527">
        <w:t xml:space="preserve">, </w:t>
      </w:r>
      <w:r w:rsidR="007F2A98" w:rsidRPr="004F4527">
        <w:t xml:space="preserve">and giving due consideration, </w:t>
      </w:r>
      <w:r w:rsidR="00CD481F" w:rsidRPr="004F4527">
        <w:t xml:space="preserve">the </w:t>
      </w:r>
      <w:r w:rsidR="005E7D4C" w:rsidRPr="004F4527">
        <w:t>Commission</w:t>
      </w:r>
      <w:r w:rsidR="00CD481F" w:rsidRPr="004F4527">
        <w:t xml:space="preserve"> finds</w:t>
      </w:r>
      <w:r w:rsidR="00B953CB" w:rsidRPr="004F4527">
        <w:t xml:space="preserve"> </w:t>
      </w:r>
      <w:r w:rsidR="00CD481F" w:rsidRPr="004F4527">
        <w:t>it</w:t>
      </w:r>
      <w:r w:rsidRPr="004F4527">
        <w:t xml:space="preserve"> in the public interest </w:t>
      </w:r>
      <w:r w:rsidR="00090BD5" w:rsidRPr="004F4527">
        <w:t>to</w:t>
      </w:r>
      <w:r w:rsidRPr="004F4527">
        <w:t xml:space="preserve"> </w:t>
      </w:r>
      <w:r w:rsidR="009500AB" w:rsidRPr="004F4527">
        <w:t xml:space="preserve">remove from regulation </w:t>
      </w:r>
      <w:r w:rsidR="009500AB">
        <w:t xml:space="preserve">and </w:t>
      </w:r>
      <w:r w:rsidRPr="004F4527">
        <w:t>cancel the</w:t>
      </w:r>
      <w:r w:rsidR="007069E2">
        <w:t xml:space="preserve"> </w:t>
      </w:r>
      <w:r w:rsidRPr="004F4527">
        <w:t>tariff</w:t>
      </w:r>
      <w:r w:rsidR="006B190C" w:rsidRPr="004F4527">
        <w:t>s</w:t>
      </w:r>
      <w:r w:rsidR="000C744E">
        <w:t xml:space="preserve"> of </w:t>
      </w:r>
      <w:r w:rsidR="000C744E" w:rsidRPr="004F4527">
        <w:t>Fragaria, Lowper, Marbello and SJM</w:t>
      </w:r>
      <w:r w:rsidRPr="004F4527">
        <w:t>.</w:t>
      </w:r>
    </w:p>
    <w:p w14:paraId="1D0B7913" w14:textId="77777777" w:rsidR="00C854D2" w:rsidRPr="004F4527" w:rsidRDefault="00C854D2" w:rsidP="00A5023A">
      <w:pPr>
        <w:spacing w:line="264" w:lineRule="auto"/>
        <w:rPr>
          <w:szCs w:val="24"/>
        </w:rPr>
      </w:pPr>
    </w:p>
    <w:p w14:paraId="1D0B7914" w14:textId="77777777" w:rsidR="00C854D2" w:rsidRPr="004F4527" w:rsidRDefault="00C854D2" w:rsidP="00A5023A">
      <w:pPr>
        <w:pStyle w:val="Heading1"/>
        <w:spacing w:line="264" w:lineRule="auto"/>
        <w:rPr>
          <w:szCs w:val="24"/>
        </w:rPr>
      </w:pPr>
      <w:r w:rsidRPr="004F4527">
        <w:rPr>
          <w:szCs w:val="24"/>
        </w:rPr>
        <w:t>ORDER</w:t>
      </w:r>
    </w:p>
    <w:p w14:paraId="1D0B7915" w14:textId="77777777" w:rsidR="00C854D2" w:rsidRPr="004F4527" w:rsidRDefault="00C854D2" w:rsidP="00A5023A">
      <w:pPr>
        <w:spacing w:line="264" w:lineRule="auto"/>
        <w:jc w:val="center"/>
        <w:rPr>
          <w:b/>
          <w:bCs/>
          <w:szCs w:val="24"/>
        </w:rPr>
      </w:pPr>
    </w:p>
    <w:p w14:paraId="1D0B7916" w14:textId="7B20D5EE" w:rsidR="00C854D2" w:rsidRPr="004F4527" w:rsidRDefault="00C854D2" w:rsidP="00A5023A">
      <w:pPr>
        <w:spacing w:line="264" w:lineRule="auto"/>
        <w:rPr>
          <w:b/>
          <w:szCs w:val="24"/>
        </w:rPr>
      </w:pPr>
      <w:r w:rsidRPr="004F4527">
        <w:rPr>
          <w:b/>
          <w:szCs w:val="24"/>
        </w:rPr>
        <w:t xml:space="preserve">THE </w:t>
      </w:r>
      <w:r w:rsidR="005E7D4C" w:rsidRPr="004F4527">
        <w:rPr>
          <w:b/>
          <w:szCs w:val="24"/>
        </w:rPr>
        <w:t>COMMISSION</w:t>
      </w:r>
      <w:r w:rsidRPr="004F4527">
        <w:rPr>
          <w:b/>
          <w:szCs w:val="24"/>
        </w:rPr>
        <w:t xml:space="preserve"> ORDERS:</w:t>
      </w:r>
    </w:p>
    <w:p w14:paraId="1D0B7917" w14:textId="77777777" w:rsidR="00C854D2" w:rsidRPr="004F4527" w:rsidRDefault="00C854D2" w:rsidP="00A5023A">
      <w:pPr>
        <w:spacing w:line="264" w:lineRule="auto"/>
        <w:rPr>
          <w:szCs w:val="24"/>
        </w:rPr>
      </w:pPr>
    </w:p>
    <w:p w14:paraId="1D0B7918" w14:textId="0843BF83" w:rsidR="00C854D2" w:rsidRPr="004F4527" w:rsidRDefault="00C854D2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4F4527">
        <w:t>(1)</w:t>
      </w:r>
      <w:r w:rsidRPr="004F4527">
        <w:rPr>
          <w:b/>
          <w:bCs/>
        </w:rPr>
        <w:tab/>
      </w:r>
      <w:r w:rsidR="00090BD5" w:rsidRPr="004F4527">
        <w:t>Fragaria Landing</w:t>
      </w:r>
      <w:r w:rsidR="000B31D8" w:rsidRPr="004F4527">
        <w:t xml:space="preserve"> Water Company; Lowper, Incorporated dba Lowper Water Company; Marbello Water Co., Inc. and SJM Water Service, Inc.</w:t>
      </w:r>
      <w:r w:rsidR="00AE44FA" w:rsidRPr="004F4527">
        <w:rPr>
          <w:bCs/>
        </w:rPr>
        <w:t xml:space="preserve"> </w:t>
      </w:r>
      <w:r w:rsidR="006B190C" w:rsidRPr="004F4527">
        <w:rPr>
          <w:bCs/>
        </w:rPr>
        <w:t>are</w:t>
      </w:r>
      <w:r w:rsidRPr="004F4527">
        <w:t xml:space="preserve"> </w:t>
      </w:r>
      <w:r w:rsidR="00CD481F" w:rsidRPr="004F4527">
        <w:t xml:space="preserve">no longer subject to </w:t>
      </w:r>
      <w:r w:rsidR="005E7D4C" w:rsidRPr="004F4527">
        <w:t>Commission</w:t>
      </w:r>
      <w:r w:rsidR="00CD481F" w:rsidRPr="004F4527">
        <w:t xml:space="preserve"> jurisdiction under RCW 80.04.110</w:t>
      </w:r>
      <w:r w:rsidRPr="004F4527">
        <w:t>.</w:t>
      </w:r>
    </w:p>
    <w:p w14:paraId="1D0B7919" w14:textId="77777777" w:rsidR="00C854D2" w:rsidRPr="004F4527" w:rsidRDefault="00C854D2" w:rsidP="00A5023A">
      <w:pPr>
        <w:tabs>
          <w:tab w:val="left" w:pos="0"/>
        </w:tabs>
        <w:spacing w:line="264" w:lineRule="auto"/>
        <w:ind w:left="720" w:hanging="1440"/>
        <w:rPr>
          <w:szCs w:val="24"/>
        </w:rPr>
      </w:pPr>
    </w:p>
    <w:p w14:paraId="1D0B791A" w14:textId="709638DD" w:rsidR="00C854D2" w:rsidRPr="004F4527" w:rsidRDefault="00C854D2" w:rsidP="00A5023A">
      <w:pPr>
        <w:numPr>
          <w:ilvl w:val="0"/>
          <w:numId w:val="1"/>
        </w:numPr>
        <w:tabs>
          <w:tab w:val="left" w:pos="0"/>
        </w:tabs>
        <w:spacing w:line="264" w:lineRule="auto"/>
        <w:ind w:left="720" w:hanging="1440"/>
      </w:pPr>
      <w:r w:rsidRPr="004F4527">
        <w:t>(2)</w:t>
      </w:r>
      <w:r w:rsidRPr="004F4527">
        <w:tab/>
      </w:r>
      <w:r w:rsidR="00090BD5" w:rsidRPr="004F4527">
        <w:t>Fragaria Landing</w:t>
      </w:r>
      <w:r w:rsidR="000B31D8" w:rsidRPr="004F4527">
        <w:t xml:space="preserve"> Water Company; Lowper, Incorporated dba Lowper Water Company; Marbello Water Co., Inc. and SJM Water Service, Inc.</w:t>
      </w:r>
      <w:r w:rsidRPr="004F4527">
        <w:t xml:space="preserve">, </w:t>
      </w:r>
      <w:r w:rsidR="006B190C" w:rsidRPr="004F4527">
        <w:t>are</w:t>
      </w:r>
      <w:r w:rsidRPr="004F4527">
        <w:t xml:space="preserve"> removed from reg</w:t>
      </w:r>
      <w:r w:rsidR="006B190C" w:rsidRPr="004F4527">
        <w:t xml:space="preserve">ulation by this </w:t>
      </w:r>
      <w:r w:rsidR="005E7D4C" w:rsidRPr="004F4527">
        <w:t>Commission</w:t>
      </w:r>
      <w:r w:rsidR="006B190C" w:rsidRPr="004F4527">
        <w:t xml:space="preserve"> and </w:t>
      </w:r>
      <w:r w:rsidR="007069E2">
        <w:t>each</w:t>
      </w:r>
      <w:r w:rsidRPr="004F4527">
        <w:t xml:space="preserve"> current tariff</w:t>
      </w:r>
      <w:r w:rsidR="007069E2">
        <w:t xml:space="preserve"> for each company,</w:t>
      </w:r>
      <w:r w:rsidRPr="004F4527">
        <w:t xml:space="preserve"> WN</w:t>
      </w:r>
      <w:r w:rsidR="002030C5">
        <w:t xml:space="preserve"> U-</w:t>
      </w:r>
      <w:r w:rsidR="00090BD5" w:rsidRPr="004F4527">
        <w:t>1</w:t>
      </w:r>
      <w:r w:rsidR="007069E2">
        <w:t>,</w:t>
      </w:r>
      <w:r w:rsidRPr="004F4527">
        <w:rPr>
          <w:bCs/>
        </w:rPr>
        <w:t xml:space="preserve"> </w:t>
      </w:r>
      <w:r w:rsidR="007069E2">
        <w:rPr>
          <w:bCs/>
        </w:rPr>
        <w:t>is</w:t>
      </w:r>
      <w:r w:rsidRPr="004F4527">
        <w:t xml:space="preserve"> canceled as of the effective date of this Order.</w:t>
      </w:r>
    </w:p>
    <w:p w14:paraId="1D0B791B" w14:textId="77777777" w:rsidR="00C854D2" w:rsidRPr="004F4527" w:rsidRDefault="00C854D2" w:rsidP="00A5023A">
      <w:pPr>
        <w:spacing w:line="264" w:lineRule="auto"/>
        <w:rPr>
          <w:szCs w:val="24"/>
        </w:rPr>
      </w:pPr>
    </w:p>
    <w:p w14:paraId="1D0B791C" w14:textId="3372FFA4" w:rsidR="00E06B44" w:rsidRPr="004F4527" w:rsidRDefault="00E06B44" w:rsidP="00A5023A">
      <w:pPr>
        <w:numPr>
          <w:ilvl w:val="0"/>
          <w:numId w:val="1"/>
        </w:numPr>
        <w:tabs>
          <w:tab w:val="left" w:pos="0"/>
        </w:tabs>
        <w:spacing w:line="264" w:lineRule="auto"/>
      </w:pPr>
      <w:r w:rsidRPr="004F4527">
        <w:t xml:space="preserve">The </w:t>
      </w:r>
      <w:r w:rsidR="005E7D4C" w:rsidRPr="004F4527">
        <w:t>Commission</w:t>
      </w:r>
      <w:r w:rsidRPr="004F4527">
        <w:t>ers, having determined this Order to be consistent with the public interest, directed the Secretary to enter this Order.</w:t>
      </w:r>
    </w:p>
    <w:p w14:paraId="1D0B791D" w14:textId="77777777" w:rsidR="00C854D2" w:rsidRPr="004F4527" w:rsidRDefault="00C854D2" w:rsidP="00A5023A">
      <w:pPr>
        <w:spacing w:line="264" w:lineRule="auto"/>
        <w:rPr>
          <w:szCs w:val="24"/>
        </w:rPr>
      </w:pPr>
    </w:p>
    <w:p w14:paraId="1D0B791E" w14:textId="58C2A9C1" w:rsidR="00C854D2" w:rsidRPr="004F4527" w:rsidRDefault="00C854D2" w:rsidP="00A5023A">
      <w:pPr>
        <w:spacing w:line="264" w:lineRule="auto"/>
        <w:rPr>
          <w:szCs w:val="24"/>
        </w:rPr>
      </w:pPr>
      <w:r w:rsidRPr="004F4527">
        <w:rPr>
          <w:szCs w:val="24"/>
        </w:rPr>
        <w:t xml:space="preserve">DATED at Olympia, Washington, and effective </w:t>
      </w:r>
      <w:r w:rsidR="00090BD5" w:rsidRPr="004F4527">
        <w:rPr>
          <w:szCs w:val="24"/>
        </w:rPr>
        <w:t>August 27, 2015</w:t>
      </w:r>
      <w:r w:rsidRPr="004F4527">
        <w:rPr>
          <w:szCs w:val="24"/>
        </w:rPr>
        <w:t>.</w:t>
      </w:r>
    </w:p>
    <w:p w14:paraId="1D0B791F" w14:textId="77777777" w:rsidR="00C854D2" w:rsidRPr="004F4527" w:rsidRDefault="00C854D2" w:rsidP="00A5023A">
      <w:pPr>
        <w:spacing w:line="264" w:lineRule="auto"/>
        <w:rPr>
          <w:szCs w:val="24"/>
        </w:rPr>
      </w:pPr>
    </w:p>
    <w:p w14:paraId="1D0B7920" w14:textId="0DFB7DE4" w:rsidR="00C854D2" w:rsidRPr="004F4527" w:rsidRDefault="00C854D2" w:rsidP="00A5023A">
      <w:pPr>
        <w:spacing w:line="264" w:lineRule="auto"/>
        <w:jc w:val="center"/>
        <w:rPr>
          <w:szCs w:val="24"/>
        </w:rPr>
      </w:pPr>
      <w:r w:rsidRPr="004F4527">
        <w:rPr>
          <w:szCs w:val="24"/>
        </w:rPr>
        <w:t xml:space="preserve">WASHINGTON UTILITIES AND TRANSPORTATION </w:t>
      </w:r>
      <w:r w:rsidR="005E7D4C" w:rsidRPr="004F4527">
        <w:rPr>
          <w:szCs w:val="24"/>
        </w:rPr>
        <w:t>COMMISSION</w:t>
      </w:r>
    </w:p>
    <w:p w14:paraId="1D0B7921" w14:textId="77777777" w:rsidR="00C854D2" w:rsidRPr="004F4527" w:rsidRDefault="00C854D2" w:rsidP="00A5023A">
      <w:pPr>
        <w:spacing w:line="264" w:lineRule="auto"/>
        <w:jc w:val="center"/>
        <w:rPr>
          <w:szCs w:val="24"/>
        </w:rPr>
      </w:pPr>
    </w:p>
    <w:p w14:paraId="1D0B7922" w14:textId="77777777" w:rsidR="00C854D2" w:rsidRPr="004F4527" w:rsidRDefault="00C854D2" w:rsidP="00A5023A">
      <w:pPr>
        <w:spacing w:line="264" w:lineRule="auto"/>
        <w:jc w:val="center"/>
        <w:rPr>
          <w:szCs w:val="24"/>
        </w:rPr>
      </w:pPr>
    </w:p>
    <w:p w14:paraId="1D0B7923" w14:textId="77777777" w:rsidR="00C854D2" w:rsidRPr="004F4527" w:rsidRDefault="00C854D2" w:rsidP="00A5023A">
      <w:pPr>
        <w:spacing w:line="264" w:lineRule="auto"/>
        <w:jc w:val="center"/>
        <w:rPr>
          <w:szCs w:val="24"/>
        </w:rPr>
      </w:pPr>
    </w:p>
    <w:p w14:paraId="686E69C9" w14:textId="35810723" w:rsidR="00A5023A" w:rsidRDefault="00A5023A" w:rsidP="00A5023A">
      <w:pPr>
        <w:spacing w:line="264" w:lineRule="auto"/>
        <w:ind w:left="2880" w:firstLine="720"/>
        <w:rPr>
          <w:szCs w:val="24"/>
        </w:rPr>
      </w:pPr>
      <w:r>
        <w:rPr>
          <w:szCs w:val="24"/>
        </w:rPr>
        <w:t xml:space="preserve">                  </w:t>
      </w:r>
      <w:r w:rsidR="005711A0" w:rsidRPr="004F4527">
        <w:rPr>
          <w:szCs w:val="24"/>
        </w:rPr>
        <w:t>STEVEN V. KING</w:t>
      </w:r>
    </w:p>
    <w:p w14:paraId="1D0B7924" w14:textId="31FB8E0D" w:rsidR="003A538E" w:rsidRPr="004F4527" w:rsidRDefault="00A5023A" w:rsidP="00A5023A">
      <w:pPr>
        <w:spacing w:line="264" w:lineRule="auto"/>
        <w:ind w:left="3600" w:firstLine="720"/>
        <w:rPr>
          <w:szCs w:val="24"/>
        </w:rPr>
      </w:pPr>
      <w:r>
        <w:rPr>
          <w:szCs w:val="24"/>
        </w:rPr>
        <w:t xml:space="preserve">      </w:t>
      </w:r>
      <w:r w:rsidR="003C01D3" w:rsidRPr="004F4527">
        <w:rPr>
          <w:szCs w:val="24"/>
        </w:rPr>
        <w:t>Executive Director</w:t>
      </w:r>
      <w:r w:rsidR="00F006FC" w:rsidRPr="004F4527">
        <w:rPr>
          <w:szCs w:val="24"/>
        </w:rPr>
        <w:t xml:space="preserve"> and Secretary</w:t>
      </w:r>
    </w:p>
    <w:sectPr w:rsidR="003A538E" w:rsidRPr="004F4527" w:rsidSect="00A5023A">
      <w:headerReference w:type="default" r:id="rId10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B7929" w14:textId="77777777" w:rsidR="00824E1C" w:rsidRDefault="00824E1C">
      <w:r>
        <w:separator/>
      </w:r>
    </w:p>
  </w:endnote>
  <w:endnote w:type="continuationSeparator" w:id="0">
    <w:p w14:paraId="1D0B792A" w14:textId="77777777" w:rsidR="00824E1C" w:rsidRDefault="0082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B7927" w14:textId="77777777" w:rsidR="00824E1C" w:rsidRDefault="00824E1C">
      <w:r>
        <w:separator/>
      </w:r>
    </w:p>
  </w:footnote>
  <w:footnote w:type="continuationSeparator" w:id="0">
    <w:p w14:paraId="1D0B7928" w14:textId="77777777" w:rsidR="00824E1C" w:rsidRDefault="0082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792B" w14:textId="29F07A9D" w:rsidR="00614845" w:rsidRPr="00A748CC" w:rsidRDefault="00765BAB" w:rsidP="002F726C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50143E" w:rsidRPr="0050143E">
      <w:rPr>
        <w:b/>
        <w:sz w:val="20"/>
      </w:rPr>
      <w:t>UW-151639</w:t>
    </w:r>
    <w:r w:rsidR="00614845" w:rsidRPr="00A748CC">
      <w:rPr>
        <w:b/>
        <w:sz w:val="20"/>
      </w:rPr>
      <w:tab/>
    </w:r>
    <w:r w:rsidR="00614845" w:rsidRPr="00A748CC">
      <w:rPr>
        <w:b/>
        <w:sz w:val="20"/>
      </w:rPr>
      <w:tab/>
      <w:t xml:space="preserve">                 PAGE </w:t>
    </w:r>
    <w:r w:rsidR="00614845" w:rsidRPr="00A748CC">
      <w:rPr>
        <w:rStyle w:val="PageNumber"/>
        <w:b/>
        <w:sz w:val="20"/>
      </w:rPr>
      <w:fldChar w:fldCharType="begin"/>
    </w:r>
    <w:r w:rsidR="00614845" w:rsidRPr="00A748CC">
      <w:rPr>
        <w:rStyle w:val="PageNumber"/>
        <w:b/>
        <w:sz w:val="20"/>
      </w:rPr>
      <w:instrText xml:space="preserve"> PAGE </w:instrText>
    </w:r>
    <w:r w:rsidR="00614845" w:rsidRPr="00A748CC">
      <w:rPr>
        <w:rStyle w:val="PageNumber"/>
        <w:b/>
        <w:sz w:val="20"/>
      </w:rPr>
      <w:fldChar w:fldCharType="separate"/>
    </w:r>
    <w:r w:rsidR="00493E64">
      <w:rPr>
        <w:rStyle w:val="PageNumber"/>
        <w:b/>
        <w:noProof/>
        <w:sz w:val="20"/>
      </w:rPr>
      <w:t>2</w:t>
    </w:r>
    <w:r w:rsidR="00614845" w:rsidRPr="00A748CC">
      <w:rPr>
        <w:rStyle w:val="PageNumber"/>
        <w:b/>
        <w:sz w:val="20"/>
      </w:rPr>
      <w:fldChar w:fldCharType="end"/>
    </w:r>
  </w:p>
  <w:p w14:paraId="1D0B792C" w14:textId="5AA11764" w:rsidR="00614845" w:rsidRPr="0050337D" w:rsidRDefault="00765BAB" w:rsidP="002F726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50143E" w:rsidRPr="0050143E">
      <w:rPr>
        <w:b/>
        <w:sz w:val="20"/>
      </w:rPr>
      <w:t>01</w:t>
    </w:r>
  </w:p>
  <w:p w14:paraId="1D0B792E" w14:textId="77777777" w:rsidR="00614845" w:rsidRPr="00CD481F" w:rsidRDefault="0061484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7C5"/>
    <w:multiLevelType w:val="hybridMultilevel"/>
    <w:tmpl w:val="E15885AC"/>
    <w:lvl w:ilvl="0" w:tplc="82E8813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F70F3"/>
    <w:multiLevelType w:val="hybridMultilevel"/>
    <w:tmpl w:val="7D72FC16"/>
    <w:lvl w:ilvl="0" w:tplc="5C0EFF8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CF7032"/>
    <w:multiLevelType w:val="hybridMultilevel"/>
    <w:tmpl w:val="33606170"/>
    <w:lvl w:ilvl="0" w:tplc="9CCEFF80">
      <w:start w:val="2"/>
      <w:numFmt w:val="decimal"/>
      <w:lvlText w:val="%1"/>
      <w:lvlJc w:val="right"/>
      <w:pPr>
        <w:ind w:left="-36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1C"/>
    <w:rsid w:val="00003183"/>
    <w:rsid w:val="00022D9D"/>
    <w:rsid w:val="00036C27"/>
    <w:rsid w:val="00043329"/>
    <w:rsid w:val="00055DFC"/>
    <w:rsid w:val="00090BD5"/>
    <w:rsid w:val="000B31D8"/>
    <w:rsid w:val="000B4C5E"/>
    <w:rsid w:val="000C744E"/>
    <w:rsid w:val="000E4EE3"/>
    <w:rsid w:val="000F2036"/>
    <w:rsid w:val="000F62CF"/>
    <w:rsid w:val="00101D24"/>
    <w:rsid w:val="001029D3"/>
    <w:rsid w:val="001111D7"/>
    <w:rsid w:val="00116773"/>
    <w:rsid w:val="00136805"/>
    <w:rsid w:val="00147B76"/>
    <w:rsid w:val="001876EA"/>
    <w:rsid w:val="00193539"/>
    <w:rsid w:val="00197214"/>
    <w:rsid w:val="002030C5"/>
    <w:rsid w:val="00211187"/>
    <w:rsid w:val="002158A4"/>
    <w:rsid w:val="0022174D"/>
    <w:rsid w:val="00263794"/>
    <w:rsid w:val="002754B7"/>
    <w:rsid w:val="0027699D"/>
    <w:rsid w:val="002976B8"/>
    <w:rsid w:val="002F50D5"/>
    <w:rsid w:val="002F726C"/>
    <w:rsid w:val="00314F7D"/>
    <w:rsid w:val="0034390A"/>
    <w:rsid w:val="00354CF6"/>
    <w:rsid w:val="003573B5"/>
    <w:rsid w:val="003846B6"/>
    <w:rsid w:val="00384FDA"/>
    <w:rsid w:val="003A538E"/>
    <w:rsid w:val="003C01D3"/>
    <w:rsid w:val="0041612D"/>
    <w:rsid w:val="004173E4"/>
    <w:rsid w:val="0042401B"/>
    <w:rsid w:val="004342A2"/>
    <w:rsid w:val="00447699"/>
    <w:rsid w:val="00490C9D"/>
    <w:rsid w:val="00493E64"/>
    <w:rsid w:val="004B54F6"/>
    <w:rsid w:val="004F4527"/>
    <w:rsid w:val="004F75CD"/>
    <w:rsid w:val="0050103D"/>
    <w:rsid w:val="0050143E"/>
    <w:rsid w:val="00552BA1"/>
    <w:rsid w:val="00565F08"/>
    <w:rsid w:val="005711A0"/>
    <w:rsid w:val="00580B92"/>
    <w:rsid w:val="00583639"/>
    <w:rsid w:val="00596373"/>
    <w:rsid w:val="005A6EB8"/>
    <w:rsid w:val="005D7780"/>
    <w:rsid w:val="005E7D4C"/>
    <w:rsid w:val="005F2609"/>
    <w:rsid w:val="005F4C35"/>
    <w:rsid w:val="006077F7"/>
    <w:rsid w:val="00614845"/>
    <w:rsid w:val="006266A5"/>
    <w:rsid w:val="00627C27"/>
    <w:rsid w:val="00641A32"/>
    <w:rsid w:val="0066578D"/>
    <w:rsid w:val="00673BD0"/>
    <w:rsid w:val="006B190C"/>
    <w:rsid w:val="007069E2"/>
    <w:rsid w:val="0072231D"/>
    <w:rsid w:val="00765BAB"/>
    <w:rsid w:val="0079069D"/>
    <w:rsid w:val="007961D5"/>
    <w:rsid w:val="007B3436"/>
    <w:rsid w:val="007B7B5B"/>
    <w:rsid w:val="007C2AE2"/>
    <w:rsid w:val="007E635C"/>
    <w:rsid w:val="007F2A98"/>
    <w:rsid w:val="007F2B58"/>
    <w:rsid w:val="0080202C"/>
    <w:rsid w:val="00817ED0"/>
    <w:rsid w:val="00824E1C"/>
    <w:rsid w:val="00832AE6"/>
    <w:rsid w:val="00836D97"/>
    <w:rsid w:val="00856D70"/>
    <w:rsid w:val="00864E14"/>
    <w:rsid w:val="008C7EB4"/>
    <w:rsid w:val="00927867"/>
    <w:rsid w:val="009500AB"/>
    <w:rsid w:val="0096060D"/>
    <w:rsid w:val="009866E4"/>
    <w:rsid w:val="009B5C2C"/>
    <w:rsid w:val="009E6B92"/>
    <w:rsid w:val="009E7154"/>
    <w:rsid w:val="00A06A90"/>
    <w:rsid w:val="00A5023A"/>
    <w:rsid w:val="00A86012"/>
    <w:rsid w:val="00AD08BF"/>
    <w:rsid w:val="00AD7EF7"/>
    <w:rsid w:val="00AE44FA"/>
    <w:rsid w:val="00AE6608"/>
    <w:rsid w:val="00AF0621"/>
    <w:rsid w:val="00B60106"/>
    <w:rsid w:val="00B84C47"/>
    <w:rsid w:val="00B953CB"/>
    <w:rsid w:val="00B97825"/>
    <w:rsid w:val="00BC0AC9"/>
    <w:rsid w:val="00C60BD6"/>
    <w:rsid w:val="00C854D2"/>
    <w:rsid w:val="00CA36AA"/>
    <w:rsid w:val="00CC7A14"/>
    <w:rsid w:val="00CD481F"/>
    <w:rsid w:val="00CE4DDF"/>
    <w:rsid w:val="00CF4460"/>
    <w:rsid w:val="00CF7256"/>
    <w:rsid w:val="00D66028"/>
    <w:rsid w:val="00D9518B"/>
    <w:rsid w:val="00D97677"/>
    <w:rsid w:val="00DC5A37"/>
    <w:rsid w:val="00E06B44"/>
    <w:rsid w:val="00E77F0A"/>
    <w:rsid w:val="00EA7D53"/>
    <w:rsid w:val="00EB2E50"/>
    <w:rsid w:val="00EC17EF"/>
    <w:rsid w:val="00EE6C83"/>
    <w:rsid w:val="00F006FC"/>
    <w:rsid w:val="00F362B1"/>
    <w:rsid w:val="00F41DDE"/>
    <w:rsid w:val="00F50697"/>
    <w:rsid w:val="00F861E8"/>
    <w:rsid w:val="00F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B78A0"/>
  <w15:chartTrackingRefBased/>
  <w15:docId w15:val="{47B3E626-E06E-46BE-B5CF-9888C43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4F7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314F7D"/>
    <w:pPr>
      <w:numPr>
        <w:numId w:val="2"/>
      </w:numPr>
    </w:pPr>
    <w:rPr>
      <w:snapToGrid/>
      <w:szCs w:val="24"/>
    </w:rPr>
  </w:style>
  <w:style w:type="character" w:styleId="CommentReference">
    <w:name w:val="annotation reference"/>
    <w:semiHidden/>
    <w:rsid w:val="00314F7D"/>
    <w:rPr>
      <w:sz w:val="16"/>
      <w:szCs w:val="16"/>
    </w:rPr>
  </w:style>
  <w:style w:type="paragraph" w:styleId="CommentText">
    <w:name w:val="annotation text"/>
    <w:basedOn w:val="Normal"/>
    <w:semiHidden/>
    <w:rsid w:val="00314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4F7D"/>
    <w:rPr>
      <w:b/>
      <w:bCs/>
    </w:rPr>
  </w:style>
  <w:style w:type="character" w:styleId="Hyperlink">
    <w:name w:val="Hyperlink"/>
    <w:rsid w:val="00B84C47"/>
    <w:rPr>
      <w:color w:val="0000FF"/>
      <w:u w:val="none"/>
    </w:rPr>
  </w:style>
  <w:style w:type="character" w:styleId="FollowedHyperlink">
    <w:name w:val="FollowedHyperlink"/>
    <w:rsid w:val="00B84C47"/>
    <w:rPr>
      <w:color w:val="800080"/>
      <w:u w:val="none"/>
    </w:rPr>
  </w:style>
  <w:style w:type="paragraph" w:customStyle="1" w:styleId="FindingsConclusions">
    <w:name w:val="Findings &amp; Conclusions"/>
    <w:basedOn w:val="Normal"/>
    <w:autoRedefine/>
    <w:rsid w:val="004F4527"/>
    <w:pPr>
      <w:spacing w:line="288" w:lineRule="auto"/>
    </w:pPr>
    <w:rPr>
      <w:snapToGrid/>
      <w:sz w:val="20"/>
      <w:szCs w:val="24"/>
    </w:rPr>
  </w:style>
  <w:style w:type="table" w:styleId="TableGrid">
    <w:name w:val="Table Grid"/>
    <w:basedOn w:val="TableNormal"/>
    <w:uiPriority w:val="59"/>
    <w:rsid w:val="004173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Table4-Accent5">
    <w:name w:val="List Table 4 Accent 5"/>
    <w:basedOn w:val="TableNormal"/>
    <w:uiPriority w:val="49"/>
    <w:rsid w:val="004F452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UTCFS2\GRP_Data\UTIL\Migrated-WATER\COMPANY%20FILINGS\1%20Short%20Term\Iliad%20companies\150688%20Merger\UW-151639%20Order%20to%20Dere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DA10657BCC7E4987EF4CFE46B47D02" ma:contentTypeVersion="119" ma:contentTypeDescription="" ma:contentTypeScope="" ma:versionID="167315cf9162850e5c5b01e41ddaf2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2015-08-07T07:00:00+00:00</OpenedDate>
    <Date1 xmlns="dc463f71-b30c-4ab2-9473-d307f9d35888">2015-08-27T07:00:00+00:00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Fragaria Landing Water Company;Lowper, Incorporated;Marbello Water Co., Inc.;SJM Water Services, Inc.</CaseCompanyNames>
    <DocketNumber xmlns="dc463f71-b30c-4ab2-9473-d307f9d35888">151639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87388-73E7-4230-877B-3D9A875E6441}"/>
</file>

<file path=customXml/itemProps2.xml><?xml version="1.0" encoding="utf-8"?>
<ds:datastoreItem xmlns:ds="http://schemas.openxmlformats.org/officeDocument/2006/customXml" ds:itemID="{B07EFD3E-8CCD-47D1-B89E-FF3F54C4686B}"/>
</file>

<file path=customXml/itemProps3.xml><?xml version="1.0" encoding="utf-8"?>
<ds:datastoreItem xmlns:ds="http://schemas.openxmlformats.org/officeDocument/2006/customXml" ds:itemID="{15F34499-35A6-408C-9454-FC772AF57865}"/>
</file>

<file path=customXml/itemProps4.xml><?xml version="1.0" encoding="utf-8"?>
<ds:datastoreItem xmlns:ds="http://schemas.openxmlformats.org/officeDocument/2006/customXml" ds:itemID="{EB62145E-9E6B-4A08-B0AB-D12A5F2802B4}"/>
</file>

<file path=docProps/app.xml><?xml version="1.0" encoding="utf-8"?>
<Properties xmlns="http://schemas.openxmlformats.org/officeDocument/2006/extended-properties" xmlns:vt="http://schemas.openxmlformats.org/officeDocument/2006/docPropsVTypes">
  <Template>UW-151639 Order to Dereg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151639 order to deregulate</vt:lpstr>
    </vt:vector>
  </TitlesOfParts>
  <Company>WUTC</Company>
  <LinksUpToDate>false</LinksUpToDate>
  <CharactersWithSpaces>4684</CharactersWithSpaces>
  <SharedDoc>false</SharedDoc>
  <HLinks>
    <vt:vector size="48" baseType="variant">
      <vt:variant>
        <vt:i4>2621484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2424881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151639 order to deregulate</dc:title>
  <dc:subject/>
  <dc:creator>Information Services</dc:creator>
  <cp:keywords/>
  <dc:description/>
  <cp:lastModifiedBy>Kern, Cathy (UTC)</cp:lastModifiedBy>
  <cp:revision>2</cp:revision>
  <cp:lastPrinted>2015-08-10T16:37:00Z</cp:lastPrinted>
  <dcterms:created xsi:type="dcterms:W3CDTF">2015-08-26T23:48:00Z</dcterms:created>
  <dcterms:modified xsi:type="dcterms:W3CDTF">2015-08-26T23:48:00Z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0x0101006E56B4D1795A2E4DB2F0B01679ED314A00FADA10657BCC7E4987EF4CFE46B47D02</vt:lpwstr>
  </property>
  <property fmtid="{D5CDD505-2E9C-101B-9397-08002B2CF9AE}" pid="3" name="_docset_NoMedatataSyncRequired">
    <vt:lpwstr>False</vt:lpwstr>
  </property>
</Properties>
</file>